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594F2D3A"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EC74F6">
              <w:rPr>
                <w:rFonts w:cs="Calibri"/>
                <w:sz w:val="22"/>
                <w:szCs w:val="22"/>
              </w:rPr>
              <w:t>19</w:t>
            </w:r>
            <w:r w:rsidR="002164A6" w:rsidRPr="00DD5252">
              <w:rPr>
                <w:rFonts w:cs="Calibri"/>
                <w:sz w:val="22"/>
                <w:szCs w:val="22"/>
              </w:rPr>
              <w:t xml:space="preserve"> </w:t>
            </w:r>
            <w:r w:rsidR="00C54615">
              <w:rPr>
                <w:rFonts w:cs="Calibri"/>
                <w:sz w:val="22"/>
                <w:szCs w:val="22"/>
              </w:rPr>
              <w:t>January</w:t>
            </w:r>
            <w:r w:rsidR="008561CB" w:rsidRPr="00DD5252">
              <w:rPr>
                <w:rFonts w:cs="Calibri"/>
                <w:sz w:val="22"/>
                <w:szCs w:val="22"/>
              </w:rPr>
              <w:t xml:space="preserve"> 202</w:t>
            </w:r>
            <w:r w:rsidR="00C54615">
              <w:rPr>
                <w:rFonts w:cs="Calibri"/>
                <w:sz w:val="22"/>
                <w:szCs w:val="22"/>
              </w:rPr>
              <w:t>3</w:t>
            </w:r>
          </w:p>
        </w:tc>
      </w:tr>
      <w:tr w:rsidR="00FA46A0" w:rsidRPr="001D212C" w14:paraId="5B9F57B8" w14:textId="77777777" w:rsidTr="00872354">
        <w:trPr>
          <w:cantSplit/>
          <w:trHeight w:val="746"/>
        </w:trPr>
        <w:tc>
          <w:tcPr>
            <w:tcW w:w="1134" w:type="dxa"/>
          </w:tcPr>
          <w:p w14:paraId="4361F29A" w14:textId="77777777" w:rsidR="00FA46A0" w:rsidRPr="001D212C" w:rsidRDefault="00B61012" w:rsidP="00872354">
            <w:pPr>
              <w:pStyle w:val="Tabletext"/>
              <w:ind w:left="-110"/>
              <w:rPr>
                <w:rFonts w:cs="Calibri"/>
                <w:sz w:val="22"/>
                <w:szCs w:val="22"/>
              </w:rPr>
            </w:pPr>
            <w:r w:rsidRPr="001D212C">
              <w:rPr>
                <w:rFonts w:cs="Calibri"/>
                <w:b/>
                <w:sz w:val="22"/>
                <w:szCs w:val="22"/>
              </w:rPr>
              <w:t>Ref:</w:t>
            </w:r>
          </w:p>
        </w:tc>
        <w:tc>
          <w:tcPr>
            <w:tcW w:w="3444" w:type="dxa"/>
            <w:gridSpan w:val="2"/>
          </w:tcPr>
          <w:p w14:paraId="101ED353" w14:textId="3BD831ED" w:rsidR="00C24502" w:rsidRPr="001D212C" w:rsidRDefault="00C24502" w:rsidP="00872354">
            <w:pPr>
              <w:pStyle w:val="Tabletext"/>
              <w:rPr>
                <w:rFonts w:cs="Calibri"/>
                <w:b/>
                <w:bCs/>
                <w:sz w:val="22"/>
                <w:szCs w:val="22"/>
              </w:rPr>
            </w:pPr>
            <w:r w:rsidRPr="001D212C">
              <w:rPr>
                <w:rFonts w:cs="Calibri"/>
                <w:b/>
                <w:bCs/>
                <w:sz w:val="22"/>
                <w:szCs w:val="22"/>
              </w:rPr>
              <w:t>TSB Circular</w:t>
            </w:r>
            <w:r w:rsidR="00B3794A" w:rsidRPr="001D212C">
              <w:rPr>
                <w:rFonts w:cs="Calibri"/>
                <w:b/>
                <w:bCs/>
                <w:sz w:val="22"/>
                <w:szCs w:val="22"/>
              </w:rPr>
              <w:t xml:space="preserve"> </w:t>
            </w:r>
            <w:r w:rsidR="00787B26">
              <w:rPr>
                <w:rFonts w:cs="Calibri"/>
                <w:b/>
                <w:bCs/>
                <w:sz w:val="22"/>
                <w:szCs w:val="22"/>
              </w:rPr>
              <w:t>69</w:t>
            </w:r>
          </w:p>
          <w:p w14:paraId="1FA4CE7F" w14:textId="06F4DC1B" w:rsidR="00FA46A0" w:rsidRPr="008B6792" w:rsidRDefault="00C24502" w:rsidP="00872354">
            <w:pPr>
              <w:pStyle w:val="Tabletext"/>
              <w:spacing w:before="0"/>
              <w:rPr>
                <w:rFonts w:cs="Calibri"/>
                <w:b/>
                <w:bCs/>
                <w:sz w:val="22"/>
                <w:szCs w:val="22"/>
              </w:rPr>
            </w:pPr>
            <w:r w:rsidRPr="008B6792">
              <w:rPr>
                <w:rFonts w:cs="Calibri"/>
                <w:b/>
                <w:bCs/>
                <w:sz w:val="22"/>
                <w:szCs w:val="22"/>
              </w:rPr>
              <w:t>FG-</w:t>
            </w:r>
            <w:r w:rsidR="00C54615" w:rsidRPr="008B6792">
              <w:rPr>
                <w:rFonts w:eastAsia="Times New Roman" w:cs="Calibri"/>
                <w:b/>
                <w:bCs/>
                <w:sz w:val="22"/>
                <w:szCs w:val="22"/>
                <w:lang w:val="en-US"/>
              </w:rPr>
              <w:t>MV</w:t>
            </w:r>
            <w:r w:rsidRPr="008B6792">
              <w:rPr>
                <w:rFonts w:cs="Calibri"/>
                <w:b/>
                <w:bCs/>
                <w:sz w:val="22"/>
                <w:szCs w:val="22"/>
              </w:rPr>
              <w:t>/</w:t>
            </w:r>
            <w:r w:rsidR="00C54615" w:rsidRPr="008B6792">
              <w:rPr>
                <w:rFonts w:cs="Calibri"/>
                <w:b/>
                <w:bCs/>
                <w:sz w:val="22"/>
                <w:szCs w:val="22"/>
              </w:rPr>
              <w:t>CB</w:t>
            </w: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Members</w:t>
            </w:r>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1D212C" w:rsidRDefault="00C24502" w:rsidP="00872354">
            <w:pPr>
              <w:pStyle w:val="Tabletext"/>
              <w:ind w:left="-110"/>
              <w:rPr>
                <w:rFonts w:cs="Calibri"/>
                <w:sz w:val="22"/>
                <w:szCs w:val="22"/>
              </w:rPr>
            </w:pPr>
            <w:r w:rsidRPr="001D212C">
              <w:rPr>
                <w:rFonts w:cs="Calibri"/>
                <w:b/>
                <w:sz w:val="22"/>
                <w:szCs w:val="22"/>
              </w:rPr>
              <w:t>Tel:</w:t>
            </w:r>
          </w:p>
        </w:tc>
        <w:tc>
          <w:tcPr>
            <w:tcW w:w="3444" w:type="dxa"/>
            <w:gridSpan w:val="2"/>
          </w:tcPr>
          <w:p w14:paraId="79A9C2E7" w14:textId="69E2C47D" w:rsidR="00C24502" w:rsidRPr="001D212C" w:rsidRDefault="00C24502" w:rsidP="00872354">
            <w:pPr>
              <w:pStyle w:val="Tabletext"/>
              <w:rPr>
                <w:rFonts w:cs="Calibri"/>
                <w:b/>
                <w:sz w:val="22"/>
                <w:szCs w:val="22"/>
              </w:rPr>
            </w:pPr>
            <w:r w:rsidRPr="001D212C">
              <w:rPr>
                <w:rFonts w:cs="Calibri"/>
                <w:sz w:val="22"/>
                <w:szCs w:val="22"/>
              </w:rPr>
              <w:t xml:space="preserve">+41 22 730 </w:t>
            </w:r>
            <w:r w:rsidR="00367771">
              <w:rPr>
                <w:rFonts w:cs="Calibri"/>
                <w:sz w:val="22"/>
                <w:szCs w:val="22"/>
              </w:rPr>
              <w:t>6301</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1D212C" w:rsidRDefault="00C24502" w:rsidP="00872354">
            <w:pPr>
              <w:pStyle w:val="Tabletext"/>
              <w:ind w:left="-110"/>
              <w:rPr>
                <w:rFonts w:cs="Calibri"/>
                <w:sz w:val="22"/>
                <w:szCs w:val="22"/>
              </w:rPr>
            </w:pPr>
            <w:r w:rsidRPr="001D212C">
              <w:rPr>
                <w:rFonts w:cs="Calibri"/>
                <w:b/>
                <w:sz w:val="22"/>
                <w:szCs w:val="22"/>
              </w:rPr>
              <w:t>Fax:</w:t>
            </w:r>
          </w:p>
        </w:tc>
        <w:tc>
          <w:tcPr>
            <w:tcW w:w="3444" w:type="dxa"/>
            <w:gridSpan w:val="2"/>
          </w:tcPr>
          <w:p w14:paraId="3EED3728" w14:textId="2628A552" w:rsidR="00C24502" w:rsidRPr="001D212C" w:rsidRDefault="00C24502" w:rsidP="00872354">
            <w:pPr>
              <w:pStyle w:val="Tabletext"/>
              <w:rPr>
                <w:rFonts w:cs="Calibri"/>
                <w:b/>
                <w:sz w:val="22"/>
                <w:szCs w:val="22"/>
              </w:rPr>
            </w:pPr>
            <w:r w:rsidRPr="001D212C">
              <w:rPr>
                <w:rFonts w:cs="Calibri"/>
                <w:sz w:val="22"/>
                <w:szCs w:val="22"/>
              </w:rPr>
              <w:t>+41 22 730 5853</w:t>
            </w:r>
          </w:p>
        </w:tc>
        <w:tc>
          <w:tcPr>
            <w:tcW w:w="5151" w:type="dxa"/>
            <w:gridSpan w:val="2"/>
            <w:vMerge/>
          </w:tcPr>
          <w:p w14:paraId="2D69D236" w14:textId="77777777" w:rsidR="00C24502" w:rsidRPr="001D212C"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1D212C" w:rsidRDefault="00B61012" w:rsidP="00872354">
            <w:pPr>
              <w:pStyle w:val="Tabletext"/>
              <w:ind w:left="-110"/>
              <w:rPr>
                <w:rFonts w:cs="Calibri"/>
                <w:sz w:val="22"/>
                <w:szCs w:val="22"/>
              </w:rPr>
            </w:pPr>
            <w:r w:rsidRPr="001D212C">
              <w:rPr>
                <w:rFonts w:cs="Calibri"/>
                <w:b/>
                <w:sz w:val="22"/>
                <w:szCs w:val="22"/>
              </w:rPr>
              <w:t>E-mail:</w:t>
            </w:r>
          </w:p>
        </w:tc>
        <w:tc>
          <w:tcPr>
            <w:tcW w:w="3444" w:type="dxa"/>
            <w:gridSpan w:val="2"/>
          </w:tcPr>
          <w:p w14:paraId="676B845E" w14:textId="31DD8B9B" w:rsidR="00FA46A0" w:rsidRPr="001D212C" w:rsidRDefault="00B73C85" w:rsidP="00872354">
            <w:pPr>
              <w:pStyle w:val="Tabletext"/>
              <w:rPr>
                <w:rFonts w:cs="Calibri"/>
                <w:sz w:val="22"/>
                <w:szCs w:val="22"/>
                <w:lang w:val="en-US"/>
              </w:rPr>
            </w:pPr>
            <w:hyperlink r:id="rId8" w:history="1">
              <w:r w:rsidR="00C54615" w:rsidRPr="00C54615">
                <w:rPr>
                  <w:rStyle w:val="Hyperlink"/>
                  <w:sz w:val="22"/>
                  <w:szCs w:val="18"/>
                </w:rPr>
                <w:t>tsbfgmv@itu.int</w:t>
              </w:r>
            </w:hyperlink>
            <w:r w:rsidR="00C54615" w:rsidRPr="00C54615">
              <w:rPr>
                <w:sz w:val="22"/>
                <w:szCs w:val="18"/>
              </w:rPr>
              <w:t xml:space="preserve"> </w:t>
            </w:r>
          </w:p>
        </w:tc>
        <w:tc>
          <w:tcPr>
            <w:tcW w:w="5151" w:type="dxa"/>
            <w:gridSpan w:val="2"/>
          </w:tcPr>
          <w:p w14:paraId="22C1E5F0" w14:textId="77777777" w:rsidR="00FC1C19" w:rsidRPr="001D212C" w:rsidRDefault="00B61012" w:rsidP="00872354">
            <w:pPr>
              <w:pStyle w:val="Tabletext"/>
              <w:ind w:left="283" w:hanging="391"/>
              <w:rPr>
                <w:rFonts w:cs="Calibri"/>
                <w:sz w:val="22"/>
                <w:szCs w:val="22"/>
              </w:rPr>
            </w:pPr>
            <w:r w:rsidRPr="001D212C">
              <w:rPr>
                <w:rFonts w:cs="Calibri"/>
                <w:b/>
                <w:sz w:val="22"/>
                <w:szCs w:val="22"/>
              </w:rPr>
              <w:t>Copy to:</w:t>
            </w:r>
          </w:p>
          <w:p w14:paraId="039EFAB0" w14:textId="73B97895"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r>
            <w:r w:rsidR="00963900" w:rsidRPr="001D212C">
              <w:rPr>
                <w:rFonts w:cs="Calibri"/>
                <w:sz w:val="22"/>
                <w:szCs w:val="22"/>
              </w:rPr>
              <w:t>T</w:t>
            </w:r>
            <w:r w:rsidRPr="001D212C">
              <w:rPr>
                <w:rFonts w:cs="Calibri"/>
                <w:sz w:val="22"/>
                <w:szCs w:val="22"/>
              </w:rPr>
              <w:t>he Chairm</w:t>
            </w:r>
            <w:r w:rsidR="00D62702" w:rsidRPr="001D212C">
              <w:rPr>
                <w:rFonts w:cs="Calibri"/>
                <w:sz w:val="22"/>
                <w:szCs w:val="22"/>
              </w:rPr>
              <w:t>e</w:t>
            </w:r>
            <w:r w:rsidRPr="001D212C">
              <w:rPr>
                <w:rFonts w:cs="Calibri"/>
                <w:sz w:val="22"/>
                <w:szCs w:val="22"/>
              </w:rPr>
              <w:t>n and Vice-Chairmen of</w:t>
            </w:r>
            <w:r w:rsidR="00482C4F" w:rsidRPr="001D212C">
              <w:rPr>
                <w:rFonts w:cs="Calibri"/>
                <w:sz w:val="22"/>
                <w:szCs w:val="22"/>
                <w:rtl/>
              </w:rPr>
              <w:br/>
            </w:r>
            <w:r w:rsidR="00482C4F" w:rsidRPr="001D212C">
              <w:rPr>
                <w:rFonts w:cs="Calibri"/>
                <w:sz w:val="22"/>
                <w:szCs w:val="22"/>
                <w:lang w:val="en-US"/>
              </w:rPr>
              <w:t xml:space="preserve">ITU-T </w:t>
            </w:r>
            <w:r w:rsidRPr="001D212C">
              <w:rPr>
                <w:rFonts w:cs="Calibri"/>
                <w:sz w:val="22"/>
                <w:szCs w:val="22"/>
              </w:rPr>
              <w:t xml:space="preserve">Study </w:t>
            </w:r>
            <w:proofErr w:type="gramStart"/>
            <w:r w:rsidRPr="001D212C">
              <w:rPr>
                <w:rFonts w:cs="Calibri"/>
                <w:sz w:val="22"/>
                <w:szCs w:val="22"/>
              </w:rPr>
              <w:t>Group</w:t>
            </w:r>
            <w:r w:rsidR="00FC1C19" w:rsidRPr="001D212C">
              <w:rPr>
                <w:rFonts w:cs="Calibri"/>
                <w:sz w:val="22"/>
                <w:szCs w:val="22"/>
              </w:rPr>
              <w:t>s;</w:t>
            </w:r>
            <w:proofErr w:type="gramEnd"/>
          </w:p>
          <w:p w14:paraId="0503E4E5" w14:textId="77777777"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 xml:space="preserve">The Director of the Telecommunication Development </w:t>
            </w:r>
            <w:proofErr w:type="gramStart"/>
            <w:r w:rsidRPr="001D212C">
              <w:rPr>
                <w:rFonts w:cs="Calibri"/>
                <w:sz w:val="22"/>
                <w:szCs w:val="22"/>
              </w:rPr>
              <w:t>Bureau;</w:t>
            </w:r>
            <w:proofErr w:type="gramEnd"/>
          </w:p>
          <w:p w14:paraId="0170C617" w14:textId="75DAD43F" w:rsidR="00FA46A0"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r w:rsidR="00EC74F6">
              <w:rPr>
                <w:rFonts w:cs="Calibri"/>
                <w:sz w:val="22"/>
                <w:szCs w:val="22"/>
              </w:rPr>
              <w:t>.</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2D233F88" w:rsidR="00FA46A0" w:rsidRPr="001D212C" w:rsidRDefault="00DA1B34" w:rsidP="00872354">
            <w:pPr>
              <w:pStyle w:val="Tabletext"/>
              <w:rPr>
                <w:rFonts w:asciiTheme="minorHAnsi" w:hAnsiTheme="minorHAnsi" w:cstheme="minorHAnsi"/>
                <w:sz w:val="22"/>
                <w:szCs w:val="22"/>
              </w:rPr>
            </w:pPr>
            <w:r w:rsidRPr="00DA1B34">
              <w:rPr>
                <w:rFonts w:asciiTheme="minorHAnsi" w:hAnsiTheme="minorHAnsi" w:cstheme="minorHAnsi"/>
                <w:b/>
                <w:bCs/>
                <w:sz w:val="22"/>
                <w:szCs w:val="22"/>
              </w:rPr>
              <w:t xml:space="preserve">Creation of a new ITU-T Focus Group on </w:t>
            </w:r>
            <w:r w:rsidR="0078517F">
              <w:rPr>
                <w:rFonts w:asciiTheme="minorHAnsi" w:hAnsiTheme="minorHAnsi" w:cstheme="minorHAnsi"/>
                <w:b/>
                <w:bCs/>
                <w:sz w:val="22"/>
                <w:szCs w:val="22"/>
              </w:rPr>
              <w:t>m</w:t>
            </w:r>
            <w:r>
              <w:rPr>
                <w:rFonts w:asciiTheme="minorHAnsi" w:hAnsiTheme="minorHAnsi" w:cstheme="minorHAnsi"/>
                <w:b/>
                <w:bCs/>
                <w:sz w:val="22"/>
                <w:szCs w:val="22"/>
              </w:rPr>
              <w:t>etaverse</w:t>
            </w:r>
            <w:r w:rsidRPr="00DA1B34">
              <w:rPr>
                <w:rFonts w:asciiTheme="minorHAnsi" w:hAnsiTheme="minorHAnsi" w:cstheme="minorHAnsi"/>
                <w:b/>
                <w:bCs/>
                <w:sz w:val="22"/>
                <w:szCs w:val="22"/>
              </w:rPr>
              <w:t xml:space="preserve"> (FG-</w:t>
            </w:r>
            <w:r>
              <w:rPr>
                <w:rFonts w:asciiTheme="minorHAnsi" w:hAnsiTheme="minorHAnsi" w:cstheme="minorHAnsi"/>
                <w:b/>
                <w:bCs/>
                <w:sz w:val="22"/>
                <w:szCs w:val="22"/>
              </w:rPr>
              <w:t>MV</w:t>
            </w:r>
            <w:r w:rsidRPr="00DA1B34">
              <w:rPr>
                <w:rFonts w:asciiTheme="minorHAnsi" w:hAnsiTheme="minorHAnsi" w:cstheme="minorHAnsi"/>
                <w:b/>
                <w:bCs/>
                <w:sz w:val="22"/>
                <w:szCs w:val="22"/>
              </w:rPr>
              <w:t>), and its first meeting</w:t>
            </w:r>
            <w:r w:rsidR="00EC74F6">
              <w:rPr>
                <w:rFonts w:asciiTheme="minorHAnsi" w:hAnsiTheme="minorHAnsi" w:cstheme="minorHAnsi"/>
                <w:b/>
                <w:bCs/>
                <w:sz w:val="22"/>
                <w:szCs w:val="22"/>
              </w:rPr>
              <w:t xml:space="preserve"> in</w:t>
            </w:r>
            <w:r w:rsidR="008B1D19" w:rsidRPr="001D212C">
              <w:rPr>
                <w:rFonts w:asciiTheme="minorHAnsi" w:hAnsiTheme="minorHAnsi" w:cstheme="minorHAnsi"/>
                <w:b/>
                <w:bCs/>
                <w:sz w:val="22"/>
                <w:szCs w:val="22"/>
              </w:rPr>
              <w:t xml:space="preserve"> </w:t>
            </w:r>
            <w:r w:rsidR="00D63E62" w:rsidRPr="00D63E62">
              <w:rPr>
                <w:rFonts w:asciiTheme="minorHAnsi" w:hAnsiTheme="minorHAnsi" w:cstheme="minorHAnsi"/>
                <w:b/>
                <w:bCs/>
                <w:sz w:val="22"/>
                <w:szCs w:val="22"/>
              </w:rPr>
              <w:t xml:space="preserve">Riyadh, </w:t>
            </w:r>
            <w:r w:rsidR="00EC74F6" w:rsidRPr="00D63E62">
              <w:rPr>
                <w:rFonts w:asciiTheme="minorHAnsi" w:hAnsiTheme="minorHAnsi" w:cstheme="minorHAnsi"/>
                <w:b/>
                <w:bCs/>
                <w:sz w:val="22"/>
                <w:szCs w:val="22"/>
              </w:rPr>
              <w:t xml:space="preserve">Kingdom of </w:t>
            </w:r>
            <w:r w:rsidR="00D63E62" w:rsidRPr="00D63E62">
              <w:rPr>
                <w:rFonts w:asciiTheme="minorHAnsi" w:hAnsiTheme="minorHAnsi" w:cstheme="minorHAnsi"/>
                <w:b/>
                <w:bCs/>
                <w:sz w:val="22"/>
                <w:szCs w:val="22"/>
              </w:rPr>
              <w:t>Saudi Arabia</w:t>
            </w:r>
            <w:r w:rsidR="008C026D" w:rsidRPr="001D212C">
              <w:rPr>
                <w:rFonts w:asciiTheme="minorHAnsi" w:hAnsiTheme="minorHAnsi" w:cstheme="minorHAnsi"/>
                <w:b/>
                <w:bCs/>
                <w:sz w:val="22"/>
                <w:szCs w:val="22"/>
              </w:rPr>
              <w:t>,</w:t>
            </w:r>
            <w:r w:rsidR="00B376F5">
              <w:rPr>
                <w:rFonts w:asciiTheme="minorHAnsi" w:hAnsiTheme="minorHAnsi" w:cstheme="minorHAnsi"/>
                <w:b/>
                <w:bCs/>
                <w:sz w:val="22"/>
                <w:szCs w:val="22"/>
              </w:rPr>
              <w:t xml:space="preserve"> </w:t>
            </w:r>
            <w:r w:rsidR="00CF3AF8">
              <w:rPr>
                <w:rFonts w:asciiTheme="minorHAnsi" w:hAnsiTheme="minorHAnsi" w:cstheme="minorHAnsi"/>
                <w:b/>
                <w:bCs/>
                <w:sz w:val="22"/>
                <w:szCs w:val="22"/>
              </w:rPr>
              <w:t>8</w:t>
            </w:r>
            <w:r w:rsidR="00D63E62">
              <w:rPr>
                <w:rFonts w:asciiTheme="minorHAnsi" w:hAnsiTheme="minorHAnsi" w:cstheme="minorHAnsi"/>
                <w:b/>
                <w:bCs/>
                <w:sz w:val="22"/>
                <w:szCs w:val="22"/>
              </w:rPr>
              <w:t>-9</w:t>
            </w:r>
            <w:r w:rsidR="00CF3AF8">
              <w:rPr>
                <w:rFonts w:asciiTheme="minorHAnsi" w:hAnsiTheme="minorHAnsi" w:cstheme="minorHAnsi"/>
                <w:b/>
                <w:bCs/>
                <w:sz w:val="22"/>
                <w:szCs w:val="22"/>
              </w:rPr>
              <w:t xml:space="preserve"> </w:t>
            </w:r>
            <w:r w:rsidR="00B376F5">
              <w:rPr>
                <w:rFonts w:asciiTheme="minorHAnsi" w:hAnsiTheme="minorHAnsi" w:cstheme="minorHAnsi"/>
                <w:b/>
                <w:bCs/>
                <w:sz w:val="22"/>
                <w:szCs w:val="22"/>
              </w:rPr>
              <w:t>March</w:t>
            </w:r>
            <w:r w:rsidR="008C026D" w:rsidRPr="001D212C">
              <w:rPr>
                <w:rFonts w:asciiTheme="minorHAnsi" w:hAnsiTheme="minorHAnsi" w:cstheme="minorHAnsi"/>
                <w:b/>
                <w:bCs/>
                <w:sz w:val="22"/>
                <w:szCs w:val="22"/>
              </w:rPr>
              <w:t xml:space="preserve"> 202</w:t>
            </w:r>
            <w:r w:rsidR="002164A6">
              <w:rPr>
                <w:rFonts w:asciiTheme="minorHAnsi" w:hAnsiTheme="minorHAnsi" w:cstheme="minorHAnsi"/>
                <w:b/>
                <w:bCs/>
                <w:sz w:val="22"/>
                <w:szCs w:val="22"/>
              </w:rPr>
              <w:t>3</w:t>
            </w:r>
          </w:p>
        </w:tc>
      </w:tr>
    </w:tbl>
    <w:p w14:paraId="41948E95" w14:textId="77777777" w:rsidR="00E870E2" w:rsidRPr="00B73030" w:rsidRDefault="00E870E2" w:rsidP="00E870E2">
      <w:pPr>
        <w:spacing w:before="240"/>
        <w:rPr>
          <w:rFonts w:cs="Calibri"/>
          <w:sz w:val="22"/>
          <w:szCs w:val="22"/>
        </w:rPr>
      </w:pPr>
      <w:r w:rsidRPr="00BF30CA">
        <w:rPr>
          <w:rFonts w:cs="Calibri"/>
          <w:sz w:val="22"/>
          <w:szCs w:val="22"/>
        </w:rPr>
        <w:t xml:space="preserve">Dear </w:t>
      </w:r>
      <w:r w:rsidRPr="00B73030">
        <w:rPr>
          <w:rFonts w:cs="Calibri"/>
          <w:sz w:val="22"/>
          <w:szCs w:val="22"/>
        </w:rPr>
        <w:t>Sir/Madam,</w:t>
      </w:r>
    </w:p>
    <w:p w14:paraId="7B2EC4DD" w14:textId="5FE090FC" w:rsidR="00E870E2" w:rsidRPr="00BF30CA" w:rsidRDefault="00E870E2" w:rsidP="00E870E2">
      <w:pPr>
        <w:rPr>
          <w:rFonts w:cs="Calibri"/>
          <w:sz w:val="22"/>
          <w:szCs w:val="22"/>
        </w:rPr>
      </w:pPr>
      <w:r w:rsidRPr="00B73030">
        <w:rPr>
          <w:rFonts w:cs="Calibri"/>
          <w:sz w:val="22"/>
          <w:szCs w:val="22"/>
        </w:rPr>
        <w:t>1</w:t>
      </w:r>
      <w:r w:rsidRPr="00B73030">
        <w:rPr>
          <w:rFonts w:cs="Calibri"/>
          <w:sz w:val="22"/>
          <w:szCs w:val="22"/>
        </w:rPr>
        <w:tab/>
        <w:t>Further to the agreement by</w:t>
      </w:r>
      <w:r w:rsidR="00EC74F6">
        <w:rPr>
          <w:rFonts w:cs="Calibri"/>
          <w:sz w:val="22"/>
          <w:szCs w:val="22"/>
        </w:rPr>
        <w:t xml:space="preserve"> the</w:t>
      </w:r>
      <w:r w:rsidRPr="00B73030">
        <w:rPr>
          <w:rFonts w:cs="Calibri"/>
          <w:sz w:val="22"/>
          <w:szCs w:val="22"/>
        </w:rPr>
        <w:t xml:space="preserve"> ITU-T </w:t>
      </w:r>
      <w:r w:rsidR="00042695" w:rsidRPr="00B73030">
        <w:rPr>
          <w:rFonts w:cs="Calibri"/>
          <w:sz w:val="22"/>
          <w:szCs w:val="22"/>
        </w:rPr>
        <w:t xml:space="preserve">Telecommunication Standardization Advisory Group (TSAG) </w:t>
      </w:r>
      <w:r w:rsidRPr="00B73030">
        <w:rPr>
          <w:rFonts w:cs="Calibri"/>
          <w:sz w:val="22"/>
          <w:szCs w:val="22"/>
        </w:rPr>
        <w:t xml:space="preserve">at its meeting </w:t>
      </w:r>
      <w:r w:rsidR="007F648C" w:rsidRPr="00B73030">
        <w:rPr>
          <w:rFonts w:cs="Calibri"/>
          <w:sz w:val="22"/>
          <w:szCs w:val="22"/>
        </w:rPr>
        <w:t xml:space="preserve">in Geneva from </w:t>
      </w:r>
      <w:r w:rsidRPr="00B73030">
        <w:rPr>
          <w:rFonts w:cs="Calibri"/>
          <w:sz w:val="22"/>
          <w:szCs w:val="22"/>
        </w:rPr>
        <w:t>1</w:t>
      </w:r>
      <w:r w:rsidR="00042695" w:rsidRPr="00B73030">
        <w:rPr>
          <w:rFonts w:cs="Calibri"/>
          <w:sz w:val="22"/>
          <w:szCs w:val="22"/>
        </w:rPr>
        <w:t>2</w:t>
      </w:r>
      <w:r w:rsidR="00B73030">
        <w:rPr>
          <w:rFonts w:cs="Calibri"/>
          <w:sz w:val="22"/>
          <w:szCs w:val="22"/>
        </w:rPr>
        <w:t xml:space="preserve"> to </w:t>
      </w:r>
      <w:r w:rsidR="00042695" w:rsidRPr="00B73030">
        <w:rPr>
          <w:rFonts w:cs="Calibri"/>
          <w:sz w:val="22"/>
          <w:szCs w:val="22"/>
        </w:rPr>
        <w:t>16</w:t>
      </w:r>
      <w:r w:rsidRPr="00B73030">
        <w:rPr>
          <w:rFonts w:cs="Calibri"/>
          <w:sz w:val="22"/>
          <w:szCs w:val="22"/>
        </w:rPr>
        <w:t xml:space="preserve"> </w:t>
      </w:r>
      <w:r w:rsidR="00042695" w:rsidRPr="00B73030">
        <w:rPr>
          <w:rFonts w:cs="Calibri"/>
          <w:sz w:val="22"/>
          <w:szCs w:val="22"/>
        </w:rPr>
        <w:t>December</w:t>
      </w:r>
      <w:r w:rsidRPr="00B73030">
        <w:rPr>
          <w:rFonts w:cs="Calibri"/>
          <w:sz w:val="22"/>
          <w:szCs w:val="22"/>
        </w:rPr>
        <w:t xml:space="preserve"> 202</w:t>
      </w:r>
      <w:r w:rsidR="00042695" w:rsidRPr="00B73030">
        <w:rPr>
          <w:rFonts w:cs="Calibri"/>
          <w:sz w:val="22"/>
          <w:szCs w:val="22"/>
        </w:rPr>
        <w:t>2</w:t>
      </w:r>
      <w:r w:rsidRPr="00B73030">
        <w:rPr>
          <w:rFonts w:cs="Calibri"/>
          <w:sz w:val="22"/>
          <w:szCs w:val="22"/>
        </w:rPr>
        <w:t xml:space="preserve">, I am pleased to announce the establishment of the new </w:t>
      </w:r>
      <w:hyperlink r:id="rId9" w:history="1">
        <w:r w:rsidR="00042695" w:rsidRPr="004330D3">
          <w:rPr>
            <w:rStyle w:val="Hyperlink"/>
            <w:rFonts w:cs="Calibri"/>
            <w:sz w:val="22"/>
            <w:szCs w:val="22"/>
          </w:rPr>
          <w:t xml:space="preserve">ITU-T Focus Group on </w:t>
        </w:r>
        <w:r w:rsidR="0078517F" w:rsidRPr="00B73030">
          <w:rPr>
            <w:rStyle w:val="Hyperlink"/>
            <w:rFonts w:cs="Calibri"/>
            <w:sz w:val="22"/>
            <w:szCs w:val="22"/>
          </w:rPr>
          <w:t>m</w:t>
        </w:r>
        <w:r w:rsidR="00042695" w:rsidRPr="004330D3">
          <w:rPr>
            <w:rStyle w:val="Hyperlink"/>
            <w:rFonts w:cs="Calibri"/>
            <w:sz w:val="22"/>
            <w:szCs w:val="22"/>
          </w:rPr>
          <w:t>etaverse (FG-MV)</w:t>
        </w:r>
      </w:hyperlink>
      <w:r w:rsidRPr="00BF30CA">
        <w:rPr>
          <w:rFonts w:cs="Calibri"/>
          <w:sz w:val="22"/>
          <w:szCs w:val="22"/>
        </w:rPr>
        <w:t xml:space="preserve">. </w:t>
      </w:r>
    </w:p>
    <w:p w14:paraId="4C435137" w14:textId="3846D2F1" w:rsidR="00E870E2" w:rsidRPr="00B73030" w:rsidRDefault="00E870E2" w:rsidP="00E870E2">
      <w:pPr>
        <w:rPr>
          <w:rFonts w:cs="Calibri"/>
          <w:sz w:val="22"/>
          <w:szCs w:val="22"/>
        </w:rPr>
      </w:pPr>
      <w:r w:rsidRPr="00B73030">
        <w:rPr>
          <w:rFonts w:cs="Calibri"/>
          <w:sz w:val="22"/>
          <w:szCs w:val="22"/>
        </w:rPr>
        <w:t>2</w:t>
      </w:r>
      <w:r w:rsidRPr="00B73030">
        <w:rPr>
          <w:rFonts w:cs="Calibri"/>
          <w:sz w:val="22"/>
          <w:szCs w:val="22"/>
        </w:rPr>
        <w:tab/>
        <w:t xml:space="preserve">Under the chairmanship of </w:t>
      </w:r>
      <w:r w:rsidR="00F1762C" w:rsidRPr="00CE5631">
        <w:rPr>
          <w:rFonts w:cs="Calibri"/>
          <w:sz w:val="22"/>
          <w:szCs w:val="22"/>
        </w:rPr>
        <w:t>Dr Shin-Gak Kang (ETRI, Rep. of Korea)</w:t>
      </w:r>
      <w:r w:rsidRPr="00BF30CA">
        <w:rPr>
          <w:rFonts w:cs="Calibri"/>
          <w:sz w:val="22"/>
          <w:szCs w:val="22"/>
        </w:rPr>
        <w:t>, FG-</w:t>
      </w:r>
      <w:r w:rsidR="00F1762C" w:rsidRPr="00B73030">
        <w:rPr>
          <w:rFonts w:cs="Calibri"/>
          <w:sz w:val="22"/>
          <w:szCs w:val="22"/>
        </w:rPr>
        <w:t>MV</w:t>
      </w:r>
      <w:r w:rsidRPr="00B73030">
        <w:rPr>
          <w:rFonts w:cs="Calibri"/>
          <w:sz w:val="22"/>
          <w:szCs w:val="22"/>
        </w:rPr>
        <w:t xml:space="preserve"> </w:t>
      </w:r>
      <w:r w:rsidR="000939D4" w:rsidRPr="00CE5631">
        <w:rPr>
          <w:rFonts w:cs="Calibri"/>
          <w:sz w:val="22"/>
          <w:szCs w:val="22"/>
        </w:rPr>
        <w:t xml:space="preserve">will </w:t>
      </w:r>
      <w:proofErr w:type="spellStart"/>
      <w:r w:rsidR="0078517F" w:rsidRPr="00CE5631">
        <w:rPr>
          <w:rFonts w:cs="Calibri"/>
          <w:sz w:val="22"/>
          <w:szCs w:val="22"/>
        </w:rPr>
        <w:t>analyze</w:t>
      </w:r>
      <w:proofErr w:type="spellEnd"/>
      <w:r w:rsidR="0078517F" w:rsidRPr="00CE5631">
        <w:rPr>
          <w:rFonts w:cs="Calibri"/>
          <w:sz w:val="22"/>
          <w:szCs w:val="22"/>
        </w:rPr>
        <w:t xml:space="preserve"> </w:t>
      </w:r>
      <w:r w:rsidR="000939D4" w:rsidRPr="00CE5631">
        <w:rPr>
          <w:rFonts w:cs="Calibri"/>
          <w:sz w:val="22"/>
          <w:szCs w:val="22"/>
        </w:rPr>
        <w:t>the technical requirements of the metaverse to identify fundamental enabling technologies in areas from multimedia and network optimization to digital currencies, Internet of Things, digital twins, and environmental sustainability</w:t>
      </w:r>
      <w:r w:rsidRPr="00BF30CA">
        <w:rPr>
          <w:rFonts w:cs="Calibri"/>
          <w:sz w:val="22"/>
          <w:szCs w:val="22"/>
        </w:rPr>
        <w:t>. The FG-</w:t>
      </w:r>
      <w:r w:rsidR="00F1762C" w:rsidRPr="00B73030">
        <w:rPr>
          <w:rFonts w:cs="Calibri"/>
          <w:sz w:val="22"/>
          <w:szCs w:val="22"/>
        </w:rPr>
        <w:t>MV</w:t>
      </w:r>
      <w:r w:rsidRPr="00B73030">
        <w:rPr>
          <w:rFonts w:cs="Calibri"/>
          <w:sz w:val="22"/>
          <w:szCs w:val="22"/>
        </w:rPr>
        <w:t xml:space="preserve"> Management further includes </w:t>
      </w:r>
      <w:r w:rsidR="00F1762C" w:rsidRPr="00CE5631">
        <w:rPr>
          <w:rFonts w:cs="Calibri"/>
          <w:sz w:val="22"/>
          <w:szCs w:val="22"/>
        </w:rPr>
        <w:t xml:space="preserve">Mr Andrey Nunes (Brazil), Dr Hideo </w:t>
      </w:r>
      <w:proofErr w:type="spellStart"/>
      <w:r w:rsidR="00F1762C" w:rsidRPr="00CE5631">
        <w:rPr>
          <w:rFonts w:cs="Calibri"/>
          <w:sz w:val="22"/>
          <w:szCs w:val="22"/>
        </w:rPr>
        <w:t>Imanaka</w:t>
      </w:r>
      <w:proofErr w:type="spellEnd"/>
      <w:r w:rsidR="00F1762C" w:rsidRPr="00CE5631">
        <w:rPr>
          <w:rFonts w:cs="Calibri"/>
          <w:sz w:val="22"/>
          <w:szCs w:val="22"/>
        </w:rPr>
        <w:t xml:space="preserve"> (NICT, Japan), Dr Per </w:t>
      </w:r>
      <w:proofErr w:type="spellStart"/>
      <w:r w:rsidR="00F1762C" w:rsidRPr="00CE5631">
        <w:rPr>
          <w:rFonts w:cs="Calibri"/>
          <w:sz w:val="22"/>
          <w:szCs w:val="22"/>
        </w:rPr>
        <w:t>Fröjdh</w:t>
      </w:r>
      <w:proofErr w:type="spellEnd"/>
      <w:r w:rsidR="00F1762C" w:rsidRPr="00CE5631">
        <w:rPr>
          <w:rFonts w:cs="Calibri"/>
          <w:sz w:val="22"/>
          <w:szCs w:val="22"/>
        </w:rPr>
        <w:t xml:space="preserve"> (Ericsson, Sweden), Dr Shane He (Nokia, Finland), Mr</w:t>
      </w:r>
      <w:r w:rsidR="00EC74F6">
        <w:rPr>
          <w:rFonts w:cs="Calibri"/>
          <w:sz w:val="22"/>
          <w:szCs w:val="22"/>
        </w:rPr>
        <w:t xml:space="preserve"> </w:t>
      </w:r>
      <w:r w:rsidR="00F1762C" w:rsidRPr="00CE5631">
        <w:rPr>
          <w:rFonts w:cs="Calibri"/>
          <w:sz w:val="22"/>
          <w:szCs w:val="22"/>
        </w:rPr>
        <w:t>Vincent Affleck (United Kingdom) and Mr</w:t>
      </w:r>
      <w:r w:rsidR="00EC74F6">
        <w:rPr>
          <w:rFonts w:cs="Calibri"/>
          <w:sz w:val="22"/>
          <w:szCs w:val="22"/>
        </w:rPr>
        <w:t> </w:t>
      </w:r>
      <w:proofErr w:type="spellStart"/>
      <w:r w:rsidR="00F1762C" w:rsidRPr="00CE5631">
        <w:rPr>
          <w:rFonts w:cs="Calibri"/>
          <w:sz w:val="22"/>
          <w:szCs w:val="22"/>
        </w:rPr>
        <w:t>Yuntao</w:t>
      </w:r>
      <w:proofErr w:type="spellEnd"/>
      <w:r w:rsidR="00F1762C" w:rsidRPr="00CE5631">
        <w:rPr>
          <w:rFonts w:cs="Calibri"/>
          <w:sz w:val="22"/>
          <w:szCs w:val="22"/>
        </w:rPr>
        <w:t xml:space="preserve"> Wang (China)</w:t>
      </w:r>
      <w:r w:rsidRPr="00BF30CA">
        <w:rPr>
          <w:rFonts w:cs="Calibri"/>
          <w:sz w:val="22"/>
          <w:szCs w:val="22"/>
        </w:rPr>
        <w:t xml:space="preserve"> as Vice-Chairmen.</w:t>
      </w:r>
    </w:p>
    <w:p w14:paraId="4D8F796E" w14:textId="4F31A758" w:rsidR="00E870E2" w:rsidRPr="00B73030" w:rsidRDefault="00E870E2" w:rsidP="00E870E2">
      <w:pPr>
        <w:rPr>
          <w:rFonts w:cs="Calibri"/>
          <w:sz w:val="22"/>
          <w:szCs w:val="22"/>
        </w:rPr>
      </w:pPr>
      <w:r w:rsidRPr="00B73030">
        <w:rPr>
          <w:rFonts w:cs="Calibri"/>
          <w:sz w:val="22"/>
          <w:szCs w:val="22"/>
        </w:rPr>
        <w:t>3</w:t>
      </w:r>
      <w:r w:rsidRPr="00B73030">
        <w:rPr>
          <w:rFonts w:cs="Calibri"/>
          <w:sz w:val="22"/>
          <w:szCs w:val="22"/>
        </w:rPr>
        <w:tab/>
        <w:t>Participation in FG-</w:t>
      </w:r>
      <w:r w:rsidR="00C277F1" w:rsidRPr="00B73030">
        <w:rPr>
          <w:rFonts w:cs="Calibri"/>
          <w:sz w:val="22"/>
          <w:szCs w:val="22"/>
        </w:rPr>
        <w:t>MV</w:t>
      </w:r>
      <w:r w:rsidRPr="00B73030">
        <w:rPr>
          <w:rFonts w:cs="Calibri"/>
          <w:sz w:val="22"/>
          <w:szCs w:val="22"/>
        </w:rPr>
        <w:t xml:space="preserve"> is free of charge and open to individual experts and organizations from all sectors and relevant disciplines. Anyone interested in following or participating in this work is invited to subscribe to a dedicated mailing-list; details on how to subscribe can be found at: </w:t>
      </w:r>
      <w:hyperlink r:id="rId10" w:history="1">
        <w:r w:rsidR="00343697" w:rsidRPr="00B73030">
          <w:rPr>
            <w:rStyle w:val="Hyperlink"/>
            <w:rFonts w:cs="Calibri"/>
            <w:sz w:val="22"/>
            <w:szCs w:val="22"/>
          </w:rPr>
          <w:t>https://www.itu.int/en/ITU-T/focusgroups/mv/Pages/re</w:t>
        </w:r>
        <w:r w:rsidR="00343697" w:rsidRPr="00BF30CA">
          <w:rPr>
            <w:rStyle w:val="Hyperlink"/>
            <w:rFonts w:cs="Calibri"/>
            <w:sz w:val="22"/>
            <w:szCs w:val="22"/>
          </w:rPr>
          <w:t>g.aspx</w:t>
        </w:r>
      </w:hyperlink>
      <w:r w:rsidR="00343697" w:rsidRPr="00BF30CA">
        <w:rPr>
          <w:rFonts w:cs="Calibri"/>
          <w:sz w:val="22"/>
          <w:szCs w:val="22"/>
        </w:rPr>
        <w:t xml:space="preserve">. </w:t>
      </w:r>
    </w:p>
    <w:p w14:paraId="1432519F" w14:textId="1B895E56" w:rsidR="00E870E2" w:rsidRPr="00B73030" w:rsidRDefault="00E870E2" w:rsidP="00E870E2">
      <w:pPr>
        <w:rPr>
          <w:rFonts w:cs="Calibri"/>
          <w:sz w:val="22"/>
          <w:szCs w:val="22"/>
        </w:rPr>
      </w:pPr>
      <w:r w:rsidRPr="00B73030">
        <w:rPr>
          <w:rFonts w:cs="Calibri"/>
          <w:sz w:val="22"/>
          <w:szCs w:val="22"/>
        </w:rPr>
        <w:t>4</w:t>
      </w:r>
      <w:r w:rsidRPr="00B73030">
        <w:rPr>
          <w:rFonts w:cs="Calibri"/>
          <w:sz w:val="22"/>
          <w:szCs w:val="22"/>
        </w:rPr>
        <w:tab/>
        <w:t xml:space="preserve">The group will operate under the procedures set out in </w:t>
      </w:r>
      <w:hyperlink r:id="rId11" w:history="1">
        <w:r w:rsidRPr="00B73030">
          <w:rPr>
            <w:rStyle w:val="Hyperlink"/>
            <w:rFonts w:cs="Calibri"/>
            <w:sz w:val="22"/>
            <w:szCs w:val="22"/>
          </w:rPr>
          <w:t>Recommendation ITU-T A.7</w:t>
        </w:r>
      </w:hyperlink>
      <w:r w:rsidRPr="00BF30CA">
        <w:rPr>
          <w:rFonts w:cs="Calibri"/>
          <w:sz w:val="22"/>
          <w:szCs w:val="22"/>
        </w:rPr>
        <w:t xml:space="preserve"> and within the agreed terms of reference reproduced in </w:t>
      </w:r>
      <w:r w:rsidRPr="00B73030">
        <w:rPr>
          <w:rFonts w:cs="Calibri"/>
          <w:b/>
          <w:bCs/>
          <w:sz w:val="22"/>
          <w:szCs w:val="22"/>
        </w:rPr>
        <w:t>Annex 1</w:t>
      </w:r>
      <w:r w:rsidRPr="00B73030">
        <w:rPr>
          <w:rFonts w:cs="Calibri"/>
          <w:sz w:val="22"/>
          <w:szCs w:val="22"/>
        </w:rPr>
        <w:t xml:space="preserve">. </w:t>
      </w:r>
      <w:r w:rsidR="00343697" w:rsidRPr="00B73030">
        <w:rPr>
          <w:rFonts w:cs="Calibri"/>
          <w:sz w:val="22"/>
          <w:szCs w:val="22"/>
        </w:rPr>
        <w:t>The Focus Group lifetime is set for one year from the first meeting with possibility of extension.</w:t>
      </w:r>
    </w:p>
    <w:p w14:paraId="21F2E22F" w14:textId="30F96ACC" w:rsidR="009749CC" w:rsidRPr="00B73030" w:rsidRDefault="00E870E2" w:rsidP="00E870E2">
      <w:pPr>
        <w:rPr>
          <w:rFonts w:cs="Calibri"/>
          <w:sz w:val="22"/>
          <w:szCs w:val="22"/>
        </w:rPr>
      </w:pPr>
      <w:r w:rsidRPr="00B73030">
        <w:rPr>
          <w:rFonts w:cs="Calibri"/>
          <w:sz w:val="22"/>
          <w:szCs w:val="22"/>
        </w:rPr>
        <w:t>5</w:t>
      </w:r>
      <w:r w:rsidRPr="00B73030">
        <w:rPr>
          <w:rFonts w:cs="Calibri"/>
          <w:sz w:val="22"/>
          <w:szCs w:val="22"/>
        </w:rPr>
        <w:tab/>
        <w:t>The first meeting of FG-</w:t>
      </w:r>
      <w:r w:rsidR="002E6544" w:rsidRPr="00B73030">
        <w:rPr>
          <w:rFonts w:cs="Calibri"/>
          <w:sz w:val="22"/>
          <w:szCs w:val="22"/>
        </w:rPr>
        <w:t>MV</w:t>
      </w:r>
      <w:r w:rsidRPr="00B73030">
        <w:rPr>
          <w:rFonts w:cs="Calibri"/>
          <w:sz w:val="22"/>
          <w:szCs w:val="22"/>
        </w:rPr>
        <w:t xml:space="preserve"> will be held </w:t>
      </w:r>
      <w:r w:rsidR="006C09B9" w:rsidRPr="00B73030">
        <w:rPr>
          <w:rFonts w:cs="Calibri"/>
          <w:sz w:val="22"/>
          <w:szCs w:val="22"/>
        </w:rPr>
        <w:t xml:space="preserve">in </w:t>
      </w:r>
      <w:r w:rsidR="00343697" w:rsidRPr="00B73030">
        <w:rPr>
          <w:rFonts w:cs="Calibri"/>
          <w:sz w:val="22"/>
          <w:szCs w:val="22"/>
        </w:rPr>
        <w:t xml:space="preserve">Riyadh, </w:t>
      </w:r>
      <w:r w:rsidR="006C09B9" w:rsidRPr="00B73030">
        <w:rPr>
          <w:rFonts w:cs="Calibri"/>
          <w:sz w:val="22"/>
          <w:szCs w:val="22"/>
        </w:rPr>
        <w:t>on 8</w:t>
      </w:r>
      <w:r w:rsidR="00BF30CA">
        <w:rPr>
          <w:rFonts w:cs="Calibri"/>
          <w:sz w:val="22"/>
          <w:szCs w:val="22"/>
        </w:rPr>
        <w:t xml:space="preserve"> to </w:t>
      </w:r>
      <w:r w:rsidR="00343697" w:rsidRPr="00B73030">
        <w:rPr>
          <w:rFonts w:cs="Calibri"/>
          <w:sz w:val="22"/>
          <w:szCs w:val="22"/>
        </w:rPr>
        <w:t>9</w:t>
      </w:r>
      <w:r w:rsidRPr="00B73030">
        <w:rPr>
          <w:rFonts w:cs="Calibri"/>
          <w:sz w:val="22"/>
          <w:szCs w:val="22"/>
        </w:rPr>
        <w:t xml:space="preserve"> March 202</w:t>
      </w:r>
      <w:r w:rsidR="00BA1798" w:rsidRPr="00B73030">
        <w:rPr>
          <w:rFonts w:cs="Calibri"/>
          <w:sz w:val="22"/>
          <w:szCs w:val="22"/>
        </w:rPr>
        <w:t>3</w:t>
      </w:r>
      <w:r w:rsidR="009749CC" w:rsidRPr="00B73030">
        <w:rPr>
          <w:rFonts w:cs="Calibri"/>
          <w:sz w:val="22"/>
          <w:szCs w:val="22"/>
        </w:rPr>
        <w:t xml:space="preserve">, kindly hosted by the National Cybersecurity Authority (NCA), </w:t>
      </w:r>
      <w:r w:rsidR="00EC74F6">
        <w:rPr>
          <w:rFonts w:cs="Calibri"/>
          <w:sz w:val="22"/>
          <w:szCs w:val="22"/>
        </w:rPr>
        <w:t xml:space="preserve">the Kingdom of </w:t>
      </w:r>
      <w:r w:rsidR="00BA1798" w:rsidRPr="00B73030">
        <w:rPr>
          <w:rFonts w:cs="Calibri"/>
          <w:sz w:val="22"/>
          <w:szCs w:val="22"/>
        </w:rPr>
        <w:t>Saudi Arabia</w:t>
      </w:r>
      <w:r w:rsidRPr="00B73030">
        <w:rPr>
          <w:rFonts w:cs="Calibri"/>
          <w:sz w:val="22"/>
          <w:szCs w:val="22"/>
        </w:rPr>
        <w:t xml:space="preserve">. </w:t>
      </w:r>
    </w:p>
    <w:p w14:paraId="69720060" w14:textId="4AE3D86E" w:rsidR="00E870E2" w:rsidRPr="00B73030" w:rsidRDefault="00E870E2" w:rsidP="00E870E2">
      <w:pPr>
        <w:rPr>
          <w:rFonts w:cs="Calibri"/>
          <w:sz w:val="22"/>
          <w:szCs w:val="22"/>
        </w:rPr>
      </w:pPr>
      <w:r w:rsidRPr="00B73030">
        <w:rPr>
          <w:rFonts w:cs="Calibri"/>
          <w:sz w:val="22"/>
          <w:szCs w:val="22"/>
        </w:rPr>
        <w:t>The objectives of the first meeting include:</w:t>
      </w:r>
    </w:p>
    <w:p w14:paraId="558544E1" w14:textId="28CD30E7" w:rsidR="00E870E2" w:rsidRPr="00CE5631" w:rsidRDefault="00CA7813" w:rsidP="00D95921">
      <w:pPr>
        <w:pStyle w:val="ListParagraph"/>
        <w:numPr>
          <w:ilvl w:val="0"/>
          <w:numId w:val="32"/>
        </w:numPr>
        <w:ind w:leftChars="0"/>
        <w:rPr>
          <w:rFonts w:ascii="Calibri" w:hAnsi="Calibri" w:cs="Calibri"/>
          <w:sz w:val="22"/>
          <w:szCs w:val="22"/>
        </w:rPr>
      </w:pPr>
      <w:r w:rsidRPr="00CE5631">
        <w:rPr>
          <w:rFonts w:ascii="Calibri" w:hAnsi="Calibri" w:cs="Calibri"/>
          <w:sz w:val="22"/>
          <w:szCs w:val="22"/>
        </w:rPr>
        <w:t>creation of working groups</w:t>
      </w:r>
      <w:r w:rsidR="00315BC8" w:rsidRPr="00CE5631">
        <w:rPr>
          <w:rFonts w:ascii="Calibri" w:hAnsi="Calibri" w:cs="Calibri"/>
          <w:sz w:val="22"/>
          <w:szCs w:val="22"/>
        </w:rPr>
        <w:t xml:space="preserve"> (WG</w:t>
      </w:r>
      <w:r w:rsidR="0012746A" w:rsidRPr="00CE5631">
        <w:rPr>
          <w:rFonts w:ascii="Calibri" w:hAnsi="Calibri" w:cs="Calibri"/>
          <w:sz w:val="22"/>
          <w:szCs w:val="22"/>
        </w:rPr>
        <w:t>s</w:t>
      </w:r>
      <w:r w:rsidR="00315BC8" w:rsidRPr="00CE5631">
        <w:rPr>
          <w:rFonts w:ascii="Calibri" w:hAnsi="Calibri" w:cs="Calibri"/>
          <w:sz w:val="22"/>
          <w:szCs w:val="22"/>
        </w:rPr>
        <w:t xml:space="preserve">) and appointment of WGs </w:t>
      </w:r>
      <w:proofErr w:type="gramStart"/>
      <w:r w:rsidR="00315BC8" w:rsidRPr="00CE5631">
        <w:rPr>
          <w:rFonts w:ascii="Calibri" w:hAnsi="Calibri" w:cs="Calibri"/>
          <w:sz w:val="22"/>
          <w:szCs w:val="22"/>
        </w:rPr>
        <w:t>Chairmen</w:t>
      </w:r>
      <w:r w:rsidR="00E870E2" w:rsidRPr="00CE5631">
        <w:rPr>
          <w:rFonts w:ascii="Calibri" w:hAnsi="Calibri" w:cs="Calibri"/>
          <w:sz w:val="22"/>
          <w:szCs w:val="22"/>
        </w:rPr>
        <w:t>;</w:t>
      </w:r>
      <w:proofErr w:type="gramEnd"/>
    </w:p>
    <w:p w14:paraId="13338F60" w14:textId="08D66912" w:rsidR="00E01F0F" w:rsidRPr="00CE5631" w:rsidRDefault="00E01F0F" w:rsidP="00D95921">
      <w:pPr>
        <w:pStyle w:val="ListParagraph"/>
        <w:numPr>
          <w:ilvl w:val="0"/>
          <w:numId w:val="32"/>
        </w:numPr>
        <w:ind w:leftChars="0"/>
        <w:rPr>
          <w:rFonts w:ascii="Calibri" w:hAnsi="Calibri" w:cs="Calibri"/>
          <w:sz w:val="22"/>
          <w:szCs w:val="22"/>
        </w:rPr>
      </w:pPr>
      <w:r w:rsidRPr="00CE5631">
        <w:rPr>
          <w:rFonts w:ascii="Calibri" w:hAnsi="Calibri" w:cs="Calibri"/>
          <w:sz w:val="22"/>
          <w:szCs w:val="22"/>
        </w:rPr>
        <w:t xml:space="preserve">agreement </w:t>
      </w:r>
      <w:r w:rsidR="000B2E87" w:rsidRPr="00CE5631">
        <w:rPr>
          <w:rFonts w:ascii="Calibri" w:hAnsi="Calibri" w:cs="Calibri"/>
          <w:sz w:val="22"/>
          <w:szCs w:val="22"/>
        </w:rPr>
        <w:t xml:space="preserve">on </w:t>
      </w:r>
      <w:proofErr w:type="gramStart"/>
      <w:r w:rsidR="000B2E87" w:rsidRPr="00CE5631">
        <w:rPr>
          <w:rFonts w:ascii="Calibri" w:hAnsi="Calibri" w:cs="Calibri"/>
          <w:sz w:val="22"/>
          <w:szCs w:val="22"/>
        </w:rPr>
        <w:t>a</w:t>
      </w:r>
      <w:proofErr w:type="gramEnd"/>
      <w:r w:rsidR="000B2E87" w:rsidRPr="00CE5631">
        <w:rPr>
          <w:rFonts w:ascii="Calibri" w:hAnsi="Calibri" w:cs="Calibri"/>
          <w:sz w:val="22"/>
          <w:szCs w:val="22"/>
        </w:rPr>
        <w:t xml:space="preserve"> FG-MV roadmap of expected deliverables, timelines, and editors</w:t>
      </w:r>
      <w:r w:rsidR="00EC74F6">
        <w:rPr>
          <w:rFonts w:ascii="Calibri" w:hAnsi="Calibri" w:cs="Calibri"/>
          <w:sz w:val="22"/>
          <w:szCs w:val="22"/>
        </w:rPr>
        <w:t>,</w:t>
      </w:r>
      <w:r w:rsidR="000B2E87" w:rsidRPr="00CE5631">
        <w:rPr>
          <w:rFonts w:ascii="Calibri" w:hAnsi="Calibri" w:cs="Calibri"/>
          <w:sz w:val="22"/>
          <w:szCs w:val="22"/>
        </w:rPr>
        <w:t xml:space="preserve"> and assignment of responsibilities to the various WGs;</w:t>
      </w:r>
    </w:p>
    <w:p w14:paraId="74B05C0E" w14:textId="1FFB3389" w:rsidR="00E870E2" w:rsidRPr="00CE5631" w:rsidRDefault="00E870E2" w:rsidP="00D95921">
      <w:pPr>
        <w:pStyle w:val="ListParagraph"/>
        <w:numPr>
          <w:ilvl w:val="0"/>
          <w:numId w:val="32"/>
        </w:numPr>
        <w:ind w:leftChars="0"/>
        <w:rPr>
          <w:rFonts w:ascii="Calibri" w:hAnsi="Calibri" w:cs="Calibri"/>
          <w:sz w:val="22"/>
          <w:szCs w:val="22"/>
        </w:rPr>
      </w:pPr>
      <w:r w:rsidRPr="00CE5631">
        <w:rPr>
          <w:rFonts w:ascii="Calibri" w:hAnsi="Calibri" w:cs="Calibri"/>
          <w:sz w:val="22"/>
          <w:szCs w:val="22"/>
        </w:rPr>
        <w:t>agreement on FG-</w:t>
      </w:r>
      <w:r w:rsidR="002E6544" w:rsidRPr="00CE5631">
        <w:rPr>
          <w:rFonts w:ascii="Calibri" w:hAnsi="Calibri" w:cs="Calibri"/>
          <w:sz w:val="22"/>
          <w:szCs w:val="22"/>
        </w:rPr>
        <w:t>MV</w:t>
      </w:r>
      <w:r w:rsidRPr="00CE5631">
        <w:rPr>
          <w:rFonts w:ascii="Calibri" w:hAnsi="Calibri" w:cs="Calibri"/>
          <w:sz w:val="22"/>
          <w:szCs w:val="22"/>
        </w:rPr>
        <w:t xml:space="preserve"> working methods, using ITU-T A.7 as a base;</w:t>
      </w:r>
    </w:p>
    <w:p w14:paraId="1F89896E" w14:textId="02F4C5D9" w:rsidR="00E870E2" w:rsidRPr="00CE5631" w:rsidRDefault="00E870E2" w:rsidP="00D95921">
      <w:pPr>
        <w:pStyle w:val="ListParagraph"/>
        <w:numPr>
          <w:ilvl w:val="0"/>
          <w:numId w:val="32"/>
        </w:numPr>
        <w:ind w:leftChars="0"/>
        <w:rPr>
          <w:rFonts w:ascii="Calibri" w:hAnsi="Calibri" w:cs="Calibri"/>
          <w:sz w:val="22"/>
          <w:szCs w:val="22"/>
        </w:rPr>
      </w:pPr>
      <w:r w:rsidRPr="00CE5631">
        <w:rPr>
          <w:rFonts w:ascii="Calibri" w:hAnsi="Calibri" w:cs="Calibri"/>
          <w:sz w:val="22"/>
          <w:szCs w:val="22"/>
        </w:rPr>
        <w:t>agreement on FG-</w:t>
      </w:r>
      <w:r w:rsidR="002E6544" w:rsidRPr="00CE5631">
        <w:rPr>
          <w:rFonts w:ascii="Calibri" w:hAnsi="Calibri" w:cs="Calibri"/>
          <w:sz w:val="22"/>
          <w:szCs w:val="22"/>
        </w:rPr>
        <w:t>MV</w:t>
      </w:r>
      <w:r w:rsidRPr="00CE5631">
        <w:rPr>
          <w:rFonts w:ascii="Calibri" w:hAnsi="Calibri" w:cs="Calibri"/>
          <w:sz w:val="22"/>
          <w:szCs w:val="22"/>
        </w:rPr>
        <w:t xml:space="preserve"> future meeting </w:t>
      </w:r>
      <w:r w:rsidR="004C6429" w:rsidRPr="00CE5631">
        <w:rPr>
          <w:rFonts w:ascii="Calibri" w:hAnsi="Calibri" w:cs="Calibri"/>
          <w:sz w:val="22"/>
          <w:szCs w:val="22"/>
        </w:rPr>
        <w:t>plans</w:t>
      </w:r>
      <w:r w:rsidRPr="00CE5631">
        <w:rPr>
          <w:rFonts w:ascii="Calibri" w:hAnsi="Calibri" w:cs="Calibri"/>
          <w:sz w:val="22"/>
          <w:szCs w:val="22"/>
        </w:rPr>
        <w:t>, including frequency of meetings;</w:t>
      </w:r>
    </w:p>
    <w:p w14:paraId="4DC4DF01" w14:textId="0356B65B" w:rsidR="00E870E2" w:rsidRPr="00CE5631" w:rsidRDefault="00E870E2" w:rsidP="00D95921">
      <w:pPr>
        <w:pStyle w:val="ListParagraph"/>
        <w:numPr>
          <w:ilvl w:val="0"/>
          <w:numId w:val="32"/>
        </w:numPr>
        <w:ind w:leftChars="0"/>
        <w:rPr>
          <w:rFonts w:ascii="Calibri" w:hAnsi="Calibri" w:cs="Calibri"/>
          <w:sz w:val="22"/>
          <w:szCs w:val="22"/>
        </w:rPr>
      </w:pPr>
      <w:r w:rsidRPr="00CE5631">
        <w:rPr>
          <w:rFonts w:ascii="Calibri" w:hAnsi="Calibri" w:cs="Calibri"/>
          <w:sz w:val="22"/>
          <w:szCs w:val="22"/>
        </w:rPr>
        <w:t>discussion and presentation of written contributions including incoming use-cases</w:t>
      </w:r>
      <w:r w:rsidR="00AF5F88" w:rsidRPr="00CE5631">
        <w:rPr>
          <w:rFonts w:ascii="Calibri" w:hAnsi="Calibri" w:cs="Calibri"/>
          <w:sz w:val="22"/>
          <w:szCs w:val="22"/>
        </w:rPr>
        <w:t>.</w:t>
      </w:r>
    </w:p>
    <w:p w14:paraId="14AC1770" w14:textId="7FBEA61E" w:rsidR="00E870E2" w:rsidRPr="00B73030" w:rsidRDefault="00E870E2" w:rsidP="00E870E2">
      <w:pPr>
        <w:pStyle w:val="enumlev1"/>
        <w:ind w:left="0" w:firstLine="0"/>
        <w:rPr>
          <w:rFonts w:cs="Calibri"/>
          <w:sz w:val="22"/>
          <w:szCs w:val="22"/>
        </w:rPr>
      </w:pPr>
      <w:r w:rsidRPr="00BF30CA">
        <w:rPr>
          <w:rFonts w:cs="Calibri"/>
          <w:sz w:val="22"/>
          <w:szCs w:val="22"/>
        </w:rPr>
        <w:lastRenderedPageBreak/>
        <w:t xml:space="preserve">The first meeting will be preceded by the </w:t>
      </w:r>
      <w:hyperlink r:id="rId12" w:history="1">
        <w:r w:rsidR="007D2694" w:rsidRPr="00D52252">
          <w:rPr>
            <w:rStyle w:val="Hyperlink"/>
            <w:sz w:val="22"/>
            <w:szCs w:val="22"/>
          </w:rPr>
          <w:t xml:space="preserve">1st ITU </w:t>
        </w:r>
        <w:r w:rsidR="00532365" w:rsidRPr="00D52252">
          <w:rPr>
            <w:rStyle w:val="Hyperlink"/>
            <w:sz w:val="22"/>
            <w:szCs w:val="22"/>
          </w:rPr>
          <w:t>Forum</w:t>
        </w:r>
        <w:r w:rsidRPr="00D52252">
          <w:rPr>
            <w:rStyle w:val="Hyperlink"/>
            <w:sz w:val="22"/>
            <w:szCs w:val="22"/>
          </w:rPr>
          <w:t xml:space="preserve"> on </w:t>
        </w:r>
        <w:r w:rsidR="0060352E" w:rsidRPr="00D52252">
          <w:rPr>
            <w:rStyle w:val="Hyperlink"/>
            <w:sz w:val="22"/>
            <w:szCs w:val="22"/>
          </w:rPr>
          <w:t>Embracing the m</w:t>
        </w:r>
        <w:r w:rsidR="00532365" w:rsidRPr="00D52252">
          <w:rPr>
            <w:rStyle w:val="Hyperlink"/>
            <w:sz w:val="22"/>
            <w:szCs w:val="22"/>
          </w:rPr>
          <w:t>etaverse</w:t>
        </w:r>
      </w:hyperlink>
      <w:r w:rsidRPr="00BF30CA">
        <w:rPr>
          <w:rFonts w:cs="Calibri"/>
          <w:sz w:val="22"/>
          <w:szCs w:val="22"/>
        </w:rPr>
        <w:t xml:space="preserve">, </w:t>
      </w:r>
      <w:r w:rsidR="007D2694" w:rsidRPr="00B73030">
        <w:rPr>
          <w:rFonts w:cs="Calibri"/>
          <w:sz w:val="22"/>
          <w:szCs w:val="22"/>
        </w:rPr>
        <w:t>which</w:t>
      </w:r>
      <w:r w:rsidR="00897C26" w:rsidRPr="00B73030">
        <w:rPr>
          <w:rFonts w:cs="Calibri"/>
          <w:sz w:val="22"/>
          <w:szCs w:val="22"/>
        </w:rPr>
        <w:t xml:space="preserve"> will be held on </w:t>
      </w:r>
      <w:r w:rsidR="00532365" w:rsidRPr="00B73030">
        <w:rPr>
          <w:rFonts w:cs="Calibri"/>
          <w:sz w:val="22"/>
          <w:szCs w:val="22"/>
        </w:rPr>
        <w:t>7</w:t>
      </w:r>
      <w:r w:rsidRPr="00B73030">
        <w:rPr>
          <w:rFonts w:cs="Calibri"/>
          <w:sz w:val="22"/>
          <w:szCs w:val="22"/>
        </w:rPr>
        <w:t xml:space="preserve"> March 202</w:t>
      </w:r>
      <w:r w:rsidR="00532365" w:rsidRPr="00B73030">
        <w:rPr>
          <w:rFonts w:cs="Calibri"/>
          <w:sz w:val="22"/>
          <w:szCs w:val="22"/>
        </w:rPr>
        <w:t>3</w:t>
      </w:r>
      <w:r w:rsidRPr="00B73030">
        <w:rPr>
          <w:rFonts w:cs="Calibri"/>
          <w:sz w:val="22"/>
          <w:szCs w:val="22"/>
        </w:rPr>
        <w:t xml:space="preserve">, </w:t>
      </w:r>
      <w:r w:rsidR="00532365" w:rsidRPr="00B73030">
        <w:rPr>
          <w:rFonts w:cs="Calibri"/>
          <w:sz w:val="22"/>
          <w:szCs w:val="22"/>
        </w:rPr>
        <w:t>at the same venue</w:t>
      </w:r>
      <w:r w:rsidRPr="00B73030">
        <w:rPr>
          <w:rFonts w:cs="Calibri"/>
          <w:sz w:val="22"/>
          <w:szCs w:val="22"/>
        </w:rPr>
        <w:t>.</w:t>
      </w:r>
    </w:p>
    <w:p w14:paraId="290BD0A5" w14:textId="029BB5BF" w:rsidR="00E870E2" w:rsidRPr="00B73030" w:rsidRDefault="00E870E2" w:rsidP="00E870E2">
      <w:pPr>
        <w:rPr>
          <w:rFonts w:cs="Calibri"/>
          <w:sz w:val="22"/>
          <w:szCs w:val="22"/>
        </w:rPr>
      </w:pPr>
      <w:r w:rsidRPr="00B73030">
        <w:rPr>
          <w:rFonts w:cs="Calibri"/>
          <w:sz w:val="22"/>
          <w:szCs w:val="22"/>
        </w:rPr>
        <w:t>6</w:t>
      </w:r>
      <w:r w:rsidRPr="00B73030">
        <w:rPr>
          <w:rFonts w:cs="Calibri"/>
          <w:sz w:val="22"/>
          <w:szCs w:val="22"/>
        </w:rPr>
        <w:tab/>
        <w:t xml:space="preserve">Written contributions pertinent for the eventual success of the </w:t>
      </w:r>
      <w:r w:rsidR="00EC74F6">
        <w:rPr>
          <w:rFonts w:cs="Calibri"/>
          <w:sz w:val="22"/>
          <w:szCs w:val="22"/>
        </w:rPr>
        <w:t>F</w:t>
      </w:r>
      <w:r w:rsidRPr="00B73030">
        <w:rPr>
          <w:rFonts w:cs="Calibri"/>
          <w:sz w:val="22"/>
          <w:szCs w:val="22"/>
        </w:rPr>
        <w:t xml:space="preserve">ocus </w:t>
      </w:r>
      <w:r w:rsidR="00EC74F6">
        <w:rPr>
          <w:rFonts w:cs="Calibri"/>
          <w:sz w:val="22"/>
          <w:szCs w:val="22"/>
        </w:rPr>
        <w:t>G</w:t>
      </w:r>
      <w:r w:rsidR="0009680B" w:rsidRPr="00B73030">
        <w:rPr>
          <w:rFonts w:cs="Calibri"/>
          <w:sz w:val="22"/>
          <w:szCs w:val="22"/>
        </w:rPr>
        <w:t xml:space="preserve">roup and in line with the terms of reference set out in </w:t>
      </w:r>
      <w:r w:rsidR="0009680B" w:rsidRPr="00B73030">
        <w:rPr>
          <w:rFonts w:cs="Calibri"/>
          <w:b/>
          <w:bCs/>
          <w:sz w:val="22"/>
          <w:szCs w:val="22"/>
        </w:rPr>
        <w:t>Annex 1</w:t>
      </w:r>
      <w:r w:rsidR="0009680B" w:rsidRPr="00B73030">
        <w:rPr>
          <w:rFonts w:cs="Calibri"/>
          <w:sz w:val="22"/>
          <w:szCs w:val="22"/>
        </w:rPr>
        <w:t xml:space="preserve"> </w:t>
      </w:r>
      <w:r w:rsidRPr="00B73030">
        <w:rPr>
          <w:rFonts w:cs="Calibri"/>
          <w:sz w:val="22"/>
          <w:szCs w:val="22"/>
        </w:rPr>
        <w:t>are strongly encouraged</w:t>
      </w:r>
      <w:r w:rsidRPr="00B73030">
        <w:rPr>
          <w:rFonts w:cs="Calibri"/>
          <w:b/>
          <w:bCs/>
          <w:sz w:val="22"/>
          <w:szCs w:val="22"/>
        </w:rPr>
        <w:t xml:space="preserve"> </w:t>
      </w:r>
      <w:r w:rsidRPr="00B73030">
        <w:rPr>
          <w:rFonts w:cs="Calibri"/>
          <w:sz w:val="22"/>
          <w:szCs w:val="22"/>
        </w:rPr>
        <w:t>to address the objectives highlighted above to foster an initial development plan of deliverables. Written contributions should be submitted to the TSB Secretariat (</w:t>
      </w:r>
      <w:hyperlink r:id="rId13" w:history="1">
        <w:r w:rsidR="00AD413B" w:rsidRPr="00B73030">
          <w:rPr>
            <w:rStyle w:val="Hyperlink"/>
            <w:rFonts w:cs="Calibri"/>
            <w:sz w:val="22"/>
            <w:szCs w:val="22"/>
          </w:rPr>
          <w:t>tsbfgmv@itu.int</w:t>
        </w:r>
      </w:hyperlink>
      <w:r w:rsidRPr="00BF30CA">
        <w:rPr>
          <w:rFonts w:cs="Calibri"/>
          <w:sz w:val="22"/>
          <w:szCs w:val="22"/>
        </w:rPr>
        <w:t xml:space="preserve">) in electronic format using the templates available from the </w:t>
      </w:r>
      <w:hyperlink r:id="rId14" w:history="1">
        <w:r w:rsidR="00E72571" w:rsidRPr="00B73030">
          <w:rPr>
            <w:rStyle w:val="Hyperlink"/>
            <w:rFonts w:cs="Calibri"/>
            <w:sz w:val="22"/>
            <w:szCs w:val="22"/>
          </w:rPr>
          <w:t>FG-MV homepage</w:t>
        </w:r>
      </w:hyperlink>
      <w:r w:rsidRPr="00BF30CA">
        <w:rPr>
          <w:rFonts w:cs="Calibri"/>
          <w:sz w:val="22"/>
          <w:szCs w:val="22"/>
        </w:rPr>
        <w:t xml:space="preserve">. </w:t>
      </w:r>
      <w:r w:rsidRPr="00B73030">
        <w:rPr>
          <w:rFonts w:cs="Calibri"/>
          <w:b/>
          <w:bCs/>
          <w:sz w:val="22"/>
          <w:szCs w:val="22"/>
        </w:rPr>
        <w:t xml:space="preserve">The contribution deadline for the first meeting is </w:t>
      </w:r>
      <w:r w:rsidR="00C64069" w:rsidRPr="00D52252">
        <w:rPr>
          <w:rFonts w:cs="Calibri"/>
          <w:b/>
          <w:bCs/>
          <w:sz w:val="22"/>
          <w:szCs w:val="22"/>
        </w:rPr>
        <w:t>2</w:t>
      </w:r>
      <w:r w:rsidR="0018348D" w:rsidRPr="00D52252">
        <w:rPr>
          <w:rFonts w:cs="Calibri"/>
          <w:b/>
          <w:bCs/>
          <w:sz w:val="22"/>
          <w:szCs w:val="22"/>
        </w:rPr>
        <w:t>4</w:t>
      </w:r>
      <w:r w:rsidRPr="00D52252">
        <w:rPr>
          <w:rFonts w:cs="Calibri"/>
          <w:b/>
          <w:bCs/>
          <w:sz w:val="22"/>
          <w:szCs w:val="22"/>
        </w:rPr>
        <w:t xml:space="preserve"> </w:t>
      </w:r>
      <w:r w:rsidR="0040270C" w:rsidRPr="00D52252">
        <w:rPr>
          <w:rFonts w:cs="Calibri"/>
          <w:b/>
          <w:bCs/>
          <w:sz w:val="22"/>
          <w:szCs w:val="22"/>
        </w:rPr>
        <w:t>February</w:t>
      </w:r>
      <w:r w:rsidRPr="00D52252">
        <w:rPr>
          <w:rFonts w:cs="Calibri"/>
          <w:b/>
          <w:bCs/>
          <w:sz w:val="22"/>
          <w:szCs w:val="22"/>
        </w:rPr>
        <w:t xml:space="preserve"> 202</w:t>
      </w:r>
      <w:r w:rsidR="00EE61C5" w:rsidRPr="00D52252">
        <w:rPr>
          <w:rFonts w:cs="Calibri"/>
          <w:b/>
          <w:bCs/>
          <w:sz w:val="22"/>
          <w:szCs w:val="22"/>
        </w:rPr>
        <w:t>3</w:t>
      </w:r>
      <w:r w:rsidRPr="00D52252">
        <w:rPr>
          <w:rFonts w:cs="Calibri"/>
          <w:b/>
          <w:bCs/>
          <w:sz w:val="22"/>
          <w:szCs w:val="22"/>
        </w:rPr>
        <w:t>.</w:t>
      </w:r>
    </w:p>
    <w:p w14:paraId="4550232E" w14:textId="58C46EF8" w:rsidR="00E870E2" w:rsidRPr="004330D3" w:rsidRDefault="00E870E2" w:rsidP="00E870E2">
      <w:pPr>
        <w:rPr>
          <w:rFonts w:cs="Calibri"/>
          <w:sz w:val="22"/>
          <w:szCs w:val="22"/>
        </w:rPr>
      </w:pPr>
      <w:r w:rsidRPr="00B73030">
        <w:rPr>
          <w:rFonts w:cs="Calibri"/>
          <w:sz w:val="22"/>
          <w:szCs w:val="22"/>
        </w:rPr>
        <w:t>7</w:t>
      </w:r>
      <w:r w:rsidRPr="00B73030">
        <w:rPr>
          <w:rFonts w:cs="Calibri"/>
          <w:sz w:val="22"/>
          <w:szCs w:val="22"/>
        </w:rPr>
        <w:tab/>
        <w:t xml:space="preserve">The meeting agenda, documents and other practical information will be available via the </w:t>
      </w:r>
      <w:hyperlink r:id="rId15" w:history="1">
        <w:r w:rsidR="00E72571" w:rsidRPr="00B73030">
          <w:rPr>
            <w:rStyle w:val="Hyperlink"/>
            <w:rFonts w:cs="Calibri"/>
            <w:sz w:val="22"/>
            <w:szCs w:val="22"/>
          </w:rPr>
          <w:t>FG-MV homepage</w:t>
        </w:r>
      </w:hyperlink>
      <w:r w:rsidRPr="00BF30CA">
        <w:rPr>
          <w:rFonts w:cs="Calibri"/>
          <w:sz w:val="22"/>
          <w:szCs w:val="22"/>
        </w:rPr>
        <w:t xml:space="preserve"> in advance of the meeting. The discussions will be held in English only</w:t>
      </w:r>
      <w:r w:rsidR="001B568B" w:rsidRPr="00B73030">
        <w:rPr>
          <w:rFonts w:cs="Calibri"/>
          <w:sz w:val="22"/>
          <w:szCs w:val="22"/>
        </w:rPr>
        <w:t>.</w:t>
      </w:r>
      <w:r w:rsidRPr="00B73030">
        <w:rPr>
          <w:rFonts w:cs="Calibri"/>
          <w:sz w:val="22"/>
          <w:szCs w:val="22"/>
        </w:rPr>
        <w:t xml:space="preserve"> </w:t>
      </w:r>
      <w:r w:rsidR="008545C9" w:rsidRPr="004330D3">
        <w:rPr>
          <w:rFonts w:cs="Calibri"/>
          <w:sz w:val="22"/>
          <w:szCs w:val="22"/>
        </w:rPr>
        <w:t>Information on remote participation will be made available on the Focus Group webpage (</w:t>
      </w:r>
      <w:hyperlink r:id="rId16" w:history="1">
        <w:r w:rsidR="008545C9" w:rsidRPr="004330D3">
          <w:rPr>
            <w:rStyle w:val="Hyperlink"/>
            <w:rFonts w:cs="Calibri"/>
            <w:sz w:val="22"/>
            <w:szCs w:val="22"/>
          </w:rPr>
          <w:t>www.itu.int/go/fgmv</w:t>
        </w:r>
      </w:hyperlink>
      <w:r w:rsidR="008545C9" w:rsidRPr="00BF30CA">
        <w:rPr>
          <w:rFonts w:cs="Calibri"/>
          <w:sz w:val="22"/>
          <w:szCs w:val="22"/>
        </w:rPr>
        <w:t>).</w:t>
      </w:r>
    </w:p>
    <w:p w14:paraId="182E8D90" w14:textId="2C343A73" w:rsidR="004834BB" w:rsidRPr="00CE5631" w:rsidRDefault="00B73030" w:rsidP="004834BB">
      <w:pPr>
        <w:spacing w:after="120"/>
        <w:rPr>
          <w:rFonts w:cs="Calibri"/>
          <w:sz w:val="22"/>
          <w:szCs w:val="22"/>
        </w:rPr>
      </w:pPr>
      <w:r>
        <w:rPr>
          <w:rFonts w:cs="Calibri"/>
          <w:sz w:val="22"/>
          <w:szCs w:val="22"/>
        </w:rPr>
        <w:t>8</w:t>
      </w:r>
      <w:r w:rsidR="004834BB" w:rsidRPr="00B73030">
        <w:rPr>
          <w:rFonts w:cs="Calibri"/>
          <w:sz w:val="22"/>
          <w:szCs w:val="22"/>
        </w:rPr>
        <w:tab/>
        <w:t xml:space="preserve">To enable ITU to make the necessary arrangements, participants are invited to register online via the </w:t>
      </w:r>
      <w:hyperlink r:id="rId17" w:history="1">
        <w:r w:rsidR="004834BB" w:rsidRPr="00B73030">
          <w:rPr>
            <w:rStyle w:val="Hyperlink"/>
            <w:rFonts w:cs="Calibri"/>
            <w:sz w:val="22"/>
            <w:szCs w:val="22"/>
          </w:rPr>
          <w:t xml:space="preserve">FG-MV </w:t>
        </w:r>
        <w:r w:rsidR="004834BB" w:rsidRPr="000A0F2B">
          <w:rPr>
            <w:rStyle w:val="Hyperlink"/>
            <w:rFonts w:cs="Calibri"/>
            <w:sz w:val="22"/>
            <w:szCs w:val="22"/>
          </w:rPr>
          <w:t>homepage</w:t>
        </w:r>
      </w:hyperlink>
      <w:r w:rsidR="004834BB" w:rsidRPr="00BF30CA">
        <w:rPr>
          <w:rFonts w:cs="Calibri"/>
          <w:sz w:val="22"/>
          <w:szCs w:val="22"/>
        </w:rPr>
        <w:t xml:space="preserve"> as soon as possible. </w:t>
      </w:r>
      <w:r w:rsidR="004834BB" w:rsidRPr="00CE5631">
        <w:rPr>
          <w:rFonts w:cs="Calibri"/>
          <w:sz w:val="22"/>
          <w:szCs w:val="22"/>
        </w:rPr>
        <w:t>Places are limited and registration will be handled on a first-come, first-served basis. Registration is required for remote participation as well as on-site participation. Please note that pre-registration of participants for the events is carried out exclusively online.</w:t>
      </w:r>
    </w:p>
    <w:p w14:paraId="3A9A26D8" w14:textId="30C0FEDF" w:rsidR="000A04D9" w:rsidRPr="00CE5631" w:rsidRDefault="00B73030" w:rsidP="000A04D9">
      <w:pPr>
        <w:spacing w:after="120"/>
        <w:rPr>
          <w:rFonts w:cs="Calibri"/>
          <w:sz w:val="22"/>
          <w:szCs w:val="22"/>
        </w:rPr>
      </w:pPr>
      <w:r>
        <w:rPr>
          <w:rFonts w:cs="Calibri"/>
          <w:sz w:val="22"/>
          <w:szCs w:val="22"/>
        </w:rPr>
        <w:t>9</w:t>
      </w:r>
      <w:r w:rsidR="00E870E2" w:rsidRPr="00B73030">
        <w:rPr>
          <w:rFonts w:cs="Calibri"/>
          <w:sz w:val="22"/>
          <w:szCs w:val="22"/>
        </w:rPr>
        <w:tab/>
      </w:r>
      <w:r w:rsidR="00EC74F6" w:rsidRPr="00EC74F6">
        <w:rPr>
          <w:rFonts w:cs="Calibri"/>
          <w:sz w:val="22"/>
          <w:szCs w:val="22"/>
        </w:rPr>
        <w:t>I would remind you that citizens of some countries are required to obtain a visa to enter and spend time in the Kingdom of Saudi Arabia. If required, visas must be requested before the date of arrival from the embassy or consulate representing Saudi Arabia in your country or, if there is no such office in your country, from the one that is closest to the country of departure. Deadlines vary, so it is suggested to check directly with the appropriate representation and apply early.</w:t>
      </w:r>
    </w:p>
    <w:p w14:paraId="1D53894F" w14:textId="4D1B1C22" w:rsidR="00212790" w:rsidRPr="00CE5631" w:rsidRDefault="000A04D9" w:rsidP="000A04D9">
      <w:pPr>
        <w:spacing w:after="240"/>
        <w:rPr>
          <w:rFonts w:cs="Calibri"/>
          <w:sz w:val="22"/>
          <w:szCs w:val="22"/>
        </w:rPr>
      </w:pPr>
      <w:r w:rsidRPr="00CE5631">
        <w:rPr>
          <w:rFonts w:cs="Calibri"/>
          <w:sz w:val="22"/>
          <w:szCs w:val="22"/>
        </w:rPr>
        <w:t xml:space="preserve">Additional details and documentation needed for visa processing, if any, will be provided in the logistics document for the meeting that will be made available on the </w:t>
      </w:r>
      <w:hyperlink r:id="rId18" w:history="1">
        <w:r w:rsidR="0071000B" w:rsidRPr="00CE5631">
          <w:rPr>
            <w:rStyle w:val="Hyperlink"/>
            <w:rFonts w:cs="Calibri"/>
            <w:sz w:val="22"/>
            <w:szCs w:val="22"/>
          </w:rPr>
          <w:t>FG-MV homepage</w:t>
        </w:r>
      </w:hyperlink>
      <w:r w:rsidRPr="00CE5631">
        <w:rPr>
          <w:rFonts w:cs="Calibri"/>
          <w:sz w:val="22"/>
          <w:szCs w:val="22"/>
        </w:rPr>
        <w:t>.</w:t>
      </w:r>
    </w:p>
    <w:tbl>
      <w:tblPr>
        <w:tblStyle w:val="TableGrid"/>
        <w:tblW w:w="5000" w:type="pct"/>
        <w:tblLayout w:type="fixed"/>
        <w:tblLook w:val="04A0" w:firstRow="1" w:lastRow="0" w:firstColumn="1" w:lastColumn="0" w:noHBand="0" w:noVBand="1"/>
      </w:tblPr>
      <w:tblGrid>
        <w:gridCol w:w="1999"/>
        <w:gridCol w:w="7720"/>
      </w:tblGrid>
      <w:tr w:rsidR="009B7639" w:rsidRPr="00B73030" w14:paraId="018A6848" w14:textId="77777777" w:rsidTr="002D0AFC">
        <w:trPr>
          <w:trHeight w:val="438"/>
        </w:trPr>
        <w:tc>
          <w:tcPr>
            <w:tcW w:w="1999" w:type="dxa"/>
          </w:tcPr>
          <w:p w14:paraId="5565C64E" w14:textId="667079D5" w:rsidR="009B7639" w:rsidRPr="00D52252" w:rsidRDefault="009B7639" w:rsidP="009B7639">
            <w:pPr>
              <w:keepNext/>
              <w:keepLines/>
              <w:spacing w:before="60" w:after="60" w:line="300" w:lineRule="exact"/>
              <w:jc w:val="center"/>
              <w:rPr>
                <w:rFonts w:cs="Calibri"/>
                <w:sz w:val="22"/>
                <w:szCs w:val="22"/>
              </w:rPr>
            </w:pPr>
            <w:bookmarkStart w:id="0" w:name="_Hlk124850442"/>
            <w:r w:rsidRPr="00D52252">
              <w:rPr>
                <w:rFonts w:cs="Calibri"/>
                <w:sz w:val="22"/>
                <w:szCs w:val="22"/>
              </w:rPr>
              <w:t>24 February 2023</w:t>
            </w:r>
          </w:p>
        </w:tc>
        <w:tc>
          <w:tcPr>
            <w:tcW w:w="7720" w:type="dxa"/>
          </w:tcPr>
          <w:p w14:paraId="3C757807" w14:textId="03FEDE99" w:rsidR="009B7639" w:rsidRPr="00BF30CA" w:rsidRDefault="009B7639" w:rsidP="009B763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sidRPr="00B73030">
              <w:rPr>
                <w:rFonts w:ascii="Calibri" w:hAnsi="Calibri" w:cs="Calibri"/>
                <w:sz w:val="22"/>
                <w:szCs w:val="22"/>
              </w:rPr>
              <w:t xml:space="preserve">Submit written contributions (by e-mail to </w:t>
            </w:r>
            <w:hyperlink r:id="rId19" w:history="1">
              <w:r w:rsidRPr="00CE5631">
                <w:rPr>
                  <w:rStyle w:val="Hyperlink"/>
                  <w:rFonts w:ascii="Calibri" w:hAnsi="Calibri" w:cs="Calibri"/>
                  <w:sz w:val="22"/>
                  <w:szCs w:val="22"/>
                </w:rPr>
                <w:t>tsbfgmv@itu.int</w:t>
              </w:r>
            </w:hyperlink>
            <w:r w:rsidRPr="00CE5631">
              <w:rPr>
                <w:rFonts w:ascii="Calibri" w:hAnsi="Calibri" w:cs="Calibri"/>
                <w:sz w:val="22"/>
                <w:szCs w:val="22"/>
              </w:rPr>
              <w:t>)</w:t>
            </w:r>
          </w:p>
        </w:tc>
      </w:tr>
      <w:tr w:rsidR="00E870E2" w:rsidRPr="00B73030" w14:paraId="5D204207" w14:textId="77777777" w:rsidTr="002D0AFC">
        <w:trPr>
          <w:trHeight w:val="438"/>
        </w:trPr>
        <w:tc>
          <w:tcPr>
            <w:tcW w:w="1999" w:type="dxa"/>
          </w:tcPr>
          <w:p w14:paraId="142FFDC8" w14:textId="38111935" w:rsidR="00E870E2" w:rsidRPr="00D52252" w:rsidRDefault="00897C5C" w:rsidP="002D0AFC">
            <w:pPr>
              <w:keepNext/>
              <w:keepLines/>
              <w:spacing w:before="60" w:after="60" w:line="300" w:lineRule="exact"/>
              <w:jc w:val="center"/>
              <w:rPr>
                <w:rFonts w:cs="Calibri"/>
                <w:sz w:val="22"/>
                <w:szCs w:val="22"/>
              </w:rPr>
            </w:pPr>
            <w:r w:rsidRPr="00D52252">
              <w:rPr>
                <w:rFonts w:cs="Calibri"/>
                <w:sz w:val="22"/>
                <w:szCs w:val="22"/>
              </w:rPr>
              <w:t>6 March</w:t>
            </w:r>
            <w:r w:rsidR="00E870E2" w:rsidRPr="00D52252">
              <w:rPr>
                <w:rFonts w:cs="Calibri"/>
                <w:sz w:val="22"/>
                <w:szCs w:val="22"/>
              </w:rPr>
              <w:t xml:space="preserve"> 202</w:t>
            </w:r>
            <w:r w:rsidR="0018348D" w:rsidRPr="00D52252">
              <w:rPr>
                <w:rFonts w:cs="Calibri"/>
                <w:sz w:val="22"/>
                <w:szCs w:val="22"/>
              </w:rPr>
              <w:t>3</w:t>
            </w:r>
          </w:p>
        </w:tc>
        <w:tc>
          <w:tcPr>
            <w:tcW w:w="7720" w:type="dxa"/>
          </w:tcPr>
          <w:p w14:paraId="1027ACE3" w14:textId="62DB31DA" w:rsidR="00E870E2" w:rsidRPr="00B73030" w:rsidRDefault="00E870E2" w:rsidP="002D0AF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sidRPr="00B73030">
              <w:rPr>
                <w:rFonts w:ascii="Calibri" w:hAnsi="Calibri" w:cs="Calibri"/>
                <w:sz w:val="22"/>
                <w:szCs w:val="22"/>
              </w:rPr>
              <w:t xml:space="preserve">Pre-registration (online via the </w:t>
            </w:r>
            <w:hyperlink r:id="rId20" w:history="1">
              <w:r w:rsidR="00D82AE5" w:rsidRPr="00CE5631">
                <w:rPr>
                  <w:rStyle w:val="Hyperlink"/>
                  <w:rFonts w:ascii="Calibri" w:hAnsi="Calibri" w:cs="Calibri"/>
                  <w:sz w:val="22"/>
                  <w:szCs w:val="22"/>
                </w:rPr>
                <w:t>FG-MV homepage</w:t>
              </w:r>
            </w:hyperlink>
            <w:r w:rsidRPr="00BF30CA">
              <w:rPr>
                <w:rFonts w:ascii="Calibri" w:hAnsi="Calibri" w:cs="Calibri"/>
                <w:sz w:val="22"/>
                <w:szCs w:val="22"/>
              </w:rPr>
              <w:t>)</w:t>
            </w:r>
          </w:p>
        </w:tc>
      </w:tr>
      <w:bookmarkEnd w:id="0"/>
    </w:tbl>
    <w:p w14:paraId="11FE12B8" w14:textId="77777777" w:rsidR="00EC74F6" w:rsidRDefault="00EC74F6" w:rsidP="00EC74F6">
      <w:pPr>
        <w:spacing w:before="0" w:after="120"/>
        <w:rPr>
          <w:rFonts w:cs="Calibri"/>
          <w:sz w:val="22"/>
          <w:szCs w:val="22"/>
        </w:rPr>
      </w:pPr>
    </w:p>
    <w:p w14:paraId="0942D6D4" w14:textId="3AF2DC66" w:rsidR="00E870E2" w:rsidRDefault="00E870E2" w:rsidP="00EC74F6">
      <w:pPr>
        <w:spacing w:before="0" w:after="120"/>
        <w:rPr>
          <w:rFonts w:cs="Calibri"/>
          <w:sz w:val="22"/>
          <w:szCs w:val="22"/>
        </w:rPr>
      </w:pPr>
      <w:r w:rsidRPr="00043834">
        <w:rPr>
          <w:rFonts w:cs="Calibri"/>
          <w:sz w:val="22"/>
          <w:szCs w:val="22"/>
        </w:rPr>
        <w:t>I wish you a productive and enjoyable meeting.</w:t>
      </w:r>
    </w:p>
    <w:p w14:paraId="1906071D" w14:textId="7D9CE5AB" w:rsidR="00EC74F6" w:rsidRPr="00350C1F" w:rsidRDefault="00EC74F6" w:rsidP="00EC74F6">
      <w:pPr>
        <w:spacing w:before="0" w:after="120"/>
        <w:rPr>
          <w:rFonts w:cs="Calibri"/>
          <w:sz w:val="22"/>
          <w:szCs w:val="22"/>
        </w:rPr>
      </w:pPr>
      <w:r w:rsidRPr="00350C1F">
        <w:rPr>
          <w:rFonts w:cs="Calibri"/>
          <w:sz w:val="22"/>
          <w:szCs w:val="22"/>
        </w:rPr>
        <w:t>Yours faithfully,</w:t>
      </w:r>
    </w:p>
    <w:p w14:paraId="56B9686A" w14:textId="0723CE08" w:rsidR="00EC74F6" w:rsidRDefault="00B73C85" w:rsidP="00EC74F6">
      <w:pPr>
        <w:spacing w:before="0" w:after="120"/>
        <w:rPr>
          <w:rFonts w:cs="Calibri"/>
          <w:sz w:val="22"/>
          <w:szCs w:val="22"/>
        </w:rPr>
      </w:pPr>
      <w:bookmarkStart w:id="1" w:name="_Hlk124842710"/>
      <w:r>
        <w:rPr>
          <w:rFonts w:cs="Calibri"/>
          <w:noProof/>
          <w:sz w:val="22"/>
          <w:szCs w:val="22"/>
        </w:rPr>
        <w:drawing>
          <wp:anchor distT="0" distB="0" distL="114300" distR="114300" simplePos="0" relativeHeight="251659264" behindDoc="0" locked="0" layoutInCell="1" allowOverlap="1" wp14:anchorId="39604001" wp14:editId="29E80943">
            <wp:simplePos x="0" y="0"/>
            <wp:positionH relativeFrom="column">
              <wp:posOffset>-47837</wp:posOffset>
            </wp:positionH>
            <wp:positionV relativeFrom="paragraph">
              <wp:posOffset>26246</wp:posOffset>
            </wp:positionV>
            <wp:extent cx="794226" cy="335492"/>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794226" cy="335492"/>
                    </a:xfrm>
                    <a:prstGeom prst="rect">
                      <a:avLst/>
                    </a:prstGeom>
                  </pic:spPr>
                </pic:pic>
              </a:graphicData>
            </a:graphic>
            <wp14:sizeRelH relativeFrom="margin">
              <wp14:pctWidth>0</wp14:pctWidth>
            </wp14:sizeRelH>
            <wp14:sizeRelV relativeFrom="margin">
              <wp14:pctHeight>0</wp14:pctHeight>
            </wp14:sizeRelV>
          </wp:anchor>
        </w:drawing>
      </w:r>
    </w:p>
    <w:p w14:paraId="6C034AC7" w14:textId="2E077737" w:rsidR="00B73C85" w:rsidRDefault="00B73C85" w:rsidP="00EC74F6">
      <w:pPr>
        <w:spacing w:before="0" w:after="120"/>
        <w:rPr>
          <w:rFonts w:cs="Calibri"/>
          <w:sz w:val="22"/>
          <w:szCs w:val="22"/>
        </w:rPr>
      </w:pPr>
    </w:p>
    <w:p w14:paraId="1AA3A717" w14:textId="402D8113" w:rsidR="00EC74F6" w:rsidRPr="00043834" w:rsidRDefault="00EC74F6" w:rsidP="00EC74F6">
      <w:pPr>
        <w:spacing w:before="0" w:after="120"/>
        <w:rPr>
          <w:rFonts w:cs="Calibri"/>
          <w:sz w:val="22"/>
          <w:szCs w:val="22"/>
        </w:rPr>
      </w:pPr>
      <w:r>
        <w:rPr>
          <w:rFonts w:cs="Calibri"/>
          <w:sz w:val="22"/>
          <w:szCs w:val="22"/>
        </w:rPr>
        <w:t>Seizo Onoe</w:t>
      </w:r>
      <w:bookmarkEnd w:id="1"/>
      <w:r w:rsidRPr="00350C1F">
        <w:rPr>
          <w:rFonts w:cs="Calibri"/>
          <w:sz w:val="22"/>
          <w:szCs w:val="22"/>
        </w:rPr>
        <w:br/>
        <w:t>Director of the Telecommunication</w:t>
      </w:r>
      <w:r w:rsidRPr="00350C1F">
        <w:rPr>
          <w:rFonts w:cs="Calibri"/>
          <w:sz w:val="22"/>
          <w:szCs w:val="22"/>
        </w:rPr>
        <w:br/>
        <w:t>Standardization Bureau</w:t>
      </w:r>
    </w:p>
    <w:p w14:paraId="07F3B8D8" w14:textId="77777777" w:rsidR="00E870E2" w:rsidRPr="00350C1F" w:rsidRDefault="00E870E2" w:rsidP="00E870E2">
      <w:pPr>
        <w:rPr>
          <w:rFonts w:cs="Calibri"/>
          <w:sz w:val="22"/>
          <w:szCs w:val="22"/>
        </w:rPr>
      </w:pPr>
    </w:p>
    <w:p w14:paraId="2C06DFE8" w14:textId="77777777" w:rsidR="00E870E2" w:rsidRPr="00350C1F" w:rsidRDefault="00E870E2" w:rsidP="00E870E2">
      <w:pPr>
        <w:rPr>
          <w:rFonts w:cs="Calibri"/>
          <w:b/>
          <w:bCs/>
          <w:sz w:val="22"/>
          <w:szCs w:val="22"/>
        </w:rPr>
      </w:pPr>
      <w:r w:rsidRPr="00350C1F">
        <w:rPr>
          <w:rFonts w:cs="Calibri"/>
          <w:b/>
          <w:bCs/>
          <w:sz w:val="22"/>
          <w:szCs w:val="22"/>
        </w:rPr>
        <w:t xml:space="preserve">Annex: </w:t>
      </w:r>
      <w:r w:rsidRPr="00350C1F">
        <w:rPr>
          <w:rFonts w:cs="Calibri"/>
          <w:sz w:val="22"/>
          <w:szCs w:val="22"/>
        </w:rPr>
        <w:t>1</w:t>
      </w:r>
      <w:r w:rsidRPr="00350C1F">
        <w:rPr>
          <w:rFonts w:cs="Calibri"/>
          <w:b/>
          <w:bCs/>
          <w:sz w:val="22"/>
          <w:szCs w:val="22"/>
        </w:rPr>
        <w:br w:type="page"/>
      </w:r>
    </w:p>
    <w:p w14:paraId="012EA775" w14:textId="77777777" w:rsidR="00EC74F6" w:rsidRDefault="00EC74F6" w:rsidP="00E870E2">
      <w:pPr>
        <w:pStyle w:val="AnnexNo"/>
        <w:rPr>
          <w:rFonts w:cs="Calibri"/>
          <w:b/>
          <w:bCs/>
          <w:sz w:val="22"/>
          <w:szCs w:val="22"/>
        </w:rPr>
      </w:pPr>
    </w:p>
    <w:p w14:paraId="1EC88BEB" w14:textId="2CBD9CA1" w:rsidR="00E870E2" w:rsidRPr="00350C1F" w:rsidRDefault="00E870E2" w:rsidP="00E870E2">
      <w:pPr>
        <w:pStyle w:val="AnnexNo"/>
        <w:rPr>
          <w:rFonts w:cs="Calibri"/>
          <w:b/>
          <w:bCs/>
          <w:sz w:val="22"/>
          <w:szCs w:val="22"/>
        </w:rPr>
      </w:pPr>
      <w:r w:rsidRPr="00350C1F">
        <w:rPr>
          <w:rFonts w:cs="Calibri"/>
          <w:b/>
          <w:bCs/>
          <w:sz w:val="22"/>
          <w:szCs w:val="22"/>
        </w:rPr>
        <w:t>ANNEX 1</w:t>
      </w:r>
      <w:r>
        <w:rPr>
          <w:rFonts w:cs="Calibri"/>
          <w:b/>
          <w:bCs/>
          <w:sz w:val="22"/>
          <w:szCs w:val="22"/>
        </w:rPr>
        <w:t>:</w:t>
      </w:r>
    </w:p>
    <w:p w14:paraId="5AC304B0" w14:textId="77777777" w:rsidR="001E224F" w:rsidRPr="001E224F" w:rsidRDefault="001E224F" w:rsidP="001E224F">
      <w:pPr>
        <w:pStyle w:val="AnnexNotitle"/>
        <w:spacing w:before="0"/>
        <w:rPr>
          <w:rFonts w:asciiTheme="minorHAnsi" w:eastAsia="SimSun" w:hAnsiTheme="minorHAnsi" w:cstheme="minorHAnsi"/>
          <w:sz w:val="22"/>
          <w:szCs w:val="22"/>
        </w:rPr>
      </w:pPr>
      <w:r w:rsidRPr="001E224F">
        <w:rPr>
          <w:rFonts w:asciiTheme="minorHAnsi" w:eastAsia="SimSun" w:hAnsiTheme="minorHAnsi" w:cstheme="minorHAnsi"/>
          <w:sz w:val="22"/>
          <w:szCs w:val="22"/>
        </w:rPr>
        <w:t>Terms of reference for the ITU-T Focus Group on metaverse (FG-MV)</w:t>
      </w:r>
    </w:p>
    <w:p w14:paraId="0697B4D3" w14:textId="77777777" w:rsidR="001E224F" w:rsidRPr="001E224F" w:rsidRDefault="001E224F" w:rsidP="001E224F">
      <w:pPr>
        <w:pStyle w:val="Headingb"/>
        <w:rPr>
          <w:rFonts w:asciiTheme="minorHAnsi" w:hAnsiTheme="minorHAnsi" w:cstheme="minorHAnsi"/>
          <w:sz w:val="22"/>
          <w:szCs w:val="22"/>
        </w:rPr>
      </w:pPr>
      <w:bookmarkStart w:id="2" w:name="_Hlk7618046"/>
      <w:r w:rsidRPr="001E224F">
        <w:rPr>
          <w:rFonts w:asciiTheme="minorHAnsi" w:hAnsiTheme="minorHAnsi" w:cstheme="minorHAnsi"/>
          <w:sz w:val="22"/>
          <w:szCs w:val="22"/>
        </w:rPr>
        <w:t>1</w:t>
      </w:r>
      <w:r w:rsidRPr="001E224F">
        <w:rPr>
          <w:rFonts w:asciiTheme="minorHAnsi" w:hAnsiTheme="minorHAnsi" w:cstheme="minorHAnsi"/>
          <w:sz w:val="22"/>
          <w:szCs w:val="22"/>
        </w:rPr>
        <w:tab/>
        <w:t>Rationale and scope</w:t>
      </w:r>
    </w:p>
    <w:p w14:paraId="0500B0D0"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Recently, metaverse has become one disruptive area of innovation with great potential to change our economy, way of living and communicating and society. In this nascent phase of the metaverse, the industry has not converged towards common terms and definitions. The metaverse concept has attracted considerable public attention. Bloomberg analysts</w:t>
      </w:r>
      <w:r w:rsidRPr="00D95921">
        <w:rPr>
          <w:rStyle w:val="FootnoteReference"/>
          <w:rFonts w:asciiTheme="minorHAnsi" w:hAnsiTheme="minorHAnsi" w:cstheme="minorHAnsi"/>
          <w:sz w:val="14"/>
          <w:szCs w:val="14"/>
        </w:rPr>
        <w:footnoteReference w:id="1"/>
      </w:r>
      <w:r w:rsidRPr="001E224F">
        <w:rPr>
          <w:rFonts w:asciiTheme="minorHAnsi" w:hAnsiTheme="minorHAnsi" w:cstheme="minorHAnsi"/>
          <w:sz w:val="22"/>
          <w:szCs w:val="22"/>
        </w:rPr>
        <w:t xml:space="preserve"> have suggested the total market value of the metaverse as the world's "next big technology platform" could reach USD 800 billion by 2024, doubling its value seen in 2020.</w:t>
      </w:r>
    </w:p>
    <w:p w14:paraId="068BCAD9"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This Focus Group provides a collaboration platform for dialogue, for identifying stakeholders with whom ITU-T could collaborate, and for enabling the inclusion of non-members to contribute to the technical pre-standardization work. The Focus Group work will be enriched with the identification of relevant use cases.</w:t>
      </w:r>
    </w:p>
    <w:p w14:paraId="3BF18B8C"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Focus Group will consider the following aspects for pre-standardization work of the metaverse:</w:t>
      </w:r>
    </w:p>
    <w:p w14:paraId="3C8353D9"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working definitions and terminology, concepts, vision, use cases and ecosystem;</w:t>
      </w:r>
    </w:p>
    <w:p w14:paraId="15348B72"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 xml:space="preserve">technical </w:t>
      </w:r>
      <w:proofErr w:type="gramStart"/>
      <w:r w:rsidRPr="001E224F">
        <w:rPr>
          <w:rFonts w:asciiTheme="minorHAnsi" w:hAnsiTheme="minorHAnsi" w:cstheme="minorHAnsi"/>
          <w:sz w:val="22"/>
          <w:szCs w:val="22"/>
        </w:rPr>
        <w:t>requirements;</w:t>
      </w:r>
      <w:proofErr w:type="gramEnd"/>
    </w:p>
    <w:p w14:paraId="1BD63F33"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 xml:space="preserve">technical framework and characteristics, including identification of fundamental underlying </w:t>
      </w:r>
      <w:proofErr w:type="gramStart"/>
      <w:r w:rsidRPr="001E224F">
        <w:rPr>
          <w:rFonts w:asciiTheme="minorHAnsi" w:hAnsiTheme="minorHAnsi" w:cstheme="minorHAnsi"/>
          <w:sz w:val="22"/>
          <w:szCs w:val="22"/>
        </w:rPr>
        <w:t>technologies;</w:t>
      </w:r>
      <w:proofErr w:type="gramEnd"/>
    </w:p>
    <w:p w14:paraId="05435681"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 xml:space="preserve">security and personally identifiable information (PII) protection related </w:t>
      </w:r>
      <w:proofErr w:type="gramStart"/>
      <w:r w:rsidRPr="001E224F">
        <w:rPr>
          <w:rFonts w:asciiTheme="minorHAnsi" w:hAnsiTheme="minorHAnsi" w:cstheme="minorHAnsi"/>
          <w:sz w:val="22"/>
          <w:szCs w:val="22"/>
        </w:rPr>
        <w:t>aspects;</w:t>
      </w:r>
      <w:proofErr w:type="gramEnd"/>
    </w:p>
    <w:p w14:paraId="035A5794"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 xml:space="preserve">networking infrastructure and </w:t>
      </w:r>
      <w:proofErr w:type="gramStart"/>
      <w:r w:rsidRPr="001E224F">
        <w:rPr>
          <w:rFonts w:asciiTheme="minorHAnsi" w:hAnsiTheme="minorHAnsi" w:cstheme="minorHAnsi"/>
          <w:sz w:val="22"/>
          <w:szCs w:val="22"/>
        </w:rPr>
        <w:t>connectivity;</w:t>
      </w:r>
      <w:proofErr w:type="gramEnd"/>
    </w:p>
    <w:p w14:paraId="3BDE6B88"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r>
      <w:proofErr w:type="gramStart"/>
      <w:r w:rsidRPr="001E224F">
        <w:rPr>
          <w:rFonts w:asciiTheme="minorHAnsi" w:hAnsiTheme="minorHAnsi" w:cstheme="minorHAnsi"/>
          <w:sz w:val="22"/>
          <w:szCs w:val="22"/>
        </w:rPr>
        <w:t>interoperability;</w:t>
      </w:r>
      <w:proofErr w:type="gramEnd"/>
    </w:p>
    <w:p w14:paraId="5ED02509"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 xml:space="preserve">application </w:t>
      </w:r>
      <w:proofErr w:type="gramStart"/>
      <w:r w:rsidRPr="001E224F">
        <w:rPr>
          <w:rFonts w:asciiTheme="minorHAnsi" w:hAnsiTheme="minorHAnsi" w:cstheme="minorHAnsi"/>
          <w:sz w:val="22"/>
          <w:szCs w:val="22"/>
        </w:rPr>
        <w:t>interfaces;</w:t>
      </w:r>
      <w:proofErr w:type="gramEnd"/>
    </w:p>
    <w:p w14:paraId="7229A1EF"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 xml:space="preserve">accessibility including persons with </w:t>
      </w:r>
      <w:proofErr w:type="gramStart"/>
      <w:r w:rsidRPr="001E224F">
        <w:rPr>
          <w:rFonts w:asciiTheme="minorHAnsi" w:hAnsiTheme="minorHAnsi" w:cstheme="minorHAnsi"/>
          <w:sz w:val="22"/>
          <w:szCs w:val="22"/>
        </w:rPr>
        <w:t>disabilities;</w:t>
      </w:r>
      <w:proofErr w:type="gramEnd"/>
    </w:p>
    <w:p w14:paraId="42363B98" w14:textId="77777777" w:rsidR="001E224F" w:rsidRPr="001E224F" w:rsidRDefault="001E224F" w:rsidP="001E224F">
      <w:pPr>
        <w:ind w:left="567" w:hanging="567"/>
        <w:rPr>
          <w:rFonts w:asciiTheme="minorHAnsi" w:eastAsia="MS Mincho"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r>
      <w:r w:rsidRPr="001E224F">
        <w:rPr>
          <w:rFonts w:asciiTheme="minorHAnsi" w:eastAsia="MS Mincho" w:hAnsiTheme="minorHAnsi" w:cstheme="minorHAnsi"/>
          <w:sz w:val="22"/>
          <w:szCs w:val="22"/>
        </w:rPr>
        <w:t xml:space="preserve">gap analysis of standardization activities in other standardization bodies, including terminology and principles used in ISO and </w:t>
      </w:r>
      <w:proofErr w:type="gramStart"/>
      <w:r w:rsidRPr="001E224F">
        <w:rPr>
          <w:rFonts w:asciiTheme="minorHAnsi" w:eastAsia="MS Mincho" w:hAnsiTheme="minorHAnsi" w:cstheme="minorHAnsi"/>
          <w:sz w:val="22"/>
          <w:szCs w:val="22"/>
        </w:rPr>
        <w:t>IEC;</w:t>
      </w:r>
      <w:proofErr w:type="gramEnd"/>
    </w:p>
    <w:p w14:paraId="3599141B"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 xml:space="preserve">economic aspects and regulatory </w:t>
      </w:r>
      <w:proofErr w:type="gramStart"/>
      <w:r w:rsidRPr="001E224F">
        <w:rPr>
          <w:rFonts w:asciiTheme="minorHAnsi" w:hAnsiTheme="minorHAnsi" w:cstheme="minorHAnsi"/>
          <w:sz w:val="22"/>
          <w:szCs w:val="22"/>
        </w:rPr>
        <w:t>implications;</w:t>
      </w:r>
      <w:proofErr w:type="gramEnd"/>
    </w:p>
    <w:p w14:paraId="4CA51A23" w14:textId="77777777" w:rsidR="001E224F" w:rsidRPr="001E224F" w:rsidRDefault="001E224F" w:rsidP="001E224F">
      <w:pPr>
        <w:ind w:left="567" w:hanging="567"/>
        <w:rPr>
          <w:rFonts w:asciiTheme="minorHAnsi" w:eastAsia="MS Mincho" w:hAnsiTheme="minorHAnsi" w:cstheme="minorHAnsi"/>
          <w:sz w:val="22"/>
          <w:szCs w:val="22"/>
        </w:rPr>
      </w:pPr>
      <w:r w:rsidRPr="001E224F">
        <w:rPr>
          <w:rFonts w:asciiTheme="minorHAnsi" w:hAnsiTheme="minorHAnsi" w:cstheme="minorHAnsi"/>
          <w:sz w:val="22"/>
          <w:szCs w:val="22"/>
        </w:rPr>
        <w:t>–</w:t>
      </w:r>
      <w:r w:rsidRPr="001E224F">
        <w:rPr>
          <w:rFonts w:asciiTheme="minorHAnsi" w:hAnsiTheme="minorHAnsi" w:cstheme="minorHAnsi"/>
          <w:sz w:val="22"/>
          <w:szCs w:val="22"/>
        </w:rPr>
        <w:tab/>
        <w:t>environmental sustainability.</w:t>
      </w:r>
    </w:p>
    <w:bookmarkEnd w:id="2"/>
    <w:p w14:paraId="74E891BE"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2</w:t>
      </w:r>
      <w:r w:rsidRPr="001E224F">
        <w:rPr>
          <w:rFonts w:asciiTheme="minorHAnsi" w:hAnsiTheme="minorHAnsi" w:cstheme="minorHAnsi"/>
          <w:sz w:val="22"/>
          <w:szCs w:val="22"/>
        </w:rPr>
        <w:tab/>
        <w:t>Objectives</w:t>
      </w:r>
    </w:p>
    <w:p w14:paraId="192C2ED8"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objective of the focus group is to support pre-standardisation activities, including the following:</w:t>
      </w:r>
    </w:p>
    <w:p w14:paraId="4F0DE205" w14:textId="77777777" w:rsidR="001E224F" w:rsidRPr="001E224F" w:rsidDel="00EC3644"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a)</w:t>
      </w:r>
      <w:r w:rsidRPr="001E224F">
        <w:rPr>
          <w:rFonts w:asciiTheme="minorHAnsi" w:hAnsiTheme="minorHAnsi" w:cstheme="minorHAnsi"/>
          <w:sz w:val="22"/>
          <w:szCs w:val="22"/>
        </w:rPr>
        <w:tab/>
        <w:t xml:space="preserve">To study terminology, concepts, </w:t>
      </w:r>
      <w:proofErr w:type="gramStart"/>
      <w:r w:rsidRPr="001E224F">
        <w:rPr>
          <w:rFonts w:asciiTheme="minorHAnsi" w:hAnsiTheme="minorHAnsi" w:cstheme="minorHAnsi"/>
          <w:sz w:val="22"/>
          <w:szCs w:val="22"/>
        </w:rPr>
        <w:t>vision</w:t>
      </w:r>
      <w:proofErr w:type="gramEnd"/>
      <w:r w:rsidRPr="001E224F">
        <w:rPr>
          <w:rFonts w:asciiTheme="minorHAnsi" w:hAnsiTheme="minorHAnsi" w:cstheme="minorHAnsi"/>
          <w:sz w:val="22"/>
          <w:szCs w:val="22"/>
        </w:rPr>
        <w:t xml:space="preserve"> and ecosystem.</w:t>
      </w:r>
    </w:p>
    <w:p w14:paraId="62A4B394"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b)</w:t>
      </w:r>
      <w:r w:rsidRPr="001E224F">
        <w:rPr>
          <w:rFonts w:asciiTheme="minorHAnsi" w:hAnsiTheme="minorHAnsi" w:cstheme="minorHAnsi"/>
          <w:sz w:val="22"/>
          <w:szCs w:val="22"/>
        </w:rPr>
        <w:tab/>
      </w:r>
      <w:r w:rsidRPr="001E224F">
        <w:rPr>
          <w:rFonts w:asciiTheme="minorHAnsi" w:hAnsiTheme="minorHAnsi" w:cstheme="minorHAnsi"/>
          <w:sz w:val="22"/>
          <w:szCs w:val="22"/>
          <w:lang w:eastAsia="zh-CN"/>
        </w:rPr>
        <w:t xml:space="preserve">To identify and study the enabling technologies, their </w:t>
      </w:r>
      <w:proofErr w:type="gramStart"/>
      <w:r w:rsidRPr="001E224F">
        <w:rPr>
          <w:rFonts w:asciiTheme="minorHAnsi" w:hAnsiTheme="minorHAnsi" w:cstheme="minorHAnsi"/>
          <w:sz w:val="22"/>
          <w:szCs w:val="22"/>
          <w:lang w:eastAsia="zh-CN"/>
        </w:rPr>
        <w:t>evolution</w:t>
      </w:r>
      <w:proofErr w:type="gramEnd"/>
      <w:r w:rsidRPr="001E224F">
        <w:rPr>
          <w:rFonts w:asciiTheme="minorHAnsi" w:hAnsiTheme="minorHAnsi" w:cstheme="minorHAnsi"/>
          <w:sz w:val="22"/>
          <w:szCs w:val="22"/>
          <w:lang w:eastAsia="zh-CN"/>
        </w:rPr>
        <w:t xml:space="preserve"> and key tasks for standardization purposes, including multimedia, network optimization, connectivity, interoperability of services and applications, security, protection of </w:t>
      </w:r>
      <w:r w:rsidRPr="001E224F">
        <w:rPr>
          <w:rFonts w:asciiTheme="minorHAnsi" w:eastAsia="Batang" w:hAnsiTheme="minorHAnsi" w:cstheme="minorHAnsi"/>
          <w:sz w:val="22"/>
          <w:szCs w:val="22"/>
          <w:lang w:eastAsia="ko-KR"/>
        </w:rPr>
        <w:t>personally</w:t>
      </w:r>
      <w:r w:rsidRPr="001E224F">
        <w:rPr>
          <w:rFonts w:asciiTheme="minorHAnsi" w:hAnsiTheme="minorHAnsi" w:cstheme="minorHAnsi"/>
          <w:sz w:val="22"/>
          <w:szCs w:val="22"/>
          <w:lang w:eastAsia="zh-CN"/>
        </w:rPr>
        <w:t xml:space="preserve"> identifiable information, quality (including bandwidth), digital assets (e.g., </w:t>
      </w:r>
      <w:r w:rsidRPr="001E224F">
        <w:rPr>
          <w:rFonts w:asciiTheme="minorHAnsi" w:eastAsia="BatangChe" w:hAnsiTheme="minorHAnsi" w:cstheme="minorHAnsi"/>
          <w:sz w:val="22"/>
          <w:szCs w:val="22"/>
          <w:lang w:eastAsia="ko-KR"/>
        </w:rPr>
        <w:t>digital currencies)</w:t>
      </w:r>
      <w:r w:rsidRPr="001E224F">
        <w:rPr>
          <w:rFonts w:asciiTheme="minorHAnsi" w:hAnsiTheme="minorHAnsi" w:cstheme="minorHAnsi"/>
          <w:sz w:val="22"/>
          <w:szCs w:val="22"/>
          <w:lang w:eastAsia="zh-CN"/>
        </w:rPr>
        <w:t>, IoT, accessibility, digital twin and environmental sustainability.</w:t>
      </w:r>
    </w:p>
    <w:p w14:paraId="638A25D5"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c)</w:t>
      </w:r>
      <w:r w:rsidRPr="001E224F">
        <w:rPr>
          <w:rFonts w:asciiTheme="minorHAnsi" w:hAnsiTheme="minorHAnsi" w:cstheme="minorHAnsi"/>
          <w:sz w:val="22"/>
          <w:szCs w:val="22"/>
        </w:rPr>
        <w:tab/>
        <w:t>To study and gather information to develop a pre-standardization roadmap.</w:t>
      </w:r>
    </w:p>
    <w:p w14:paraId="45DA39E4"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d)</w:t>
      </w:r>
      <w:r w:rsidRPr="001E224F">
        <w:rPr>
          <w:rFonts w:asciiTheme="minorHAnsi" w:hAnsiTheme="minorHAnsi" w:cstheme="minorHAnsi"/>
          <w:sz w:val="22"/>
          <w:szCs w:val="22"/>
        </w:rPr>
        <w:tab/>
        <w:t>To build a community of experts and practitioners to unify the concepts, develop common understandings, so that it be benefiting not only the ITU standardization scene but also the global community.</w:t>
      </w:r>
    </w:p>
    <w:p w14:paraId="5FEBADAD"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lastRenderedPageBreak/>
        <w:t>e)</w:t>
      </w:r>
      <w:r w:rsidRPr="001E224F">
        <w:rPr>
          <w:rFonts w:asciiTheme="minorHAnsi" w:hAnsiTheme="minorHAnsi" w:cstheme="minorHAnsi"/>
          <w:sz w:val="22"/>
          <w:szCs w:val="22"/>
        </w:rPr>
        <w:tab/>
        <w:t>To identify stakeholders with whom ITU-T could collaborate and establish liaisons and relationships with other organisations that could contribute to the pre-standardisation activities and identify potential collective action and specific next steps.</w:t>
      </w:r>
    </w:p>
    <w:p w14:paraId="6F72BB7C"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f)</w:t>
      </w:r>
      <w:r w:rsidRPr="001E224F">
        <w:rPr>
          <w:rFonts w:asciiTheme="minorHAnsi" w:hAnsiTheme="minorHAnsi" w:cstheme="minorHAnsi"/>
          <w:sz w:val="22"/>
          <w:szCs w:val="22"/>
        </w:rPr>
        <w:tab/>
        <w:t>To stimulate international collaboration, to share knowledge and best practices, and to explore the opportunities and challenges related to interoperability.</w:t>
      </w:r>
    </w:p>
    <w:p w14:paraId="1F8F64A2"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g)</w:t>
      </w:r>
      <w:r w:rsidRPr="001E224F">
        <w:rPr>
          <w:rFonts w:asciiTheme="minorHAnsi" w:hAnsiTheme="minorHAnsi" w:cstheme="minorHAnsi"/>
          <w:sz w:val="22"/>
          <w:szCs w:val="22"/>
        </w:rPr>
        <w:tab/>
        <w:t>To provide a platform to share findings and for dialogue on economic, policy and regulatory implications of metaverse related to telecommunication/ICT.</w:t>
      </w:r>
    </w:p>
    <w:p w14:paraId="5B145392"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3</w:t>
      </w:r>
      <w:r w:rsidRPr="001E224F">
        <w:rPr>
          <w:rFonts w:asciiTheme="minorHAnsi" w:hAnsiTheme="minorHAnsi" w:cstheme="minorHAnsi"/>
          <w:sz w:val="22"/>
          <w:szCs w:val="22"/>
        </w:rPr>
        <w:tab/>
        <w:t>Specific tasks and deliverables</w:t>
      </w:r>
    </w:p>
    <w:p w14:paraId="35D6F523"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FG is expected to provide its deliverables to TSAG in time for its January 2024 meeting for its consideration and action, as appropriate (e.g., distribution to SGs for their consideration on starting new work).</w:t>
      </w:r>
    </w:p>
    <w:p w14:paraId="1287052D" w14:textId="77777777" w:rsidR="001E224F" w:rsidRPr="001E224F" w:rsidRDefault="001E224F" w:rsidP="001E224F">
      <w:pPr>
        <w:ind w:left="567" w:hanging="567"/>
        <w:rPr>
          <w:rFonts w:asciiTheme="minorHAnsi" w:hAnsiTheme="minorHAnsi" w:cstheme="minorHAnsi"/>
          <w:sz w:val="22"/>
          <w:szCs w:val="22"/>
          <w:lang w:eastAsia="zh-CN"/>
        </w:rPr>
      </w:pPr>
      <w:r w:rsidRPr="001E224F">
        <w:rPr>
          <w:rFonts w:asciiTheme="minorHAnsi" w:hAnsiTheme="minorHAnsi" w:cstheme="minorHAnsi"/>
          <w:sz w:val="22"/>
          <w:szCs w:val="22"/>
        </w:rPr>
        <w:t>a)</w:t>
      </w:r>
      <w:r w:rsidRPr="001E224F">
        <w:rPr>
          <w:rFonts w:asciiTheme="minorHAnsi" w:hAnsiTheme="minorHAnsi" w:cstheme="minorHAnsi"/>
          <w:sz w:val="22"/>
          <w:szCs w:val="22"/>
        </w:rPr>
        <w:tab/>
        <w:t xml:space="preserve">To develop </w:t>
      </w:r>
      <w:r w:rsidRPr="001E224F">
        <w:rPr>
          <w:rFonts w:asciiTheme="minorHAnsi" w:hAnsiTheme="minorHAnsi" w:cstheme="minorHAnsi"/>
          <w:sz w:val="22"/>
          <w:szCs w:val="22"/>
          <w:lang w:eastAsia="zh-CN"/>
        </w:rPr>
        <w:t>deliverables related to working definitions and terminology, use cases, and requirements.</w:t>
      </w:r>
    </w:p>
    <w:p w14:paraId="60DE516F"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b)</w:t>
      </w:r>
      <w:r w:rsidRPr="001E224F">
        <w:rPr>
          <w:rFonts w:asciiTheme="minorHAnsi" w:hAnsiTheme="minorHAnsi" w:cstheme="minorHAnsi"/>
          <w:sz w:val="22"/>
          <w:szCs w:val="22"/>
        </w:rPr>
        <w:tab/>
      </w:r>
      <w:r w:rsidRPr="001E224F">
        <w:rPr>
          <w:rFonts w:asciiTheme="minorHAnsi" w:hAnsiTheme="minorHAnsi" w:cstheme="minorHAnsi"/>
          <w:sz w:val="22"/>
          <w:szCs w:val="22"/>
          <w:lang w:eastAsia="zh-CN"/>
        </w:rPr>
        <w:t xml:space="preserve">To develop deliverables with guidelines and collection of best practices, including </w:t>
      </w:r>
      <w:r w:rsidRPr="001E224F">
        <w:rPr>
          <w:rFonts w:asciiTheme="minorHAnsi" w:hAnsiTheme="minorHAnsi" w:cstheme="minorHAnsi"/>
          <w:sz w:val="22"/>
          <w:szCs w:val="22"/>
        </w:rPr>
        <w:t>a gap analysis and a pre-standardization roadmap</w:t>
      </w:r>
      <w:r w:rsidRPr="001E224F">
        <w:rPr>
          <w:rFonts w:asciiTheme="minorHAnsi" w:hAnsiTheme="minorHAnsi" w:cstheme="minorHAnsi"/>
          <w:sz w:val="22"/>
          <w:szCs w:val="22"/>
          <w:lang w:eastAsia="zh-CN"/>
        </w:rPr>
        <w:t>.</w:t>
      </w:r>
    </w:p>
    <w:p w14:paraId="4BE6F11B" w14:textId="77777777" w:rsidR="001E224F" w:rsidRPr="001E224F" w:rsidRDefault="001E224F" w:rsidP="001E224F">
      <w:pPr>
        <w:ind w:left="567" w:hanging="567"/>
        <w:rPr>
          <w:rFonts w:asciiTheme="minorHAnsi" w:hAnsiTheme="minorHAnsi" w:cstheme="minorHAnsi"/>
          <w:sz w:val="22"/>
          <w:szCs w:val="22"/>
          <w:lang w:eastAsia="zh-CN"/>
        </w:rPr>
      </w:pPr>
      <w:r w:rsidRPr="001E224F">
        <w:rPr>
          <w:rFonts w:asciiTheme="minorHAnsi" w:hAnsiTheme="minorHAnsi" w:cstheme="minorHAnsi"/>
          <w:sz w:val="22"/>
          <w:szCs w:val="22"/>
        </w:rPr>
        <w:t>c)</w:t>
      </w:r>
      <w:r w:rsidRPr="001E224F">
        <w:rPr>
          <w:rFonts w:asciiTheme="minorHAnsi" w:hAnsiTheme="minorHAnsi" w:cstheme="minorHAnsi"/>
          <w:sz w:val="22"/>
          <w:szCs w:val="22"/>
        </w:rPr>
        <w:tab/>
        <w:t xml:space="preserve">To develop </w:t>
      </w:r>
      <w:r w:rsidRPr="001E224F">
        <w:rPr>
          <w:rFonts w:asciiTheme="minorHAnsi" w:hAnsiTheme="minorHAnsi" w:cstheme="minorHAnsi"/>
          <w:sz w:val="22"/>
          <w:szCs w:val="22"/>
          <w:lang w:eastAsia="zh-CN"/>
        </w:rPr>
        <w:t>deliverables related to technical frameworks, and architecture, taking into consideration security requirements and approaches, PII protection and design principles to meet accessibility requirements.</w:t>
      </w:r>
    </w:p>
    <w:p w14:paraId="75BC7438" w14:textId="77777777" w:rsidR="001E224F" w:rsidRPr="001E224F" w:rsidRDefault="001E224F" w:rsidP="001E224F">
      <w:pPr>
        <w:ind w:left="567" w:hanging="567"/>
        <w:rPr>
          <w:rFonts w:asciiTheme="minorHAnsi" w:hAnsiTheme="minorHAnsi" w:cstheme="minorHAnsi"/>
          <w:sz w:val="22"/>
          <w:szCs w:val="22"/>
        </w:rPr>
      </w:pPr>
      <w:r w:rsidRPr="001E224F">
        <w:rPr>
          <w:rFonts w:asciiTheme="minorHAnsi" w:hAnsiTheme="minorHAnsi" w:cstheme="minorHAnsi"/>
          <w:sz w:val="22"/>
          <w:szCs w:val="22"/>
        </w:rPr>
        <w:t>d)</w:t>
      </w:r>
      <w:r w:rsidRPr="001E224F">
        <w:rPr>
          <w:rFonts w:asciiTheme="minorHAnsi" w:hAnsiTheme="minorHAnsi" w:cstheme="minorHAnsi"/>
          <w:sz w:val="22"/>
          <w:szCs w:val="22"/>
        </w:rPr>
        <w:tab/>
        <w:t xml:space="preserve">To </w:t>
      </w:r>
      <w:r w:rsidRPr="001E224F">
        <w:rPr>
          <w:rFonts w:asciiTheme="minorHAnsi" w:hAnsiTheme="minorHAnsi" w:cstheme="minorHAnsi"/>
          <w:sz w:val="22"/>
          <w:szCs w:val="22"/>
          <w:lang w:eastAsia="zh-CN"/>
        </w:rPr>
        <w:t>organize and participate in workshops to share and collect knowledge and experience from a wide range of expert community and stakeholders.</w:t>
      </w:r>
    </w:p>
    <w:p w14:paraId="59C37942" w14:textId="77777777" w:rsidR="001E224F" w:rsidRPr="001E224F" w:rsidRDefault="001E224F" w:rsidP="001E224F">
      <w:pPr>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e)</w:t>
      </w:r>
      <w:r w:rsidRPr="001E224F">
        <w:rPr>
          <w:rFonts w:asciiTheme="minorHAnsi" w:hAnsiTheme="minorHAnsi" w:cstheme="minorHAnsi"/>
          <w:sz w:val="22"/>
          <w:szCs w:val="22"/>
          <w:lang w:eastAsia="zh-CN"/>
        </w:rPr>
        <w:tab/>
        <w:t>Upon completion of its lifetime, to provide the final report and a complete set of deliverables to TSAG.</w:t>
      </w:r>
    </w:p>
    <w:p w14:paraId="3B0FCEFD"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4</w:t>
      </w:r>
      <w:r w:rsidRPr="001E224F">
        <w:rPr>
          <w:rFonts w:asciiTheme="minorHAnsi" w:hAnsiTheme="minorHAnsi" w:cstheme="minorHAnsi"/>
          <w:sz w:val="22"/>
          <w:szCs w:val="22"/>
        </w:rPr>
        <w:tab/>
        <w:t>Relationships</w:t>
      </w:r>
    </w:p>
    <w:p w14:paraId="68849CF8"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Focus Group will work through co-located meetings with relevant ITU-T SGs when possible. It will establish and maintain task-appropriate collaboration arrangements with other partners as well.</w:t>
      </w:r>
    </w:p>
    <w:p w14:paraId="4286C6DC"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Focus Group will collaborate with:</w:t>
      </w:r>
    </w:p>
    <w:p w14:paraId="4787CDEC"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SG2 – Operational aspects</w:t>
      </w:r>
    </w:p>
    <w:p w14:paraId="3FF3B512"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SG3 – Economic &amp; policy issues</w:t>
      </w:r>
    </w:p>
    <w:p w14:paraId="03764152"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SG5 – Environment, EMF &amp; circular economy</w:t>
      </w:r>
    </w:p>
    <w:p w14:paraId="6AB488BB"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SG9 – Broadband cable &amp; TV</w:t>
      </w:r>
    </w:p>
    <w:p w14:paraId="2AEE52A4"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SG11 – Protocols, testing &amp; combating counterfeiting</w:t>
      </w:r>
    </w:p>
    <w:p w14:paraId="13E515DA"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val="fr-FR" w:eastAsia="zh-CN"/>
        </w:rPr>
      </w:pPr>
      <w:r w:rsidRPr="001E224F">
        <w:rPr>
          <w:rFonts w:asciiTheme="minorHAnsi" w:hAnsiTheme="minorHAnsi" w:cstheme="minorHAnsi"/>
          <w:sz w:val="22"/>
          <w:szCs w:val="22"/>
          <w:lang w:val="fr-FR" w:eastAsia="zh-CN"/>
        </w:rPr>
        <w:t>ITU-T SG12 – Performance, QoS &amp; QoE</w:t>
      </w:r>
    </w:p>
    <w:p w14:paraId="56840F7B"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SG13 – Future networks</w:t>
      </w:r>
    </w:p>
    <w:p w14:paraId="2352BFDF"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val="fr-CH" w:eastAsia="zh-CN"/>
        </w:rPr>
      </w:pPr>
      <w:r w:rsidRPr="001E224F">
        <w:rPr>
          <w:rFonts w:asciiTheme="minorHAnsi" w:hAnsiTheme="minorHAnsi" w:cstheme="minorHAnsi"/>
          <w:sz w:val="22"/>
          <w:szCs w:val="22"/>
          <w:lang w:val="fr-CH" w:eastAsia="zh-CN"/>
        </w:rPr>
        <w:t xml:space="preserve">ITU-T SG16 – </w:t>
      </w:r>
      <w:proofErr w:type="spellStart"/>
      <w:r w:rsidRPr="001E224F">
        <w:rPr>
          <w:rFonts w:asciiTheme="minorHAnsi" w:hAnsiTheme="minorHAnsi" w:cstheme="minorHAnsi"/>
          <w:sz w:val="22"/>
          <w:szCs w:val="22"/>
          <w:lang w:val="fr-CH" w:eastAsia="zh-CN"/>
        </w:rPr>
        <w:t>Multimedia</w:t>
      </w:r>
      <w:proofErr w:type="spellEnd"/>
      <w:r w:rsidRPr="001E224F">
        <w:rPr>
          <w:rFonts w:asciiTheme="minorHAnsi" w:hAnsiTheme="minorHAnsi" w:cstheme="minorHAnsi"/>
          <w:sz w:val="22"/>
          <w:szCs w:val="22"/>
          <w:lang w:val="fr-CH" w:eastAsia="zh-CN"/>
        </w:rPr>
        <w:t xml:space="preserve"> &amp; digital technologies</w:t>
      </w:r>
    </w:p>
    <w:p w14:paraId="38978DDA"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SG17 – Security</w:t>
      </w:r>
    </w:p>
    <w:p w14:paraId="2929B4BF" w14:textId="77777777" w:rsidR="001E224F" w:rsidRPr="001E224F" w:rsidRDefault="001E224F" w:rsidP="001E224F">
      <w:pPr>
        <w:numPr>
          <w:ilvl w:val="0"/>
          <w:numId w:val="28"/>
        </w:numPr>
        <w:tabs>
          <w:tab w:val="clear" w:pos="794"/>
          <w:tab w:val="clear" w:pos="1191"/>
          <w:tab w:val="clear" w:pos="1588"/>
          <w:tab w:val="clear" w:pos="1985"/>
        </w:tabs>
        <w:ind w:left="567" w:hanging="567"/>
        <w:rPr>
          <w:rFonts w:asciiTheme="minorHAnsi" w:hAnsiTheme="minorHAnsi" w:cstheme="minorHAnsi"/>
          <w:sz w:val="22"/>
          <w:szCs w:val="22"/>
          <w:lang w:eastAsia="zh-CN"/>
        </w:rPr>
      </w:pPr>
      <w:r w:rsidRPr="001E224F">
        <w:rPr>
          <w:rFonts w:asciiTheme="minorHAnsi" w:hAnsiTheme="minorHAnsi" w:cstheme="minorHAnsi"/>
          <w:sz w:val="22"/>
          <w:szCs w:val="22"/>
          <w:lang w:eastAsia="zh-CN"/>
        </w:rPr>
        <w:t>ITU-T SG20 – IoT, smart cities &amp; communities</w:t>
      </w:r>
    </w:p>
    <w:p w14:paraId="4007C0FA"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 inter alia:</w:t>
      </w:r>
    </w:p>
    <w:p w14:paraId="04831C81"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ITU-R SG5 – Systems and networks for fixed, mobile, radiodetermination, amateur and amateur-satellite services</w:t>
      </w:r>
    </w:p>
    <w:p w14:paraId="34E920A2"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IEC TC57 – Power systems management and associated information exchange</w:t>
      </w:r>
    </w:p>
    <w:p w14:paraId="6E95C14A"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 xml:space="preserve">IEC TC65 – Industrial process measurement, </w:t>
      </w:r>
      <w:proofErr w:type="gramStart"/>
      <w:r w:rsidRPr="001E224F">
        <w:rPr>
          <w:rFonts w:asciiTheme="minorHAnsi" w:hAnsiTheme="minorHAnsi" w:cstheme="minorHAnsi"/>
          <w:sz w:val="22"/>
          <w:szCs w:val="22"/>
        </w:rPr>
        <w:t>control</w:t>
      </w:r>
      <w:proofErr w:type="gramEnd"/>
      <w:r w:rsidRPr="001E224F">
        <w:rPr>
          <w:rFonts w:asciiTheme="minorHAnsi" w:hAnsiTheme="minorHAnsi" w:cstheme="minorHAnsi"/>
          <w:sz w:val="22"/>
          <w:szCs w:val="22"/>
        </w:rPr>
        <w:t xml:space="preserve"> and automation</w:t>
      </w:r>
    </w:p>
    <w:p w14:paraId="022516F1"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lastRenderedPageBreak/>
        <w:t>IEC TC79 – Alarm and electronic security systems</w:t>
      </w:r>
    </w:p>
    <w:p w14:paraId="63EDD41F"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IEC TC85 – Measuring equipment for electrical and electromagnetic quantities</w:t>
      </w:r>
    </w:p>
    <w:p w14:paraId="35EF886D"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IEC TC93 – Design automation</w:t>
      </w:r>
    </w:p>
    <w:p w14:paraId="41517BF0"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IEC TC100 – Audio, video and multimedia systems and equipment</w:t>
      </w:r>
    </w:p>
    <w:p w14:paraId="6E0C84D2"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IEC TC110 – Electronics displays</w:t>
      </w:r>
    </w:p>
    <w:p w14:paraId="715055EF"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ISO/TC68/SC8 – Reference data for financial services</w:t>
      </w:r>
    </w:p>
    <w:p w14:paraId="31FDB686"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ISO/TC69 – Applications of statistical methods</w:t>
      </w:r>
    </w:p>
    <w:p w14:paraId="6D500087"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ISO/TC133 – Clothing sizing systems – Size designation, size measurement methods and digital fittings</w:t>
      </w:r>
    </w:p>
    <w:p w14:paraId="313130AE"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ISO/TC184/SC4 – Industrial data</w:t>
      </w:r>
    </w:p>
    <w:p w14:paraId="472563F1"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ISO/TC307 – Blockchain and distributed ledger technologies</w:t>
      </w:r>
    </w:p>
    <w:p w14:paraId="00780180"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ISO/IEC JTC1</w:t>
      </w:r>
    </w:p>
    <w:p w14:paraId="16DE4306"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ISO/IEC JTC1/SC24/WG6 – Computer graphics, image processing and environmental data representation</w:t>
      </w:r>
    </w:p>
    <w:p w14:paraId="67BE0782"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 xml:space="preserve">ISO/IEC JTC1/SC27 – Information security, </w:t>
      </w:r>
      <w:proofErr w:type="gramStart"/>
      <w:r w:rsidRPr="001E224F">
        <w:rPr>
          <w:rFonts w:asciiTheme="minorHAnsi" w:hAnsiTheme="minorHAnsi" w:cstheme="minorHAnsi"/>
          <w:sz w:val="22"/>
          <w:szCs w:val="22"/>
        </w:rPr>
        <w:t>cybersecurity</w:t>
      </w:r>
      <w:proofErr w:type="gramEnd"/>
      <w:r w:rsidRPr="001E224F">
        <w:rPr>
          <w:rFonts w:asciiTheme="minorHAnsi" w:hAnsiTheme="minorHAnsi" w:cstheme="minorHAnsi"/>
          <w:sz w:val="22"/>
          <w:szCs w:val="22"/>
        </w:rPr>
        <w:t xml:space="preserve"> and privacy protection</w:t>
      </w:r>
    </w:p>
    <w:p w14:paraId="0032F2C4"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 xml:space="preserve">ISO/IEC JTC1/SC29 – Coding of audio, picture, </w:t>
      </w:r>
      <w:proofErr w:type="gramStart"/>
      <w:r w:rsidRPr="001E224F">
        <w:rPr>
          <w:rFonts w:asciiTheme="minorHAnsi" w:hAnsiTheme="minorHAnsi" w:cstheme="minorHAnsi"/>
          <w:sz w:val="22"/>
          <w:szCs w:val="22"/>
        </w:rPr>
        <w:t>multimedia</w:t>
      </w:r>
      <w:proofErr w:type="gramEnd"/>
      <w:r w:rsidRPr="001E224F">
        <w:rPr>
          <w:rFonts w:asciiTheme="minorHAnsi" w:hAnsiTheme="minorHAnsi" w:cstheme="minorHAnsi"/>
          <w:sz w:val="22"/>
          <w:szCs w:val="22"/>
        </w:rPr>
        <w:t xml:space="preserve"> and hypermedia information</w:t>
      </w:r>
    </w:p>
    <w:p w14:paraId="3D97ED9E"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ISO/IEC JTC1/SC38 – Cloud computing and distributed platforms</w:t>
      </w:r>
    </w:p>
    <w:p w14:paraId="0883AAE2"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ISO/IEC JTC1/SC41 – Internet of things and digital twin</w:t>
      </w:r>
    </w:p>
    <w:p w14:paraId="3E3F51DB"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lang w:val="fr-FR"/>
        </w:rPr>
      </w:pPr>
      <w:r w:rsidRPr="001E224F">
        <w:rPr>
          <w:rFonts w:asciiTheme="minorHAnsi" w:hAnsiTheme="minorHAnsi" w:cstheme="minorHAnsi"/>
          <w:sz w:val="22"/>
          <w:szCs w:val="22"/>
          <w:lang w:val="fr-FR"/>
        </w:rPr>
        <w:t xml:space="preserve">ISO/IEC JTC1/SC42 – </w:t>
      </w:r>
      <w:proofErr w:type="spellStart"/>
      <w:r w:rsidRPr="001E224F">
        <w:rPr>
          <w:rFonts w:asciiTheme="minorHAnsi" w:hAnsiTheme="minorHAnsi" w:cstheme="minorHAnsi"/>
          <w:sz w:val="22"/>
          <w:szCs w:val="22"/>
          <w:lang w:val="fr-FR"/>
        </w:rPr>
        <w:t>Artificial</w:t>
      </w:r>
      <w:proofErr w:type="spellEnd"/>
      <w:r w:rsidRPr="001E224F">
        <w:rPr>
          <w:rFonts w:asciiTheme="minorHAnsi" w:hAnsiTheme="minorHAnsi" w:cstheme="minorHAnsi"/>
          <w:sz w:val="22"/>
          <w:szCs w:val="22"/>
          <w:lang w:val="fr-FR"/>
        </w:rPr>
        <w:t xml:space="preserve"> intelligence</w:t>
      </w:r>
    </w:p>
    <w:p w14:paraId="1E34096A" w14:textId="77777777" w:rsidR="001E224F" w:rsidRPr="001E224F" w:rsidRDefault="001E224F" w:rsidP="001E224F">
      <w:pPr>
        <w:numPr>
          <w:ilvl w:val="0"/>
          <w:numId w:val="27"/>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ISO/IEC JTC1/SC43 – Brain computer interfaces</w:t>
      </w:r>
    </w:p>
    <w:p w14:paraId="4D59EC97"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ISO and IEC Joint Standardization Evaluation Group (JSEG) on metaverse</w:t>
      </w:r>
    </w:p>
    <w:p w14:paraId="0DD648D5"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IEEE-SA Metaverse Standards Committee</w:t>
      </w:r>
    </w:p>
    <w:p w14:paraId="70B4BD09"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IEEE Computer Society SAB SC Metaverse SG (MSG)</w:t>
      </w:r>
    </w:p>
    <w:p w14:paraId="60C5022C"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W3C (Open) Metaverse Interoperability (OMI) Community Group</w:t>
      </w:r>
    </w:p>
    <w:p w14:paraId="00F12E3A"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IETF</w:t>
      </w:r>
    </w:p>
    <w:p w14:paraId="3F870B30"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ETSI ISG Augmented Reality Framework</w:t>
      </w:r>
    </w:p>
    <w:p w14:paraId="3AC4F90B"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3GPP SA</w:t>
      </w:r>
    </w:p>
    <w:p w14:paraId="319300AD" w14:textId="77777777" w:rsidR="001E224F" w:rsidRPr="001E224F" w:rsidRDefault="001E224F" w:rsidP="001E224F">
      <w:pPr>
        <w:numPr>
          <w:ilvl w:val="0"/>
          <w:numId w:val="26"/>
        </w:numPr>
        <w:tabs>
          <w:tab w:val="clear" w:pos="794"/>
          <w:tab w:val="clear" w:pos="1191"/>
          <w:tab w:val="clear" w:pos="1588"/>
          <w:tab w:val="clear" w:pos="1985"/>
        </w:tabs>
        <w:ind w:left="567" w:hanging="567"/>
        <w:rPr>
          <w:rFonts w:asciiTheme="minorHAnsi" w:hAnsiTheme="minorHAnsi" w:cstheme="minorHAnsi"/>
          <w:sz w:val="22"/>
          <w:szCs w:val="22"/>
        </w:rPr>
      </w:pPr>
      <w:r w:rsidRPr="001E224F">
        <w:rPr>
          <w:rFonts w:asciiTheme="minorHAnsi" w:hAnsiTheme="minorHAnsi" w:cstheme="minorHAnsi"/>
          <w:sz w:val="22"/>
          <w:szCs w:val="22"/>
        </w:rPr>
        <w:t>Metaverse Standardization Forum (MSF)</w:t>
      </w:r>
    </w:p>
    <w:p w14:paraId="6F8DB2FA"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5</w:t>
      </w:r>
      <w:r w:rsidRPr="001E224F">
        <w:rPr>
          <w:rFonts w:asciiTheme="minorHAnsi" w:hAnsiTheme="minorHAnsi" w:cstheme="minorHAnsi"/>
          <w:sz w:val="22"/>
          <w:szCs w:val="22"/>
        </w:rPr>
        <w:tab/>
        <w:t>Structure</w:t>
      </w:r>
    </w:p>
    <w:p w14:paraId="2A1821A0"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Focus Group may establish sub-groups if needed.</w:t>
      </w:r>
    </w:p>
    <w:p w14:paraId="7ACEB3E3"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6</w:t>
      </w:r>
      <w:r w:rsidRPr="001E224F">
        <w:rPr>
          <w:rFonts w:asciiTheme="minorHAnsi" w:hAnsiTheme="minorHAnsi" w:cstheme="minorHAnsi"/>
          <w:sz w:val="22"/>
          <w:szCs w:val="22"/>
        </w:rPr>
        <w:tab/>
        <w:t>Parent group</w:t>
      </w:r>
    </w:p>
    <w:p w14:paraId="66D81794" w14:textId="77777777" w:rsidR="001E224F" w:rsidRPr="001E224F" w:rsidRDefault="001E224F" w:rsidP="001E224F">
      <w:pPr>
        <w:pStyle w:val="NormalWeb"/>
        <w:rPr>
          <w:rFonts w:asciiTheme="minorHAnsi" w:hAnsiTheme="minorHAnsi" w:cstheme="minorHAnsi"/>
          <w:sz w:val="22"/>
          <w:szCs w:val="22"/>
        </w:rPr>
      </w:pPr>
      <w:r w:rsidRPr="001E224F">
        <w:rPr>
          <w:rFonts w:asciiTheme="minorHAnsi" w:hAnsiTheme="minorHAnsi" w:cstheme="minorHAnsi"/>
          <w:sz w:val="22"/>
          <w:szCs w:val="22"/>
        </w:rPr>
        <w:t>The parent group of the Focus Group is TSAG.</w:t>
      </w:r>
    </w:p>
    <w:p w14:paraId="0B0D7C62"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7</w:t>
      </w:r>
      <w:r w:rsidRPr="001E224F">
        <w:rPr>
          <w:rFonts w:asciiTheme="minorHAnsi" w:hAnsiTheme="minorHAnsi" w:cstheme="minorHAnsi"/>
          <w:sz w:val="22"/>
          <w:szCs w:val="22"/>
        </w:rPr>
        <w:tab/>
        <w:t>Leadership</w:t>
      </w:r>
    </w:p>
    <w:p w14:paraId="1F69797F"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See clause 2.3 of Recommendation ITU-T A.7.</w:t>
      </w:r>
    </w:p>
    <w:p w14:paraId="2C66B1F6"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8</w:t>
      </w:r>
      <w:r w:rsidRPr="001E224F">
        <w:rPr>
          <w:rFonts w:asciiTheme="minorHAnsi" w:hAnsiTheme="minorHAnsi" w:cstheme="minorHAnsi"/>
          <w:sz w:val="22"/>
          <w:szCs w:val="22"/>
        </w:rPr>
        <w:tab/>
        <w:t>Participation</w:t>
      </w:r>
    </w:p>
    <w:p w14:paraId="7AC60660" w14:textId="77777777" w:rsidR="001E224F" w:rsidRPr="001E224F" w:rsidRDefault="001E224F" w:rsidP="001E224F">
      <w:pPr>
        <w:rPr>
          <w:rFonts w:asciiTheme="minorHAnsi" w:eastAsia="MS Mincho" w:hAnsiTheme="minorHAnsi" w:cstheme="minorHAnsi"/>
          <w:sz w:val="22"/>
          <w:szCs w:val="22"/>
        </w:rPr>
      </w:pPr>
      <w:r w:rsidRPr="001E224F">
        <w:rPr>
          <w:rFonts w:asciiTheme="minorHAnsi" w:hAnsiTheme="minorHAnsi" w:cstheme="minorHAnsi"/>
          <w:sz w:val="22"/>
          <w:szCs w:val="22"/>
        </w:rPr>
        <w:t>See clause 3 of Recommendation ITU-T A.7. A list of participants will be maintained for reference purposes and reported to the parent group.</w:t>
      </w:r>
    </w:p>
    <w:p w14:paraId="19EF932E"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9</w:t>
      </w:r>
      <w:r w:rsidRPr="001E224F">
        <w:rPr>
          <w:rFonts w:asciiTheme="minorHAnsi" w:hAnsiTheme="minorHAnsi" w:cstheme="minorHAnsi"/>
          <w:sz w:val="22"/>
          <w:szCs w:val="22"/>
        </w:rPr>
        <w:tab/>
        <w:t xml:space="preserve">Administrative </w:t>
      </w:r>
      <w:proofErr w:type="gramStart"/>
      <w:r w:rsidRPr="001E224F">
        <w:rPr>
          <w:rFonts w:asciiTheme="minorHAnsi" w:hAnsiTheme="minorHAnsi" w:cstheme="minorHAnsi"/>
          <w:sz w:val="22"/>
          <w:szCs w:val="22"/>
        </w:rPr>
        <w:t>support</w:t>
      </w:r>
      <w:proofErr w:type="gramEnd"/>
    </w:p>
    <w:p w14:paraId="16EDFA65"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See clause 5 of Recommendation ITU-T A.7.</w:t>
      </w:r>
    </w:p>
    <w:p w14:paraId="42ABAE63"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lastRenderedPageBreak/>
        <w:t>10</w:t>
      </w:r>
      <w:r w:rsidRPr="001E224F">
        <w:rPr>
          <w:rFonts w:asciiTheme="minorHAnsi" w:hAnsiTheme="minorHAnsi" w:cstheme="minorHAnsi"/>
          <w:sz w:val="22"/>
          <w:szCs w:val="22"/>
        </w:rPr>
        <w:tab/>
        <w:t>General financing</w:t>
      </w:r>
    </w:p>
    <w:p w14:paraId="4F4DE08F" w14:textId="77777777" w:rsidR="001E224F" w:rsidRPr="001E224F" w:rsidRDefault="001E224F" w:rsidP="001E224F">
      <w:pPr>
        <w:rPr>
          <w:rFonts w:asciiTheme="minorHAnsi" w:eastAsia="MS Mincho" w:hAnsiTheme="minorHAnsi" w:cstheme="minorHAnsi"/>
          <w:sz w:val="22"/>
          <w:szCs w:val="22"/>
        </w:rPr>
      </w:pPr>
      <w:r w:rsidRPr="001E224F">
        <w:rPr>
          <w:rFonts w:asciiTheme="minorHAnsi" w:hAnsiTheme="minorHAnsi" w:cstheme="minorHAnsi"/>
          <w:sz w:val="22"/>
          <w:szCs w:val="22"/>
        </w:rPr>
        <w:t>See clauses 4 and 10.2 of Recommendation ITU-T A.7.</w:t>
      </w:r>
    </w:p>
    <w:p w14:paraId="79ACAA8F"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11</w:t>
      </w:r>
      <w:r w:rsidRPr="001E224F">
        <w:rPr>
          <w:rFonts w:asciiTheme="minorHAnsi" w:hAnsiTheme="minorHAnsi" w:cstheme="minorHAnsi"/>
          <w:sz w:val="22"/>
          <w:szCs w:val="22"/>
        </w:rPr>
        <w:tab/>
        <w:t>Meetings</w:t>
      </w:r>
    </w:p>
    <w:p w14:paraId="70181D44"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w:t>
      </w:r>
    </w:p>
    <w:p w14:paraId="6827BA81"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meeting dates will be announced by electronic means (e.g., e-mail and website, etc.) at least four weeks in advance.</w:t>
      </w:r>
    </w:p>
    <w:p w14:paraId="572AC9FE"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12</w:t>
      </w:r>
      <w:r w:rsidRPr="001E224F">
        <w:rPr>
          <w:rFonts w:asciiTheme="minorHAnsi" w:hAnsiTheme="minorHAnsi" w:cstheme="minorHAnsi"/>
          <w:sz w:val="22"/>
          <w:szCs w:val="22"/>
        </w:rPr>
        <w:tab/>
        <w:t>Technical contributions</w:t>
      </w:r>
    </w:p>
    <w:p w14:paraId="1F93FB07"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See clause 8 of Recommendation ITU-T A.7.</w:t>
      </w:r>
    </w:p>
    <w:p w14:paraId="0B1208A6"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13</w:t>
      </w:r>
      <w:r w:rsidRPr="001E224F">
        <w:rPr>
          <w:rFonts w:asciiTheme="minorHAnsi" w:hAnsiTheme="minorHAnsi" w:cstheme="minorHAnsi"/>
          <w:sz w:val="22"/>
          <w:szCs w:val="22"/>
        </w:rPr>
        <w:tab/>
        <w:t>Working language</w:t>
      </w:r>
    </w:p>
    <w:p w14:paraId="4DE27842"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working language is English.</w:t>
      </w:r>
    </w:p>
    <w:p w14:paraId="042C5F69"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14</w:t>
      </w:r>
      <w:r w:rsidRPr="001E224F">
        <w:rPr>
          <w:rFonts w:asciiTheme="minorHAnsi" w:hAnsiTheme="minorHAnsi" w:cstheme="minorHAnsi"/>
          <w:sz w:val="22"/>
          <w:szCs w:val="22"/>
        </w:rPr>
        <w:tab/>
        <w:t>Approval of deliverables</w:t>
      </w:r>
    </w:p>
    <w:p w14:paraId="3554F40B"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Approval of deliverables shall be taken by consensus.</w:t>
      </w:r>
    </w:p>
    <w:p w14:paraId="17232CFB"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15</w:t>
      </w:r>
      <w:r w:rsidRPr="001E224F">
        <w:rPr>
          <w:rFonts w:asciiTheme="minorHAnsi" w:hAnsiTheme="minorHAnsi" w:cstheme="minorHAnsi"/>
          <w:sz w:val="22"/>
          <w:szCs w:val="22"/>
        </w:rPr>
        <w:tab/>
        <w:t>Working guidelines</w:t>
      </w:r>
    </w:p>
    <w:p w14:paraId="3B814AA3"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Working procedures shall follow the procedures of Rapporteur meetings. No additional working guidelines are defined.</w:t>
      </w:r>
    </w:p>
    <w:p w14:paraId="6A19248E"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16</w:t>
      </w:r>
      <w:r w:rsidRPr="001E224F">
        <w:rPr>
          <w:rFonts w:asciiTheme="minorHAnsi" w:hAnsiTheme="minorHAnsi" w:cstheme="minorHAnsi"/>
          <w:sz w:val="22"/>
          <w:szCs w:val="22"/>
        </w:rPr>
        <w:tab/>
        <w:t>Progress reports</w:t>
      </w:r>
    </w:p>
    <w:p w14:paraId="619C5784" w14:textId="77777777" w:rsidR="001E224F" w:rsidRPr="001E224F" w:rsidRDefault="001E224F" w:rsidP="001E224F">
      <w:pPr>
        <w:rPr>
          <w:rFonts w:asciiTheme="minorHAnsi" w:eastAsia="MS Mincho" w:hAnsiTheme="minorHAnsi" w:cstheme="minorHAnsi"/>
          <w:sz w:val="22"/>
          <w:szCs w:val="22"/>
        </w:rPr>
      </w:pPr>
      <w:r w:rsidRPr="001E224F">
        <w:rPr>
          <w:rFonts w:asciiTheme="minorHAnsi" w:hAnsiTheme="minorHAnsi" w:cstheme="minorHAnsi"/>
          <w:sz w:val="22"/>
          <w:szCs w:val="22"/>
        </w:rPr>
        <w:t>See clause 11 of Recommendation ITU-T A.7.</w:t>
      </w:r>
    </w:p>
    <w:p w14:paraId="45D64D6D"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17</w:t>
      </w:r>
      <w:r w:rsidRPr="001E224F">
        <w:rPr>
          <w:rFonts w:asciiTheme="minorHAnsi" w:hAnsiTheme="minorHAnsi" w:cstheme="minorHAnsi"/>
          <w:sz w:val="22"/>
          <w:szCs w:val="22"/>
        </w:rPr>
        <w:tab/>
        <w:t>Announcement of Focus Group formation</w:t>
      </w:r>
    </w:p>
    <w:p w14:paraId="49652CB5"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formation of the Focus Group will be announced via TSB Circular to all ITU membership, via the ITU-T News log, press releases and other means, including communication with the other involved organizations.</w:t>
      </w:r>
    </w:p>
    <w:p w14:paraId="4970FAFD"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18</w:t>
      </w:r>
      <w:r w:rsidRPr="001E224F">
        <w:rPr>
          <w:rFonts w:asciiTheme="minorHAnsi" w:hAnsiTheme="minorHAnsi" w:cstheme="minorHAnsi"/>
          <w:sz w:val="22"/>
          <w:szCs w:val="22"/>
        </w:rPr>
        <w:tab/>
        <w:t>Milestones and duration of the Focus Group</w:t>
      </w:r>
    </w:p>
    <w:p w14:paraId="0E599095"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The Focus Group lifetime is set for one year from the first meeting with possibility of extension.</w:t>
      </w:r>
    </w:p>
    <w:p w14:paraId="1D0C6159"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Any extension beyond the above-mentioned date is subject to the decision by TSAG, in line with ITU-T A.7.</w:t>
      </w:r>
    </w:p>
    <w:p w14:paraId="7EFF562A" w14:textId="77777777" w:rsidR="001E224F" w:rsidRPr="001E224F" w:rsidRDefault="001E224F" w:rsidP="001E224F">
      <w:pPr>
        <w:pStyle w:val="Headingb"/>
        <w:rPr>
          <w:rFonts w:asciiTheme="minorHAnsi" w:hAnsiTheme="minorHAnsi" w:cstheme="minorHAnsi"/>
          <w:sz w:val="22"/>
          <w:szCs w:val="22"/>
        </w:rPr>
      </w:pPr>
      <w:r w:rsidRPr="001E224F">
        <w:rPr>
          <w:rFonts w:asciiTheme="minorHAnsi" w:hAnsiTheme="minorHAnsi" w:cstheme="minorHAnsi"/>
          <w:sz w:val="22"/>
          <w:szCs w:val="22"/>
        </w:rPr>
        <w:t>19</w:t>
      </w:r>
      <w:r w:rsidRPr="001E224F">
        <w:rPr>
          <w:rFonts w:asciiTheme="minorHAnsi" w:hAnsiTheme="minorHAnsi" w:cstheme="minorHAnsi"/>
          <w:sz w:val="22"/>
          <w:szCs w:val="22"/>
        </w:rPr>
        <w:tab/>
        <w:t>Patent policy</w:t>
      </w:r>
    </w:p>
    <w:p w14:paraId="24998A5C" w14:textId="77777777" w:rsidR="001E224F" w:rsidRPr="001E224F" w:rsidRDefault="001E224F" w:rsidP="001E224F">
      <w:pPr>
        <w:rPr>
          <w:rFonts w:asciiTheme="minorHAnsi" w:hAnsiTheme="minorHAnsi" w:cstheme="minorHAnsi"/>
          <w:sz w:val="22"/>
          <w:szCs w:val="22"/>
        </w:rPr>
      </w:pPr>
      <w:r w:rsidRPr="001E224F">
        <w:rPr>
          <w:rFonts w:asciiTheme="minorHAnsi" w:hAnsiTheme="minorHAnsi" w:cstheme="minorHAnsi"/>
          <w:sz w:val="22"/>
          <w:szCs w:val="22"/>
        </w:rPr>
        <w:t>See clause 9 of Recommendation ITU-T A.7.</w:t>
      </w:r>
    </w:p>
    <w:p w14:paraId="7EDC7E06" w14:textId="0351BDDD" w:rsidR="00E870E2" w:rsidRPr="00C1429C" w:rsidRDefault="00E870E2" w:rsidP="001E224F">
      <w:pPr>
        <w:jc w:val="center"/>
        <w:rPr>
          <w:rFonts w:asciiTheme="minorHAnsi" w:hAnsiTheme="minorHAnsi" w:cstheme="minorHAnsi"/>
          <w:sz w:val="22"/>
          <w:szCs w:val="22"/>
        </w:rPr>
      </w:pPr>
      <w:r w:rsidRPr="00350C1F">
        <w:rPr>
          <w:rFonts w:eastAsiaTheme="minorEastAsia" w:cs="Calibri"/>
          <w:sz w:val="22"/>
          <w:szCs w:val="22"/>
          <w:lang w:eastAsia="ja-JP"/>
        </w:rPr>
        <w:t>____________________</w:t>
      </w:r>
    </w:p>
    <w:sectPr w:rsidR="00E870E2" w:rsidRPr="00C1429C" w:rsidSect="00C24502">
      <w:headerReference w:type="default" r:id="rId22"/>
      <w:footerReference w:type="first" r:id="rId23"/>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564E" w14:textId="77777777" w:rsidR="00AF1DE9" w:rsidRDefault="00AF1DE9">
      <w:r>
        <w:separator/>
      </w:r>
    </w:p>
  </w:endnote>
  <w:endnote w:type="continuationSeparator" w:id="0">
    <w:p w14:paraId="73F4F3CF" w14:textId="77777777" w:rsidR="00AF1DE9" w:rsidRDefault="00AF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1C93" w14:textId="77777777" w:rsidR="00AF1DE9" w:rsidRDefault="00AF1DE9">
      <w:r>
        <w:t>____________________</w:t>
      </w:r>
    </w:p>
  </w:footnote>
  <w:footnote w:type="continuationSeparator" w:id="0">
    <w:p w14:paraId="1BD279FC" w14:textId="77777777" w:rsidR="00AF1DE9" w:rsidRDefault="00AF1DE9">
      <w:r>
        <w:continuationSeparator/>
      </w:r>
    </w:p>
  </w:footnote>
  <w:footnote w:id="1">
    <w:p w14:paraId="315DC410" w14:textId="77777777" w:rsidR="001E224F" w:rsidRPr="00C62FCF" w:rsidRDefault="001E224F" w:rsidP="001E224F">
      <w:pPr>
        <w:pStyle w:val="FootnoteText"/>
        <w:rPr>
          <w:lang w:val="en-US"/>
        </w:rPr>
      </w:pPr>
      <w:r w:rsidRPr="00D95921">
        <w:rPr>
          <w:rStyle w:val="FootnoteReference"/>
          <w:sz w:val="12"/>
          <w:szCs w:val="14"/>
        </w:rPr>
        <w:footnoteRef/>
      </w:r>
      <w:r w:rsidRPr="00D95921">
        <w:rPr>
          <w:sz w:val="18"/>
          <w:szCs w:val="14"/>
        </w:rPr>
        <w:t xml:space="preserve"> </w:t>
      </w:r>
      <w:hyperlink r:id="rId1" w:history="1">
        <w:r w:rsidRPr="00D95921">
          <w:rPr>
            <w:rStyle w:val="Hyperlink"/>
            <w:sz w:val="18"/>
            <w:szCs w:val="14"/>
          </w:rPr>
          <w:t>https://www.bloomberg.com/professional/blog/metaverse-may-be-800-billion-market-next-tech-platform/</w:t>
        </w:r>
      </w:hyperlink>
      <w:r w:rsidRPr="00D95921">
        <w:rPr>
          <w:sz w:val="18"/>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1205493A"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787B26">
      <w:rPr>
        <w:noProof/>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90224">
    <w:abstractNumId w:val="9"/>
  </w:num>
  <w:num w:numId="2" w16cid:durableId="1583416746">
    <w:abstractNumId w:val="7"/>
  </w:num>
  <w:num w:numId="3" w16cid:durableId="2021155601">
    <w:abstractNumId w:val="6"/>
  </w:num>
  <w:num w:numId="4" w16cid:durableId="73170365">
    <w:abstractNumId w:val="5"/>
  </w:num>
  <w:num w:numId="5" w16cid:durableId="764152136">
    <w:abstractNumId w:val="4"/>
  </w:num>
  <w:num w:numId="6" w16cid:durableId="897284385">
    <w:abstractNumId w:val="8"/>
  </w:num>
  <w:num w:numId="7" w16cid:durableId="716899370">
    <w:abstractNumId w:val="3"/>
  </w:num>
  <w:num w:numId="8" w16cid:durableId="373045669">
    <w:abstractNumId w:val="2"/>
  </w:num>
  <w:num w:numId="9" w16cid:durableId="2016107181">
    <w:abstractNumId w:val="1"/>
  </w:num>
  <w:num w:numId="10" w16cid:durableId="1615821364">
    <w:abstractNumId w:val="0"/>
  </w:num>
  <w:num w:numId="11" w16cid:durableId="24792855">
    <w:abstractNumId w:val="14"/>
  </w:num>
  <w:num w:numId="12" w16cid:durableId="1229920914">
    <w:abstractNumId w:val="31"/>
  </w:num>
  <w:num w:numId="13" w16cid:durableId="911164175">
    <w:abstractNumId w:val="27"/>
  </w:num>
  <w:num w:numId="14" w16cid:durableId="938639230">
    <w:abstractNumId w:val="15"/>
  </w:num>
  <w:num w:numId="15" w16cid:durableId="1320305922">
    <w:abstractNumId w:val="11"/>
  </w:num>
  <w:num w:numId="16" w16cid:durableId="557477774">
    <w:abstractNumId w:val="13"/>
  </w:num>
  <w:num w:numId="17" w16cid:durableId="1647322298">
    <w:abstractNumId w:val="20"/>
  </w:num>
  <w:num w:numId="18" w16cid:durableId="1769229339">
    <w:abstractNumId w:val="29"/>
  </w:num>
  <w:num w:numId="19" w16cid:durableId="364453697">
    <w:abstractNumId w:val="28"/>
  </w:num>
  <w:num w:numId="20" w16cid:durableId="201094465">
    <w:abstractNumId w:val="19"/>
  </w:num>
  <w:num w:numId="21" w16cid:durableId="1660573812">
    <w:abstractNumId w:val="26"/>
  </w:num>
  <w:num w:numId="22" w16cid:durableId="105663965">
    <w:abstractNumId w:val="21"/>
  </w:num>
  <w:num w:numId="23" w16cid:durableId="251479151">
    <w:abstractNumId w:val="23"/>
  </w:num>
  <w:num w:numId="24" w16cid:durableId="1621915932">
    <w:abstractNumId w:val="16"/>
  </w:num>
  <w:num w:numId="25" w16cid:durableId="923610459">
    <w:abstractNumId w:val="24"/>
  </w:num>
  <w:num w:numId="26" w16cid:durableId="98255084">
    <w:abstractNumId w:val="10"/>
  </w:num>
  <w:num w:numId="27" w16cid:durableId="1728841027">
    <w:abstractNumId w:val="17"/>
  </w:num>
  <w:num w:numId="28" w16cid:durableId="2057243541">
    <w:abstractNumId w:val="30"/>
  </w:num>
  <w:num w:numId="29" w16cid:durableId="2073887254">
    <w:abstractNumId w:val="25"/>
  </w:num>
  <w:num w:numId="30" w16cid:durableId="845897454">
    <w:abstractNumId w:val="22"/>
  </w:num>
  <w:num w:numId="31" w16cid:durableId="251938965">
    <w:abstractNumId w:val="12"/>
  </w:num>
  <w:num w:numId="32" w16cid:durableId="167982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E6B"/>
    <w:rsid w:val="00033AB7"/>
    <w:rsid w:val="00042695"/>
    <w:rsid w:val="00043834"/>
    <w:rsid w:val="00060DA5"/>
    <w:rsid w:val="00074B3E"/>
    <w:rsid w:val="000939D4"/>
    <w:rsid w:val="0009680B"/>
    <w:rsid w:val="000A04D9"/>
    <w:rsid w:val="000A067F"/>
    <w:rsid w:val="000A0F2B"/>
    <w:rsid w:val="000A2136"/>
    <w:rsid w:val="000B15C8"/>
    <w:rsid w:val="000B2E87"/>
    <w:rsid w:val="000D14FF"/>
    <w:rsid w:val="000D7910"/>
    <w:rsid w:val="000F0641"/>
    <w:rsid w:val="001018B0"/>
    <w:rsid w:val="001018E1"/>
    <w:rsid w:val="00110B55"/>
    <w:rsid w:val="00112F37"/>
    <w:rsid w:val="00114254"/>
    <w:rsid w:val="0012746A"/>
    <w:rsid w:val="00132509"/>
    <w:rsid w:val="00160D56"/>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692B"/>
    <w:rsid w:val="001F6BF6"/>
    <w:rsid w:val="00205749"/>
    <w:rsid w:val="00212790"/>
    <w:rsid w:val="00212B83"/>
    <w:rsid w:val="00215C27"/>
    <w:rsid w:val="002164A6"/>
    <w:rsid w:val="00230030"/>
    <w:rsid w:val="00252B86"/>
    <w:rsid w:val="00254274"/>
    <w:rsid w:val="00254923"/>
    <w:rsid w:val="00256361"/>
    <w:rsid w:val="00287163"/>
    <w:rsid w:val="002931E2"/>
    <w:rsid w:val="002B52D9"/>
    <w:rsid w:val="002C3404"/>
    <w:rsid w:val="002C4CD5"/>
    <w:rsid w:val="002E6544"/>
    <w:rsid w:val="002F7968"/>
    <w:rsid w:val="003041C0"/>
    <w:rsid w:val="00315BC8"/>
    <w:rsid w:val="00316EFA"/>
    <w:rsid w:val="00327E67"/>
    <w:rsid w:val="00343697"/>
    <w:rsid w:val="003437E1"/>
    <w:rsid w:val="00345F16"/>
    <w:rsid w:val="00350C1F"/>
    <w:rsid w:val="003554E3"/>
    <w:rsid w:val="00356B73"/>
    <w:rsid w:val="00367771"/>
    <w:rsid w:val="00373A98"/>
    <w:rsid w:val="003746A5"/>
    <w:rsid w:val="00395F32"/>
    <w:rsid w:val="003A4E2A"/>
    <w:rsid w:val="003B0EDF"/>
    <w:rsid w:val="003B3AC7"/>
    <w:rsid w:val="003C79F3"/>
    <w:rsid w:val="003D4690"/>
    <w:rsid w:val="003D589A"/>
    <w:rsid w:val="003E0708"/>
    <w:rsid w:val="0040270C"/>
    <w:rsid w:val="00403B9F"/>
    <w:rsid w:val="0043177D"/>
    <w:rsid w:val="00432A54"/>
    <w:rsid w:val="004330D3"/>
    <w:rsid w:val="00433A8E"/>
    <w:rsid w:val="004424D8"/>
    <w:rsid w:val="004426C0"/>
    <w:rsid w:val="00453CEA"/>
    <w:rsid w:val="00455B93"/>
    <w:rsid w:val="0046334C"/>
    <w:rsid w:val="004778EE"/>
    <w:rsid w:val="00482C4F"/>
    <w:rsid w:val="004834BB"/>
    <w:rsid w:val="00483568"/>
    <w:rsid w:val="00487330"/>
    <w:rsid w:val="004A52A9"/>
    <w:rsid w:val="004B377E"/>
    <w:rsid w:val="004C6429"/>
    <w:rsid w:val="004D1B7D"/>
    <w:rsid w:val="004D20F7"/>
    <w:rsid w:val="004D22D2"/>
    <w:rsid w:val="004D60F3"/>
    <w:rsid w:val="004E7530"/>
    <w:rsid w:val="004F349F"/>
    <w:rsid w:val="0050096F"/>
    <w:rsid w:val="005013F3"/>
    <w:rsid w:val="00503ADB"/>
    <w:rsid w:val="00514B65"/>
    <w:rsid w:val="00532365"/>
    <w:rsid w:val="00547D6A"/>
    <w:rsid w:val="00560C97"/>
    <w:rsid w:val="00561EFB"/>
    <w:rsid w:val="0056750D"/>
    <w:rsid w:val="005B0A85"/>
    <w:rsid w:val="005C05C7"/>
    <w:rsid w:val="005C3596"/>
    <w:rsid w:val="005D3B65"/>
    <w:rsid w:val="005D7C28"/>
    <w:rsid w:val="005E003C"/>
    <w:rsid w:val="005E7145"/>
    <w:rsid w:val="005F3818"/>
    <w:rsid w:val="00602FBB"/>
    <w:rsid w:val="0060352E"/>
    <w:rsid w:val="00604605"/>
    <w:rsid w:val="00620E07"/>
    <w:rsid w:val="006250F8"/>
    <w:rsid w:val="006335A4"/>
    <w:rsid w:val="006456EA"/>
    <w:rsid w:val="0065423B"/>
    <w:rsid w:val="0068014A"/>
    <w:rsid w:val="00696239"/>
    <w:rsid w:val="006B74DE"/>
    <w:rsid w:val="006C09B9"/>
    <w:rsid w:val="006D0234"/>
    <w:rsid w:val="006E04C0"/>
    <w:rsid w:val="006E4B4C"/>
    <w:rsid w:val="006F717F"/>
    <w:rsid w:val="0071000B"/>
    <w:rsid w:val="00712E5C"/>
    <w:rsid w:val="007231B6"/>
    <w:rsid w:val="00726301"/>
    <w:rsid w:val="00730A58"/>
    <w:rsid w:val="0075708A"/>
    <w:rsid w:val="00764B6B"/>
    <w:rsid w:val="00765C34"/>
    <w:rsid w:val="0078477D"/>
    <w:rsid w:val="0078517F"/>
    <w:rsid w:val="00787B26"/>
    <w:rsid w:val="00797425"/>
    <w:rsid w:val="0079763E"/>
    <w:rsid w:val="007A148E"/>
    <w:rsid w:val="007A42DD"/>
    <w:rsid w:val="007A65E8"/>
    <w:rsid w:val="007C4AFD"/>
    <w:rsid w:val="007D2694"/>
    <w:rsid w:val="007D39A4"/>
    <w:rsid w:val="007D3F9A"/>
    <w:rsid w:val="007F648C"/>
    <w:rsid w:val="00811B5A"/>
    <w:rsid w:val="008326E9"/>
    <w:rsid w:val="0083545D"/>
    <w:rsid w:val="008413AB"/>
    <w:rsid w:val="00843033"/>
    <w:rsid w:val="0084321D"/>
    <w:rsid w:val="008545C9"/>
    <w:rsid w:val="008561CB"/>
    <w:rsid w:val="008570EC"/>
    <w:rsid w:val="00863F6D"/>
    <w:rsid w:val="00872258"/>
    <w:rsid w:val="00872354"/>
    <w:rsid w:val="00880F4A"/>
    <w:rsid w:val="00885266"/>
    <w:rsid w:val="00897C26"/>
    <w:rsid w:val="00897C5C"/>
    <w:rsid w:val="008A52F0"/>
    <w:rsid w:val="008B1D19"/>
    <w:rsid w:val="008B6792"/>
    <w:rsid w:val="008C026D"/>
    <w:rsid w:val="008C03F5"/>
    <w:rsid w:val="008C4331"/>
    <w:rsid w:val="008D1B7A"/>
    <w:rsid w:val="008E70CB"/>
    <w:rsid w:val="009146F7"/>
    <w:rsid w:val="009229C5"/>
    <w:rsid w:val="00927E01"/>
    <w:rsid w:val="00935B10"/>
    <w:rsid w:val="0094351A"/>
    <w:rsid w:val="0094780C"/>
    <w:rsid w:val="00963900"/>
    <w:rsid w:val="009747C5"/>
    <w:rsid w:val="009749CC"/>
    <w:rsid w:val="00991FE8"/>
    <w:rsid w:val="009A1C5C"/>
    <w:rsid w:val="009A6073"/>
    <w:rsid w:val="009B1923"/>
    <w:rsid w:val="009B2EB5"/>
    <w:rsid w:val="009B58FE"/>
    <w:rsid w:val="009B7639"/>
    <w:rsid w:val="009C039A"/>
    <w:rsid w:val="009F42C6"/>
    <w:rsid w:val="00A007AC"/>
    <w:rsid w:val="00A02C14"/>
    <w:rsid w:val="00A0519C"/>
    <w:rsid w:val="00A07BF4"/>
    <w:rsid w:val="00A12220"/>
    <w:rsid w:val="00A21BD6"/>
    <w:rsid w:val="00A40483"/>
    <w:rsid w:val="00A420A9"/>
    <w:rsid w:val="00A67087"/>
    <w:rsid w:val="00A72C30"/>
    <w:rsid w:val="00A863FB"/>
    <w:rsid w:val="00AC33EB"/>
    <w:rsid w:val="00AC37FC"/>
    <w:rsid w:val="00AC418F"/>
    <w:rsid w:val="00AC5B63"/>
    <w:rsid w:val="00AD413B"/>
    <w:rsid w:val="00AD7724"/>
    <w:rsid w:val="00AE13DA"/>
    <w:rsid w:val="00AE60AC"/>
    <w:rsid w:val="00AF1DE9"/>
    <w:rsid w:val="00AF5F88"/>
    <w:rsid w:val="00B01E48"/>
    <w:rsid w:val="00B04B33"/>
    <w:rsid w:val="00B128D3"/>
    <w:rsid w:val="00B2488F"/>
    <w:rsid w:val="00B376F5"/>
    <w:rsid w:val="00B3794A"/>
    <w:rsid w:val="00B44D24"/>
    <w:rsid w:val="00B4669D"/>
    <w:rsid w:val="00B57FE0"/>
    <w:rsid w:val="00B61012"/>
    <w:rsid w:val="00B73030"/>
    <w:rsid w:val="00B73C85"/>
    <w:rsid w:val="00B77587"/>
    <w:rsid w:val="00BA1798"/>
    <w:rsid w:val="00BA79DA"/>
    <w:rsid w:val="00BC7342"/>
    <w:rsid w:val="00BD0C4A"/>
    <w:rsid w:val="00BD7344"/>
    <w:rsid w:val="00BF30CA"/>
    <w:rsid w:val="00C03E72"/>
    <w:rsid w:val="00C04FC4"/>
    <w:rsid w:val="00C06AC4"/>
    <w:rsid w:val="00C1429C"/>
    <w:rsid w:val="00C224B3"/>
    <w:rsid w:val="00C24502"/>
    <w:rsid w:val="00C247CC"/>
    <w:rsid w:val="00C277F1"/>
    <w:rsid w:val="00C3120F"/>
    <w:rsid w:val="00C32C5E"/>
    <w:rsid w:val="00C36438"/>
    <w:rsid w:val="00C54615"/>
    <w:rsid w:val="00C558F1"/>
    <w:rsid w:val="00C64069"/>
    <w:rsid w:val="00C640E1"/>
    <w:rsid w:val="00C70C6A"/>
    <w:rsid w:val="00C73EC6"/>
    <w:rsid w:val="00C95BF6"/>
    <w:rsid w:val="00CA45C9"/>
    <w:rsid w:val="00CA5862"/>
    <w:rsid w:val="00CA7813"/>
    <w:rsid w:val="00CB024A"/>
    <w:rsid w:val="00CB697A"/>
    <w:rsid w:val="00CE5631"/>
    <w:rsid w:val="00CF0C00"/>
    <w:rsid w:val="00CF3AF8"/>
    <w:rsid w:val="00D13D7C"/>
    <w:rsid w:val="00D1681C"/>
    <w:rsid w:val="00D1744D"/>
    <w:rsid w:val="00D178C5"/>
    <w:rsid w:val="00D250AA"/>
    <w:rsid w:val="00D42E8A"/>
    <w:rsid w:val="00D52252"/>
    <w:rsid w:val="00D62702"/>
    <w:rsid w:val="00D63E62"/>
    <w:rsid w:val="00D65EA5"/>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E01F0F"/>
    <w:rsid w:val="00E071A8"/>
    <w:rsid w:val="00E22B7D"/>
    <w:rsid w:val="00E265FA"/>
    <w:rsid w:val="00E2756D"/>
    <w:rsid w:val="00E37FD1"/>
    <w:rsid w:val="00E500BB"/>
    <w:rsid w:val="00E623F2"/>
    <w:rsid w:val="00E6542F"/>
    <w:rsid w:val="00E72571"/>
    <w:rsid w:val="00E72F9B"/>
    <w:rsid w:val="00E847C0"/>
    <w:rsid w:val="00E870E2"/>
    <w:rsid w:val="00EA017C"/>
    <w:rsid w:val="00EA2114"/>
    <w:rsid w:val="00EA76D5"/>
    <w:rsid w:val="00EA79B7"/>
    <w:rsid w:val="00EC15F4"/>
    <w:rsid w:val="00EC74F6"/>
    <w:rsid w:val="00EE07E9"/>
    <w:rsid w:val="00EE61C5"/>
    <w:rsid w:val="00F0302E"/>
    <w:rsid w:val="00F05C4F"/>
    <w:rsid w:val="00F116FE"/>
    <w:rsid w:val="00F1762C"/>
    <w:rsid w:val="00F2168F"/>
    <w:rsid w:val="00F22314"/>
    <w:rsid w:val="00F26216"/>
    <w:rsid w:val="00F56BA0"/>
    <w:rsid w:val="00F66E70"/>
    <w:rsid w:val="00F74CD4"/>
    <w:rsid w:val="00F85DAD"/>
    <w:rsid w:val="00F90F2C"/>
    <w:rsid w:val="00F94884"/>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mv@itu.int" TargetMode="External"/><Relationship Id="rId13" Type="http://schemas.openxmlformats.org/officeDocument/2006/relationships/hyperlink" Target="mailto:tsbfgmv@itu.int" TargetMode="External"/><Relationship Id="rId18" Type="http://schemas.openxmlformats.org/officeDocument/2006/relationships/hyperlink" Target="http://www.itu.int/go/fgmv"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www.itu.int/en/ITU-T/ssc/Pages/1st-forum-metaverse.aspx" TargetMode="External"/><Relationship Id="rId17" Type="http://schemas.openxmlformats.org/officeDocument/2006/relationships/hyperlink" Target="http://www.itu.int/go/fgm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go/fgmv" TargetMode="External"/><Relationship Id="rId20" Type="http://schemas.openxmlformats.org/officeDocument/2006/relationships/hyperlink" Target="http://www.itu.int/go/fgm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T-REC-A.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go/fgmv" TargetMode="External"/><Relationship Id="rId23" Type="http://schemas.openxmlformats.org/officeDocument/2006/relationships/footer" Target="footer1.xml"/><Relationship Id="rId10" Type="http://schemas.openxmlformats.org/officeDocument/2006/relationships/hyperlink" Target="https://www.itu.int/en/ITU-T/focusgroups/mv/Pages/reg.aspx" TargetMode="External"/><Relationship Id="rId19" Type="http://schemas.openxmlformats.org/officeDocument/2006/relationships/hyperlink" Target="mailto:tsbfgmv@itu.int" TargetMode="External"/><Relationship Id="rId4" Type="http://schemas.openxmlformats.org/officeDocument/2006/relationships/webSettings" Target="webSettings.xml"/><Relationship Id="rId9" Type="http://schemas.openxmlformats.org/officeDocument/2006/relationships/hyperlink" Target="http://www.itu.int/go/fgmv" TargetMode="External"/><Relationship Id="rId14" Type="http://schemas.openxmlformats.org/officeDocument/2006/relationships/hyperlink" Target="http://www.itu.int/go/fgmv"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oomberg.com/professional/blog/metaverse-may-be-800-billion-market-next-tech-pla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TotalTime>
  <Pages>6</Pages>
  <Words>2037</Words>
  <Characters>12126</Characters>
  <Application>Microsoft Office Word</Application>
  <DocSecurity>0</DocSecurity>
  <Lines>252</Lines>
  <Paragraphs>191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T22-TSB-CIR-0040!!MSW-E (2).docx  For: _x000d_Document date: _x000d_Saved by ITU51014379 at 16:15:02 on 26.10.2022</dc:description>
  <cp:lastModifiedBy>Maguire, Mairéad</cp:lastModifiedBy>
  <cp:revision>3</cp:revision>
  <cp:lastPrinted>2022-11-30T08:09:00Z</cp:lastPrinted>
  <dcterms:created xsi:type="dcterms:W3CDTF">2023-01-19T09:56:00Z</dcterms:created>
  <dcterms:modified xsi:type="dcterms:W3CDTF">2023-01-19T09:58:00Z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