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8" w:type="dxa"/>
        <w:tblLayout w:type="fixed"/>
        <w:tblLook w:val="0000" w:firstRow="0" w:lastRow="0" w:firstColumn="0" w:lastColumn="0" w:noHBand="0" w:noVBand="0"/>
      </w:tblPr>
      <w:tblGrid>
        <w:gridCol w:w="1336"/>
        <w:gridCol w:w="6"/>
        <w:gridCol w:w="3186"/>
        <w:gridCol w:w="5111"/>
      </w:tblGrid>
      <w:tr w:rsidR="007B6316" w14:paraId="29B2C532" w14:textId="77777777" w:rsidTr="00C011F1">
        <w:trPr>
          <w:cantSplit/>
          <w:trHeight w:val="340"/>
        </w:trPr>
        <w:tc>
          <w:tcPr>
            <w:tcW w:w="1342" w:type="dxa"/>
            <w:gridSpan w:val="2"/>
          </w:tcPr>
          <w:p w14:paraId="1984C53A"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25927F81" wp14:editId="00322D24">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297" w:type="dxa"/>
            <w:gridSpan w:val="2"/>
            <w:vAlign w:val="center"/>
          </w:tcPr>
          <w:p w14:paraId="158F0668"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2AF5906F"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3D43A5AC" w14:textId="77777777" w:rsidTr="009F664E">
        <w:trPr>
          <w:cantSplit/>
          <w:trHeight w:val="340"/>
        </w:trPr>
        <w:tc>
          <w:tcPr>
            <w:tcW w:w="1336" w:type="dxa"/>
          </w:tcPr>
          <w:p w14:paraId="4A43E4F5" w14:textId="77777777" w:rsidR="007B6316" w:rsidRPr="007B6316" w:rsidRDefault="007B6316" w:rsidP="00C011F1"/>
        </w:tc>
        <w:tc>
          <w:tcPr>
            <w:tcW w:w="3192" w:type="dxa"/>
            <w:gridSpan w:val="2"/>
          </w:tcPr>
          <w:p w14:paraId="29B36405" w14:textId="77777777" w:rsidR="007B6316" w:rsidRPr="009D4B76" w:rsidRDefault="007B6316" w:rsidP="00C011F1">
            <w:pPr>
              <w:tabs>
                <w:tab w:val="left" w:pos="4111"/>
              </w:tabs>
            </w:pPr>
          </w:p>
        </w:tc>
        <w:tc>
          <w:tcPr>
            <w:tcW w:w="5111" w:type="dxa"/>
          </w:tcPr>
          <w:p w14:paraId="6210E590" w14:textId="7CAAB13A" w:rsidR="007B6316" w:rsidRDefault="007B6316" w:rsidP="00C011F1">
            <w:r w:rsidRPr="00081FE5">
              <w:t>Ginebra,</w:t>
            </w:r>
            <w:r w:rsidR="00FA0602">
              <w:t xml:space="preserve"> </w:t>
            </w:r>
            <w:r w:rsidR="00FA0602" w:rsidRPr="00FA0602">
              <w:rPr>
                <w:lang w:val="es-ES"/>
              </w:rPr>
              <w:t>18 de enero de 2023</w:t>
            </w:r>
          </w:p>
        </w:tc>
      </w:tr>
      <w:tr w:rsidR="009F664E" w14:paraId="6FF9DCD8" w14:textId="77777777" w:rsidTr="009F664E">
        <w:trPr>
          <w:cantSplit/>
          <w:trHeight w:val="340"/>
        </w:trPr>
        <w:tc>
          <w:tcPr>
            <w:tcW w:w="1336" w:type="dxa"/>
          </w:tcPr>
          <w:p w14:paraId="577349FB" w14:textId="68D939F5" w:rsidR="009F664E" w:rsidRPr="009D4B76" w:rsidRDefault="009F664E" w:rsidP="009F664E">
            <w:pPr>
              <w:spacing w:before="40" w:after="40"/>
            </w:pPr>
            <w:r w:rsidRPr="009D4B76">
              <w:t>Ref.:</w:t>
            </w:r>
          </w:p>
        </w:tc>
        <w:tc>
          <w:tcPr>
            <w:tcW w:w="3192" w:type="dxa"/>
            <w:gridSpan w:val="2"/>
          </w:tcPr>
          <w:p w14:paraId="6C19AD1E" w14:textId="1E7E49C3" w:rsidR="009F664E" w:rsidRPr="005A00F0" w:rsidRDefault="009F664E" w:rsidP="009F664E">
            <w:pPr>
              <w:spacing w:before="40" w:after="40"/>
              <w:rPr>
                <w:b/>
                <w:bCs/>
              </w:rPr>
            </w:pPr>
            <w:r w:rsidRPr="00C011F1">
              <w:rPr>
                <w:b/>
                <w:bCs/>
              </w:rPr>
              <w:t>Circular TSB 068</w:t>
            </w:r>
          </w:p>
        </w:tc>
        <w:tc>
          <w:tcPr>
            <w:tcW w:w="5111" w:type="dxa"/>
            <w:vMerge w:val="restart"/>
          </w:tcPr>
          <w:p w14:paraId="6E5908C7" w14:textId="77777777" w:rsidR="009F664E" w:rsidRPr="00FA0602" w:rsidRDefault="009F664E" w:rsidP="009F664E">
            <w:pPr>
              <w:spacing w:before="40" w:after="20"/>
              <w:rPr>
                <w:b/>
                <w:bCs/>
              </w:rPr>
            </w:pPr>
            <w:bookmarkStart w:id="0" w:name="Addressee_S"/>
            <w:bookmarkEnd w:id="0"/>
            <w:r w:rsidRPr="00FA0602">
              <w:rPr>
                <w:b/>
                <w:bCs/>
              </w:rPr>
              <w:t>A:</w:t>
            </w:r>
          </w:p>
          <w:p w14:paraId="68B2BE9D" w14:textId="77777777" w:rsidR="009F664E" w:rsidRPr="00FA0602" w:rsidRDefault="009F664E" w:rsidP="00C011F1">
            <w:pPr>
              <w:tabs>
                <w:tab w:val="clear" w:pos="794"/>
                <w:tab w:val="left" w:pos="364"/>
              </w:tabs>
              <w:spacing w:before="20" w:after="20"/>
              <w:ind w:left="307" w:hanging="307"/>
            </w:pPr>
            <w:r w:rsidRPr="00FA0602">
              <w:t>–</w:t>
            </w:r>
            <w:r w:rsidRPr="00FA0602">
              <w:tab/>
              <w:t>las Administraciones de los Estados Miembros de la Unión;</w:t>
            </w:r>
          </w:p>
          <w:p w14:paraId="2C4784D9" w14:textId="77777777" w:rsidR="009F664E" w:rsidRPr="00FA0602" w:rsidRDefault="009F664E" w:rsidP="00C011F1">
            <w:pPr>
              <w:tabs>
                <w:tab w:val="clear" w:pos="794"/>
                <w:tab w:val="left" w:pos="364"/>
              </w:tabs>
              <w:spacing w:before="20" w:after="20"/>
            </w:pPr>
            <w:r w:rsidRPr="00FA0602">
              <w:t>–</w:t>
            </w:r>
            <w:r w:rsidRPr="00FA0602">
              <w:tab/>
              <w:t>los Miembros de Sector del UIT-T;</w:t>
            </w:r>
          </w:p>
          <w:p w14:paraId="4EC03D51" w14:textId="77777777" w:rsidR="009F664E" w:rsidRPr="00FA0602" w:rsidRDefault="009F664E" w:rsidP="00C011F1">
            <w:pPr>
              <w:tabs>
                <w:tab w:val="clear" w:pos="794"/>
                <w:tab w:val="left" w:pos="364"/>
              </w:tabs>
              <w:spacing w:before="20" w:after="20"/>
            </w:pPr>
            <w:r w:rsidRPr="00FA0602">
              <w:t>–</w:t>
            </w:r>
            <w:r w:rsidRPr="00FA0602">
              <w:tab/>
              <w:t>los Asociados del UIT-T;</w:t>
            </w:r>
          </w:p>
          <w:p w14:paraId="3013503C" w14:textId="3FFD2704" w:rsidR="009F664E" w:rsidRDefault="009F664E" w:rsidP="00C011F1">
            <w:pPr>
              <w:tabs>
                <w:tab w:val="clear" w:pos="794"/>
                <w:tab w:val="left" w:pos="364"/>
              </w:tabs>
              <w:spacing w:before="20" w:after="20"/>
            </w:pPr>
            <w:r w:rsidRPr="009D4B76">
              <w:t>–</w:t>
            </w:r>
            <w:r w:rsidRPr="009D4B76">
              <w:tab/>
              <w:t>las Instituciones Académicas de la UIT</w:t>
            </w:r>
          </w:p>
        </w:tc>
      </w:tr>
      <w:tr w:rsidR="009F664E" w14:paraId="5C975430" w14:textId="77777777" w:rsidTr="009F664E">
        <w:trPr>
          <w:cantSplit/>
          <w:trHeight w:val="340"/>
        </w:trPr>
        <w:tc>
          <w:tcPr>
            <w:tcW w:w="1336" w:type="dxa"/>
          </w:tcPr>
          <w:p w14:paraId="6D93632E" w14:textId="2D66FFE8" w:rsidR="009F664E" w:rsidRPr="009D4B76" w:rsidRDefault="009F664E" w:rsidP="009F664E">
            <w:pPr>
              <w:spacing w:before="40" w:after="40"/>
            </w:pPr>
            <w:r w:rsidRPr="009D4B76">
              <w:t>Contacto:</w:t>
            </w:r>
          </w:p>
        </w:tc>
        <w:tc>
          <w:tcPr>
            <w:tcW w:w="3192" w:type="dxa"/>
            <w:gridSpan w:val="2"/>
          </w:tcPr>
          <w:p w14:paraId="4A50C2AA" w14:textId="6A22B86D" w:rsidR="009F664E" w:rsidRPr="00C011F1" w:rsidRDefault="009F664E" w:rsidP="009F664E">
            <w:pPr>
              <w:spacing w:before="40" w:after="40"/>
              <w:rPr>
                <w:b/>
                <w:bCs/>
              </w:rPr>
            </w:pPr>
            <w:r w:rsidRPr="00C011F1">
              <w:rPr>
                <w:b/>
                <w:bCs/>
              </w:rPr>
              <w:t>Gillian Makamara</w:t>
            </w:r>
          </w:p>
        </w:tc>
        <w:tc>
          <w:tcPr>
            <w:tcW w:w="5111" w:type="dxa"/>
            <w:vMerge/>
          </w:tcPr>
          <w:p w14:paraId="1748BD6A" w14:textId="77777777" w:rsidR="009F664E" w:rsidRPr="009D4B76" w:rsidRDefault="009F664E" w:rsidP="009D4B76">
            <w:pPr>
              <w:spacing w:before="20" w:after="20"/>
              <w:ind w:left="57"/>
            </w:pPr>
          </w:p>
        </w:tc>
      </w:tr>
      <w:tr w:rsidR="009F664E" w14:paraId="4780AE6B" w14:textId="77777777" w:rsidTr="009F664E">
        <w:trPr>
          <w:cantSplit/>
        </w:trPr>
        <w:tc>
          <w:tcPr>
            <w:tcW w:w="1336" w:type="dxa"/>
          </w:tcPr>
          <w:p w14:paraId="5F9A3C82" w14:textId="77777777" w:rsidR="009F664E" w:rsidRPr="007B6316" w:rsidRDefault="009F664E" w:rsidP="009F664E">
            <w:pPr>
              <w:spacing w:before="40" w:after="40"/>
            </w:pPr>
            <w:r w:rsidRPr="007B6316">
              <w:t>Tel.:</w:t>
            </w:r>
          </w:p>
        </w:tc>
        <w:tc>
          <w:tcPr>
            <w:tcW w:w="3192" w:type="dxa"/>
            <w:gridSpan w:val="2"/>
          </w:tcPr>
          <w:p w14:paraId="3B1032C0" w14:textId="67E2EFC3" w:rsidR="009F664E" w:rsidRPr="009D4B76" w:rsidRDefault="009F664E" w:rsidP="009F664E">
            <w:pPr>
              <w:spacing w:before="40" w:after="40"/>
            </w:pPr>
            <w:r w:rsidRPr="009D4B76">
              <w:t>+41 22 730 6206</w:t>
            </w:r>
          </w:p>
        </w:tc>
        <w:tc>
          <w:tcPr>
            <w:tcW w:w="5111" w:type="dxa"/>
            <w:vMerge/>
          </w:tcPr>
          <w:p w14:paraId="7777BC53" w14:textId="77777777" w:rsidR="009F664E" w:rsidRPr="009D4B76" w:rsidRDefault="009F664E" w:rsidP="009D4B76">
            <w:pPr>
              <w:spacing w:before="20" w:after="20"/>
              <w:ind w:left="57"/>
            </w:pPr>
          </w:p>
        </w:tc>
      </w:tr>
      <w:tr w:rsidR="009F664E" w14:paraId="3F868790" w14:textId="77777777" w:rsidTr="009F664E">
        <w:trPr>
          <w:cantSplit/>
        </w:trPr>
        <w:tc>
          <w:tcPr>
            <w:tcW w:w="1336" w:type="dxa"/>
          </w:tcPr>
          <w:p w14:paraId="2EB018DD" w14:textId="77777777" w:rsidR="009F664E" w:rsidRPr="009D4B76" w:rsidRDefault="009F664E" w:rsidP="009F664E">
            <w:pPr>
              <w:spacing w:before="40" w:after="40"/>
            </w:pPr>
            <w:r w:rsidRPr="009D4B76">
              <w:t>Fax:</w:t>
            </w:r>
          </w:p>
        </w:tc>
        <w:tc>
          <w:tcPr>
            <w:tcW w:w="3192" w:type="dxa"/>
            <w:gridSpan w:val="2"/>
          </w:tcPr>
          <w:p w14:paraId="34B68F88" w14:textId="26778233" w:rsidR="009F664E" w:rsidRPr="009D4B76" w:rsidRDefault="009F664E" w:rsidP="009F664E">
            <w:pPr>
              <w:spacing w:before="40" w:after="40"/>
            </w:pPr>
            <w:r w:rsidRPr="009D4B76">
              <w:t>+41 22 730 5853</w:t>
            </w:r>
          </w:p>
        </w:tc>
        <w:tc>
          <w:tcPr>
            <w:tcW w:w="5111" w:type="dxa"/>
            <w:vMerge/>
          </w:tcPr>
          <w:p w14:paraId="5AAD258D" w14:textId="77777777" w:rsidR="009F664E" w:rsidRPr="009D4B76" w:rsidRDefault="009F664E" w:rsidP="009D4B76">
            <w:pPr>
              <w:spacing w:before="20" w:after="20"/>
              <w:ind w:left="57"/>
            </w:pPr>
          </w:p>
        </w:tc>
      </w:tr>
      <w:tr w:rsidR="009F664E" w14:paraId="2B71C318" w14:textId="77777777" w:rsidTr="009F664E">
        <w:trPr>
          <w:cantSplit/>
        </w:trPr>
        <w:tc>
          <w:tcPr>
            <w:tcW w:w="1336" w:type="dxa"/>
          </w:tcPr>
          <w:p w14:paraId="6F67C905" w14:textId="09CDE20B" w:rsidR="009F664E" w:rsidRPr="009D4B76" w:rsidRDefault="009F664E" w:rsidP="009F664E">
            <w:pPr>
              <w:spacing w:before="40" w:after="40"/>
            </w:pPr>
            <w:r w:rsidRPr="009D4B76">
              <w:t>Correo-e:</w:t>
            </w:r>
          </w:p>
        </w:tc>
        <w:tc>
          <w:tcPr>
            <w:tcW w:w="3192" w:type="dxa"/>
            <w:gridSpan w:val="2"/>
          </w:tcPr>
          <w:p w14:paraId="7B97CA43" w14:textId="648EFDE0" w:rsidR="009F664E" w:rsidRPr="009D4B76" w:rsidRDefault="006D447F" w:rsidP="009F664E">
            <w:pPr>
              <w:spacing w:before="40" w:after="40"/>
            </w:pPr>
            <w:hyperlink r:id="rId9" w:history="1">
              <w:r w:rsidR="009F664E" w:rsidRPr="0021203B">
                <w:rPr>
                  <w:rStyle w:val="Hyperlink"/>
                </w:rPr>
                <w:t>quantum@itu.int</w:t>
              </w:r>
            </w:hyperlink>
          </w:p>
        </w:tc>
        <w:tc>
          <w:tcPr>
            <w:tcW w:w="5111" w:type="dxa"/>
            <w:vMerge/>
          </w:tcPr>
          <w:p w14:paraId="09375984" w14:textId="77777777" w:rsidR="009F664E" w:rsidRPr="009D4B76" w:rsidRDefault="009F664E" w:rsidP="009D4B76">
            <w:pPr>
              <w:spacing w:before="20" w:after="20"/>
              <w:ind w:left="57"/>
            </w:pPr>
          </w:p>
        </w:tc>
      </w:tr>
      <w:tr w:rsidR="00C34772" w14:paraId="4A8A26CF" w14:textId="77777777" w:rsidTr="009F664E">
        <w:trPr>
          <w:cantSplit/>
        </w:trPr>
        <w:tc>
          <w:tcPr>
            <w:tcW w:w="1336" w:type="dxa"/>
          </w:tcPr>
          <w:p w14:paraId="270B6406" w14:textId="1753ED93" w:rsidR="00C34772" w:rsidRPr="009D4B76" w:rsidRDefault="00C34772" w:rsidP="00C011F1">
            <w:pPr>
              <w:spacing w:before="20" w:after="20"/>
            </w:pPr>
          </w:p>
        </w:tc>
        <w:tc>
          <w:tcPr>
            <w:tcW w:w="3192" w:type="dxa"/>
            <w:gridSpan w:val="2"/>
          </w:tcPr>
          <w:p w14:paraId="7B09034E" w14:textId="5BBC5ED5" w:rsidR="00C34772" w:rsidRDefault="00C34772" w:rsidP="00C011F1">
            <w:pPr>
              <w:spacing w:before="20" w:after="20"/>
            </w:pPr>
          </w:p>
        </w:tc>
        <w:tc>
          <w:tcPr>
            <w:tcW w:w="5111" w:type="dxa"/>
          </w:tcPr>
          <w:p w14:paraId="28E8E1B5" w14:textId="77777777" w:rsidR="00FA0602" w:rsidRPr="00FA0602" w:rsidRDefault="00FA0602" w:rsidP="009F664E">
            <w:pPr>
              <w:spacing w:before="40" w:after="20"/>
              <w:rPr>
                <w:b/>
                <w:bCs/>
              </w:rPr>
            </w:pPr>
            <w:r w:rsidRPr="00FA0602">
              <w:rPr>
                <w:b/>
                <w:bCs/>
              </w:rPr>
              <w:t>Copia:</w:t>
            </w:r>
          </w:p>
          <w:p w14:paraId="0927B240" w14:textId="77777777" w:rsidR="00FA0602" w:rsidRPr="00FA0602" w:rsidRDefault="00FA0602" w:rsidP="00C011F1">
            <w:pPr>
              <w:tabs>
                <w:tab w:val="clear" w:pos="794"/>
                <w:tab w:val="left" w:pos="364"/>
              </w:tabs>
              <w:spacing w:before="20" w:after="20"/>
              <w:ind w:left="307" w:hanging="307"/>
            </w:pPr>
            <w:r w:rsidRPr="00FA0602">
              <w:t>–</w:t>
            </w:r>
            <w:r w:rsidRPr="00FA0602">
              <w:tab/>
              <w:t>a los Presidentes y Vicepresidentes de las Comisiones de Estudio;</w:t>
            </w:r>
          </w:p>
          <w:p w14:paraId="52EDFE64" w14:textId="37BB5382" w:rsidR="00FA0602" w:rsidRPr="00FA0602" w:rsidRDefault="00FA0602" w:rsidP="00C011F1">
            <w:pPr>
              <w:tabs>
                <w:tab w:val="clear" w:pos="794"/>
                <w:tab w:val="left" w:pos="364"/>
              </w:tabs>
              <w:spacing w:before="20" w:after="20"/>
              <w:ind w:left="307" w:hanging="307"/>
            </w:pPr>
            <w:r w:rsidRPr="00FA0602">
              <w:t>–</w:t>
            </w:r>
            <w:r w:rsidRPr="00FA0602">
              <w:tab/>
              <w:t>al Director de la Oficina de Desarrollo de las Telecomunicaciones;</w:t>
            </w:r>
          </w:p>
          <w:p w14:paraId="0F452490" w14:textId="6DE08B17" w:rsidR="00FA0602" w:rsidRPr="00FA0602" w:rsidRDefault="00FA0602" w:rsidP="001579AA">
            <w:pPr>
              <w:tabs>
                <w:tab w:val="clear" w:pos="794"/>
                <w:tab w:val="left" w:pos="364"/>
              </w:tabs>
              <w:spacing w:before="20" w:after="20"/>
              <w:ind w:left="364" w:hanging="364"/>
            </w:pPr>
            <w:r w:rsidRPr="00FA0602">
              <w:t>–</w:t>
            </w:r>
            <w:r w:rsidRPr="00FA0602">
              <w:tab/>
              <w:t>al Director de la Oficina de Radiocomunicaciones</w:t>
            </w:r>
            <w:r w:rsidR="005A00F0">
              <w:t>;</w:t>
            </w:r>
          </w:p>
          <w:p w14:paraId="741AFDDE" w14:textId="6A9860CE" w:rsidR="00C34772" w:rsidRDefault="00FA0602" w:rsidP="00C011F1">
            <w:pPr>
              <w:tabs>
                <w:tab w:val="clear" w:pos="794"/>
                <w:tab w:val="left" w:pos="364"/>
              </w:tabs>
              <w:spacing w:before="20" w:after="20"/>
              <w:ind w:left="307" w:hanging="307"/>
            </w:pPr>
            <w:r w:rsidRPr="009D4B76">
              <w:t>–</w:t>
            </w:r>
            <w:r w:rsidRPr="009D4B76">
              <w:tab/>
              <w:t>a los Directores de las Oficinas Regionales de la UIT</w:t>
            </w:r>
          </w:p>
        </w:tc>
      </w:tr>
      <w:tr w:rsidR="007B6316" w14:paraId="79A167AF" w14:textId="77777777" w:rsidTr="009F664E">
        <w:trPr>
          <w:cantSplit/>
        </w:trPr>
        <w:tc>
          <w:tcPr>
            <w:tcW w:w="1336" w:type="dxa"/>
          </w:tcPr>
          <w:p w14:paraId="30FFA21A" w14:textId="77777777" w:rsidR="007B6316" w:rsidRPr="009D4B76" w:rsidRDefault="007B6316" w:rsidP="00C011F1">
            <w:r w:rsidRPr="009D4B76">
              <w:t>Asunto:</w:t>
            </w:r>
          </w:p>
        </w:tc>
        <w:tc>
          <w:tcPr>
            <w:tcW w:w="8303" w:type="dxa"/>
            <w:gridSpan w:val="3"/>
          </w:tcPr>
          <w:p w14:paraId="59FA7D2F" w14:textId="7637C637" w:rsidR="007B6316" w:rsidRPr="009D4B76" w:rsidRDefault="009D4B76" w:rsidP="00C011F1">
            <w:pPr>
              <w:rPr>
                <w:b/>
                <w:bCs/>
              </w:rPr>
            </w:pPr>
            <w:r w:rsidRPr="009D4B76">
              <w:rPr>
                <w:b/>
                <w:bCs/>
                <w:lang w:val="es-ES"/>
              </w:rPr>
              <w:t>Creación de la Actividad Conjunta de Coordinación sobre las redes de distribución de claves cuánticas</w:t>
            </w:r>
            <w:r w:rsidRPr="009D4B76" w:rsidDel="0043451F">
              <w:rPr>
                <w:b/>
                <w:bCs/>
                <w:lang w:val="es-ES"/>
              </w:rPr>
              <w:t xml:space="preserve"> </w:t>
            </w:r>
            <w:r w:rsidRPr="009D4B76">
              <w:rPr>
                <w:b/>
                <w:bCs/>
                <w:lang w:val="es-ES"/>
              </w:rPr>
              <w:t>(JCA-QKDN) y primera reunión de la misma (Ginebra, 22 de marzo de 2023)</w:t>
            </w:r>
          </w:p>
        </w:tc>
      </w:tr>
    </w:tbl>
    <w:p w14:paraId="4013AF31" w14:textId="77777777" w:rsidR="00C34772" w:rsidRDefault="00C34772" w:rsidP="00C011F1">
      <w:pPr>
        <w:pStyle w:val="Normalaftertitle0"/>
      </w:pPr>
      <w:bookmarkStart w:id="1" w:name="StartTyping_S"/>
      <w:bookmarkStart w:id="2" w:name="suitetext"/>
      <w:bookmarkStart w:id="3" w:name="text"/>
      <w:bookmarkEnd w:id="1"/>
      <w:bookmarkEnd w:id="2"/>
      <w:bookmarkEnd w:id="3"/>
      <w:r>
        <w:t>Muy Señora mía/Muy Señor mío:</w:t>
      </w:r>
    </w:p>
    <w:p w14:paraId="68D23C22" w14:textId="2268D3D3" w:rsidR="009D4B76" w:rsidRPr="009D4B76" w:rsidRDefault="009D4B76" w:rsidP="009D4B76">
      <w:pPr>
        <w:rPr>
          <w:lang w:val="es-ES"/>
        </w:rPr>
      </w:pPr>
      <w:r w:rsidRPr="009D4B76">
        <w:rPr>
          <w:lang w:val="es-ES"/>
        </w:rPr>
        <w:t>1</w:t>
      </w:r>
      <w:r w:rsidRPr="009D4B76">
        <w:rPr>
          <w:lang w:val="es-ES"/>
        </w:rPr>
        <w:tab/>
        <w:t xml:space="preserve">Tras el acuerdo alcanzado por el Grupo Asesor de Normalización de las Telecomunicaciones (GANT) de la UIT en su reunión celebrada del 12 al 16 de diciembre de 2022, me complace anunciar la creación de la </w:t>
      </w:r>
      <w:hyperlink r:id="rId10" w:history="1">
        <w:r w:rsidRPr="009D4B76">
          <w:rPr>
            <w:rStyle w:val="Hyperlink"/>
            <w:lang w:val="es-ES"/>
          </w:rPr>
          <w:t>Actividad Conjunta de Coordinación sobre las redes de distribución de claves cuánticas (JCA-QKDN)</w:t>
        </w:r>
      </w:hyperlink>
      <w:r w:rsidRPr="009D4B76">
        <w:rPr>
          <w:lang w:val="es-ES"/>
        </w:rPr>
        <w:t>.</w:t>
      </w:r>
    </w:p>
    <w:p w14:paraId="6459D172" w14:textId="72625841" w:rsidR="009D4B76" w:rsidRPr="009D4B76" w:rsidRDefault="009D4B76" w:rsidP="009D4B76">
      <w:pPr>
        <w:rPr>
          <w:lang w:val="es-ES"/>
        </w:rPr>
      </w:pPr>
      <w:r w:rsidRPr="009D4B76">
        <w:rPr>
          <w:lang w:val="es-ES"/>
        </w:rPr>
        <w:t>2</w:t>
      </w:r>
      <w:r w:rsidRPr="009D4B76">
        <w:rPr>
          <w:lang w:val="es-ES"/>
        </w:rPr>
        <w:tab/>
        <w:t xml:space="preserve">El objetivo de la JCA-QKDN es coordinar los trabajos de normalización de las redes de distribución de claves cuánticas (QKDN) en el seno del UIT-T y ejercer de punto de contacto entre el UIT-T y otras organizaciones, consorcios y foros de normalización que también trabajan con normas relativas a la QKD. El mandato de la Actividad se recoge en el </w:t>
      </w:r>
      <w:r w:rsidRPr="009D4B76">
        <w:rPr>
          <w:b/>
          <w:bCs/>
          <w:lang w:val="es-ES"/>
        </w:rPr>
        <w:t>Anexo A</w:t>
      </w:r>
      <w:r w:rsidRPr="009D4B76">
        <w:rPr>
          <w:lang w:val="es-ES"/>
        </w:rPr>
        <w:t>.</w:t>
      </w:r>
    </w:p>
    <w:p w14:paraId="64C4EE3C" w14:textId="5E68E4EC" w:rsidR="009D4B76" w:rsidRPr="009D4B76" w:rsidRDefault="009D4B76" w:rsidP="009D4B76">
      <w:pPr>
        <w:rPr>
          <w:lang w:val="es-ES"/>
        </w:rPr>
      </w:pPr>
      <w:r w:rsidRPr="009D4B76">
        <w:rPr>
          <w:lang w:val="es-ES"/>
        </w:rPr>
        <w:t>3</w:t>
      </w:r>
      <w:r w:rsidRPr="009D4B76">
        <w:rPr>
          <w:lang w:val="es-ES"/>
        </w:rPr>
        <w:tab/>
        <w:t>El GANT nombró al Sr. Junsen Lai (China), de la Academia de Tecnologías de la Información y la Comunicación de China (CAICT), Presidente de la JCA-QKDN, y al Sr. Mark McFadden (Reino</w:t>
      </w:r>
      <w:r w:rsidR="001B400E">
        <w:rPr>
          <w:lang w:val="es-ES"/>
        </w:rPr>
        <w:t> </w:t>
      </w:r>
      <w:r w:rsidRPr="009D4B76">
        <w:rPr>
          <w:lang w:val="es-ES"/>
        </w:rPr>
        <w:t>Unido), Vicepresidente de la JCA-QKDN.</w:t>
      </w:r>
    </w:p>
    <w:p w14:paraId="71F45C3F" w14:textId="5080A337" w:rsidR="009D4B76" w:rsidRPr="009D4B76" w:rsidRDefault="009D4B76" w:rsidP="009D4B76">
      <w:pPr>
        <w:rPr>
          <w:lang w:val="es-ES"/>
        </w:rPr>
      </w:pPr>
      <w:r w:rsidRPr="009D4B76">
        <w:rPr>
          <w:lang w:val="es-ES"/>
        </w:rPr>
        <w:t>4</w:t>
      </w:r>
      <w:r w:rsidRPr="009D4B76">
        <w:rPr>
          <w:lang w:val="es-ES"/>
        </w:rPr>
        <w:tab/>
        <w:t>En la JCA-QKDN pueden participar los miembros del UIT-T. También pueden formar parte de la JCA expertos invitados y representantes designados de otras organizaciones intergubernamentales, organizaciones de normalización y foros pertinentes.</w:t>
      </w:r>
    </w:p>
    <w:p w14:paraId="4683BEAB" w14:textId="412F1B9E" w:rsidR="009D4B76" w:rsidRPr="009D4B76" w:rsidRDefault="009D4B76" w:rsidP="009D4B76">
      <w:pPr>
        <w:rPr>
          <w:lang w:val="es-ES"/>
        </w:rPr>
      </w:pPr>
      <w:bookmarkStart w:id="4" w:name="lt_pId062"/>
      <w:r w:rsidRPr="009D4B76">
        <w:rPr>
          <w:lang w:val="es-ES"/>
        </w:rPr>
        <w:t>5</w:t>
      </w:r>
      <w:r w:rsidRPr="009D4B76">
        <w:rPr>
          <w:lang w:val="es-ES"/>
        </w:rPr>
        <w:tab/>
        <w:t xml:space="preserve">La primera reunión de la JCA-QKDN se celebrará en Ginebra el </w:t>
      </w:r>
      <w:r w:rsidRPr="009D4B76">
        <w:rPr>
          <w:b/>
          <w:bCs/>
          <w:lang w:val="es-ES"/>
        </w:rPr>
        <w:t>22 de marzo de 2023</w:t>
      </w:r>
      <w:r w:rsidRPr="009D4B76">
        <w:rPr>
          <w:lang w:val="es-ES"/>
        </w:rPr>
        <w:t xml:space="preserve"> de las </w:t>
      </w:r>
      <w:r w:rsidRPr="009D4B76">
        <w:rPr>
          <w:b/>
          <w:bCs/>
          <w:lang w:val="es-ES"/>
        </w:rPr>
        <w:t>13.00 a las 14.30 horas, hora de Ginebra</w:t>
      </w:r>
      <w:r w:rsidRPr="009D4B76">
        <w:rPr>
          <w:lang w:val="es-ES"/>
        </w:rPr>
        <w:t xml:space="preserve"> (coincidiendo con la reunión de la </w:t>
      </w:r>
      <w:hyperlink r:id="rId11" w:history="1">
        <w:r w:rsidRPr="009D4B76">
          <w:rPr>
            <w:rStyle w:val="Hyperlink"/>
            <w:lang w:val="es-ES"/>
          </w:rPr>
          <w:t>Comisión de Estudio</w:t>
        </w:r>
        <w:r w:rsidR="001579AA">
          <w:rPr>
            <w:rStyle w:val="Hyperlink"/>
            <w:lang w:val="es-ES"/>
          </w:rPr>
          <w:t> </w:t>
        </w:r>
        <w:r w:rsidRPr="009D4B76">
          <w:rPr>
            <w:rStyle w:val="Hyperlink"/>
            <w:lang w:val="es-ES"/>
          </w:rPr>
          <w:t>13 del UIT-T</w:t>
        </w:r>
      </w:hyperlink>
      <w:r w:rsidRPr="009D4B76">
        <w:rPr>
          <w:lang w:val="es-ES"/>
        </w:rPr>
        <w:t xml:space="preserve">, que tendrá lugar del 13 al 24 de marzo de 2023). La inscripción es obligatoria y se efectúa a través del formulario de inscripción en línea que figura en la </w:t>
      </w:r>
      <w:hyperlink r:id="rId12" w:history="1">
        <w:r w:rsidRPr="009D4B76">
          <w:rPr>
            <w:rStyle w:val="Hyperlink"/>
            <w:lang w:val="es-ES"/>
          </w:rPr>
          <w:t>página web de la JCA</w:t>
        </w:r>
        <w:r w:rsidR="001579AA">
          <w:rPr>
            <w:rStyle w:val="Hyperlink"/>
            <w:lang w:val="es-ES"/>
          </w:rPr>
          <w:noBreakHyphen/>
        </w:r>
        <w:r w:rsidRPr="009D4B76">
          <w:rPr>
            <w:rStyle w:val="Hyperlink"/>
            <w:lang w:val="es-ES"/>
          </w:rPr>
          <w:t>QKDN</w:t>
        </w:r>
      </w:hyperlink>
      <w:r w:rsidRPr="009D4B76">
        <w:rPr>
          <w:lang w:val="es-ES"/>
        </w:rPr>
        <w:t>.</w:t>
      </w:r>
    </w:p>
    <w:p w14:paraId="4736819C" w14:textId="77777777" w:rsidR="009D4B76" w:rsidRPr="009D4B76" w:rsidRDefault="009D4B76" w:rsidP="009D4B76">
      <w:pPr>
        <w:rPr>
          <w:lang w:val="es-ES"/>
        </w:rPr>
      </w:pPr>
      <w:r w:rsidRPr="009D4B76">
        <w:rPr>
          <w:lang w:val="es-ES"/>
        </w:rPr>
        <w:lastRenderedPageBreak/>
        <w:t xml:space="preserve">Le rogamos tenga en cuenta que también es necesario inscribirse para participar a distancia. Si necesita ayuda, póngase en contacto con la Secretaría a través de la dirección </w:t>
      </w:r>
      <w:hyperlink r:id="rId13" w:history="1">
        <w:r w:rsidRPr="009D4B76">
          <w:rPr>
            <w:rStyle w:val="Hyperlink"/>
            <w:lang w:val="es-ES"/>
          </w:rPr>
          <w:t>quantum@itu.int</w:t>
        </w:r>
      </w:hyperlink>
      <w:r w:rsidRPr="009D4B76">
        <w:rPr>
          <w:lang w:val="es-ES"/>
        </w:rPr>
        <w:t>.</w:t>
      </w:r>
    </w:p>
    <w:p w14:paraId="11170F32" w14:textId="72D4A491" w:rsidR="009D4B76" w:rsidRPr="009D4B76" w:rsidRDefault="009D4B76" w:rsidP="009D4B76">
      <w:pPr>
        <w:rPr>
          <w:lang w:val="es-ES"/>
        </w:rPr>
      </w:pPr>
      <w:r w:rsidRPr="009D4B76">
        <w:rPr>
          <w:lang w:val="es-ES"/>
        </w:rPr>
        <w:t>6</w:t>
      </w:r>
      <w:r w:rsidRPr="009D4B76">
        <w:rPr>
          <w:lang w:val="es-ES"/>
        </w:rPr>
        <w:tab/>
        <w:t>La reunión se celebrará únicamente en inglés.</w:t>
      </w:r>
      <w:bookmarkEnd w:id="4"/>
    </w:p>
    <w:p w14:paraId="3CAEBC9E" w14:textId="7A6A2144" w:rsidR="009D4B76" w:rsidRPr="009D4B76" w:rsidRDefault="009D4B76" w:rsidP="009D4B76">
      <w:pPr>
        <w:rPr>
          <w:lang w:val="es-ES"/>
        </w:rPr>
      </w:pPr>
      <w:r w:rsidRPr="009D4B76">
        <w:rPr>
          <w:lang w:val="es-ES"/>
        </w:rPr>
        <w:t>7</w:t>
      </w:r>
      <w:r w:rsidRPr="009D4B76">
        <w:rPr>
          <w:lang w:val="es-ES"/>
        </w:rPr>
        <w:tab/>
        <w:t xml:space="preserve">Se ha creado una página web para la JCA-QKDN, que puede consultar en la dirección </w:t>
      </w:r>
      <w:hyperlink r:id="rId14" w:history="1">
        <w:r w:rsidRPr="009D4B76">
          <w:rPr>
            <w:rStyle w:val="Hyperlink"/>
            <w:lang w:val="es-ES"/>
          </w:rPr>
          <w:t>http://itu.int/en/ITU-T/jca/qkdn</w:t>
        </w:r>
      </w:hyperlink>
      <w:r w:rsidRPr="009D4B76">
        <w:rPr>
          <w:lang w:val="es-ES"/>
        </w:rPr>
        <w:t xml:space="preserve">. La información relativa a su primera reunión, incluido el proceso de inscripción, el proyecto de orden del día y los documentos de la reunión estarán disponibles en la </w:t>
      </w:r>
      <w:hyperlink r:id="rId15" w:history="1">
        <w:r w:rsidRPr="009D4B76">
          <w:rPr>
            <w:rStyle w:val="Hyperlink"/>
            <w:lang w:val="es-ES"/>
          </w:rPr>
          <w:t>página web de la JCA-QKDN</w:t>
        </w:r>
      </w:hyperlink>
      <w:r w:rsidRPr="009D4B76">
        <w:rPr>
          <w:lang w:val="es-ES"/>
        </w:rPr>
        <w:t>.</w:t>
      </w:r>
    </w:p>
    <w:p w14:paraId="1686CFDE" w14:textId="3AE6B382" w:rsidR="009D4B76" w:rsidRPr="009D4B76" w:rsidRDefault="009D4B76" w:rsidP="009D4B76">
      <w:pPr>
        <w:rPr>
          <w:lang w:val="es-ES"/>
        </w:rPr>
      </w:pPr>
      <w:r w:rsidRPr="009D4B76">
        <w:rPr>
          <w:lang w:val="es-ES"/>
        </w:rPr>
        <w:t>8</w:t>
      </w:r>
      <w:r w:rsidRPr="009D4B76">
        <w:rPr>
          <w:lang w:val="es-ES"/>
        </w:rPr>
        <w:tab/>
        <w:t xml:space="preserve">Se anima a los participantes a que envíen sus contribuciones a la JCA-QKDN por correo electrónico a la dirección </w:t>
      </w:r>
      <w:hyperlink r:id="rId16" w:history="1">
        <w:r w:rsidRPr="009D4B76">
          <w:rPr>
            <w:rStyle w:val="Hyperlink"/>
            <w:lang w:val="es-ES"/>
          </w:rPr>
          <w:t>quantum@itu.int</w:t>
        </w:r>
      </w:hyperlink>
      <w:r w:rsidRPr="009D4B76">
        <w:rPr>
          <w:lang w:val="es-ES"/>
        </w:rPr>
        <w:t xml:space="preserve">, utilizando la plantilla de documento disponible en la </w:t>
      </w:r>
      <w:hyperlink r:id="rId17" w:history="1">
        <w:r w:rsidRPr="009D4B76">
          <w:rPr>
            <w:rStyle w:val="Hyperlink"/>
            <w:lang w:val="es-ES"/>
          </w:rPr>
          <w:t>página web de la JCA-QKDN</w:t>
        </w:r>
      </w:hyperlink>
      <w:r w:rsidRPr="009D4B76">
        <w:rPr>
          <w:lang w:val="es-ES"/>
        </w:rPr>
        <w:t xml:space="preserve">. Con el fin de disponer de tiempo suficiente para la preparación de esta reunión, se ruega a los participantes que presenten sus contribuciones a más tardar el </w:t>
      </w:r>
      <w:r w:rsidRPr="009D4B76">
        <w:rPr>
          <w:b/>
          <w:bCs/>
          <w:lang w:val="es-ES"/>
        </w:rPr>
        <w:t>13</w:t>
      </w:r>
      <w:r w:rsidR="003D6AFD">
        <w:rPr>
          <w:b/>
          <w:bCs/>
          <w:lang w:val="es-ES"/>
        </w:rPr>
        <w:t> </w:t>
      </w:r>
      <w:r w:rsidRPr="009D4B76">
        <w:rPr>
          <w:b/>
          <w:bCs/>
          <w:lang w:val="es-ES"/>
        </w:rPr>
        <w:t>de</w:t>
      </w:r>
      <w:r w:rsidR="003D6AFD">
        <w:rPr>
          <w:b/>
          <w:bCs/>
          <w:lang w:val="es-ES"/>
        </w:rPr>
        <w:t> </w:t>
      </w:r>
      <w:r w:rsidRPr="009D4B76">
        <w:rPr>
          <w:b/>
          <w:bCs/>
          <w:lang w:val="es-ES"/>
        </w:rPr>
        <w:t>marzo de 2023</w:t>
      </w:r>
      <w:r w:rsidRPr="009D4B76">
        <w:rPr>
          <w:lang w:val="es-ES"/>
        </w:rPr>
        <w:t>.</w:t>
      </w:r>
    </w:p>
    <w:p w14:paraId="2884082A" w14:textId="77777777" w:rsidR="009D4B76" w:rsidRPr="009D4B76" w:rsidRDefault="009D4B76" w:rsidP="009D4B76">
      <w:pPr>
        <w:spacing w:after="120"/>
        <w:rPr>
          <w:lang w:val="es-ES"/>
        </w:rPr>
      </w:pPr>
      <w:bookmarkStart w:id="5" w:name="lt_pId072"/>
      <w:r w:rsidRPr="009D4B76">
        <w:rPr>
          <w:b/>
          <w:bCs/>
          <w:lang w:val="es-ES"/>
        </w:rPr>
        <w:t>Plazos clave:</w:t>
      </w:r>
      <w:bookmarkEnd w:id="5"/>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642"/>
      </w:tblGrid>
      <w:tr w:rsidR="009D4B76" w:rsidRPr="009D4B76" w14:paraId="503B04D7" w14:textId="77777777" w:rsidTr="0028737B">
        <w:tc>
          <w:tcPr>
            <w:tcW w:w="1418" w:type="dxa"/>
          </w:tcPr>
          <w:p w14:paraId="6C3A0B99" w14:textId="129B8322" w:rsidR="009D4B76" w:rsidRPr="009D4B76" w:rsidRDefault="009D4B76" w:rsidP="009D4B76">
            <w:pPr>
              <w:pStyle w:val="Tabletext0"/>
              <w:rPr>
                <w:lang w:val="es-ES"/>
              </w:rPr>
            </w:pPr>
            <w:r w:rsidRPr="009D4B76">
              <w:rPr>
                <w:lang w:val="es-ES"/>
              </w:rPr>
              <w:t>20</w:t>
            </w:r>
            <w:r w:rsidR="001579AA">
              <w:rPr>
                <w:lang w:val="es-ES"/>
              </w:rPr>
              <w:t>/</w:t>
            </w:r>
            <w:r w:rsidRPr="009D4B76">
              <w:rPr>
                <w:lang w:val="es-ES"/>
              </w:rPr>
              <w:t>03</w:t>
            </w:r>
            <w:r w:rsidR="001579AA">
              <w:rPr>
                <w:lang w:val="es-ES"/>
              </w:rPr>
              <w:t>/</w:t>
            </w:r>
            <w:r w:rsidRPr="009D4B76">
              <w:rPr>
                <w:lang w:val="es-ES"/>
              </w:rPr>
              <w:t>2023</w:t>
            </w:r>
          </w:p>
        </w:tc>
        <w:tc>
          <w:tcPr>
            <w:tcW w:w="8642" w:type="dxa"/>
            <w:shd w:val="clear" w:color="auto" w:fill="auto"/>
          </w:tcPr>
          <w:p w14:paraId="09DBCC58" w14:textId="5707B928" w:rsidR="009D4B76" w:rsidRPr="009D4B76" w:rsidRDefault="009D4B76" w:rsidP="001579AA">
            <w:pPr>
              <w:pStyle w:val="Tabletext0"/>
              <w:ind w:left="284" w:hanging="284"/>
              <w:rPr>
                <w:lang w:val="es-ES"/>
              </w:rPr>
            </w:pPr>
            <w:r w:rsidRPr="009D4B76">
              <w:rPr>
                <w:lang w:val="es-ES"/>
              </w:rPr>
              <w:t>–</w:t>
            </w:r>
            <w:r w:rsidRPr="009D4B76">
              <w:rPr>
                <w:lang w:val="es-ES"/>
              </w:rPr>
              <w:tab/>
            </w:r>
            <w:bookmarkStart w:id="6" w:name="lt_pId075"/>
            <w:r w:rsidRPr="009D4B76">
              <w:rPr>
                <w:lang w:val="es-ES"/>
              </w:rPr>
              <w:t xml:space="preserve">Preinscripción (mediante el formulario de inscripción en línea que figura en la </w:t>
            </w:r>
            <w:hyperlink r:id="rId18" w:history="1">
              <w:r w:rsidRPr="009D4B76">
                <w:rPr>
                  <w:rStyle w:val="Hyperlink"/>
                  <w:lang w:val="es-ES"/>
                </w:rPr>
                <w:t>página web de la JCA-QKDN</w:t>
              </w:r>
            </w:hyperlink>
            <w:r w:rsidRPr="009D4B76">
              <w:rPr>
                <w:lang w:val="es-ES"/>
              </w:rPr>
              <w:t>)</w:t>
            </w:r>
            <w:bookmarkEnd w:id="6"/>
          </w:p>
        </w:tc>
      </w:tr>
      <w:tr w:rsidR="009D4B76" w:rsidRPr="009D4B76" w14:paraId="4F51D76D" w14:textId="77777777" w:rsidTr="0028737B">
        <w:tc>
          <w:tcPr>
            <w:tcW w:w="1418" w:type="dxa"/>
          </w:tcPr>
          <w:p w14:paraId="033580C7" w14:textId="066C63BC" w:rsidR="009D4B76" w:rsidRPr="009D4B76" w:rsidRDefault="009D4B76" w:rsidP="009D4B76">
            <w:pPr>
              <w:pStyle w:val="Tabletext0"/>
              <w:rPr>
                <w:lang w:val="es-ES"/>
              </w:rPr>
            </w:pPr>
            <w:r w:rsidRPr="009D4B76">
              <w:rPr>
                <w:lang w:val="es-ES"/>
              </w:rPr>
              <w:t>13</w:t>
            </w:r>
            <w:r w:rsidR="001579AA">
              <w:rPr>
                <w:lang w:val="es-ES"/>
              </w:rPr>
              <w:t>/</w:t>
            </w:r>
            <w:r w:rsidRPr="009D4B76">
              <w:rPr>
                <w:lang w:val="es-ES"/>
              </w:rPr>
              <w:t>03</w:t>
            </w:r>
            <w:r w:rsidR="001579AA">
              <w:rPr>
                <w:lang w:val="es-ES"/>
              </w:rPr>
              <w:t>/</w:t>
            </w:r>
            <w:r w:rsidRPr="009D4B76">
              <w:rPr>
                <w:lang w:val="es-ES"/>
              </w:rPr>
              <w:t>2023</w:t>
            </w:r>
          </w:p>
        </w:tc>
        <w:tc>
          <w:tcPr>
            <w:tcW w:w="8642" w:type="dxa"/>
            <w:shd w:val="clear" w:color="auto" w:fill="auto"/>
          </w:tcPr>
          <w:p w14:paraId="369A0F83" w14:textId="7D3A6EE7" w:rsidR="009D4B76" w:rsidRPr="009D4B76" w:rsidRDefault="009D4B76" w:rsidP="001579AA">
            <w:pPr>
              <w:pStyle w:val="Tabletext0"/>
              <w:ind w:left="284" w:hanging="284"/>
              <w:rPr>
                <w:lang w:val="es-ES"/>
              </w:rPr>
            </w:pPr>
            <w:r w:rsidRPr="009D4B76">
              <w:rPr>
                <w:lang w:val="es-ES"/>
              </w:rPr>
              <w:t>–</w:t>
            </w:r>
            <w:r w:rsidRPr="009D4B76">
              <w:rPr>
                <w:lang w:val="es-ES"/>
              </w:rPr>
              <w:tab/>
            </w:r>
            <w:bookmarkStart w:id="7" w:name="lt_pId078"/>
            <w:r w:rsidRPr="009D4B76">
              <w:rPr>
                <w:lang w:val="es-ES"/>
              </w:rPr>
              <w:t xml:space="preserve">Presentación de contribuciones a la JCA-QKDN por correo electrónico a la dirección </w:t>
            </w:r>
            <w:hyperlink r:id="rId19" w:history="1">
              <w:r w:rsidRPr="0055490F">
                <w:rPr>
                  <w:rStyle w:val="Hyperlink"/>
                  <w:lang w:val="es-ES"/>
                </w:rPr>
                <w:t>quantum@itu.int</w:t>
              </w:r>
            </w:hyperlink>
            <w:bookmarkEnd w:id="7"/>
          </w:p>
        </w:tc>
      </w:tr>
    </w:tbl>
    <w:p w14:paraId="11C26258" w14:textId="1A16C8BD" w:rsidR="009D4B76" w:rsidRPr="009D4B76" w:rsidRDefault="009D4B76" w:rsidP="001579AA">
      <w:pPr>
        <w:pStyle w:val="Normalaftertitle0"/>
        <w:rPr>
          <w:lang w:val="es-ES"/>
        </w:rPr>
      </w:pPr>
      <w:r w:rsidRPr="009D4B76">
        <w:rPr>
          <w:lang w:val="es-ES"/>
        </w:rPr>
        <w:t>9</w:t>
      </w:r>
      <w:r w:rsidRPr="009D4B76">
        <w:rPr>
          <w:lang w:val="es-ES"/>
        </w:rPr>
        <w:tab/>
      </w:r>
      <w:bookmarkStart w:id="8" w:name="lt_pId080"/>
      <w:r w:rsidRPr="009D4B76">
        <w:rPr>
          <w:lang w:val="es-ES"/>
        </w:rPr>
        <w:t xml:space="preserve">En el </w:t>
      </w:r>
      <w:r w:rsidRPr="009D4B76">
        <w:rPr>
          <w:b/>
          <w:bCs/>
          <w:lang w:val="es-ES"/>
        </w:rPr>
        <w:t>Anexo B</w:t>
      </w:r>
      <w:r w:rsidRPr="009D4B76">
        <w:rPr>
          <w:lang w:val="es-ES"/>
        </w:rPr>
        <w:t xml:space="preserve"> figura un proyecto de orden del día de la reunión, preparado por el Sr. </w:t>
      </w:r>
      <w:r w:rsidRPr="0055490F">
        <w:rPr>
          <w:lang w:val="es-ES"/>
        </w:rPr>
        <w:t>Junsen Lai</w:t>
      </w:r>
      <w:r w:rsidRPr="009D4B76">
        <w:rPr>
          <w:lang w:val="es-ES"/>
        </w:rPr>
        <w:t>, Presidente de la JCA-QKDN.</w:t>
      </w:r>
      <w:bookmarkEnd w:id="8"/>
    </w:p>
    <w:p w14:paraId="6943731A" w14:textId="77777777" w:rsidR="009D4B76" w:rsidRPr="009D4B76" w:rsidRDefault="009D4B76" w:rsidP="009D4B76">
      <w:pPr>
        <w:rPr>
          <w:lang w:val="es-ES"/>
        </w:rPr>
      </w:pPr>
      <w:r w:rsidRPr="009D4B76">
        <w:rPr>
          <w:lang w:val="es-ES"/>
        </w:rPr>
        <w:t>Le deseo una reunión agradable y productiva.</w:t>
      </w:r>
    </w:p>
    <w:p w14:paraId="3A4C4B74" w14:textId="77777777" w:rsidR="007B6316" w:rsidRPr="00081FE5" w:rsidRDefault="007B6316" w:rsidP="007B6316">
      <w:r w:rsidRPr="00081FE5">
        <w:t>Atentamente,</w:t>
      </w:r>
    </w:p>
    <w:p w14:paraId="7F97A7F7" w14:textId="76B88E20" w:rsidR="007B6316" w:rsidRPr="00081FE5" w:rsidRDefault="006D447F" w:rsidP="009D777D">
      <w:pPr>
        <w:spacing w:before="960"/>
      </w:pPr>
      <w:r>
        <w:rPr>
          <w:noProof/>
          <w:lang w:val="es-ES"/>
        </w:rPr>
        <w:drawing>
          <wp:anchor distT="0" distB="0" distL="114300" distR="114300" simplePos="0" relativeHeight="251658240" behindDoc="1" locked="0" layoutInCell="1" allowOverlap="1" wp14:anchorId="213160B5" wp14:editId="4067E231">
            <wp:simplePos x="0" y="0"/>
            <wp:positionH relativeFrom="column">
              <wp:posOffset>3810</wp:posOffset>
            </wp:positionH>
            <wp:positionV relativeFrom="paragraph">
              <wp:posOffset>148590</wp:posOffset>
            </wp:positionV>
            <wp:extent cx="685800" cy="308872"/>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85800" cy="308872"/>
                    </a:xfrm>
                    <a:prstGeom prst="rect">
                      <a:avLst/>
                    </a:prstGeom>
                  </pic:spPr>
                </pic:pic>
              </a:graphicData>
            </a:graphic>
            <wp14:sizeRelH relativeFrom="margin">
              <wp14:pctWidth>0</wp14:pctWidth>
            </wp14:sizeRelH>
            <wp14:sizeRelV relativeFrom="margin">
              <wp14:pctHeight>0</wp14:pctHeight>
            </wp14:sizeRelV>
          </wp:anchor>
        </w:drawing>
      </w:r>
      <w:r w:rsidR="009D4B76" w:rsidRPr="009D4B76">
        <w:rPr>
          <w:lang w:val="es-ES"/>
        </w:rPr>
        <w:t>Seizo Onoe</w:t>
      </w:r>
      <w:r w:rsidR="007B6316" w:rsidRPr="00081FE5">
        <w:br/>
      </w:r>
      <w:proofErr w:type="gramStart"/>
      <w:r w:rsidR="007B6316" w:rsidRPr="00081FE5">
        <w:t>Director</w:t>
      </w:r>
      <w:proofErr w:type="gramEnd"/>
      <w:r w:rsidR="007B6316" w:rsidRPr="00081FE5">
        <w:t xml:space="preserve"> de la Oficina de </w:t>
      </w:r>
      <w:r w:rsidR="007B6316" w:rsidRPr="00081FE5">
        <w:br/>
        <w:t>Normalización de las Telecomunicaciones</w:t>
      </w:r>
    </w:p>
    <w:p w14:paraId="7813AAF5" w14:textId="704522CA" w:rsidR="00401C20" w:rsidRDefault="009D4B76" w:rsidP="009D4B76">
      <w:pPr>
        <w:spacing w:before="600"/>
        <w:rPr>
          <w:lang w:val="es-ES"/>
        </w:rPr>
      </w:pPr>
      <w:r w:rsidRPr="009D4B76">
        <w:rPr>
          <w:b/>
          <w:bCs/>
          <w:lang w:val="es-ES"/>
        </w:rPr>
        <w:t>Anexos</w:t>
      </w:r>
      <w:r w:rsidRPr="009D4B76">
        <w:rPr>
          <w:lang w:val="es-ES"/>
        </w:rPr>
        <w:t>: 2</w:t>
      </w:r>
    </w:p>
    <w:p w14:paraId="3D39DFA2" w14:textId="4E251250" w:rsidR="009D4B76" w:rsidRDefault="009D4B76" w:rsidP="00953CC4">
      <w:pPr>
        <w:rPr>
          <w:lang w:val="es-ES"/>
        </w:rPr>
      </w:pPr>
      <w:r>
        <w:rPr>
          <w:lang w:val="es-ES"/>
        </w:rPr>
        <w:br w:type="page"/>
      </w:r>
    </w:p>
    <w:p w14:paraId="5BEBF80E" w14:textId="66D03DE5" w:rsidR="009D4B76" w:rsidRPr="009D4B76" w:rsidRDefault="009D4B76" w:rsidP="0055490F">
      <w:pPr>
        <w:pStyle w:val="AnnexNotitle"/>
        <w:rPr>
          <w:lang w:val="es-ES"/>
        </w:rPr>
      </w:pPr>
      <w:r w:rsidRPr="009D4B76">
        <w:rPr>
          <w:lang w:val="es-ES"/>
        </w:rPr>
        <w:lastRenderedPageBreak/>
        <w:t>ANEXO A</w:t>
      </w:r>
      <w:r w:rsidR="00C011F1">
        <w:rPr>
          <w:lang w:val="es-ES"/>
        </w:rPr>
        <w:br/>
      </w:r>
      <w:r w:rsidR="00C011F1">
        <w:rPr>
          <w:lang w:val="es-ES"/>
        </w:rPr>
        <w:br/>
      </w:r>
      <w:r w:rsidRPr="009D4B76">
        <w:rPr>
          <w:lang w:val="es-ES"/>
        </w:rPr>
        <w:t xml:space="preserve">Mandato de la </w:t>
      </w:r>
      <w:r w:rsidR="00B61187">
        <w:rPr>
          <w:lang w:val="es-ES"/>
        </w:rPr>
        <w:br/>
      </w:r>
      <w:r w:rsidRPr="009D4B76">
        <w:rPr>
          <w:lang w:val="es-ES"/>
        </w:rPr>
        <w:t xml:space="preserve">Actividad Conjunta de Coordinación </w:t>
      </w:r>
      <w:r w:rsidR="00B61187">
        <w:rPr>
          <w:lang w:val="es-ES"/>
        </w:rPr>
        <w:br/>
      </w:r>
      <w:r w:rsidRPr="009D4B76">
        <w:rPr>
          <w:lang w:val="es-ES"/>
        </w:rPr>
        <w:t>sobre las redes de distribución de claves cuánticas</w:t>
      </w:r>
    </w:p>
    <w:p w14:paraId="06982707" w14:textId="77777777" w:rsidR="009D4B76" w:rsidRPr="009D4B76" w:rsidRDefault="009D4B76" w:rsidP="009D4B76">
      <w:pPr>
        <w:pStyle w:val="Heading1"/>
        <w:rPr>
          <w:lang w:val="es-ES"/>
        </w:rPr>
      </w:pPr>
      <w:bookmarkStart w:id="9" w:name="_1_Ámbito_de"/>
      <w:bookmarkEnd w:id="9"/>
      <w:r w:rsidRPr="009D4B76">
        <w:rPr>
          <w:lang w:val="es-ES"/>
        </w:rPr>
        <w:t>1</w:t>
      </w:r>
      <w:r w:rsidRPr="009D4B76">
        <w:rPr>
          <w:lang w:val="es-ES"/>
        </w:rPr>
        <w:tab/>
        <w:t>Ámbito de competencia</w:t>
      </w:r>
    </w:p>
    <w:p w14:paraId="161DE746" w14:textId="24062B0B" w:rsidR="009D4B76" w:rsidRPr="009D4B76" w:rsidRDefault="009D4B76" w:rsidP="009D4B76">
      <w:pPr>
        <w:rPr>
          <w:lang w:val="es-ES"/>
        </w:rPr>
      </w:pPr>
      <w:r w:rsidRPr="009D4B76">
        <w:rPr>
          <w:lang w:val="es-ES"/>
        </w:rPr>
        <w:t>El ámbito de competencia de la Actividad Conjunta de Coordinación sobre las redes de distribución de claves cuánticas (JCA-QKDN) gira entorno a la coordinación de los trabajos de normalización de las redes de distribución de claves cuánticas (QKDN) en el seno del UIT-T y a la coordinación de la comunicación con otras organizaciones, foros y consorcios de normalización que también trabajan con normas relacionadas con la QKD.</w:t>
      </w:r>
    </w:p>
    <w:p w14:paraId="143E36F5" w14:textId="7C7E077D" w:rsidR="009D4B76" w:rsidRPr="009D4B76" w:rsidRDefault="009D4B76" w:rsidP="009D4B76">
      <w:pPr>
        <w:rPr>
          <w:lang w:val="es-ES"/>
        </w:rPr>
      </w:pPr>
      <w:r w:rsidRPr="009D4B76">
        <w:rPr>
          <w:lang w:val="es-ES"/>
        </w:rPr>
        <w:t>La JCA está sujeta a lo estipulado en la cláusula 5 de la Recomendación UIT-T A.1. La JCA funciona con arreglo a las instrucciones de la Resolución 92 de la AMNT-20.</w:t>
      </w:r>
    </w:p>
    <w:p w14:paraId="31CF1645" w14:textId="77777777" w:rsidR="009D4B76" w:rsidRPr="009D4B76" w:rsidRDefault="009D4B76" w:rsidP="009D4B76">
      <w:pPr>
        <w:pStyle w:val="Heading1"/>
        <w:rPr>
          <w:lang w:val="es-ES"/>
        </w:rPr>
      </w:pPr>
      <w:r w:rsidRPr="009D4B76">
        <w:rPr>
          <w:lang w:val="es-ES"/>
        </w:rPr>
        <w:t>2</w:t>
      </w:r>
      <w:r w:rsidRPr="009D4B76">
        <w:rPr>
          <w:lang w:val="es-ES"/>
        </w:rPr>
        <w:tab/>
        <w:t>Objetivos</w:t>
      </w:r>
    </w:p>
    <w:p w14:paraId="7096108F" w14:textId="3046DE4E" w:rsidR="009D4B76" w:rsidRPr="00B61187" w:rsidRDefault="009D4B76" w:rsidP="009D4B76">
      <w:pPr>
        <w:pStyle w:val="enumlev1"/>
      </w:pPr>
      <w:r w:rsidRPr="009D4B76">
        <w:rPr>
          <w:lang w:val="es-ES"/>
        </w:rPr>
        <w:t>–</w:t>
      </w:r>
      <w:r w:rsidRPr="009D4B76">
        <w:rPr>
          <w:lang w:val="es-ES"/>
        </w:rPr>
        <w:tab/>
        <w:t>La JCA-QKDN vela por que la labor de normalización en materia de QKDN del UIT-T progrese de manera bien coordinada entre las Comisiones de Estudio competentes, en particular la Comisión de Estudio 11 sobre protocolos e interoperabilidad, la Comisión de Estudio</w:t>
      </w:r>
      <w:r w:rsidR="00F2571A">
        <w:rPr>
          <w:lang w:val="es-ES"/>
        </w:rPr>
        <w:t> </w:t>
      </w:r>
      <w:r w:rsidRPr="009D4B76">
        <w:rPr>
          <w:lang w:val="es-ES"/>
        </w:rPr>
        <w:t>13 sobre arquitectura y funciones de la red, y la Comisión de Estudio 17 sobre seguridad.</w:t>
      </w:r>
    </w:p>
    <w:p w14:paraId="48062054" w14:textId="4901E7BB" w:rsidR="009D4B76" w:rsidRPr="00B61187" w:rsidRDefault="009D4B76" w:rsidP="009D4B76">
      <w:pPr>
        <w:pStyle w:val="enumlev1"/>
      </w:pPr>
      <w:r w:rsidRPr="009D4B76">
        <w:rPr>
          <w:lang w:val="es-ES"/>
        </w:rPr>
        <w:t>–</w:t>
      </w:r>
      <w:r w:rsidRPr="009D4B76">
        <w:rPr>
          <w:lang w:val="es-ES"/>
        </w:rPr>
        <w:tab/>
        <w:t>Siempre que se descubran duplicidades o problemas de planificación, la JCA</w:t>
      </w:r>
      <w:r w:rsidRPr="009D4B76">
        <w:rPr>
          <w:lang w:val="es-ES"/>
        </w:rPr>
        <w:noBreakHyphen/>
        <w:t>QKDN procederá a coordinar todas las actividades relativas a las QKDN con las Comisiones de Estudio pertinentes e informará de los resultados al GANT.</w:t>
      </w:r>
    </w:p>
    <w:p w14:paraId="2E132363" w14:textId="7007626B" w:rsidR="009D4B76" w:rsidRPr="004F7ED9" w:rsidRDefault="009D4B76" w:rsidP="009D4B76">
      <w:pPr>
        <w:pStyle w:val="enumlev1"/>
      </w:pPr>
      <w:r w:rsidRPr="009D4B76">
        <w:rPr>
          <w:lang w:val="es-ES"/>
        </w:rPr>
        <w:t>–</w:t>
      </w:r>
      <w:r w:rsidRPr="009D4B76">
        <w:rPr>
          <w:lang w:val="es-ES"/>
        </w:rPr>
        <w:tab/>
        <w:t>La JCA-QKDN estudia y fomenta las posibilidades de cooperación en materia de normalización de la QKD con las organizaciones de normalización competentes, incluidos el JTC1 de la ISO/CEI, el ETSI, el IEEE, el IETF/IRTF, la CCSA, el FG QT de CEN-CENELEC y el TC</w:t>
      </w:r>
      <w:r w:rsidR="00F2571A">
        <w:rPr>
          <w:lang w:val="es-ES"/>
        </w:rPr>
        <w:t> </w:t>
      </w:r>
      <w:r w:rsidRPr="009D4B76">
        <w:rPr>
          <w:lang w:val="es-ES"/>
        </w:rPr>
        <w:t>86 de la CEI, entre otros.</w:t>
      </w:r>
    </w:p>
    <w:p w14:paraId="2F4163E2" w14:textId="62E39D15" w:rsidR="009D4B76" w:rsidRPr="004F7ED9" w:rsidRDefault="009D4B76" w:rsidP="009D4B76">
      <w:pPr>
        <w:pStyle w:val="enumlev1"/>
      </w:pPr>
      <w:r w:rsidRPr="009D4B76">
        <w:rPr>
          <w:lang w:val="es-ES"/>
        </w:rPr>
        <w:t>–</w:t>
      </w:r>
      <w:r w:rsidRPr="009D4B76">
        <w:rPr>
          <w:lang w:val="es-ES"/>
        </w:rPr>
        <w:tab/>
        <w:t>La JCA-QKDN analiza los trabajos de las organizaciones, foros y consorcios de normalización de utilidad en su función de coordinación y, en el marco de su informe, facilita información sobre dicha labor para que las Comisiones de Estudio correspondientes la utilicen en la planificación de sus trabajos.</w:t>
      </w:r>
    </w:p>
    <w:p w14:paraId="7AA1A38C" w14:textId="4893FE9E" w:rsidR="009D4B76" w:rsidRPr="004F7ED9" w:rsidRDefault="009D4B76" w:rsidP="009D4B76">
      <w:pPr>
        <w:pStyle w:val="enumlev1"/>
      </w:pPr>
      <w:r w:rsidRPr="009D4B76">
        <w:rPr>
          <w:lang w:val="es-ES"/>
        </w:rPr>
        <w:t>–</w:t>
      </w:r>
      <w:r w:rsidRPr="009D4B76">
        <w:rPr>
          <w:lang w:val="es-ES"/>
        </w:rPr>
        <w:tab/>
        <w:t>Con el fin de evitar la duplicación de esfuerzos y de contribuir a la coordinación de las labores de las Comisiones de Estudio, la JCA-QKDN ejerce de punto de contacto dentro del</w:t>
      </w:r>
      <w:r w:rsidR="00F2571A">
        <w:rPr>
          <w:lang w:val="es-ES"/>
        </w:rPr>
        <w:t> </w:t>
      </w:r>
      <w:r w:rsidRPr="009D4B76">
        <w:rPr>
          <w:lang w:val="es-ES"/>
        </w:rPr>
        <w:t>UIT-T y con otras organizaciones, foros y consorcios de normalización que trabajan con normas relacionadas con la QKD.</w:t>
      </w:r>
    </w:p>
    <w:p w14:paraId="260C38E2" w14:textId="50043DA2" w:rsidR="009D4B76" w:rsidRPr="00924335" w:rsidRDefault="009D4B76" w:rsidP="009D4B76">
      <w:pPr>
        <w:pStyle w:val="enumlev1"/>
      </w:pPr>
      <w:r w:rsidRPr="009D4B76">
        <w:rPr>
          <w:lang w:val="es-ES"/>
        </w:rPr>
        <w:t>–</w:t>
      </w:r>
      <w:r w:rsidRPr="009D4B76">
        <w:rPr>
          <w:lang w:val="es-ES"/>
        </w:rPr>
        <w:tab/>
        <w:t>La JCA-QKDN mantiene actualizada la hoja de ruta para la normalización de las QKDN de la</w:t>
      </w:r>
      <w:r w:rsidR="001B400E">
        <w:rPr>
          <w:lang w:val="es-ES"/>
        </w:rPr>
        <w:t> </w:t>
      </w:r>
      <w:r w:rsidRPr="009D4B76">
        <w:rPr>
          <w:lang w:val="es-ES"/>
        </w:rPr>
        <w:t>CE</w:t>
      </w:r>
      <w:r w:rsidR="00F2571A">
        <w:rPr>
          <w:lang w:val="es-ES"/>
        </w:rPr>
        <w:t> </w:t>
      </w:r>
      <w:r w:rsidRPr="009D4B76">
        <w:rPr>
          <w:lang w:val="es-ES"/>
        </w:rPr>
        <w:t>13, que abarca las especificaciones en curso de elaboración y las especificaciones publicadas por la UIT y por otras organizaciones, foros y consorcios de normalización.</w:t>
      </w:r>
    </w:p>
    <w:p w14:paraId="3DEEF5DE" w14:textId="014367B8" w:rsidR="009D4B76" w:rsidRPr="009C3056" w:rsidRDefault="009D4B76" w:rsidP="009D4B76">
      <w:pPr>
        <w:pStyle w:val="enumlev1"/>
      </w:pPr>
      <w:r w:rsidRPr="009D4B76">
        <w:rPr>
          <w:lang w:val="es-ES"/>
        </w:rPr>
        <w:t>–</w:t>
      </w:r>
      <w:r w:rsidRPr="009D4B76">
        <w:rPr>
          <w:lang w:val="es-ES"/>
        </w:rPr>
        <w:tab/>
        <w:t>Dada su función de coordinación interna, entre los participantes en la JCA-QKDN figurarán representantes de las correspondientes Comisiones de Estudio del UIT-T y de otros grupos pertinentes de la UIT.</w:t>
      </w:r>
    </w:p>
    <w:p w14:paraId="135B0F3B" w14:textId="3087A380" w:rsidR="009D4B76" w:rsidRPr="009D4B76" w:rsidRDefault="009D4B76" w:rsidP="009D4B76">
      <w:pPr>
        <w:pStyle w:val="enumlev1"/>
        <w:rPr>
          <w:lang w:val="es-ES"/>
        </w:rPr>
      </w:pPr>
      <w:r w:rsidRPr="009D4B76">
        <w:rPr>
          <w:lang w:val="es-ES"/>
        </w:rPr>
        <w:lastRenderedPageBreak/>
        <w:t>–</w:t>
      </w:r>
      <w:r w:rsidRPr="009D4B76">
        <w:rPr>
          <w:lang w:val="es-ES"/>
        </w:rPr>
        <w:tab/>
        <w:t>Dada su función de colaboración externa, se invitará a formar parte de la JCA</w:t>
      </w:r>
      <w:r w:rsidRPr="0055490F">
        <w:rPr>
          <w:lang w:val="es-ES"/>
        </w:rPr>
        <w:t>-QKDN</w:t>
      </w:r>
      <w:r w:rsidRPr="009D4B76">
        <w:rPr>
          <w:lang w:val="es-ES"/>
        </w:rPr>
        <w:t xml:space="preserve"> a representantes de otras organizaciones de normalización, organizaciones regionales/nacionales, foros y consorcios competentes.</w:t>
      </w:r>
    </w:p>
    <w:p w14:paraId="27640C26" w14:textId="77777777" w:rsidR="009D4B76" w:rsidRPr="009D4B76" w:rsidRDefault="009D4B76" w:rsidP="009D4B76">
      <w:pPr>
        <w:pStyle w:val="Heading1"/>
        <w:rPr>
          <w:lang w:val="es-ES"/>
        </w:rPr>
      </w:pPr>
      <w:r w:rsidRPr="009D4B76">
        <w:rPr>
          <w:lang w:val="es-ES"/>
        </w:rPr>
        <w:t>3</w:t>
      </w:r>
      <w:r w:rsidRPr="009D4B76">
        <w:rPr>
          <w:lang w:val="es-ES"/>
        </w:rPr>
        <w:tab/>
      </w:r>
      <w:bookmarkStart w:id="10" w:name="lt_pId116"/>
      <w:r w:rsidRPr="009D4B76">
        <w:rPr>
          <w:lang w:val="es-ES"/>
        </w:rPr>
        <w:t>Participación</w:t>
      </w:r>
      <w:bookmarkEnd w:id="10"/>
    </w:p>
    <w:p w14:paraId="4432CCBF" w14:textId="1E7EBB95" w:rsidR="009D4B76" w:rsidRPr="0055490F" w:rsidRDefault="009D4B76" w:rsidP="009D4B76">
      <w:pPr>
        <w:rPr>
          <w:lang w:val="es-ES"/>
        </w:rPr>
      </w:pPr>
      <w:bookmarkStart w:id="11" w:name="lt_pId117"/>
      <w:r w:rsidRPr="0055490F">
        <w:rPr>
          <w:lang w:val="es-ES"/>
        </w:rPr>
        <w:t>La participación está abierta a los representantes oficiales de todas las Comisiones de Estudio del</w:t>
      </w:r>
      <w:r w:rsidR="009C3056">
        <w:rPr>
          <w:lang w:val="es-ES"/>
        </w:rPr>
        <w:t> </w:t>
      </w:r>
      <w:r w:rsidRPr="0055490F">
        <w:rPr>
          <w:lang w:val="es-ES"/>
        </w:rPr>
        <w:t>UIT-T y del GANT</w:t>
      </w:r>
      <w:r w:rsidRPr="009D4B76">
        <w:rPr>
          <w:lang w:val="es-ES"/>
        </w:rPr>
        <w:t>, así como</w:t>
      </w:r>
      <w:r w:rsidRPr="0055490F">
        <w:rPr>
          <w:lang w:val="es-ES"/>
        </w:rPr>
        <w:t xml:space="preserve"> a la secretaría de todas las CE del UIT-T. </w:t>
      </w:r>
      <w:r w:rsidRPr="009D4B76">
        <w:rPr>
          <w:lang w:val="es-ES"/>
        </w:rPr>
        <w:t>También p</w:t>
      </w:r>
      <w:r w:rsidRPr="0055490F">
        <w:rPr>
          <w:lang w:val="es-ES"/>
        </w:rPr>
        <w:t>odrá invitarse a otros grupos de la UIT y a organismos externos y organizaciones de normalización pertinentes a nombr</w:t>
      </w:r>
      <w:r w:rsidRPr="009D4B76">
        <w:rPr>
          <w:lang w:val="es-ES"/>
        </w:rPr>
        <w:t>ar a</w:t>
      </w:r>
      <w:r w:rsidRPr="0055490F">
        <w:rPr>
          <w:lang w:val="es-ES"/>
        </w:rPr>
        <w:t xml:space="preserve"> un representante que se incorpore al grupo.</w:t>
      </w:r>
      <w:bookmarkEnd w:id="11"/>
    </w:p>
    <w:p w14:paraId="6BE5850A" w14:textId="7EEF06B6" w:rsidR="009D4B76" w:rsidRPr="009D4B76" w:rsidRDefault="009D4B76" w:rsidP="009D4B76">
      <w:pPr>
        <w:pStyle w:val="Heading1"/>
        <w:rPr>
          <w:lang w:val="es-ES"/>
        </w:rPr>
      </w:pPr>
      <w:r w:rsidRPr="009D4B76">
        <w:rPr>
          <w:lang w:val="es-ES"/>
        </w:rPr>
        <w:t>4</w:t>
      </w:r>
      <w:r w:rsidRPr="009D4B76">
        <w:rPr>
          <w:lang w:val="es-ES"/>
        </w:rPr>
        <w:tab/>
        <w:t>Apoyo administrativo</w:t>
      </w:r>
    </w:p>
    <w:p w14:paraId="5F2DBFAD" w14:textId="0EDF4A78" w:rsidR="009D4B76" w:rsidRPr="009D4B76" w:rsidRDefault="009D4B76" w:rsidP="009D4B76">
      <w:pPr>
        <w:rPr>
          <w:lang w:val="es-ES"/>
        </w:rPr>
      </w:pPr>
      <w:r w:rsidRPr="009D4B76">
        <w:rPr>
          <w:lang w:val="es-ES"/>
        </w:rPr>
        <w:t>La Oficina de Normalización de las Telecomunicaciones (TSB) del UIT-T proporcionará servicios de secretaría e instalaciones a la JCA-QKDN con arreglo a los recursos disponibles.</w:t>
      </w:r>
    </w:p>
    <w:p w14:paraId="791F312D" w14:textId="27389797" w:rsidR="009D4B76" w:rsidRPr="009D4B76" w:rsidRDefault="009D4B76" w:rsidP="009D4B76">
      <w:pPr>
        <w:pStyle w:val="Heading1"/>
        <w:rPr>
          <w:lang w:val="es-ES"/>
        </w:rPr>
      </w:pPr>
      <w:r w:rsidRPr="009D4B76">
        <w:rPr>
          <w:lang w:val="es-ES"/>
        </w:rPr>
        <w:t>5</w:t>
      </w:r>
      <w:r w:rsidRPr="009D4B76">
        <w:rPr>
          <w:lang w:val="es-ES"/>
        </w:rPr>
        <w:tab/>
        <w:t>Reuniones</w:t>
      </w:r>
    </w:p>
    <w:p w14:paraId="3CAE89AD" w14:textId="3E7D0079" w:rsidR="009D4B76" w:rsidRPr="009D4B76" w:rsidRDefault="009D4B76" w:rsidP="009D4B76">
      <w:pPr>
        <w:rPr>
          <w:lang w:val="es-ES"/>
        </w:rPr>
      </w:pPr>
      <w:r w:rsidRPr="009D4B76">
        <w:rPr>
          <w:lang w:val="es-ES"/>
        </w:rPr>
        <w:t>La JCA-QKDN lleva a cabo su labor por medios electrónicos, por teleconferencia, y mediante reuniones presenciales, según sea necesario. Las reuniones se celebran en función de lo dispuesto por la JCA-QKDN, se anuncian a sus participantes mediante el distribuidor general de correo electrónico y se publicitan en el sitio web del UIT</w:t>
      </w:r>
      <w:r w:rsidR="009C3056">
        <w:rPr>
          <w:lang w:val="es-ES"/>
        </w:rPr>
        <w:t>-T</w:t>
      </w:r>
      <w:r w:rsidRPr="009D4B76">
        <w:rPr>
          <w:lang w:val="es-ES"/>
        </w:rPr>
        <w:t>. De ser necesario, la JCA-QKDN puede reunirse al mismo tiempo que el GANT.</w:t>
      </w:r>
    </w:p>
    <w:p w14:paraId="0EE49548" w14:textId="64587ADF" w:rsidR="009D4B76" w:rsidRPr="009D4B76" w:rsidRDefault="009D4B76" w:rsidP="009D4B76">
      <w:pPr>
        <w:pStyle w:val="Heading1"/>
        <w:rPr>
          <w:lang w:val="es-ES"/>
        </w:rPr>
      </w:pPr>
      <w:r w:rsidRPr="009D4B76">
        <w:rPr>
          <w:lang w:val="es-ES"/>
        </w:rPr>
        <w:t>6</w:t>
      </w:r>
      <w:r w:rsidRPr="009D4B76">
        <w:rPr>
          <w:lang w:val="es-ES"/>
        </w:rPr>
        <w:tab/>
        <w:t>Comisión de Estudio rectora e informes de situación</w:t>
      </w:r>
    </w:p>
    <w:p w14:paraId="723FA00E" w14:textId="4F530DCA" w:rsidR="009D4B76" w:rsidRPr="009D4B76" w:rsidRDefault="009D4B76" w:rsidP="009D4B76">
      <w:pPr>
        <w:rPr>
          <w:lang w:val="es-ES"/>
        </w:rPr>
      </w:pPr>
      <w:r w:rsidRPr="009D4B76">
        <w:rPr>
          <w:lang w:val="es-ES"/>
        </w:rPr>
        <w:t>La JCA-QKDN rendirá cuentas al GANT en sus reuniones. Después de cada reunión de la JCA-QKDN, se remitirá un resumen ejecutivo de la misma al GANT. Los informes de situación y las propuestas se remitirán a las Comisiones de Estudio pertinentes, cuando corresponda, de acuerdo con lo dispuesto en la cláusula</w:t>
      </w:r>
      <w:r w:rsidR="00F2571A">
        <w:rPr>
          <w:lang w:val="es-ES"/>
        </w:rPr>
        <w:t> </w:t>
      </w:r>
      <w:r w:rsidRPr="009D4B76">
        <w:rPr>
          <w:lang w:val="es-ES"/>
        </w:rPr>
        <w:t>5 de la Recomendación UIT-T A.1.</w:t>
      </w:r>
    </w:p>
    <w:p w14:paraId="0DEC1C12" w14:textId="77777777" w:rsidR="009D4B76" w:rsidRPr="009D4B76" w:rsidRDefault="009D4B76" w:rsidP="009D4B76">
      <w:pPr>
        <w:pStyle w:val="Heading1"/>
        <w:rPr>
          <w:lang w:val="es-ES"/>
        </w:rPr>
      </w:pPr>
      <w:r w:rsidRPr="009D4B76">
        <w:rPr>
          <w:lang w:val="es-ES"/>
        </w:rPr>
        <w:t>7</w:t>
      </w:r>
      <w:r w:rsidRPr="009D4B76">
        <w:rPr>
          <w:lang w:val="es-ES"/>
        </w:rPr>
        <w:tab/>
        <w:t>Equipo directivo</w:t>
      </w:r>
    </w:p>
    <w:p w14:paraId="35FD9011" w14:textId="36D03684" w:rsidR="009D4B76" w:rsidRPr="009D4B76" w:rsidRDefault="009D4B76" w:rsidP="009D4B76">
      <w:pPr>
        <w:rPr>
          <w:lang w:val="es-ES"/>
        </w:rPr>
      </w:pPr>
      <w:bookmarkStart w:id="12" w:name="lt_pId134"/>
      <w:r w:rsidRPr="009D4B76">
        <w:rPr>
          <w:b/>
          <w:bCs/>
          <w:lang w:val="es-ES"/>
        </w:rPr>
        <w:t>Presidente</w:t>
      </w:r>
      <w:r w:rsidRPr="009D4B76">
        <w:rPr>
          <w:lang w:val="es-ES"/>
        </w:rPr>
        <w:t>: Junsen Lai, Academia de Tecnologías de la Información y la Comunicación de China (CAICT), China</w:t>
      </w:r>
      <w:bookmarkEnd w:id="12"/>
    </w:p>
    <w:p w14:paraId="5B8CB87C" w14:textId="6CC845DC" w:rsidR="009D4B76" w:rsidRPr="009D4B76" w:rsidRDefault="009D4B76" w:rsidP="009D4B76">
      <w:pPr>
        <w:rPr>
          <w:lang w:val="es-ES"/>
        </w:rPr>
      </w:pPr>
      <w:bookmarkStart w:id="13" w:name="lt_pId135"/>
      <w:r w:rsidRPr="009D4B76">
        <w:rPr>
          <w:b/>
          <w:bCs/>
          <w:lang w:val="es-ES"/>
        </w:rPr>
        <w:t>Vicepresidente</w:t>
      </w:r>
      <w:r w:rsidRPr="009C3056">
        <w:t xml:space="preserve">: </w:t>
      </w:r>
      <w:r w:rsidRPr="009D4B76">
        <w:rPr>
          <w:lang w:val="es-ES"/>
        </w:rPr>
        <w:t>Mark McFadden, Departamento de Tecnologías Digitales, Cultura, Medios de Comunicación y Deporte (DCMS), Reino Unido</w:t>
      </w:r>
      <w:bookmarkEnd w:id="13"/>
    </w:p>
    <w:p w14:paraId="408E64DC" w14:textId="77777777" w:rsidR="009D4B76" w:rsidRPr="009D4B76" w:rsidRDefault="009D4B76" w:rsidP="009D4B76">
      <w:pPr>
        <w:pStyle w:val="Heading1"/>
        <w:rPr>
          <w:lang w:val="es-ES"/>
        </w:rPr>
      </w:pPr>
      <w:r w:rsidRPr="009D4B76">
        <w:rPr>
          <w:lang w:val="es-ES"/>
        </w:rPr>
        <w:t>8</w:t>
      </w:r>
      <w:r w:rsidRPr="009D4B76">
        <w:rPr>
          <w:lang w:val="es-ES"/>
        </w:rPr>
        <w:tab/>
        <w:t>Otros contactos</w:t>
      </w:r>
    </w:p>
    <w:p w14:paraId="31C01068" w14:textId="06F4E675" w:rsidR="009D4B76" w:rsidRPr="009D4B76" w:rsidRDefault="009D4B76" w:rsidP="009D4B76">
      <w:pPr>
        <w:rPr>
          <w:lang w:val="es-ES"/>
        </w:rPr>
      </w:pPr>
      <w:bookmarkStart w:id="14" w:name="lt_pId138"/>
      <w:r w:rsidRPr="009D4B76">
        <w:rPr>
          <w:lang w:val="es-ES"/>
        </w:rPr>
        <w:t>Secretaría de la JCA-QKDN (</w:t>
      </w:r>
      <w:hyperlink r:id="rId21" w:history="1">
        <w:r w:rsidRPr="009D4B76">
          <w:rPr>
            <w:rStyle w:val="Hyperlink"/>
            <w:lang w:val="es-ES"/>
          </w:rPr>
          <w:t>quantum@itu.int</w:t>
        </w:r>
      </w:hyperlink>
      <w:bookmarkEnd w:id="14"/>
      <w:r w:rsidRPr="009D4B76">
        <w:rPr>
          <w:lang w:val="es-ES"/>
        </w:rPr>
        <w:fldChar w:fldCharType="begin"/>
      </w:r>
      <w:r w:rsidRPr="009D4B76">
        <w:rPr>
          <w:lang w:val="es-ES"/>
        </w:rPr>
        <w:instrText>tsbjcadcc@itu.int</w:instrText>
      </w:r>
      <w:r w:rsidRPr="009D4B76">
        <w:rPr>
          <w:lang w:val="es-ES"/>
        </w:rPr>
        <w:fldChar w:fldCharType="separate"/>
      </w:r>
      <w:r w:rsidRPr="009D4B76">
        <w:rPr>
          <w:u w:val="single"/>
          <w:lang w:val="es-ES"/>
        </w:rPr>
        <w:t>tsbjcadcc@itu.int</w:t>
      </w:r>
      <w:r w:rsidRPr="009D4B76">
        <w:rPr>
          <w:lang w:val="es-ES"/>
        </w:rPr>
        <w:fldChar w:fldCharType="end"/>
      </w:r>
      <w:r w:rsidRPr="009D4B76">
        <w:rPr>
          <w:lang w:val="es-ES"/>
        </w:rPr>
        <w:t>)</w:t>
      </w:r>
    </w:p>
    <w:p w14:paraId="3042405F" w14:textId="511A6770" w:rsidR="009D4B76" w:rsidRPr="009D4B76" w:rsidRDefault="009C3056" w:rsidP="0055490F">
      <w:pPr>
        <w:pStyle w:val="Heading1"/>
        <w:rPr>
          <w:lang w:val="es-ES"/>
        </w:rPr>
      </w:pPr>
      <w:r>
        <w:rPr>
          <w:lang w:val="es-ES"/>
        </w:rPr>
        <w:t>9</w:t>
      </w:r>
      <w:r w:rsidR="009D4B76" w:rsidRPr="009D4B76">
        <w:rPr>
          <w:lang w:val="es-ES"/>
        </w:rPr>
        <w:tab/>
        <w:t>Duración</w:t>
      </w:r>
    </w:p>
    <w:p w14:paraId="043206A0" w14:textId="2F9D2C8C" w:rsidR="009D4B76" w:rsidRPr="009D4B76" w:rsidRDefault="009D4B76" w:rsidP="009C3056">
      <w:pPr>
        <w:rPr>
          <w:lang w:val="es-ES"/>
        </w:rPr>
      </w:pPr>
      <w:bookmarkStart w:id="15" w:name="lt_pId142"/>
      <w:r w:rsidRPr="009D4B76">
        <w:rPr>
          <w:lang w:val="es-ES"/>
        </w:rPr>
        <w:t>Véase cláusula</w:t>
      </w:r>
      <w:r w:rsidR="00F2571A">
        <w:rPr>
          <w:lang w:val="es-ES"/>
        </w:rPr>
        <w:t> </w:t>
      </w:r>
      <w:r w:rsidRPr="009D4B76">
        <w:rPr>
          <w:lang w:val="es-ES"/>
        </w:rPr>
        <w:t>5.10 de la Recomendación UIT-T A.1</w:t>
      </w:r>
      <w:bookmarkEnd w:id="15"/>
      <w:r w:rsidR="009C3056">
        <w:rPr>
          <w:lang w:val="es-ES"/>
        </w:rPr>
        <w:t>.</w:t>
      </w:r>
    </w:p>
    <w:p w14:paraId="7F3C6A7D" w14:textId="039B6B29" w:rsidR="009D4B76" w:rsidRDefault="009D4B76" w:rsidP="009C3056">
      <w:pPr>
        <w:rPr>
          <w:lang w:val="es-ES"/>
        </w:rPr>
      </w:pPr>
      <w:r>
        <w:rPr>
          <w:lang w:val="es-ES"/>
        </w:rPr>
        <w:br w:type="page"/>
      </w:r>
    </w:p>
    <w:p w14:paraId="70426BD9" w14:textId="70A796C7" w:rsidR="009D4B76" w:rsidRPr="009D4B76" w:rsidRDefault="009D4B76" w:rsidP="00F2571A">
      <w:pPr>
        <w:pStyle w:val="AnnexNotitle"/>
        <w:spacing w:after="360"/>
        <w:rPr>
          <w:lang w:val="es-ES"/>
        </w:rPr>
      </w:pPr>
      <w:bookmarkStart w:id="16" w:name="lt_pId109"/>
      <w:bookmarkStart w:id="17" w:name="Annex2"/>
      <w:r w:rsidRPr="0055490F">
        <w:rPr>
          <w:lang w:val="es-ES"/>
        </w:rPr>
        <w:lastRenderedPageBreak/>
        <w:t xml:space="preserve">ANEXO </w:t>
      </w:r>
      <w:r w:rsidRPr="009C3056">
        <w:rPr>
          <w:lang w:val="es-ES"/>
        </w:rPr>
        <w:t>B</w:t>
      </w:r>
      <w:bookmarkStart w:id="18" w:name="_Draft_Agenda_for"/>
      <w:bookmarkStart w:id="19" w:name="lt_pId111"/>
      <w:bookmarkEnd w:id="16"/>
      <w:bookmarkEnd w:id="17"/>
      <w:bookmarkEnd w:id="18"/>
      <w:r w:rsidR="009C3056">
        <w:rPr>
          <w:lang w:val="es-ES"/>
        </w:rPr>
        <w:br/>
      </w:r>
      <w:r w:rsidR="009C3056">
        <w:rPr>
          <w:lang w:val="es-ES"/>
        </w:rPr>
        <w:br/>
      </w:r>
      <w:r w:rsidRPr="009D4B76">
        <w:rPr>
          <w:lang w:val="es-ES"/>
        </w:rPr>
        <w:t>Proyecto de orden del día de la 1ª reunión de la JCA-QKDN</w:t>
      </w:r>
      <w:bookmarkEnd w:id="19"/>
      <w:r w:rsidRPr="009D4B76">
        <w:rPr>
          <w:lang w:val="es-ES"/>
        </w:rPr>
        <w:br/>
      </w:r>
      <w:bookmarkStart w:id="20" w:name="lt_pId112"/>
      <w:r w:rsidRPr="009D4B76">
        <w:rPr>
          <w:lang w:val="es-ES"/>
        </w:rPr>
        <w:t>(Ginebra, 22 de marzo de 2023, 13.00-14.30 horas)</w:t>
      </w:r>
      <w:bookmarkEnd w:id="20"/>
    </w:p>
    <w:p w14:paraId="3F305CFE" w14:textId="77777777" w:rsidR="009D4B76" w:rsidRPr="009D4B76" w:rsidRDefault="009D4B76" w:rsidP="00F2571A">
      <w:pPr>
        <w:pStyle w:val="enumlev1"/>
        <w:rPr>
          <w:lang w:val="es-ES"/>
        </w:rPr>
      </w:pPr>
      <w:r w:rsidRPr="009D4B76">
        <w:rPr>
          <w:lang w:val="es-ES"/>
        </w:rPr>
        <w:t>1</w:t>
      </w:r>
      <w:r w:rsidRPr="009D4B76">
        <w:rPr>
          <w:lang w:val="es-ES"/>
        </w:rPr>
        <w:tab/>
        <w:t>Apertura de la reunión</w:t>
      </w:r>
    </w:p>
    <w:p w14:paraId="3D6C4B2C" w14:textId="77777777" w:rsidR="009D4B76" w:rsidRPr="009D4B76" w:rsidRDefault="009D4B76" w:rsidP="00F2571A">
      <w:pPr>
        <w:pStyle w:val="enumlev1"/>
        <w:rPr>
          <w:lang w:val="es-ES"/>
        </w:rPr>
      </w:pPr>
      <w:r w:rsidRPr="009D4B76">
        <w:rPr>
          <w:lang w:val="es-ES"/>
        </w:rPr>
        <w:t>2</w:t>
      </w:r>
      <w:r w:rsidRPr="009D4B76">
        <w:rPr>
          <w:lang w:val="es-ES"/>
        </w:rPr>
        <w:tab/>
        <w:t>Aprobación del orden del día</w:t>
      </w:r>
      <w:bookmarkStart w:id="21" w:name="lt_pId137"/>
    </w:p>
    <w:p w14:paraId="7E8CBB16" w14:textId="68504B53" w:rsidR="009D4B76" w:rsidRPr="009D4B76" w:rsidRDefault="009D4B76" w:rsidP="00F2571A">
      <w:pPr>
        <w:pStyle w:val="enumlev1"/>
        <w:rPr>
          <w:lang w:val="es-ES"/>
        </w:rPr>
      </w:pPr>
      <w:r w:rsidRPr="009D4B76">
        <w:rPr>
          <w:lang w:val="es-ES"/>
        </w:rPr>
        <w:t>3</w:t>
      </w:r>
      <w:r w:rsidRPr="009D4B76">
        <w:rPr>
          <w:lang w:val="es-ES"/>
        </w:rPr>
        <w:tab/>
        <w:t>Examen del mandato de la JCA-QKDN</w:t>
      </w:r>
      <w:bookmarkEnd w:id="21"/>
    </w:p>
    <w:p w14:paraId="77F22E9A" w14:textId="591DB8E0" w:rsidR="009D4B76" w:rsidRPr="009D4B76" w:rsidRDefault="009D4B76" w:rsidP="00F2571A">
      <w:pPr>
        <w:pStyle w:val="enumlev1"/>
        <w:rPr>
          <w:lang w:val="es-ES"/>
        </w:rPr>
      </w:pPr>
      <w:r w:rsidRPr="009D4B76">
        <w:rPr>
          <w:lang w:val="es-ES"/>
        </w:rPr>
        <w:t>4</w:t>
      </w:r>
      <w:r w:rsidRPr="009D4B76">
        <w:rPr>
          <w:lang w:val="es-ES"/>
        </w:rPr>
        <w:tab/>
        <w:t>Examen de los métodos de trabajo de la JCA-QKDN</w:t>
      </w:r>
      <w:bookmarkStart w:id="22" w:name="lt_pId139"/>
      <w:bookmarkStart w:id="23" w:name="_Hlk101256097"/>
    </w:p>
    <w:p w14:paraId="20F2D4A4" w14:textId="4C1EC768" w:rsidR="009D4B76" w:rsidRPr="009D4B76" w:rsidRDefault="009D4B76" w:rsidP="00F2571A">
      <w:pPr>
        <w:pStyle w:val="enumlev1"/>
        <w:rPr>
          <w:lang w:val="es-ES"/>
        </w:rPr>
      </w:pPr>
      <w:r w:rsidRPr="009D4B76">
        <w:rPr>
          <w:lang w:val="es-ES"/>
        </w:rPr>
        <w:t>5</w:t>
      </w:r>
      <w:r w:rsidRPr="009D4B76">
        <w:rPr>
          <w:lang w:val="es-ES"/>
        </w:rPr>
        <w:tab/>
        <w:t>Examen de los esfuerzos de normalización de las Comisiones de Estudio del UIT-T y de otras organizaciones y foros de normalización</w:t>
      </w:r>
      <w:bookmarkStart w:id="24" w:name="lt_pId140"/>
      <w:bookmarkEnd w:id="22"/>
      <w:bookmarkEnd w:id="23"/>
    </w:p>
    <w:p w14:paraId="1ED45373" w14:textId="77777777" w:rsidR="009D4B76" w:rsidRPr="009D4B76" w:rsidRDefault="009D4B76" w:rsidP="00F2571A">
      <w:pPr>
        <w:pStyle w:val="enumlev1"/>
        <w:rPr>
          <w:lang w:val="es-ES"/>
        </w:rPr>
      </w:pPr>
      <w:r w:rsidRPr="009D4B76">
        <w:rPr>
          <w:lang w:val="es-ES"/>
        </w:rPr>
        <w:t>6</w:t>
      </w:r>
      <w:r w:rsidRPr="009D4B76">
        <w:rPr>
          <w:lang w:val="es-ES"/>
        </w:rPr>
        <w:tab/>
        <w:t>Examen de las contribuciones y de las declaraciones de coordinación entrantes</w:t>
      </w:r>
      <w:bookmarkStart w:id="25" w:name="lt_pId141"/>
      <w:bookmarkEnd w:id="24"/>
    </w:p>
    <w:p w14:paraId="52921B46" w14:textId="77777777" w:rsidR="009D4B76" w:rsidRPr="009D4B76" w:rsidRDefault="009D4B76" w:rsidP="00F2571A">
      <w:pPr>
        <w:pStyle w:val="enumlev1"/>
        <w:rPr>
          <w:lang w:val="es-ES"/>
        </w:rPr>
      </w:pPr>
      <w:r w:rsidRPr="009D4B76">
        <w:rPr>
          <w:lang w:val="es-ES"/>
        </w:rPr>
        <w:t>7</w:t>
      </w:r>
      <w:r w:rsidRPr="009D4B76">
        <w:rPr>
          <w:lang w:val="es-ES"/>
        </w:rPr>
        <w:tab/>
        <w:t>Asuntos que requieren coordinación</w:t>
      </w:r>
      <w:bookmarkEnd w:id="25"/>
    </w:p>
    <w:p w14:paraId="40E2B995" w14:textId="138FE0E2" w:rsidR="009D4B76" w:rsidRPr="009D4B76" w:rsidRDefault="009D4B76" w:rsidP="00F2571A">
      <w:pPr>
        <w:pStyle w:val="enumlev1"/>
        <w:rPr>
          <w:lang w:val="es-ES"/>
        </w:rPr>
      </w:pPr>
      <w:r w:rsidRPr="009D4B76">
        <w:rPr>
          <w:lang w:val="es-ES"/>
        </w:rPr>
        <w:t>8</w:t>
      </w:r>
      <w:r w:rsidRPr="009D4B76">
        <w:rPr>
          <w:lang w:val="es-ES"/>
        </w:rPr>
        <w:tab/>
        <w:t xml:space="preserve">Debate sobre la hoja de ruta para la normalización de </w:t>
      </w:r>
      <w:bookmarkStart w:id="26" w:name="lt_pId143"/>
      <w:r w:rsidRPr="009D4B76">
        <w:rPr>
          <w:lang w:val="es-ES"/>
        </w:rPr>
        <w:t>las QKDN</w:t>
      </w:r>
      <w:bookmarkEnd w:id="26"/>
    </w:p>
    <w:p w14:paraId="54F67074" w14:textId="11B307E9" w:rsidR="009D4B76" w:rsidRPr="009D4B76" w:rsidRDefault="009D4B76" w:rsidP="00F2571A">
      <w:pPr>
        <w:pStyle w:val="enumlev1"/>
        <w:rPr>
          <w:lang w:val="es-ES"/>
        </w:rPr>
      </w:pPr>
      <w:r w:rsidRPr="009D4B76">
        <w:rPr>
          <w:lang w:val="es-ES"/>
        </w:rPr>
        <w:t>9</w:t>
      </w:r>
      <w:r w:rsidRPr="009D4B76">
        <w:rPr>
          <w:lang w:val="es-ES"/>
        </w:rPr>
        <w:tab/>
        <w:t>Próximos pasos</w:t>
      </w:r>
      <w:bookmarkStart w:id="27" w:name="lt_pId145"/>
    </w:p>
    <w:p w14:paraId="0D44FE7E" w14:textId="1C4325E7" w:rsidR="009D4B76" w:rsidRPr="009D4B76" w:rsidRDefault="009D4B76" w:rsidP="00F2571A">
      <w:pPr>
        <w:pStyle w:val="enumlev1"/>
        <w:rPr>
          <w:lang w:val="es-ES"/>
        </w:rPr>
      </w:pPr>
      <w:r w:rsidRPr="009D4B76">
        <w:rPr>
          <w:lang w:val="es-ES"/>
        </w:rPr>
        <w:t>10</w:t>
      </w:r>
      <w:r w:rsidRPr="009D4B76">
        <w:rPr>
          <w:lang w:val="es-ES"/>
        </w:rPr>
        <w:tab/>
        <w:t>Aprobación de declaraciones de coordinación salientes</w:t>
      </w:r>
      <w:bookmarkStart w:id="28" w:name="lt_pId146"/>
      <w:bookmarkEnd w:id="27"/>
    </w:p>
    <w:p w14:paraId="2AE3CDEA" w14:textId="50011242" w:rsidR="009D4B76" w:rsidRPr="009D4B76" w:rsidRDefault="009D4B76" w:rsidP="00F2571A">
      <w:pPr>
        <w:pStyle w:val="enumlev1"/>
        <w:rPr>
          <w:lang w:val="es-ES"/>
        </w:rPr>
      </w:pPr>
      <w:r w:rsidRPr="009D4B76">
        <w:rPr>
          <w:lang w:val="es-ES"/>
        </w:rPr>
        <w:t>11</w:t>
      </w:r>
      <w:r w:rsidRPr="009D4B76">
        <w:rPr>
          <w:lang w:val="es-ES"/>
        </w:rPr>
        <w:tab/>
        <w:t>Reuniones y eventos futuros</w:t>
      </w:r>
      <w:bookmarkEnd w:id="28"/>
    </w:p>
    <w:p w14:paraId="005F4EF2" w14:textId="5426469E" w:rsidR="009D4B76" w:rsidRPr="009D4B76" w:rsidRDefault="009D4B76" w:rsidP="00F2571A">
      <w:pPr>
        <w:pStyle w:val="enumlev1"/>
        <w:rPr>
          <w:lang w:val="es-ES"/>
        </w:rPr>
      </w:pPr>
      <w:r w:rsidRPr="009D4B76">
        <w:rPr>
          <w:lang w:val="es-ES"/>
        </w:rPr>
        <w:t>12</w:t>
      </w:r>
      <w:r w:rsidRPr="009D4B76">
        <w:rPr>
          <w:lang w:val="es-ES"/>
        </w:rPr>
        <w:tab/>
        <w:t>Otros asuntos</w:t>
      </w:r>
    </w:p>
    <w:p w14:paraId="63645195" w14:textId="5B6FF0AA" w:rsidR="009D4B76" w:rsidRPr="009D4B76" w:rsidRDefault="009D4B76" w:rsidP="00F2571A">
      <w:pPr>
        <w:pStyle w:val="enumlev1"/>
        <w:rPr>
          <w:lang w:val="es-ES"/>
        </w:rPr>
      </w:pPr>
      <w:r w:rsidRPr="009D4B76">
        <w:rPr>
          <w:lang w:val="es-ES"/>
        </w:rPr>
        <w:t>13</w:t>
      </w:r>
      <w:r w:rsidRPr="009D4B76">
        <w:rPr>
          <w:lang w:val="es-ES"/>
        </w:rPr>
        <w:tab/>
        <w:t>Clausura de la reunión</w:t>
      </w:r>
    </w:p>
    <w:p w14:paraId="1B76CD63" w14:textId="77777777" w:rsidR="009D4B76" w:rsidRPr="00A15C54" w:rsidRDefault="009D4B76" w:rsidP="00411C49">
      <w:pPr>
        <w:pStyle w:val="Reasons"/>
        <w:rPr>
          <w:lang w:val="fr-FR"/>
        </w:rPr>
      </w:pPr>
    </w:p>
    <w:p w14:paraId="37B21147" w14:textId="77777777" w:rsidR="009D4B76" w:rsidRDefault="009D4B76">
      <w:pPr>
        <w:jc w:val="center"/>
      </w:pPr>
      <w:r>
        <w:t>______________</w:t>
      </w:r>
    </w:p>
    <w:sectPr w:rsidR="009D4B76" w:rsidSect="00B87E9E">
      <w:headerReference w:type="default" r:id="rId22"/>
      <w:footerReference w:type="first" r:id="rId2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11E61" w14:textId="77777777" w:rsidR="00FA0602" w:rsidRDefault="00FA0602">
      <w:r>
        <w:separator/>
      </w:r>
    </w:p>
  </w:endnote>
  <w:endnote w:type="continuationSeparator" w:id="0">
    <w:p w14:paraId="11D30733" w14:textId="77777777" w:rsidR="00FA0602" w:rsidRDefault="00FA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C497" w14:textId="4DB1DB44"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Tel</w:t>
    </w:r>
    <w:r w:rsidR="00C011F1">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ABC8F" w14:textId="77777777" w:rsidR="00FA0602" w:rsidRDefault="00FA0602">
      <w:r>
        <w:t>____________________</w:t>
      </w:r>
    </w:p>
  </w:footnote>
  <w:footnote w:type="continuationSeparator" w:id="0">
    <w:p w14:paraId="5855C9C0" w14:textId="77777777" w:rsidR="00FA0602" w:rsidRDefault="00FA0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17ED" w14:textId="133FF731"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C011F1">
      <w:rPr>
        <w:rStyle w:val="PageNumber"/>
        <w:sz w:val="18"/>
        <w:szCs w:val="18"/>
      </w:rPr>
      <w:br/>
    </w:r>
    <w:r w:rsidR="00C011F1" w:rsidRPr="00AE7A5F">
      <w:rPr>
        <w:sz w:val="18"/>
        <w:szCs w:val="18"/>
      </w:rPr>
      <w:t xml:space="preserve">Circular TSB </w:t>
    </w:r>
    <w:r w:rsidR="00C011F1">
      <w:rPr>
        <w:sz w:val="18"/>
        <w:szCs w:val="18"/>
      </w:rPr>
      <w:t>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535842976">
    <w:abstractNumId w:val="0"/>
  </w:num>
  <w:num w:numId="2" w16cid:durableId="58288111">
    <w:abstractNumId w:val="3"/>
  </w:num>
  <w:num w:numId="3" w16cid:durableId="1967007715">
    <w:abstractNumId w:val="2"/>
  </w:num>
  <w:num w:numId="4" w16cid:durableId="792332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02"/>
    <w:rsid w:val="00002529"/>
    <w:rsid w:val="00085662"/>
    <w:rsid w:val="000C382F"/>
    <w:rsid w:val="001173CC"/>
    <w:rsid w:val="0014464D"/>
    <w:rsid w:val="001579AA"/>
    <w:rsid w:val="001A54CC"/>
    <w:rsid w:val="001B400E"/>
    <w:rsid w:val="00257FB4"/>
    <w:rsid w:val="002E496E"/>
    <w:rsid w:val="00303D62"/>
    <w:rsid w:val="00335367"/>
    <w:rsid w:val="00370C2D"/>
    <w:rsid w:val="003D1E8D"/>
    <w:rsid w:val="003D673B"/>
    <w:rsid w:val="003D6AFD"/>
    <w:rsid w:val="003F2855"/>
    <w:rsid w:val="00401C20"/>
    <w:rsid w:val="004A7957"/>
    <w:rsid w:val="004C4144"/>
    <w:rsid w:val="004F7ED9"/>
    <w:rsid w:val="0055490F"/>
    <w:rsid w:val="0055719E"/>
    <w:rsid w:val="005A00F0"/>
    <w:rsid w:val="006969B4"/>
    <w:rsid w:val="006D447F"/>
    <w:rsid w:val="006E4F7B"/>
    <w:rsid w:val="00781E2A"/>
    <w:rsid w:val="007933A2"/>
    <w:rsid w:val="007B6316"/>
    <w:rsid w:val="00814503"/>
    <w:rsid w:val="008258C2"/>
    <w:rsid w:val="008505BD"/>
    <w:rsid w:val="00850C78"/>
    <w:rsid w:val="00876165"/>
    <w:rsid w:val="00884D12"/>
    <w:rsid w:val="008C17AD"/>
    <w:rsid w:val="008D02CD"/>
    <w:rsid w:val="0091370C"/>
    <w:rsid w:val="00924335"/>
    <w:rsid w:val="0095172A"/>
    <w:rsid w:val="00953CC4"/>
    <w:rsid w:val="009A0BA0"/>
    <w:rsid w:val="009C3056"/>
    <w:rsid w:val="009D4B76"/>
    <w:rsid w:val="009D777D"/>
    <w:rsid w:val="009F664E"/>
    <w:rsid w:val="00A15C54"/>
    <w:rsid w:val="00A54E47"/>
    <w:rsid w:val="00AB6E3A"/>
    <w:rsid w:val="00AE7093"/>
    <w:rsid w:val="00B422BC"/>
    <w:rsid w:val="00B43F77"/>
    <w:rsid w:val="00B55A3E"/>
    <w:rsid w:val="00B61187"/>
    <w:rsid w:val="00B87E9E"/>
    <w:rsid w:val="00B95F0A"/>
    <w:rsid w:val="00B96180"/>
    <w:rsid w:val="00C011F1"/>
    <w:rsid w:val="00C116FE"/>
    <w:rsid w:val="00C17AC0"/>
    <w:rsid w:val="00C34772"/>
    <w:rsid w:val="00C5465A"/>
    <w:rsid w:val="00D54642"/>
    <w:rsid w:val="00D834E7"/>
    <w:rsid w:val="00DD77C9"/>
    <w:rsid w:val="00DF3538"/>
    <w:rsid w:val="00E839B0"/>
    <w:rsid w:val="00E92C09"/>
    <w:rsid w:val="00F14380"/>
    <w:rsid w:val="00F2571A"/>
    <w:rsid w:val="00F6461F"/>
    <w:rsid w:val="00FA0602"/>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129631"/>
  <w15:docId w15:val="{C9322CC0-9039-4C37-BD3A-08C49146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超链接1,하이퍼링크2"/>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FA0602"/>
    <w:rPr>
      <w:color w:val="605E5C"/>
      <w:shd w:val="clear" w:color="auto" w:fill="E1DFDD"/>
    </w:rPr>
  </w:style>
  <w:style w:type="paragraph" w:customStyle="1" w:styleId="Reasons">
    <w:name w:val="Reasons"/>
    <w:basedOn w:val="Normal"/>
    <w:qFormat/>
    <w:rsid w:val="009D4B76"/>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Revision">
    <w:name w:val="Revision"/>
    <w:hidden/>
    <w:uiPriority w:val="99"/>
    <w:semiHidden/>
    <w:rsid w:val="0055490F"/>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quantum@itu.int" TargetMode="External"/><Relationship Id="rId18" Type="http://schemas.openxmlformats.org/officeDocument/2006/relationships/hyperlink" Target="http://itu.int/en/ITU-T/jca/qkdn" TargetMode="External"/><Relationship Id="rId3" Type="http://schemas.openxmlformats.org/officeDocument/2006/relationships/styles" Target="styles.xml"/><Relationship Id="rId21" Type="http://schemas.openxmlformats.org/officeDocument/2006/relationships/hyperlink" Target="mailto:quantum@itu.int" TargetMode="External"/><Relationship Id="rId7" Type="http://schemas.openxmlformats.org/officeDocument/2006/relationships/endnotes" Target="endnotes.xml"/><Relationship Id="rId12" Type="http://schemas.openxmlformats.org/officeDocument/2006/relationships/hyperlink" Target="http://itu.int/en/ITU-T/jca/qkdn" TargetMode="External"/><Relationship Id="rId17" Type="http://schemas.openxmlformats.org/officeDocument/2006/relationships/hyperlink" Target="http://itu.int/en/ITU-T/jca/qkd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quantum@itu.int"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22-2024/13/Pages/default.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en/ITU-T/jca/qkdn" TargetMode="External"/><Relationship Id="rId23" Type="http://schemas.openxmlformats.org/officeDocument/2006/relationships/footer" Target="footer1.xml"/><Relationship Id="rId10" Type="http://schemas.openxmlformats.org/officeDocument/2006/relationships/hyperlink" Target="https://www.itu.int/en/ITU-T/jca/qkdn/Pages/default.aspx" TargetMode="External"/><Relationship Id="rId19" Type="http://schemas.openxmlformats.org/officeDocument/2006/relationships/hyperlink" Target="mailto:quantum@itu.int" TargetMode="External"/><Relationship Id="rId4" Type="http://schemas.openxmlformats.org/officeDocument/2006/relationships/settings" Target="settings.xml"/><Relationship Id="rId9" Type="http://schemas.openxmlformats.org/officeDocument/2006/relationships/hyperlink" Target="mailto:quantum@itu.int" TargetMode="External"/><Relationship Id="rId14" Type="http://schemas.openxmlformats.org/officeDocument/2006/relationships/hyperlink" Target="http://itu.int/en/ITU-T/jca/qkd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61</TotalTime>
  <Pages>5</Pages>
  <Words>1481</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9886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Braud, Olivia</cp:lastModifiedBy>
  <cp:revision>12</cp:revision>
  <cp:lastPrinted>2023-02-13T10:39:00Z</cp:lastPrinted>
  <dcterms:created xsi:type="dcterms:W3CDTF">2023-01-23T15:04:00Z</dcterms:created>
  <dcterms:modified xsi:type="dcterms:W3CDTF">2023-02-13T10:39:00Z</dcterms:modified>
</cp:coreProperties>
</file>