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567"/>
        <w:gridCol w:w="2835"/>
        <w:gridCol w:w="2977"/>
        <w:gridCol w:w="2126"/>
        <w:gridCol w:w="8"/>
      </w:tblGrid>
      <w:tr w:rsidR="00036F4F" w:rsidRPr="004A538B" w14:paraId="65DC6006" w14:textId="77777777" w:rsidTr="00D07A27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35F027B6" w14:textId="77777777" w:rsidR="00036F4F" w:rsidRPr="004A538B" w:rsidRDefault="00036F4F" w:rsidP="00BA49A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A538B">
              <w:rPr>
                <w:noProof/>
                <w:lang w:val="en-US"/>
              </w:rPr>
              <w:drawing>
                <wp:inline distT="0" distB="0" distL="0" distR="0" wp14:anchorId="114099EB" wp14:editId="765D925A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59304137" w14:textId="77777777" w:rsidR="00036F4F" w:rsidRPr="004A538B" w:rsidRDefault="00036F4F" w:rsidP="00BA49A8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A538B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2B42BB7D" w14:textId="77777777" w:rsidR="00036F4F" w:rsidRPr="004A538B" w:rsidRDefault="00036F4F" w:rsidP="00BA49A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A538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A538B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3A1F8274" w14:textId="77777777" w:rsidR="00036F4F" w:rsidRPr="004A538B" w:rsidRDefault="00036F4F" w:rsidP="00BA49A8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4A538B" w14:paraId="2B921E80" w14:textId="77777777" w:rsidTr="00D07A27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525CB5BF" w14:textId="77777777" w:rsidR="00036F4F" w:rsidRPr="004A538B" w:rsidRDefault="00036F4F" w:rsidP="00BA49A8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835" w:type="dxa"/>
          </w:tcPr>
          <w:p w14:paraId="49B54BFC" w14:textId="77777777" w:rsidR="00036F4F" w:rsidRPr="004A538B" w:rsidRDefault="00036F4F" w:rsidP="00BA49A8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11" w:type="dxa"/>
            <w:gridSpan w:val="3"/>
          </w:tcPr>
          <w:p w14:paraId="4B30D617" w14:textId="43717DC1" w:rsidR="00036F4F" w:rsidRPr="00AE5B4B" w:rsidRDefault="00036F4F" w:rsidP="00BA49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4A538B">
              <w:t>Genève, le</w:t>
            </w:r>
            <w:r w:rsidR="00AE24BA" w:rsidRPr="004A538B">
              <w:t xml:space="preserve"> </w:t>
            </w:r>
            <w:r w:rsidR="006A3716">
              <w:t>20 décembre</w:t>
            </w:r>
            <w:r w:rsidR="006A3716">
              <w:rPr>
                <w:lang w:val="en-US"/>
              </w:rPr>
              <w:t> 202</w:t>
            </w:r>
            <w:r w:rsidR="00AA3201">
              <w:rPr>
                <w:lang w:val="en-US"/>
              </w:rPr>
              <w:t>2</w:t>
            </w:r>
          </w:p>
        </w:tc>
      </w:tr>
      <w:tr w:rsidR="00036F4F" w:rsidRPr="004A538B" w14:paraId="0EA87FAC" w14:textId="77777777" w:rsidTr="00D07A27">
        <w:trPr>
          <w:gridBefore w:val="1"/>
          <w:wBefore w:w="8" w:type="dxa"/>
          <w:cantSplit/>
          <w:trHeight w:val="340"/>
          <w:jc w:val="center"/>
        </w:trPr>
        <w:tc>
          <w:tcPr>
            <w:tcW w:w="822" w:type="dxa"/>
          </w:tcPr>
          <w:p w14:paraId="2EDD9081" w14:textId="17F8DF2D" w:rsidR="00036F4F" w:rsidRPr="004A538B" w:rsidRDefault="00036F4F" w:rsidP="00BA49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4A538B">
              <w:rPr>
                <w:b/>
                <w:bCs/>
              </w:rPr>
              <w:t>Réf.:</w:t>
            </w:r>
          </w:p>
        </w:tc>
        <w:tc>
          <w:tcPr>
            <w:tcW w:w="3990" w:type="dxa"/>
            <w:gridSpan w:val="3"/>
          </w:tcPr>
          <w:p w14:paraId="082CBC85" w14:textId="34F8E309" w:rsidR="00036F4F" w:rsidRPr="004A538B" w:rsidRDefault="00036F4F" w:rsidP="00BA49A8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4A538B">
              <w:rPr>
                <w:b/>
              </w:rPr>
              <w:t>Circulaire TSB</w:t>
            </w:r>
            <w:r w:rsidR="00AE24BA" w:rsidRPr="004A538B">
              <w:rPr>
                <w:b/>
              </w:rPr>
              <w:t xml:space="preserve"> </w:t>
            </w:r>
            <w:r w:rsidR="00AA3201">
              <w:rPr>
                <w:b/>
              </w:rPr>
              <w:t>062</w:t>
            </w:r>
          </w:p>
        </w:tc>
        <w:tc>
          <w:tcPr>
            <w:tcW w:w="5111" w:type="dxa"/>
            <w:gridSpan w:val="3"/>
            <w:vMerge w:val="restart"/>
          </w:tcPr>
          <w:p w14:paraId="08490C39" w14:textId="29E7A54E" w:rsidR="00AE24BA" w:rsidRPr="004A538B" w:rsidRDefault="00036F4F" w:rsidP="00BA49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13" w:hanging="213"/>
            </w:pPr>
            <w:bookmarkStart w:id="0" w:name="Addressee_F"/>
            <w:bookmarkEnd w:id="0"/>
            <w:r w:rsidRPr="004A538B">
              <w:t>-</w:t>
            </w:r>
            <w:r w:rsidRPr="004A538B">
              <w:tab/>
              <w:t xml:space="preserve">Aux </w:t>
            </w:r>
            <w:r w:rsidR="00D07A27">
              <w:t>A</w:t>
            </w:r>
            <w:r w:rsidRPr="004A538B">
              <w:t xml:space="preserve">dministrations des </w:t>
            </w:r>
            <w:r w:rsidR="005E564B" w:rsidRPr="004A538B">
              <w:t>É</w:t>
            </w:r>
            <w:r w:rsidRPr="004A538B">
              <w:t>tats Membres de l</w:t>
            </w:r>
            <w:r w:rsidR="00BA49A8">
              <w:t>'</w:t>
            </w:r>
            <w:r w:rsidRPr="004A538B">
              <w:t>Union</w:t>
            </w:r>
            <w:r w:rsidR="004A538B" w:rsidRPr="004A538B">
              <w:t>;</w:t>
            </w:r>
          </w:p>
          <w:p w14:paraId="2625982C" w14:textId="468E19C9" w:rsidR="00AE24BA" w:rsidRPr="004A538B" w:rsidRDefault="00AE24BA" w:rsidP="00BA49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4A538B">
              <w:t>-</w:t>
            </w:r>
            <w:r w:rsidRPr="004A538B">
              <w:tab/>
              <w:t>Aux Membres du Secteur UIT-T;</w:t>
            </w:r>
          </w:p>
          <w:p w14:paraId="0B4BA927" w14:textId="1E33DEA2" w:rsidR="00AE24BA" w:rsidRPr="004A538B" w:rsidRDefault="00AE24BA" w:rsidP="00BA49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4A538B">
              <w:t>-</w:t>
            </w:r>
            <w:r w:rsidRPr="004A538B">
              <w:tab/>
              <w:t>Aux Associés de l</w:t>
            </w:r>
            <w:r w:rsidR="00BA49A8">
              <w:t>'</w:t>
            </w:r>
            <w:r w:rsidRPr="004A538B">
              <w:t>UIT-T;</w:t>
            </w:r>
          </w:p>
          <w:p w14:paraId="045010FD" w14:textId="3D13B322" w:rsidR="00036F4F" w:rsidRPr="004A538B" w:rsidRDefault="00AE24BA" w:rsidP="00BA49A8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</w:pPr>
            <w:r w:rsidRPr="004A538B">
              <w:t>-</w:t>
            </w:r>
            <w:r w:rsidRPr="004A538B">
              <w:tab/>
              <w:t>Aux établissements universitaires participant aux travaux de l</w:t>
            </w:r>
            <w:r w:rsidR="00BA49A8">
              <w:t>'</w:t>
            </w:r>
            <w:r w:rsidRPr="004A538B">
              <w:t>UIT</w:t>
            </w:r>
          </w:p>
        </w:tc>
      </w:tr>
      <w:tr w:rsidR="00036F4F" w:rsidRPr="004A538B" w14:paraId="5308976D" w14:textId="77777777" w:rsidTr="00D07A27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7136A114" w14:textId="77777777" w:rsidR="00036F4F" w:rsidRPr="004A538B" w:rsidRDefault="00036F4F" w:rsidP="00BA49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4A538B">
              <w:rPr>
                <w:b/>
                <w:bCs/>
              </w:rPr>
              <w:t>Tél.:</w:t>
            </w:r>
          </w:p>
        </w:tc>
        <w:tc>
          <w:tcPr>
            <w:tcW w:w="3990" w:type="dxa"/>
            <w:gridSpan w:val="3"/>
          </w:tcPr>
          <w:p w14:paraId="57CE73ED" w14:textId="2D987928" w:rsidR="00036F4F" w:rsidRPr="004A538B" w:rsidRDefault="00036F4F" w:rsidP="00BA49A8">
            <w:pPr>
              <w:tabs>
                <w:tab w:val="left" w:pos="4111"/>
              </w:tabs>
              <w:spacing w:before="0"/>
              <w:ind w:left="57"/>
            </w:pPr>
            <w:r w:rsidRPr="004A538B">
              <w:t>+41 22 730</w:t>
            </w:r>
            <w:r w:rsidR="00AE24BA" w:rsidRPr="004A538B">
              <w:t xml:space="preserve"> 5126</w:t>
            </w:r>
          </w:p>
        </w:tc>
        <w:tc>
          <w:tcPr>
            <w:tcW w:w="5111" w:type="dxa"/>
            <w:gridSpan w:val="3"/>
            <w:vMerge/>
          </w:tcPr>
          <w:p w14:paraId="26422816" w14:textId="77777777" w:rsidR="00036F4F" w:rsidRPr="004A538B" w:rsidRDefault="00036F4F" w:rsidP="00BA49A8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402978" w:rsidRPr="004A538B" w14:paraId="508FFC21" w14:textId="77777777" w:rsidTr="00D07A27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1D56D371" w14:textId="62105BDA" w:rsidR="00402978" w:rsidRPr="004A538B" w:rsidRDefault="00BA49A8" w:rsidP="00BA49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</w:tc>
        <w:tc>
          <w:tcPr>
            <w:tcW w:w="3990" w:type="dxa"/>
            <w:gridSpan w:val="3"/>
          </w:tcPr>
          <w:p w14:paraId="26FA591D" w14:textId="28A0983B" w:rsidR="00402978" w:rsidRPr="004A538B" w:rsidRDefault="00402978" w:rsidP="00BA49A8">
            <w:pPr>
              <w:tabs>
                <w:tab w:val="left" w:pos="4111"/>
              </w:tabs>
              <w:spacing w:before="0"/>
              <w:ind w:left="57"/>
            </w:pPr>
            <w:r w:rsidRPr="004A538B"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6D3976D0" w14:textId="77777777" w:rsidR="00402978" w:rsidRPr="004A538B" w:rsidRDefault="00402978" w:rsidP="00BA49A8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4A538B" w14:paraId="479F6156" w14:textId="77777777" w:rsidTr="00D07A27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0BA61CB9" w14:textId="3A9F2809" w:rsidR="00D0663C" w:rsidRPr="004A538B" w:rsidRDefault="00BA49A8" w:rsidP="00BA49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990" w:type="dxa"/>
            <w:gridSpan w:val="3"/>
          </w:tcPr>
          <w:p w14:paraId="7EA89CCD" w14:textId="09C671FF" w:rsidR="00D0663C" w:rsidRPr="004A538B" w:rsidRDefault="007E30B7" w:rsidP="00BA49A8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D0663C" w:rsidRPr="004A538B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5111" w:type="dxa"/>
            <w:gridSpan w:val="3"/>
            <w:vMerge/>
          </w:tcPr>
          <w:p w14:paraId="25945C23" w14:textId="77777777" w:rsidR="00036F4F" w:rsidRPr="004A538B" w:rsidRDefault="00036F4F" w:rsidP="00BA49A8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4A538B" w14:paraId="65EE0A31" w14:textId="77777777" w:rsidTr="00D07A27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48660A0A" w14:textId="21F8272A" w:rsidR="00517A03" w:rsidRPr="004A538B" w:rsidRDefault="00517A03" w:rsidP="00BA49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gridSpan w:val="3"/>
          </w:tcPr>
          <w:p w14:paraId="0D9C0DC2" w14:textId="2CD1D23D" w:rsidR="00517A03" w:rsidRPr="004A538B" w:rsidRDefault="00517A03" w:rsidP="00BA49A8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111" w:type="dxa"/>
            <w:gridSpan w:val="3"/>
          </w:tcPr>
          <w:p w14:paraId="36C88313" w14:textId="77777777" w:rsidR="00517A03" w:rsidRPr="004A538B" w:rsidRDefault="00517A03" w:rsidP="00BA49A8">
            <w:pPr>
              <w:tabs>
                <w:tab w:val="left" w:pos="4111"/>
              </w:tabs>
              <w:spacing w:before="0"/>
            </w:pPr>
            <w:r w:rsidRPr="004A538B">
              <w:rPr>
                <w:b/>
              </w:rPr>
              <w:t>Copie</w:t>
            </w:r>
            <w:r w:rsidRPr="004A538B">
              <w:t>:</w:t>
            </w:r>
          </w:p>
          <w:p w14:paraId="45594133" w14:textId="5A62BAC3" w:rsidR="00517A03" w:rsidRPr="004A538B" w:rsidRDefault="00517A03" w:rsidP="00BA49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4A538B">
              <w:t>-</w:t>
            </w:r>
            <w:r w:rsidRPr="004A538B">
              <w:tab/>
            </w:r>
            <w:r w:rsidR="00AE24BA" w:rsidRPr="004A538B">
              <w:t xml:space="preserve">Aux Présidents et Vice-Présidents des </w:t>
            </w:r>
            <w:r w:rsidR="00BA49A8">
              <w:t>C</w:t>
            </w:r>
            <w:r w:rsidR="00F14291" w:rsidRPr="004A538B">
              <w:t xml:space="preserve">ommissions </w:t>
            </w:r>
            <w:r w:rsidR="00AE24BA" w:rsidRPr="004A538B">
              <w:t>d</w:t>
            </w:r>
            <w:r w:rsidR="00BA49A8">
              <w:t>'</w:t>
            </w:r>
            <w:r w:rsidR="00AE24BA" w:rsidRPr="004A538B">
              <w:t>études</w:t>
            </w:r>
            <w:r w:rsidRPr="004A538B">
              <w:t>;</w:t>
            </w:r>
          </w:p>
          <w:p w14:paraId="0C271E71" w14:textId="6FE8807B" w:rsidR="00517A03" w:rsidRPr="004A538B" w:rsidRDefault="00517A03" w:rsidP="00BA49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4A538B">
              <w:t>-</w:t>
            </w:r>
            <w:r w:rsidRPr="004A538B">
              <w:tab/>
            </w:r>
            <w:r w:rsidR="005E564B" w:rsidRPr="004A538B">
              <w:t xml:space="preserve">À la Directrice </w:t>
            </w:r>
            <w:r w:rsidR="00AE24BA" w:rsidRPr="004A538B">
              <w:t>du Bureau de développement des</w:t>
            </w:r>
            <w:r w:rsidR="00D07A27">
              <w:t> </w:t>
            </w:r>
            <w:r w:rsidR="00AE24BA" w:rsidRPr="004A538B">
              <w:t>télécommunications</w:t>
            </w:r>
            <w:r w:rsidRPr="004A538B">
              <w:t>;</w:t>
            </w:r>
          </w:p>
          <w:p w14:paraId="42C6F692" w14:textId="0DF517BB" w:rsidR="00517A03" w:rsidRPr="004A538B" w:rsidRDefault="00517A03" w:rsidP="00BA49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4A538B">
              <w:t>-</w:t>
            </w:r>
            <w:r w:rsidRPr="004A538B">
              <w:tab/>
            </w:r>
            <w:r w:rsidR="00AE24BA" w:rsidRPr="004A538B">
              <w:t>Au Directeur du Bureau des radiocommunications</w:t>
            </w:r>
          </w:p>
        </w:tc>
      </w:tr>
      <w:tr w:rsidR="00517A03" w:rsidRPr="004A538B" w14:paraId="5E491853" w14:textId="77777777" w:rsidTr="00D07A27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822" w:type="dxa"/>
          </w:tcPr>
          <w:p w14:paraId="7809DAC1" w14:textId="77777777" w:rsidR="00517A03" w:rsidRPr="004A538B" w:rsidRDefault="00517A03" w:rsidP="00BA49A8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r w:rsidRPr="004A538B">
              <w:rPr>
                <w:b/>
                <w:bCs/>
                <w:szCs w:val="22"/>
              </w:rPr>
              <w:t>Objet:</w:t>
            </w:r>
          </w:p>
        </w:tc>
        <w:tc>
          <w:tcPr>
            <w:tcW w:w="9093" w:type="dxa"/>
            <w:gridSpan w:val="5"/>
          </w:tcPr>
          <w:p w14:paraId="2D1A1FF7" w14:textId="7D2D31DD" w:rsidR="00517A03" w:rsidRPr="004A538B" w:rsidRDefault="00846969" w:rsidP="00BA49A8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r w:rsidRPr="00846969">
              <w:rPr>
                <w:b/>
                <w:bCs/>
                <w:szCs w:val="22"/>
              </w:rPr>
              <w:t>Atelier de l</w:t>
            </w:r>
            <w:r w:rsidR="00BA49A8">
              <w:rPr>
                <w:b/>
                <w:bCs/>
                <w:szCs w:val="22"/>
              </w:rPr>
              <w:t>'</w:t>
            </w:r>
            <w:r w:rsidRPr="00846969">
              <w:rPr>
                <w:b/>
                <w:bCs/>
                <w:szCs w:val="22"/>
              </w:rPr>
              <w:t xml:space="preserve">UIT sur le thème "Accélérer la passation de marchés publics </w:t>
            </w:r>
            <w:r w:rsidR="001E4C3D">
              <w:rPr>
                <w:b/>
                <w:bCs/>
                <w:szCs w:val="22"/>
              </w:rPr>
              <w:t>circulaire</w:t>
            </w:r>
            <w:r w:rsidR="003E5FDD">
              <w:rPr>
                <w:b/>
                <w:bCs/>
                <w:szCs w:val="22"/>
              </w:rPr>
              <w:t>s</w:t>
            </w:r>
            <w:r w:rsidR="001E4C3D">
              <w:rPr>
                <w:b/>
                <w:bCs/>
                <w:szCs w:val="22"/>
              </w:rPr>
              <w:t xml:space="preserve"> et </w:t>
            </w:r>
            <w:r w:rsidRPr="00846969">
              <w:rPr>
                <w:b/>
                <w:bCs/>
                <w:szCs w:val="22"/>
              </w:rPr>
              <w:t xml:space="preserve">durables </w:t>
            </w:r>
            <w:r w:rsidR="005B5309">
              <w:rPr>
                <w:b/>
                <w:bCs/>
                <w:szCs w:val="22"/>
              </w:rPr>
              <w:t>concernant</w:t>
            </w:r>
            <w:r w:rsidR="001E4C3D">
              <w:rPr>
                <w:b/>
                <w:bCs/>
                <w:szCs w:val="22"/>
              </w:rPr>
              <w:t xml:space="preserve"> les </w:t>
            </w:r>
            <w:r w:rsidRPr="00846969">
              <w:rPr>
                <w:b/>
                <w:bCs/>
                <w:szCs w:val="22"/>
              </w:rPr>
              <w:t>TIC"</w:t>
            </w:r>
            <w:r>
              <w:rPr>
                <w:b/>
                <w:bCs/>
                <w:szCs w:val="22"/>
              </w:rPr>
              <w:t xml:space="preserve"> </w:t>
            </w:r>
            <w:r w:rsidRPr="00846969">
              <w:rPr>
                <w:b/>
                <w:bCs/>
                <w:szCs w:val="22"/>
              </w:rPr>
              <w:t>(</w:t>
            </w:r>
            <w:r w:rsidR="001E4C3D">
              <w:rPr>
                <w:b/>
                <w:bCs/>
                <w:szCs w:val="22"/>
              </w:rPr>
              <w:t>e</w:t>
            </w:r>
            <w:r w:rsidRPr="00846969">
              <w:rPr>
                <w:b/>
                <w:bCs/>
                <w:szCs w:val="22"/>
              </w:rPr>
              <w:t>ntièrement virtuel, 14</w:t>
            </w:r>
            <w:r w:rsidR="003E5FDD">
              <w:rPr>
                <w:b/>
                <w:bCs/>
                <w:szCs w:val="22"/>
              </w:rPr>
              <w:t> </w:t>
            </w:r>
            <w:r w:rsidRPr="00846969">
              <w:rPr>
                <w:b/>
                <w:bCs/>
                <w:szCs w:val="22"/>
              </w:rPr>
              <w:t>février</w:t>
            </w:r>
            <w:r w:rsidR="003E5FDD">
              <w:rPr>
                <w:b/>
                <w:bCs/>
                <w:szCs w:val="22"/>
              </w:rPr>
              <w:t> </w:t>
            </w:r>
            <w:r w:rsidRPr="00846969">
              <w:rPr>
                <w:b/>
                <w:bCs/>
                <w:szCs w:val="22"/>
              </w:rPr>
              <w:t>2023)</w:t>
            </w:r>
          </w:p>
        </w:tc>
      </w:tr>
    </w:tbl>
    <w:p w14:paraId="353720F0" w14:textId="77777777" w:rsidR="00517A03" w:rsidRPr="004A538B" w:rsidRDefault="00517A03" w:rsidP="00BA49A8">
      <w:pPr>
        <w:spacing w:before="240"/>
      </w:pPr>
      <w:bookmarkStart w:id="1" w:name="StartTyping_F"/>
      <w:bookmarkEnd w:id="1"/>
      <w:r w:rsidRPr="004A538B">
        <w:t>Madame, Monsieur,</w:t>
      </w:r>
    </w:p>
    <w:p w14:paraId="18E3DA95" w14:textId="0FC46B93" w:rsidR="005E564B" w:rsidRPr="003A675E" w:rsidRDefault="00AE24BA" w:rsidP="00BA49A8">
      <w:pPr>
        <w:rPr>
          <w:bCs/>
          <w:szCs w:val="24"/>
        </w:rPr>
      </w:pPr>
      <w:r w:rsidRPr="004A538B">
        <w:rPr>
          <w:bCs/>
          <w:sz w:val="22"/>
          <w:szCs w:val="22"/>
        </w:rPr>
        <w:t>1</w:t>
      </w:r>
      <w:r w:rsidRPr="004A538B">
        <w:rPr>
          <w:sz w:val="22"/>
          <w:szCs w:val="22"/>
        </w:rPr>
        <w:tab/>
      </w:r>
      <w:r w:rsidR="003A675E" w:rsidRPr="003A675E">
        <w:rPr>
          <w:bCs/>
          <w:szCs w:val="24"/>
        </w:rPr>
        <w:t>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Union internationale des télécommunications (UIT), en collaboration avec GovStack (initiative de 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UIT, de 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Allemagne, de 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Estonie</w:t>
      </w:r>
      <w:r w:rsidR="00B544CF">
        <w:rPr>
          <w:bCs/>
          <w:szCs w:val="24"/>
        </w:rPr>
        <w:t>,</w:t>
      </w:r>
      <w:r w:rsidR="003A675E" w:rsidRPr="003A675E">
        <w:rPr>
          <w:bCs/>
          <w:szCs w:val="24"/>
        </w:rPr>
        <w:t xml:space="preserve"> de la GiZ et de 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Alliance Digital Impact)</w:t>
      </w:r>
      <w:r w:rsidR="00F40AD0">
        <w:rPr>
          <w:bCs/>
          <w:szCs w:val="24"/>
        </w:rPr>
        <w:t>,</w:t>
      </w:r>
      <w:r w:rsidR="00BA49A8">
        <w:rPr>
          <w:bCs/>
          <w:szCs w:val="24"/>
        </w:rPr>
        <w:t xml:space="preserve"> </w:t>
      </w:r>
      <w:r w:rsidR="003A675E" w:rsidRPr="003A675E">
        <w:rPr>
          <w:bCs/>
          <w:szCs w:val="24"/>
        </w:rPr>
        <w:t>le Partenariat pour l</w:t>
      </w:r>
      <w:r w:rsidR="00BA49A8">
        <w:rPr>
          <w:bCs/>
          <w:szCs w:val="24"/>
        </w:rPr>
        <w:t>'</w:t>
      </w:r>
      <w:r w:rsidR="003A675E" w:rsidRPr="003A675E">
        <w:rPr>
          <w:bCs/>
          <w:szCs w:val="24"/>
        </w:rPr>
        <w:t>électronique circulaire et</w:t>
      </w:r>
      <w:r w:rsidR="00BA49A8">
        <w:rPr>
          <w:bCs/>
          <w:szCs w:val="24"/>
        </w:rPr>
        <w:t xml:space="preserve"> </w:t>
      </w:r>
      <w:r w:rsidR="003A675E" w:rsidRPr="003A675E">
        <w:rPr>
          <w:bCs/>
          <w:szCs w:val="24"/>
        </w:rPr>
        <w:t>le Global Electronics Council, organise un atelier sur le thème "</w:t>
      </w:r>
      <w:r w:rsidR="003A675E" w:rsidRPr="009A3A7C">
        <w:rPr>
          <w:b/>
          <w:szCs w:val="24"/>
        </w:rPr>
        <w:t xml:space="preserve">Accélérer </w:t>
      </w:r>
      <w:r w:rsidR="000C1610" w:rsidRPr="009A3A7C">
        <w:rPr>
          <w:b/>
          <w:szCs w:val="24"/>
        </w:rPr>
        <w:t xml:space="preserve">la passation de marchés publics circulaires et durables </w:t>
      </w:r>
      <w:r w:rsidR="005B5309">
        <w:rPr>
          <w:b/>
          <w:szCs w:val="24"/>
        </w:rPr>
        <w:t>concernant</w:t>
      </w:r>
      <w:r w:rsidR="000C1610" w:rsidRPr="009A3A7C">
        <w:rPr>
          <w:b/>
          <w:szCs w:val="24"/>
        </w:rPr>
        <w:t xml:space="preserve"> les TIC</w:t>
      </w:r>
      <w:r w:rsidR="003A675E" w:rsidRPr="003A675E">
        <w:rPr>
          <w:bCs/>
          <w:szCs w:val="24"/>
        </w:rPr>
        <w:t xml:space="preserve">", qui se déroulera de manière virtuelle le </w:t>
      </w:r>
      <w:r w:rsidR="003A675E" w:rsidRPr="009A3A7C">
        <w:rPr>
          <w:b/>
          <w:szCs w:val="24"/>
        </w:rPr>
        <w:t>14</w:t>
      </w:r>
      <w:r w:rsidR="009A3A7C" w:rsidRPr="009A3A7C">
        <w:rPr>
          <w:b/>
          <w:szCs w:val="24"/>
        </w:rPr>
        <w:t> </w:t>
      </w:r>
      <w:r w:rsidR="003A675E" w:rsidRPr="009A3A7C">
        <w:rPr>
          <w:b/>
          <w:szCs w:val="24"/>
        </w:rPr>
        <w:t>février</w:t>
      </w:r>
      <w:r w:rsidR="009A3A7C" w:rsidRPr="009A3A7C">
        <w:rPr>
          <w:b/>
          <w:szCs w:val="24"/>
        </w:rPr>
        <w:t> </w:t>
      </w:r>
      <w:r w:rsidR="003A675E" w:rsidRPr="009A3A7C">
        <w:rPr>
          <w:b/>
          <w:szCs w:val="24"/>
        </w:rPr>
        <w:t>2023 de 13</w:t>
      </w:r>
      <w:r w:rsidR="009A3A7C" w:rsidRPr="009A3A7C">
        <w:rPr>
          <w:b/>
          <w:szCs w:val="24"/>
        </w:rPr>
        <w:t> </w:t>
      </w:r>
      <w:r w:rsidR="003A675E" w:rsidRPr="009A3A7C">
        <w:rPr>
          <w:b/>
          <w:szCs w:val="24"/>
        </w:rPr>
        <w:t>h</w:t>
      </w:r>
      <w:r w:rsidR="00BA49A8">
        <w:rPr>
          <w:b/>
          <w:szCs w:val="24"/>
        </w:rPr>
        <w:t xml:space="preserve"> 00 </w:t>
      </w:r>
      <w:r w:rsidR="003A675E" w:rsidRPr="009A3A7C">
        <w:rPr>
          <w:b/>
          <w:szCs w:val="24"/>
        </w:rPr>
        <w:t>à 16</w:t>
      </w:r>
      <w:r w:rsidR="009A3A7C" w:rsidRPr="009A3A7C">
        <w:rPr>
          <w:b/>
          <w:szCs w:val="24"/>
        </w:rPr>
        <w:t> </w:t>
      </w:r>
      <w:r w:rsidR="003A675E" w:rsidRPr="009A3A7C">
        <w:rPr>
          <w:b/>
          <w:szCs w:val="24"/>
        </w:rPr>
        <w:t>h</w:t>
      </w:r>
      <w:r w:rsidR="00BA49A8">
        <w:rPr>
          <w:b/>
          <w:szCs w:val="24"/>
        </w:rPr>
        <w:t xml:space="preserve"> 00 </w:t>
      </w:r>
      <w:r w:rsidR="003A675E" w:rsidRPr="009A3A7C">
        <w:rPr>
          <w:b/>
          <w:szCs w:val="24"/>
        </w:rPr>
        <w:t>CET</w:t>
      </w:r>
      <w:r w:rsidR="003A675E" w:rsidRPr="003A675E">
        <w:rPr>
          <w:bCs/>
          <w:szCs w:val="24"/>
        </w:rPr>
        <w:t>.</w:t>
      </w:r>
    </w:p>
    <w:p w14:paraId="541C039B" w14:textId="18935FAA" w:rsidR="00AE24BA" w:rsidRPr="004A538B" w:rsidRDefault="00AE24BA" w:rsidP="00BA49A8">
      <w:pPr>
        <w:rPr>
          <w:bCs/>
          <w:szCs w:val="24"/>
        </w:rPr>
      </w:pPr>
      <w:r w:rsidRPr="004A538B">
        <w:rPr>
          <w:bCs/>
          <w:szCs w:val="24"/>
        </w:rPr>
        <w:t>2</w:t>
      </w:r>
      <w:r w:rsidRPr="004A538B">
        <w:rPr>
          <w:bCs/>
          <w:szCs w:val="24"/>
        </w:rPr>
        <w:tab/>
      </w:r>
      <w:r w:rsidR="00BB4614">
        <w:rPr>
          <w:bCs/>
          <w:szCs w:val="24"/>
        </w:rPr>
        <w:t>La passation de marchés publics circulaires et durables est un puissant</w:t>
      </w:r>
      <w:r w:rsidR="00F14291">
        <w:rPr>
          <w:bCs/>
          <w:szCs w:val="24"/>
        </w:rPr>
        <w:t xml:space="preserve"> outil</w:t>
      </w:r>
      <w:r w:rsidR="00BA49A8">
        <w:rPr>
          <w:bCs/>
          <w:szCs w:val="24"/>
        </w:rPr>
        <w:t xml:space="preserve"> </w:t>
      </w:r>
      <w:r w:rsidR="00F14291">
        <w:rPr>
          <w:bCs/>
          <w:szCs w:val="24"/>
        </w:rPr>
        <w:t>que les organisations peuvent</w:t>
      </w:r>
      <w:r w:rsidR="00BA49A8">
        <w:rPr>
          <w:bCs/>
          <w:szCs w:val="24"/>
        </w:rPr>
        <w:t xml:space="preserve"> </w:t>
      </w:r>
      <w:r w:rsidR="00F14291">
        <w:rPr>
          <w:bCs/>
          <w:szCs w:val="24"/>
        </w:rPr>
        <w:t xml:space="preserve">exploiter </w:t>
      </w:r>
      <w:r w:rsidR="00BB4614">
        <w:rPr>
          <w:bCs/>
          <w:szCs w:val="24"/>
        </w:rPr>
        <w:t xml:space="preserve">pour façonner la transition vers une société durable. </w:t>
      </w:r>
      <w:r w:rsidR="00040AC0" w:rsidRPr="00040AC0">
        <w:rPr>
          <w:bCs/>
          <w:szCs w:val="24"/>
        </w:rPr>
        <w:t xml:space="preserve">Les gouvernements et les autres organismes publics peuvent jouer un rôle essentiel </w:t>
      </w:r>
      <w:r w:rsidR="006001D7">
        <w:rPr>
          <w:bCs/>
          <w:szCs w:val="24"/>
        </w:rPr>
        <w:t>dans la mise en place</w:t>
      </w:r>
      <w:r w:rsidR="000C249F">
        <w:rPr>
          <w:bCs/>
          <w:szCs w:val="24"/>
        </w:rPr>
        <w:t xml:space="preserve"> </w:t>
      </w:r>
      <w:r w:rsidR="00040AC0" w:rsidRPr="00040AC0">
        <w:rPr>
          <w:bCs/>
          <w:szCs w:val="24"/>
        </w:rPr>
        <w:t>d</w:t>
      </w:r>
      <w:r w:rsidR="00BA49A8">
        <w:rPr>
          <w:bCs/>
          <w:szCs w:val="24"/>
        </w:rPr>
        <w:t>'</w:t>
      </w:r>
      <w:r w:rsidR="00040AC0" w:rsidRPr="00040AC0">
        <w:rPr>
          <w:bCs/>
          <w:szCs w:val="24"/>
        </w:rPr>
        <w:t>économies locales circulaires et durables</w:t>
      </w:r>
      <w:r w:rsidR="00F14291">
        <w:rPr>
          <w:bCs/>
          <w:szCs w:val="24"/>
        </w:rPr>
        <w:t>,</w:t>
      </w:r>
      <w:r w:rsidR="00040AC0" w:rsidRPr="00040AC0">
        <w:rPr>
          <w:bCs/>
          <w:szCs w:val="24"/>
        </w:rPr>
        <w:t xml:space="preserve"> en appliquant </w:t>
      </w:r>
      <w:r w:rsidR="00102C88">
        <w:rPr>
          <w:bCs/>
          <w:szCs w:val="24"/>
        </w:rPr>
        <w:t>l</w:t>
      </w:r>
      <w:r w:rsidR="00040AC0" w:rsidRPr="00040AC0">
        <w:rPr>
          <w:bCs/>
          <w:szCs w:val="24"/>
        </w:rPr>
        <w:t xml:space="preserve">es principes et </w:t>
      </w:r>
      <w:r w:rsidR="00102C88">
        <w:rPr>
          <w:bCs/>
          <w:szCs w:val="24"/>
        </w:rPr>
        <w:t>l</w:t>
      </w:r>
      <w:r w:rsidR="00040AC0" w:rsidRPr="00040AC0">
        <w:rPr>
          <w:bCs/>
          <w:szCs w:val="24"/>
        </w:rPr>
        <w:t>es critères d</w:t>
      </w:r>
      <w:r w:rsidR="006001D7">
        <w:rPr>
          <w:bCs/>
          <w:szCs w:val="24"/>
        </w:rPr>
        <w:t>e l</w:t>
      </w:r>
      <w:r w:rsidR="00BA49A8">
        <w:rPr>
          <w:bCs/>
          <w:szCs w:val="24"/>
        </w:rPr>
        <w:t>'</w:t>
      </w:r>
      <w:r w:rsidR="00040AC0" w:rsidRPr="00040AC0">
        <w:rPr>
          <w:bCs/>
          <w:szCs w:val="24"/>
        </w:rPr>
        <w:t xml:space="preserve">économie circulaire </w:t>
      </w:r>
      <w:r w:rsidR="00ED6A45">
        <w:rPr>
          <w:bCs/>
          <w:szCs w:val="24"/>
        </w:rPr>
        <w:t>à</w:t>
      </w:r>
      <w:r w:rsidR="00040AC0" w:rsidRPr="00040AC0">
        <w:rPr>
          <w:bCs/>
          <w:szCs w:val="24"/>
        </w:rPr>
        <w:t xml:space="preserve"> l</w:t>
      </w:r>
      <w:r w:rsidR="00BA49A8">
        <w:rPr>
          <w:bCs/>
          <w:szCs w:val="24"/>
        </w:rPr>
        <w:t>'</w:t>
      </w:r>
      <w:r w:rsidR="00040AC0" w:rsidRPr="00040AC0">
        <w:rPr>
          <w:bCs/>
          <w:szCs w:val="24"/>
        </w:rPr>
        <w:t>achat de produits et de services.</w:t>
      </w:r>
      <w:r w:rsidR="00773E33">
        <w:rPr>
          <w:bCs/>
          <w:szCs w:val="24"/>
        </w:rPr>
        <w:t xml:space="preserve"> </w:t>
      </w:r>
      <w:r w:rsidR="00277C73">
        <w:rPr>
          <w:bCs/>
          <w:szCs w:val="24"/>
        </w:rPr>
        <w:t xml:space="preserve">Il </w:t>
      </w:r>
      <w:r w:rsidR="00F14291">
        <w:rPr>
          <w:bCs/>
          <w:szCs w:val="24"/>
        </w:rPr>
        <w:t xml:space="preserve">est nécessaire </w:t>
      </w:r>
      <w:r w:rsidR="00A43DAF">
        <w:rPr>
          <w:bCs/>
          <w:szCs w:val="24"/>
        </w:rPr>
        <w:t>d</w:t>
      </w:r>
      <w:r w:rsidR="00BA49A8">
        <w:rPr>
          <w:bCs/>
          <w:szCs w:val="24"/>
        </w:rPr>
        <w:t>'</w:t>
      </w:r>
      <w:r w:rsidR="00A43DAF">
        <w:rPr>
          <w:bCs/>
          <w:szCs w:val="24"/>
        </w:rPr>
        <w:t xml:space="preserve">exploiter </w:t>
      </w:r>
      <w:r w:rsidR="00277C73">
        <w:rPr>
          <w:bCs/>
          <w:szCs w:val="24"/>
        </w:rPr>
        <w:t>davantage la passation de</w:t>
      </w:r>
      <w:r w:rsidR="00773E33" w:rsidRPr="00773E33">
        <w:rPr>
          <w:bCs/>
          <w:szCs w:val="24"/>
        </w:rPr>
        <w:t xml:space="preserve"> marchés circulaires et durables </w:t>
      </w:r>
      <w:r w:rsidR="008D21A2">
        <w:rPr>
          <w:bCs/>
          <w:szCs w:val="24"/>
        </w:rPr>
        <w:t xml:space="preserve">pour </w:t>
      </w:r>
      <w:r w:rsidR="003244A0">
        <w:rPr>
          <w:bCs/>
          <w:szCs w:val="24"/>
        </w:rPr>
        <w:t>dépasser le stade</w:t>
      </w:r>
      <w:r w:rsidR="00805746">
        <w:rPr>
          <w:bCs/>
          <w:szCs w:val="24"/>
        </w:rPr>
        <w:t xml:space="preserve"> </w:t>
      </w:r>
      <w:r w:rsidR="003244A0">
        <w:rPr>
          <w:bCs/>
          <w:szCs w:val="24"/>
        </w:rPr>
        <w:t xml:space="preserve">de </w:t>
      </w:r>
      <w:r w:rsidR="00805746">
        <w:rPr>
          <w:bCs/>
          <w:szCs w:val="24"/>
        </w:rPr>
        <w:t xml:space="preserve">la théorie </w:t>
      </w:r>
      <w:r w:rsidR="00773E33" w:rsidRPr="00773E33">
        <w:rPr>
          <w:bCs/>
          <w:szCs w:val="24"/>
        </w:rPr>
        <w:t xml:space="preserve">et prendre des mesures </w:t>
      </w:r>
      <w:r w:rsidR="00A43DAF">
        <w:rPr>
          <w:bCs/>
          <w:szCs w:val="24"/>
        </w:rPr>
        <w:t xml:space="preserve">visant à </w:t>
      </w:r>
      <w:r w:rsidR="00773E33" w:rsidRPr="00773E33">
        <w:rPr>
          <w:bCs/>
          <w:szCs w:val="24"/>
        </w:rPr>
        <w:t>opérer la transition et</w:t>
      </w:r>
      <w:r w:rsidR="00FC2A75">
        <w:rPr>
          <w:bCs/>
          <w:szCs w:val="24"/>
        </w:rPr>
        <w:t xml:space="preserve"> à</w:t>
      </w:r>
      <w:r w:rsidR="00773E33" w:rsidRPr="00773E33">
        <w:rPr>
          <w:bCs/>
          <w:szCs w:val="24"/>
        </w:rPr>
        <w:t xml:space="preserve"> tirer parti des avantages de l</w:t>
      </w:r>
      <w:r w:rsidR="00BA49A8">
        <w:rPr>
          <w:bCs/>
          <w:szCs w:val="24"/>
        </w:rPr>
        <w:t>'</w:t>
      </w:r>
      <w:r w:rsidR="00773E33" w:rsidRPr="00773E33">
        <w:rPr>
          <w:bCs/>
          <w:szCs w:val="24"/>
        </w:rPr>
        <w:t>économie circulaire.</w:t>
      </w:r>
    </w:p>
    <w:p w14:paraId="3223BCAB" w14:textId="0EB109BB" w:rsidR="00AE24BA" w:rsidRPr="004A538B" w:rsidRDefault="00AE24BA" w:rsidP="00BA49A8">
      <w:pPr>
        <w:rPr>
          <w:bCs/>
        </w:rPr>
      </w:pPr>
      <w:r w:rsidRPr="004A538B">
        <w:rPr>
          <w:bCs/>
        </w:rPr>
        <w:t>3</w:t>
      </w:r>
      <w:r w:rsidRPr="004A538B">
        <w:rPr>
          <w:bCs/>
        </w:rPr>
        <w:tab/>
      </w:r>
      <w:r w:rsidR="001D0F95" w:rsidRPr="001D0F95">
        <w:rPr>
          <w:bCs/>
        </w:rPr>
        <w:t>Afin d</w:t>
      </w:r>
      <w:r w:rsidR="00BA49A8">
        <w:rPr>
          <w:bCs/>
        </w:rPr>
        <w:t>'</w:t>
      </w:r>
      <w:r w:rsidR="001D0F95" w:rsidRPr="001D0F95">
        <w:rPr>
          <w:bCs/>
        </w:rPr>
        <w:t>apporter un appui aux gouvernements et au secteur public, l</w:t>
      </w:r>
      <w:r w:rsidR="00BA49A8">
        <w:rPr>
          <w:bCs/>
        </w:rPr>
        <w:t>'</w:t>
      </w:r>
      <w:r w:rsidR="001D0F95" w:rsidRPr="001D0F95">
        <w:rPr>
          <w:bCs/>
        </w:rPr>
        <w:t xml:space="preserve">UIT a élaboré une norme internationale </w:t>
      </w:r>
      <w:r w:rsidR="00776EBB">
        <w:rPr>
          <w:bCs/>
        </w:rPr>
        <w:t>sur l</w:t>
      </w:r>
      <w:r w:rsidR="00117492">
        <w:rPr>
          <w:bCs/>
        </w:rPr>
        <w:t>e</w:t>
      </w:r>
      <w:r w:rsidR="0005169C">
        <w:rPr>
          <w:bCs/>
        </w:rPr>
        <w:t xml:space="preserve"> </w:t>
      </w:r>
      <w:r w:rsidR="00117492" w:rsidRPr="00117492">
        <w:rPr>
          <w:bCs/>
          <w:i/>
          <w:iCs/>
        </w:rPr>
        <w:t>Rôle des marchés publics portant sur des TIC pour atténuer les effets négatifs des déchets d</w:t>
      </w:r>
      <w:r w:rsidR="00BA49A8">
        <w:rPr>
          <w:bCs/>
          <w:i/>
          <w:iCs/>
        </w:rPr>
        <w:t>'</w:t>
      </w:r>
      <w:r w:rsidR="00117492" w:rsidRPr="00117492">
        <w:rPr>
          <w:bCs/>
          <w:i/>
          <w:iCs/>
        </w:rPr>
        <w:t>équipements électriques et électroniques</w:t>
      </w:r>
      <w:r w:rsidR="009B4C21">
        <w:rPr>
          <w:bCs/>
        </w:rPr>
        <w:t xml:space="preserve">, ainsi que des lignes directrices </w:t>
      </w:r>
      <w:r w:rsidR="001D0F95" w:rsidRPr="001D0F95">
        <w:rPr>
          <w:bCs/>
        </w:rPr>
        <w:t xml:space="preserve">relatives </w:t>
      </w:r>
      <w:r w:rsidR="0073341B">
        <w:rPr>
          <w:bCs/>
        </w:rPr>
        <w:t xml:space="preserve">à la </w:t>
      </w:r>
      <w:r w:rsidR="0073341B" w:rsidRPr="000C525E">
        <w:rPr>
          <w:bCs/>
          <w:i/>
          <w:iCs/>
        </w:rPr>
        <w:t xml:space="preserve">Passation de marchés publics circulaires et durables </w:t>
      </w:r>
      <w:r w:rsidR="005B5309" w:rsidRPr="000C525E">
        <w:rPr>
          <w:bCs/>
          <w:i/>
          <w:iCs/>
        </w:rPr>
        <w:t>concernant</w:t>
      </w:r>
      <w:r w:rsidR="0073341B" w:rsidRPr="000C525E">
        <w:rPr>
          <w:bCs/>
          <w:i/>
          <w:iCs/>
        </w:rPr>
        <w:t xml:space="preserve"> les TIC</w:t>
      </w:r>
      <w:r w:rsidR="001D0F95" w:rsidRPr="001D0F95">
        <w:rPr>
          <w:bCs/>
        </w:rPr>
        <w:t>.</w:t>
      </w:r>
    </w:p>
    <w:p w14:paraId="072F36F8" w14:textId="021FCB15" w:rsidR="005E564B" w:rsidRPr="004A538B" w:rsidRDefault="00AE24BA" w:rsidP="00BA49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szCs w:val="24"/>
        </w:rPr>
      </w:pPr>
      <w:r w:rsidRPr="004A538B">
        <w:rPr>
          <w:bCs/>
        </w:rPr>
        <w:t>4</w:t>
      </w:r>
      <w:r w:rsidRPr="004A538B">
        <w:rPr>
          <w:bCs/>
        </w:rPr>
        <w:tab/>
      </w:r>
      <w:r w:rsidR="001B576B">
        <w:rPr>
          <w:bCs/>
          <w:szCs w:val="24"/>
        </w:rPr>
        <w:t>Cette norme</w:t>
      </w:r>
      <w:r w:rsidR="00F14291">
        <w:rPr>
          <w:bCs/>
          <w:szCs w:val="24"/>
        </w:rPr>
        <w:t>,</w:t>
      </w:r>
      <w:r w:rsidR="00BA49A8">
        <w:rPr>
          <w:bCs/>
          <w:szCs w:val="24"/>
        </w:rPr>
        <w:t xml:space="preserve"> </w:t>
      </w:r>
      <w:r w:rsidR="001B576B">
        <w:rPr>
          <w:bCs/>
          <w:szCs w:val="24"/>
        </w:rPr>
        <w:t xml:space="preserve">élaborée par </w:t>
      </w:r>
      <w:r w:rsidR="00C44A38">
        <w:rPr>
          <w:bCs/>
          <w:szCs w:val="24"/>
        </w:rPr>
        <w:t>la Commission d</w:t>
      </w:r>
      <w:r w:rsidR="00BA49A8">
        <w:rPr>
          <w:bCs/>
          <w:szCs w:val="24"/>
        </w:rPr>
        <w:t>'</w:t>
      </w:r>
      <w:r w:rsidR="00C44A38">
        <w:rPr>
          <w:bCs/>
          <w:szCs w:val="24"/>
        </w:rPr>
        <w:t>études 5 de l</w:t>
      </w:r>
      <w:r w:rsidR="00BA49A8">
        <w:rPr>
          <w:bCs/>
          <w:szCs w:val="24"/>
        </w:rPr>
        <w:t>'</w:t>
      </w:r>
      <w:r w:rsidR="00C44A38">
        <w:rPr>
          <w:bCs/>
          <w:szCs w:val="24"/>
        </w:rPr>
        <w:t>UIT-T</w:t>
      </w:r>
      <w:r w:rsidR="00F14291">
        <w:rPr>
          <w:bCs/>
          <w:szCs w:val="24"/>
        </w:rPr>
        <w:t>,</w:t>
      </w:r>
      <w:r w:rsidR="00C44A38">
        <w:rPr>
          <w:bCs/>
          <w:szCs w:val="24"/>
        </w:rPr>
        <w:t xml:space="preserve"> </w:t>
      </w:r>
      <w:r w:rsidR="00F14291">
        <w:rPr>
          <w:bCs/>
          <w:szCs w:val="24"/>
        </w:rPr>
        <w:t>s</w:t>
      </w:r>
      <w:r w:rsidR="00BA49A8">
        <w:rPr>
          <w:bCs/>
          <w:szCs w:val="24"/>
        </w:rPr>
        <w:t>'</w:t>
      </w:r>
      <w:r w:rsidR="00240655">
        <w:rPr>
          <w:bCs/>
          <w:szCs w:val="24"/>
        </w:rPr>
        <w:t>intitule "</w:t>
      </w:r>
      <w:hyperlink r:id="rId10" w:history="1">
        <w:r w:rsidR="00240655" w:rsidRPr="00C96D81">
          <w:rPr>
            <w:rStyle w:val="Hyperlink"/>
            <w:bCs/>
            <w:szCs w:val="24"/>
          </w:rPr>
          <w:t>Champs électromagnétiques, environnement, lutte contre les changements climatiques, passage durable au tout numérique et économie circulaire</w:t>
        </w:r>
      </w:hyperlink>
      <w:r w:rsidR="00240655">
        <w:rPr>
          <w:bCs/>
          <w:szCs w:val="24"/>
        </w:rPr>
        <w:t>".</w:t>
      </w:r>
    </w:p>
    <w:p w14:paraId="66C543C4" w14:textId="67C72331" w:rsidR="000B379C" w:rsidRDefault="000B379C" w:rsidP="00BA49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cstheme="majorBidi"/>
          <w:szCs w:val="24"/>
        </w:rPr>
      </w:pPr>
      <w:r w:rsidRPr="004A538B">
        <w:rPr>
          <w:rFonts w:cstheme="majorBidi"/>
          <w:szCs w:val="24"/>
        </w:rPr>
        <w:t>5</w:t>
      </w:r>
      <w:r w:rsidRPr="004A538B">
        <w:rPr>
          <w:rFonts w:cstheme="majorBidi"/>
          <w:szCs w:val="24"/>
        </w:rPr>
        <w:tab/>
      </w:r>
      <w:r w:rsidR="006C06E6" w:rsidRPr="006C06E6">
        <w:rPr>
          <w:rFonts w:cstheme="majorBidi"/>
          <w:szCs w:val="24"/>
        </w:rPr>
        <w:t>Ce guide a été élaboré dans le cadre de la composante "verte" de l</w:t>
      </w:r>
      <w:r w:rsidR="00BA49A8">
        <w:rPr>
          <w:rFonts w:cstheme="majorBidi"/>
          <w:szCs w:val="24"/>
        </w:rPr>
        <w:t>'</w:t>
      </w:r>
      <w:r w:rsidR="006C06E6" w:rsidRPr="006C06E6">
        <w:rPr>
          <w:rFonts w:cstheme="majorBidi"/>
          <w:szCs w:val="24"/>
        </w:rPr>
        <w:t xml:space="preserve">initiative </w:t>
      </w:r>
      <w:hyperlink r:id="rId11" w:history="1">
        <w:r w:rsidR="006C06E6" w:rsidRPr="008427A6">
          <w:rPr>
            <w:rStyle w:val="Hyperlink"/>
            <w:rFonts w:cstheme="majorBidi"/>
            <w:szCs w:val="24"/>
          </w:rPr>
          <w:t>GovStack</w:t>
        </w:r>
      </w:hyperlink>
      <w:r w:rsidR="006C06E6" w:rsidRPr="006C06E6">
        <w:rPr>
          <w:rFonts w:cstheme="majorBidi"/>
          <w:szCs w:val="24"/>
        </w:rPr>
        <w:t>, qui vise à accélérer la transformation numérique des services publics tout en tenant compte des incidences potentielles de cette transformation sur l</w:t>
      </w:r>
      <w:r w:rsidR="00BA49A8">
        <w:rPr>
          <w:rFonts w:cstheme="majorBidi"/>
          <w:szCs w:val="24"/>
        </w:rPr>
        <w:t>'</w:t>
      </w:r>
      <w:r w:rsidR="006C06E6" w:rsidRPr="006C06E6">
        <w:rPr>
          <w:rFonts w:cstheme="majorBidi"/>
          <w:szCs w:val="24"/>
        </w:rPr>
        <w:t>environnement.</w:t>
      </w:r>
      <w:r w:rsidR="00551423">
        <w:rPr>
          <w:rFonts w:cstheme="majorBidi"/>
          <w:szCs w:val="24"/>
        </w:rPr>
        <w:t xml:space="preserve"> </w:t>
      </w:r>
      <w:r w:rsidR="006036B4">
        <w:rPr>
          <w:rFonts w:cstheme="majorBidi"/>
          <w:szCs w:val="24"/>
        </w:rPr>
        <w:t>Ce</w:t>
      </w:r>
      <w:r w:rsidR="000219B0">
        <w:rPr>
          <w:rFonts w:cstheme="majorBidi"/>
          <w:szCs w:val="24"/>
        </w:rPr>
        <w:t>tte initiative</w:t>
      </w:r>
      <w:r w:rsidR="006036B4">
        <w:rPr>
          <w:rFonts w:cstheme="majorBidi"/>
          <w:szCs w:val="24"/>
        </w:rPr>
        <w:t xml:space="preserve"> s</w:t>
      </w:r>
      <w:r w:rsidR="00BA49A8">
        <w:rPr>
          <w:rFonts w:cstheme="majorBidi"/>
          <w:szCs w:val="24"/>
        </w:rPr>
        <w:t>'</w:t>
      </w:r>
      <w:r w:rsidR="006036B4">
        <w:rPr>
          <w:rFonts w:cstheme="majorBidi"/>
          <w:szCs w:val="24"/>
        </w:rPr>
        <w:t>inscr</w:t>
      </w:r>
      <w:r w:rsidR="000219B0">
        <w:rPr>
          <w:rFonts w:cstheme="majorBidi"/>
          <w:szCs w:val="24"/>
        </w:rPr>
        <w:t>it</w:t>
      </w:r>
      <w:r w:rsidR="006036B4">
        <w:rPr>
          <w:rFonts w:cstheme="majorBidi"/>
          <w:szCs w:val="24"/>
        </w:rPr>
        <w:t xml:space="preserve"> dans le cadre du </w:t>
      </w:r>
      <w:hyperlink r:id="rId12" w:history="1">
        <w:r w:rsidR="006036B4" w:rsidRPr="00BB7E33">
          <w:rPr>
            <w:rStyle w:val="Hyperlink"/>
            <w:rFonts w:cstheme="majorBidi"/>
            <w:szCs w:val="24"/>
          </w:rPr>
          <w:t xml:space="preserve">Partenariat </w:t>
        </w:r>
        <w:r w:rsidR="00193A17" w:rsidRPr="00BB7E33">
          <w:rPr>
            <w:rStyle w:val="Hyperlink"/>
            <w:rFonts w:cstheme="majorBidi"/>
            <w:szCs w:val="24"/>
          </w:rPr>
          <w:t>pour l</w:t>
        </w:r>
        <w:r w:rsidR="00BA49A8">
          <w:rPr>
            <w:rStyle w:val="Hyperlink"/>
            <w:rFonts w:cstheme="majorBidi"/>
            <w:szCs w:val="24"/>
          </w:rPr>
          <w:t>'</w:t>
        </w:r>
        <w:r w:rsidR="00193A17" w:rsidRPr="00BB7E33">
          <w:rPr>
            <w:rStyle w:val="Hyperlink"/>
            <w:rFonts w:cstheme="majorBidi"/>
            <w:szCs w:val="24"/>
          </w:rPr>
          <w:t>électronique circulaire</w:t>
        </w:r>
      </w:hyperlink>
      <w:r w:rsidR="00193A17">
        <w:rPr>
          <w:rFonts w:cstheme="majorBidi"/>
          <w:szCs w:val="24"/>
        </w:rPr>
        <w:t xml:space="preserve"> </w:t>
      </w:r>
      <w:r w:rsidR="000219B0">
        <w:rPr>
          <w:rFonts w:cstheme="majorBidi"/>
          <w:szCs w:val="24"/>
        </w:rPr>
        <w:t>et a été dirigée</w:t>
      </w:r>
      <w:r w:rsidR="0057465C">
        <w:rPr>
          <w:rFonts w:cstheme="majorBidi"/>
          <w:szCs w:val="24"/>
        </w:rPr>
        <w:t xml:space="preserve"> </w:t>
      </w:r>
      <w:r w:rsidR="000219B0">
        <w:rPr>
          <w:rFonts w:cstheme="majorBidi"/>
          <w:szCs w:val="24"/>
        </w:rPr>
        <w:t xml:space="preserve">par </w:t>
      </w:r>
      <w:r w:rsidR="0057465C">
        <w:rPr>
          <w:rFonts w:cstheme="majorBidi"/>
          <w:szCs w:val="24"/>
        </w:rPr>
        <w:t>les organisations partenaires, l</w:t>
      </w:r>
      <w:r w:rsidR="00BA49A8">
        <w:rPr>
          <w:rFonts w:cstheme="majorBidi"/>
          <w:szCs w:val="24"/>
        </w:rPr>
        <w:t>'</w:t>
      </w:r>
      <w:r w:rsidR="0057465C">
        <w:rPr>
          <w:rFonts w:cstheme="majorBidi"/>
          <w:szCs w:val="24"/>
        </w:rPr>
        <w:t xml:space="preserve">UIT et le </w:t>
      </w:r>
      <w:r w:rsidR="005D40FA" w:rsidRPr="003A675E">
        <w:rPr>
          <w:bCs/>
          <w:szCs w:val="24"/>
        </w:rPr>
        <w:t>Global Electronics Council</w:t>
      </w:r>
      <w:r w:rsidR="000219B0">
        <w:rPr>
          <w:bCs/>
          <w:szCs w:val="24"/>
        </w:rPr>
        <w:t>.</w:t>
      </w:r>
    </w:p>
    <w:p w14:paraId="4FE12F47" w14:textId="3EE33D94" w:rsidR="006C06E6" w:rsidRDefault="008F7C7F" w:rsidP="00BA49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6</w:t>
      </w:r>
      <w:r>
        <w:rPr>
          <w:rFonts w:cstheme="majorBidi"/>
          <w:szCs w:val="24"/>
        </w:rPr>
        <w:tab/>
      </w:r>
      <w:r w:rsidR="00F14291">
        <w:rPr>
          <w:rFonts w:cstheme="majorBidi"/>
          <w:szCs w:val="24"/>
        </w:rPr>
        <w:t>L</w:t>
      </w:r>
      <w:r w:rsidR="00BA49A8">
        <w:rPr>
          <w:rFonts w:cstheme="majorBidi"/>
          <w:szCs w:val="24"/>
        </w:rPr>
        <w:t>'</w:t>
      </w:r>
      <w:r w:rsidR="007E4551">
        <w:rPr>
          <w:rFonts w:cstheme="majorBidi"/>
          <w:szCs w:val="24"/>
        </w:rPr>
        <w:t xml:space="preserve">atelier vise </w:t>
      </w:r>
      <w:r w:rsidR="00456754">
        <w:rPr>
          <w:rFonts w:cstheme="majorBidi"/>
          <w:szCs w:val="24"/>
        </w:rPr>
        <w:t xml:space="preserve">à fournir aux participants des </w:t>
      </w:r>
      <w:r w:rsidR="00391619">
        <w:rPr>
          <w:rFonts w:cstheme="majorBidi"/>
          <w:szCs w:val="24"/>
        </w:rPr>
        <w:t>renseignements</w:t>
      </w:r>
      <w:r w:rsidR="00456754">
        <w:rPr>
          <w:rFonts w:cstheme="majorBidi"/>
          <w:szCs w:val="24"/>
        </w:rPr>
        <w:t xml:space="preserve"> et des connaissances sur les concepts de l</w:t>
      </w:r>
      <w:r w:rsidR="00BA49A8">
        <w:rPr>
          <w:rFonts w:cstheme="majorBidi"/>
          <w:szCs w:val="24"/>
        </w:rPr>
        <w:t>'</w:t>
      </w:r>
      <w:r w:rsidR="00456754">
        <w:rPr>
          <w:rFonts w:cstheme="majorBidi"/>
          <w:szCs w:val="24"/>
        </w:rPr>
        <w:t>économie circulaire et sur la manière d</w:t>
      </w:r>
      <w:r w:rsidR="00BA49A8">
        <w:rPr>
          <w:rFonts w:cstheme="majorBidi"/>
          <w:szCs w:val="24"/>
        </w:rPr>
        <w:t>'</w:t>
      </w:r>
      <w:r w:rsidR="00456754">
        <w:rPr>
          <w:rFonts w:cstheme="majorBidi"/>
          <w:szCs w:val="24"/>
        </w:rPr>
        <w:t xml:space="preserve">intégrer </w:t>
      </w:r>
      <w:r w:rsidR="00B502BA">
        <w:rPr>
          <w:rFonts w:cstheme="majorBidi"/>
          <w:szCs w:val="24"/>
        </w:rPr>
        <w:t>des exigences en matière d</w:t>
      </w:r>
      <w:r w:rsidR="00BA49A8">
        <w:rPr>
          <w:rFonts w:cstheme="majorBidi"/>
          <w:szCs w:val="24"/>
        </w:rPr>
        <w:t>'</w:t>
      </w:r>
      <w:r w:rsidR="00B502BA">
        <w:rPr>
          <w:rFonts w:cstheme="majorBidi"/>
          <w:szCs w:val="24"/>
        </w:rPr>
        <w:t xml:space="preserve">économie circulaire et durable dans les </w:t>
      </w:r>
      <w:r w:rsidR="001564A4">
        <w:rPr>
          <w:rFonts w:cstheme="majorBidi"/>
          <w:szCs w:val="24"/>
        </w:rPr>
        <w:t>politiques et projets de passation de marchés publics dans le domaine des TIC.</w:t>
      </w:r>
      <w:r w:rsidR="00D73164">
        <w:rPr>
          <w:rFonts w:cstheme="majorBidi"/>
          <w:szCs w:val="24"/>
        </w:rPr>
        <w:t xml:space="preserve"> À l</w:t>
      </w:r>
      <w:r w:rsidR="00BA49A8">
        <w:rPr>
          <w:rFonts w:cstheme="majorBidi"/>
          <w:szCs w:val="24"/>
        </w:rPr>
        <w:t>'</w:t>
      </w:r>
      <w:r w:rsidR="00D73164">
        <w:rPr>
          <w:rFonts w:cstheme="majorBidi"/>
          <w:szCs w:val="24"/>
        </w:rPr>
        <w:t>issu</w:t>
      </w:r>
      <w:r w:rsidR="00DF27D8">
        <w:rPr>
          <w:rFonts w:cstheme="majorBidi"/>
          <w:szCs w:val="24"/>
        </w:rPr>
        <w:t>e</w:t>
      </w:r>
      <w:r w:rsidR="00D73164">
        <w:rPr>
          <w:rFonts w:cstheme="majorBidi"/>
          <w:szCs w:val="24"/>
        </w:rPr>
        <w:t xml:space="preserve"> de cet atelier, les participants pourront:</w:t>
      </w:r>
    </w:p>
    <w:p w14:paraId="0FA13B1E" w14:textId="287747F5" w:rsidR="00D73164" w:rsidRDefault="00FB6585" w:rsidP="00FB6585">
      <w:pPr>
        <w:pStyle w:val="enumlev1"/>
      </w:pPr>
      <w:r>
        <w:t>–</w:t>
      </w:r>
      <w:r>
        <w:tab/>
      </w:r>
      <w:r w:rsidR="00AD4CAE">
        <w:t>c</w:t>
      </w:r>
      <w:r w:rsidR="00AD4CAE" w:rsidRPr="00AD4CAE">
        <w:t>omprendre à quoi ressemble l</w:t>
      </w:r>
      <w:r w:rsidR="00BA49A8">
        <w:t>'</w:t>
      </w:r>
      <w:r w:rsidR="00AD4CAE" w:rsidRPr="00AD4CAE">
        <w:t xml:space="preserve">économie circulaire </w:t>
      </w:r>
      <w:r w:rsidR="0078570B">
        <w:t xml:space="preserve">en ce qui concerne </w:t>
      </w:r>
      <w:r w:rsidR="00AD4CAE" w:rsidRPr="00AD4CAE">
        <w:t xml:space="preserve">les TIC et comment </w:t>
      </w:r>
      <w:r w:rsidR="00010E2C">
        <w:t xml:space="preserve">la passation de </w:t>
      </w:r>
      <w:r w:rsidR="00AD4CAE" w:rsidRPr="00AD4CAE">
        <w:t>marchés publics peut être un puissant outil de transition pour assurer la durabilité dans le secteur</w:t>
      </w:r>
      <w:r w:rsidR="009C27FE">
        <w:t>;</w:t>
      </w:r>
    </w:p>
    <w:p w14:paraId="1BEB7DE5" w14:textId="566C3E7C" w:rsidR="009C27FE" w:rsidRDefault="00FB6585" w:rsidP="00FB6585">
      <w:pPr>
        <w:pStyle w:val="enumlev1"/>
      </w:pPr>
      <w:r>
        <w:t>–</w:t>
      </w:r>
      <w:r>
        <w:tab/>
      </w:r>
      <w:r w:rsidR="0083231E">
        <w:t>a</w:t>
      </w:r>
      <w:r w:rsidR="0083231E" w:rsidRPr="0083231E">
        <w:t>ppliquer la Recommandation UIT-T relative aux normes internationales sur</w:t>
      </w:r>
      <w:r w:rsidR="0083231E">
        <w:t xml:space="preserve"> </w:t>
      </w:r>
      <w:r w:rsidR="0086123C">
        <w:t xml:space="preserve">le </w:t>
      </w:r>
      <w:r w:rsidR="0086123C" w:rsidRPr="0086123C">
        <w:rPr>
          <w:i/>
          <w:iCs/>
        </w:rPr>
        <w:t>Rôle des marchés publics portant sur des TIC pour atténuer les effets négatifs des déchets d</w:t>
      </w:r>
      <w:r w:rsidR="00BA49A8">
        <w:rPr>
          <w:i/>
          <w:iCs/>
        </w:rPr>
        <w:t>'</w:t>
      </w:r>
      <w:r w:rsidR="0086123C" w:rsidRPr="0086123C">
        <w:rPr>
          <w:i/>
          <w:iCs/>
        </w:rPr>
        <w:t>équipements électriques et électroniques</w:t>
      </w:r>
      <w:r w:rsidR="0086123C">
        <w:t>;</w:t>
      </w:r>
    </w:p>
    <w:p w14:paraId="65EBB965" w14:textId="7D420D57" w:rsidR="0086123C" w:rsidRPr="00D73164" w:rsidRDefault="00FB6585" w:rsidP="00FB6585">
      <w:pPr>
        <w:pStyle w:val="enumlev1"/>
      </w:pPr>
      <w:r>
        <w:t>–</w:t>
      </w:r>
      <w:r>
        <w:tab/>
      </w:r>
      <w:r w:rsidR="003E6FFD">
        <w:t>i</w:t>
      </w:r>
      <w:r w:rsidR="003E6FFD" w:rsidRPr="003E6FFD">
        <w:t xml:space="preserve">dentifier des méthodes pratiques de passation de marchés publics circulaires et durables en utilisant les lignes directrices pour élaborer des stratégies, créer les conditions </w:t>
      </w:r>
      <w:r w:rsidR="00BC0F33">
        <w:t xml:space="preserve">nécessaires </w:t>
      </w:r>
      <w:r w:rsidR="003E6FFD" w:rsidRPr="003E6FFD">
        <w:t>et intégrer les processus appropriés.</w:t>
      </w:r>
    </w:p>
    <w:p w14:paraId="7B0C625E" w14:textId="2CAD1D21" w:rsidR="006C06E6" w:rsidRDefault="00D82729" w:rsidP="00BA49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cstheme="majorBidi"/>
        </w:rPr>
      </w:pPr>
      <w:r>
        <w:rPr>
          <w:rFonts w:cstheme="majorBidi"/>
        </w:rPr>
        <w:t>7</w:t>
      </w:r>
      <w:r>
        <w:rPr>
          <w:rFonts w:cstheme="majorBidi"/>
        </w:rPr>
        <w:tab/>
      </w:r>
      <w:r w:rsidR="003F69D1" w:rsidRPr="003F69D1">
        <w:rPr>
          <w:rFonts w:cstheme="majorBidi"/>
        </w:rPr>
        <w:t>La participation à l</w:t>
      </w:r>
      <w:r w:rsidR="00BA49A8">
        <w:rPr>
          <w:rFonts w:cstheme="majorBidi"/>
        </w:rPr>
        <w:t>'</w:t>
      </w:r>
      <w:r w:rsidR="004E6FA4">
        <w:rPr>
          <w:rFonts w:cstheme="majorBidi"/>
        </w:rPr>
        <w:t>atelier</w:t>
      </w:r>
      <w:r w:rsidR="003F69D1" w:rsidRPr="003F69D1">
        <w:rPr>
          <w:rFonts w:cstheme="majorBidi"/>
        </w:rPr>
        <w:t xml:space="preserve"> est ouverte aux États Membres, aux Membres de Secteur, aux Associés de l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UIT ainsi qu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aux établissements universitaires participant aux travaux de l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UIT, et à toute personne issue d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un pays membre de l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UIT qui souhaite contribuer aux travaux, y compris les membres d</w:t>
      </w:r>
      <w:r w:rsidR="00BA49A8">
        <w:rPr>
          <w:rFonts w:cstheme="majorBidi"/>
        </w:rPr>
        <w:t>'</w:t>
      </w:r>
      <w:r w:rsidR="003F69D1" w:rsidRPr="003F69D1">
        <w:rPr>
          <w:rFonts w:cstheme="majorBidi"/>
        </w:rPr>
        <w:t>organisations internationales, régionales ou nationales.</w:t>
      </w:r>
      <w:r w:rsidR="003F69D1">
        <w:rPr>
          <w:rFonts w:cstheme="majorBidi"/>
        </w:rPr>
        <w:t xml:space="preserve"> </w:t>
      </w:r>
      <w:r w:rsidR="004E6FA4" w:rsidRPr="004E6FA4">
        <w:rPr>
          <w:rFonts w:cstheme="majorBidi"/>
        </w:rPr>
        <w:t>La participation à l</w:t>
      </w:r>
      <w:r w:rsidR="00BA49A8">
        <w:rPr>
          <w:rFonts w:cstheme="majorBidi"/>
        </w:rPr>
        <w:t>'</w:t>
      </w:r>
      <w:r w:rsidR="004E6FA4" w:rsidRPr="004E6FA4">
        <w:rPr>
          <w:rFonts w:cstheme="majorBidi"/>
        </w:rPr>
        <w:t>atelier est gratuite et ouverte à tous.</w:t>
      </w:r>
    </w:p>
    <w:p w14:paraId="777BC9F8" w14:textId="46A9923B" w:rsidR="00AF1698" w:rsidRPr="004A538B" w:rsidRDefault="00AF1698" w:rsidP="00BA49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cstheme="majorBidi"/>
        </w:rPr>
      </w:pPr>
      <w:r>
        <w:rPr>
          <w:rFonts w:cstheme="majorBidi"/>
        </w:rPr>
        <w:t>8</w:t>
      </w:r>
      <w:r>
        <w:rPr>
          <w:rFonts w:cstheme="majorBidi"/>
        </w:rPr>
        <w:tab/>
      </w:r>
      <w:r w:rsidR="00516C15" w:rsidRPr="00516C15">
        <w:rPr>
          <w:rFonts w:cstheme="majorBidi"/>
        </w:rPr>
        <w:t>Tous les renseignements utiles concernant la manifestation (c</w:t>
      </w:r>
      <w:r w:rsidR="00BA49A8">
        <w:rPr>
          <w:rFonts w:cstheme="majorBidi"/>
        </w:rPr>
        <w:t>'</w:t>
      </w:r>
      <w:r w:rsidR="00516C15" w:rsidRPr="00516C15">
        <w:rPr>
          <w:rFonts w:cstheme="majorBidi"/>
        </w:rPr>
        <w:t>est-à-dire le programme provisoire, la liste des intervenants, le lien pour les inscriptions et les informations concernant la connexion à distance) seront publiés sur le site web de la manifestation, à l</w:t>
      </w:r>
      <w:r w:rsidR="00BA49A8">
        <w:rPr>
          <w:rFonts w:cstheme="majorBidi"/>
        </w:rPr>
        <w:t>'</w:t>
      </w:r>
      <w:r w:rsidR="00516C15" w:rsidRPr="00516C15">
        <w:rPr>
          <w:rFonts w:cstheme="majorBidi"/>
        </w:rPr>
        <w:t>adresse suivante:</w:t>
      </w:r>
      <w:r w:rsidR="00516C15">
        <w:rPr>
          <w:rFonts w:cstheme="majorBidi"/>
        </w:rPr>
        <w:t xml:space="preserve"> </w:t>
      </w:r>
      <w:hyperlink r:id="rId13" w:history="1">
        <w:r w:rsidR="00064321" w:rsidRPr="00F14291">
          <w:rPr>
            <w:rStyle w:val="Hyperlink"/>
            <w:rFonts w:cstheme="majorBidi"/>
            <w:lang w:val="fr-CH"/>
          </w:rPr>
          <w:t>https://www.itu.int/en/ITU-T/Workshops-and-Seminars/2023/0214/Pages/default.aspx</w:t>
        </w:r>
      </w:hyperlink>
      <w:r w:rsidR="00064321" w:rsidRPr="00F14291">
        <w:rPr>
          <w:rFonts w:cstheme="majorBidi"/>
          <w:lang w:val="fr-CH"/>
        </w:rPr>
        <w:t xml:space="preserve">. </w:t>
      </w:r>
      <w:r w:rsidR="00ED6EF5" w:rsidRPr="00ED6EF5">
        <w:rPr>
          <w:rFonts w:cstheme="majorBidi"/>
        </w:rPr>
        <w:t>Ce site web sera actualisé à mesure que parviendront des informations nouvelles ou modifiées.</w:t>
      </w:r>
      <w:r w:rsidR="00ED6EF5">
        <w:rPr>
          <w:rFonts w:cstheme="majorBidi"/>
        </w:rPr>
        <w:t xml:space="preserve"> </w:t>
      </w:r>
      <w:r w:rsidR="00567799" w:rsidRPr="00567799">
        <w:rPr>
          <w:rFonts w:cstheme="majorBidi"/>
        </w:rPr>
        <w:t>Les participants sont encouragés à consulter régulièrement le site web pour prendre connaissance des données les plus récentes.</w:t>
      </w:r>
    </w:p>
    <w:p w14:paraId="23AB3BE7" w14:textId="41801CE2" w:rsidR="00BA49A8" w:rsidRPr="00697BC1" w:rsidRDefault="00BA49A8" w:rsidP="00BA49A8">
      <w:pPr>
        <w:spacing w:before="180"/>
      </w:pPr>
      <w:r w:rsidRPr="00697BC1">
        <w:t>Veuillez agréer, Madame, Monsieur, l</w:t>
      </w:r>
      <w:r>
        <w:t>'</w:t>
      </w:r>
      <w:r w:rsidRPr="00697BC1">
        <w:t>assurance de ma considération</w:t>
      </w:r>
      <w:r>
        <w:t xml:space="preserve"> distinguée</w:t>
      </w:r>
      <w:r w:rsidRPr="00697BC1">
        <w:t>.</w:t>
      </w:r>
    </w:p>
    <w:p w14:paraId="7B25D49F" w14:textId="77777777" w:rsidR="00BA49A8" w:rsidRPr="00170D27" w:rsidRDefault="00BA49A8" w:rsidP="00BA49A8">
      <w:pPr>
        <w:keepNext/>
        <w:keepLines/>
        <w:spacing w:before="480" w:after="480"/>
        <w:rPr>
          <w:i/>
          <w:iCs/>
          <w:lang w:val="fr-CH"/>
        </w:rPr>
      </w:pPr>
      <w:r w:rsidRPr="00170D27">
        <w:rPr>
          <w:i/>
          <w:iCs/>
          <w:lang w:val="fr-CH"/>
        </w:rPr>
        <w:t>(signé)</w:t>
      </w:r>
    </w:p>
    <w:p w14:paraId="2C5D4584" w14:textId="214700DB" w:rsidR="00517A03" w:rsidRPr="00BA49A8" w:rsidRDefault="00BA49A8" w:rsidP="00BA49A8">
      <w:pPr>
        <w:keepNext/>
        <w:keepLines/>
        <w:spacing w:before="360"/>
        <w:ind w:right="-284"/>
        <w:rPr>
          <w:lang w:val="fr-CH"/>
        </w:rPr>
      </w:pPr>
      <w:r w:rsidRPr="00170D27">
        <w:rPr>
          <w:lang w:val="fr-CH"/>
        </w:rPr>
        <w:t>Chaesub Lee</w:t>
      </w:r>
      <w:r w:rsidRPr="00170D27">
        <w:rPr>
          <w:lang w:val="fr-CH"/>
        </w:rPr>
        <w:br/>
        <w:t xml:space="preserve">Directeur du Bureau de la normalisation </w:t>
      </w:r>
      <w:r w:rsidRPr="00170D27">
        <w:rPr>
          <w:lang w:val="fr-CH"/>
        </w:rPr>
        <w:br/>
        <w:t>des télécommunications</w:t>
      </w:r>
    </w:p>
    <w:sectPr w:rsidR="00517A03" w:rsidRPr="00BA49A8" w:rsidSect="00A15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55FB" w14:textId="77777777" w:rsidR="00D174C1" w:rsidRDefault="00D174C1">
      <w:r>
        <w:separator/>
      </w:r>
    </w:p>
  </w:endnote>
  <w:endnote w:type="continuationSeparator" w:id="0">
    <w:p w14:paraId="11078678" w14:textId="77777777" w:rsidR="00D174C1" w:rsidRDefault="00D1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5C66" w14:textId="77777777" w:rsidR="005B6DB6" w:rsidRDefault="005B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31E5" w14:textId="78A5612E" w:rsidR="00BA49A8" w:rsidRPr="00BA49A8" w:rsidRDefault="00BA49A8" w:rsidP="00BA49A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1A2C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34E5" w14:textId="77777777" w:rsidR="00D174C1" w:rsidRDefault="00D174C1">
      <w:r>
        <w:t>____________________</w:t>
      </w:r>
    </w:p>
  </w:footnote>
  <w:footnote w:type="continuationSeparator" w:id="0">
    <w:p w14:paraId="752DEDBF" w14:textId="77777777" w:rsidR="00D174C1" w:rsidRDefault="00D1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B9D0" w14:textId="77777777" w:rsidR="005B6DB6" w:rsidRDefault="005B6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343" w14:textId="3CCC141B" w:rsidR="00697BC1" w:rsidRPr="00697BC1" w:rsidRDefault="007E30B7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FB6585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B53718">
      <w:rPr>
        <w:noProof/>
        <w:sz w:val="18"/>
        <w:szCs w:val="16"/>
      </w:rPr>
      <w:br/>
      <w:t xml:space="preserve">Circulaire TSB </w:t>
    </w:r>
    <w:r w:rsidR="007655BA">
      <w:rPr>
        <w:noProof/>
        <w:sz w:val="18"/>
        <w:szCs w:val="16"/>
      </w:rPr>
      <w:t>062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4904" w14:textId="77777777" w:rsidR="005B6DB6" w:rsidRDefault="005B6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2F660C34"/>
    <w:multiLevelType w:val="hybridMultilevel"/>
    <w:tmpl w:val="12EE79CC"/>
    <w:lvl w:ilvl="0" w:tplc="97FAE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150673">
    <w:abstractNumId w:val="1"/>
  </w:num>
  <w:num w:numId="2" w16cid:durableId="1568569007">
    <w:abstractNumId w:val="4"/>
  </w:num>
  <w:num w:numId="3" w16cid:durableId="1553925118">
    <w:abstractNumId w:val="3"/>
  </w:num>
  <w:num w:numId="4" w16cid:durableId="589774703">
    <w:abstractNumId w:val="0"/>
  </w:num>
  <w:num w:numId="5" w16cid:durableId="84706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BA"/>
    <w:rsid w:val="000039EE"/>
    <w:rsid w:val="00005622"/>
    <w:rsid w:val="00010E2C"/>
    <w:rsid w:val="000219B0"/>
    <w:rsid w:val="0002519E"/>
    <w:rsid w:val="00035B43"/>
    <w:rsid w:val="00036F4F"/>
    <w:rsid w:val="00040AC0"/>
    <w:rsid w:val="000451D9"/>
    <w:rsid w:val="000475A4"/>
    <w:rsid w:val="00047E0C"/>
    <w:rsid w:val="0005169C"/>
    <w:rsid w:val="00064321"/>
    <w:rsid w:val="000758B3"/>
    <w:rsid w:val="00085F5A"/>
    <w:rsid w:val="000B0D96"/>
    <w:rsid w:val="000B379C"/>
    <w:rsid w:val="000B59D8"/>
    <w:rsid w:val="000C1610"/>
    <w:rsid w:val="000C1F6B"/>
    <w:rsid w:val="000C249F"/>
    <w:rsid w:val="000C25CC"/>
    <w:rsid w:val="000C525E"/>
    <w:rsid w:val="000C56BE"/>
    <w:rsid w:val="001026FD"/>
    <w:rsid w:val="00102C88"/>
    <w:rsid w:val="001070E9"/>
    <w:rsid w:val="001077FD"/>
    <w:rsid w:val="00115DD7"/>
    <w:rsid w:val="00117492"/>
    <w:rsid w:val="001564A4"/>
    <w:rsid w:val="00167472"/>
    <w:rsid w:val="00167F92"/>
    <w:rsid w:val="00173738"/>
    <w:rsid w:val="00193A17"/>
    <w:rsid w:val="001B576B"/>
    <w:rsid w:val="001B79A3"/>
    <w:rsid w:val="001D0F95"/>
    <w:rsid w:val="001E4C3D"/>
    <w:rsid w:val="002152A3"/>
    <w:rsid w:val="00225D9A"/>
    <w:rsid w:val="00240655"/>
    <w:rsid w:val="00277C73"/>
    <w:rsid w:val="002A356C"/>
    <w:rsid w:val="002E395D"/>
    <w:rsid w:val="003131F0"/>
    <w:rsid w:val="003244A0"/>
    <w:rsid w:val="00333A80"/>
    <w:rsid w:val="00341117"/>
    <w:rsid w:val="00364E95"/>
    <w:rsid w:val="00372875"/>
    <w:rsid w:val="00391619"/>
    <w:rsid w:val="003A675E"/>
    <w:rsid w:val="003B1E80"/>
    <w:rsid w:val="003B66E8"/>
    <w:rsid w:val="003B7CD8"/>
    <w:rsid w:val="003E5FDD"/>
    <w:rsid w:val="003E6FFD"/>
    <w:rsid w:val="003F69D1"/>
    <w:rsid w:val="003F770F"/>
    <w:rsid w:val="00402978"/>
    <w:rsid w:val="004033F1"/>
    <w:rsid w:val="00414B0C"/>
    <w:rsid w:val="00423C21"/>
    <w:rsid w:val="004257AC"/>
    <w:rsid w:val="0043711B"/>
    <w:rsid w:val="004377CD"/>
    <w:rsid w:val="00455EED"/>
    <w:rsid w:val="00456754"/>
    <w:rsid w:val="004977C9"/>
    <w:rsid w:val="004A538B"/>
    <w:rsid w:val="004B1BE8"/>
    <w:rsid w:val="004B732E"/>
    <w:rsid w:val="004D51F4"/>
    <w:rsid w:val="004D64E0"/>
    <w:rsid w:val="004E3B14"/>
    <w:rsid w:val="004E6FA4"/>
    <w:rsid w:val="005120A2"/>
    <w:rsid w:val="0051210D"/>
    <w:rsid w:val="005136D2"/>
    <w:rsid w:val="0051463A"/>
    <w:rsid w:val="00516C15"/>
    <w:rsid w:val="00517A03"/>
    <w:rsid w:val="005367E3"/>
    <w:rsid w:val="00545F3B"/>
    <w:rsid w:val="00551423"/>
    <w:rsid w:val="00562641"/>
    <w:rsid w:val="00567799"/>
    <w:rsid w:val="0057465C"/>
    <w:rsid w:val="005A3DD9"/>
    <w:rsid w:val="005B1DFC"/>
    <w:rsid w:val="005B5309"/>
    <w:rsid w:val="005B6DB6"/>
    <w:rsid w:val="005D40FA"/>
    <w:rsid w:val="005E564B"/>
    <w:rsid w:val="006001D7"/>
    <w:rsid w:val="00601682"/>
    <w:rsid w:val="00603470"/>
    <w:rsid w:val="006036B4"/>
    <w:rsid w:val="00606F8E"/>
    <w:rsid w:val="00625E79"/>
    <w:rsid w:val="006333F7"/>
    <w:rsid w:val="006427A1"/>
    <w:rsid w:val="00644741"/>
    <w:rsid w:val="00697BC1"/>
    <w:rsid w:val="006A3716"/>
    <w:rsid w:val="006A6FFE"/>
    <w:rsid w:val="006C06E6"/>
    <w:rsid w:val="006C5A91"/>
    <w:rsid w:val="00716BBC"/>
    <w:rsid w:val="007321BC"/>
    <w:rsid w:val="0073341B"/>
    <w:rsid w:val="00760063"/>
    <w:rsid w:val="007655BA"/>
    <w:rsid w:val="00773E33"/>
    <w:rsid w:val="00775E4B"/>
    <w:rsid w:val="00776E88"/>
    <w:rsid w:val="00776EBB"/>
    <w:rsid w:val="0078570B"/>
    <w:rsid w:val="0079553B"/>
    <w:rsid w:val="00795679"/>
    <w:rsid w:val="007A40FE"/>
    <w:rsid w:val="007E4551"/>
    <w:rsid w:val="00805746"/>
    <w:rsid w:val="00810105"/>
    <w:rsid w:val="008153CE"/>
    <w:rsid w:val="008157E0"/>
    <w:rsid w:val="0082315E"/>
    <w:rsid w:val="0083231E"/>
    <w:rsid w:val="008427A6"/>
    <w:rsid w:val="00846969"/>
    <w:rsid w:val="00850477"/>
    <w:rsid w:val="00854E1D"/>
    <w:rsid w:val="0086123C"/>
    <w:rsid w:val="00887FA6"/>
    <w:rsid w:val="008C4397"/>
    <w:rsid w:val="008C465A"/>
    <w:rsid w:val="008D21A2"/>
    <w:rsid w:val="008E43DF"/>
    <w:rsid w:val="008F2C9B"/>
    <w:rsid w:val="008F7C7F"/>
    <w:rsid w:val="00923CD6"/>
    <w:rsid w:val="00935AA8"/>
    <w:rsid w:val="00953597"/>
    <w:rsid w:val="00971C9A"/>
    <w:rsid w:val="009A3A7C"/>
    <w:rsid w:val="009B4C21"/>
    <w:rsid w:val="009C27FE"/>
    <w:rsid w:val="009D51FA"/>
    <w:rsid w:val="009F1E23"/>
    <w:rsid w:val="00A15179"/>
    <w:rsid w:val="00A43DAF"/>
    <w:rsid w:val="00A51537"/>
    <w:rsid w:val="00A5280F"/>
    <w:rsid w:val="00A5645A"/>
    <w:rsid w:val="00A60FC1"/>
    <w:rsid w:val="00A97C37"/>
    <w:rsid w:val="00AA131B"/>
    <w:rsid w:val="00AA3201"/>
    <w:rsid w:val="00AC37B5"/>
    <w:rsid w:val="00AD4CAE"/>
    <w:rsid w:val="00AD752F"/>
    <w:rsid w:val="00AE24BA"/>
    <w:rsid w:val="00AE5B4B"/>
    <w:rsid w:val="00AF08A4"/>
    <w:rsid w:val="00AF1698"/>
    <w:rsid w:val="00B0352F"/>
    <w:rsid w:val="00B27B41"/>
    <w:rsid w:val="00B42659"/>
    <w:rsid w:val="00B502BA"/>
    <w:rsid w:val="00B53718"/>
    <w:rsid w:val="00B544CF"/>
    <w:rsid w:val="00B8573E"/>
    <w:rsid w:val="00BA49A8"/>
    <w:rsid w:val="00BA68A8"/>
    <w:rsid w:val="00BB24C0"/>
    <w:rsid w:val="00BB4614"/>
    <w:rsid w:val="00BB7E33"/>
    <w:rsid w:val="00BC0F33"/>
    <w:rsid w:val="00BC1B0B"/>
    <w:rsid w:val="00BD6ECF"/>
    <w:rsid w:val="00C26F2E"/>
    <w:rsid w:val="00C302E3"/>
    <w:rsid w:val="00C44A38"/>
    <w:rsid w:val="00C45376"/>
    <w:rsid w:val="00C9028F"/>
    <w:rsid w:val="00C96D81"/>
    <w:rsid w:val="00CA0416"/>
    <w:rsid w:val="00CB1125"/>
    <w:rsid w:val="00CC4214"/>
    <w:rsid w:val="00CD042E"/>
    <w:rsid w:val="00CF2560"/>
    <w:rsid w:val="00CF5B46"/>
    <w:rsid w:val="00D0663C"/>
    <w:rsid w:val="00D07A27"/>
    <w:rsid w:val="00D174C1"/>
    <w:rsid w:val="00D46B68"/>
    <w:rsid w:val="00D542A5"/>
    <w:rsid w:val="00D73164"/>
    <w:rsid w:val="00D82729"/>
    <w:rsid w:val="00DC3D47"/>
    <w:rsid w:val="00DD527C"/>
    <w:rsid w:val="00DD77DA"/>
    <w:rsid w:val="00DF27D8"/>
    <w:rsid w:val="00E06C61"/>
    <w:rsid w:val="00E13DB3"/>
    <w:rsid w:val="00E2408B"/>
    <w:rsid w:val="00E62CEA"/>
    <w:rsid w:val="00E72AE1"/>
    <w:rsid w:val="00ED6A45"/>
    <w:rsid w:val="00ED6A7A"/>
    <w:rsid w:val="00ED6EF5"/>
    <w:rsid w:val="00EE4C36"/>
    <w:rsid w:val="00F121D7"/>
    <w:rsid w:val="00F14291"/>
    <w:rsid w:val="00F346CE"/>
    <w:rsid w:val="00F34F98"/>
    <w:rsid w:val="00F36096"/>
    <w:rsid w:val="00F40540"/>
    <w:rsid w:val="00F40AD0"/>
    <w:rsid w:val="00F67402"/>
    <w:rsid w:val="00F72F8C"/>
    <w:rsid w:val="00F766A2"/>
    <w:rsid w:val="00F9451D"/>
    <w:rsid w:val="00FA63A2"/>
    <w:rsid w:val="00FB6585"/>
    <w:rsid w:val="00FC2A75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50B84"/>
  <w15:docId w15:val="{B0E14A57-435E-49E2-AEE6-49BF71F9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uiPriority w:val="99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64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A538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A3716"/>
    <w:rPr>
      <w:rFonts w:asciiTheme="minorHAnsi" w:hAnsiTheme="minorHAnsi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orkshops-and-Seminars/2023/0214/Pages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ep2030.or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stack.glob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fr/ITU-T/studygroups/2022-2024/05/Pages/default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5C1B-BAB2-4967-85AB-9ED225C9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5408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Maguire, Mairéad</cp:lastModifiedBy>
  <cp:revision>2</cp:revision>
  <cp:lastPrinted>2021-04-21T08:54:00Z</cp:lastPrinted>
  <dcterms:created xsi:type="dcterms:W3CDTF">2023-01-18T16:00:00Z</dcterms:created>
  <dcterms:modified xsi:type="dcterms:W3CDTF">2023-01-18T16:00:00Z</dcterms:modified>
</cp:coreProperties>
</file>