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4" w:type="dxa"/>
        <w:tblInd w:w="8" w:type="dxa"/>
        <w:tblLayout w:type="fixed"/>
        <w:tblCellMar>
          <w:left w:w="0" w:type="dxa"/>
          <w:right w:w="0" w:type="dxa"/>
        </w:tblCellMar>
        <w:tblLook w:val="0000" w:firstRow="0" w:lastRow="0" w:firstColumn="0" w:lastColumn="0" w:noHBand="0" w:noVBand="0"/>
      </w:tblPr>
      <w:tblGrid>
        <w:gridCol w:w="1271"/>
        <w:gridCol w:w="427"/>
        <w:gridCol w:w="3747"/>
        <w:gridCol w:w="4449"/>
      </w:tblGrid>
      <w:tr w:rsidR="00720F32" w14:paraId="44FA18DD" w14:textId="77777777" w:rsidTr="008A6E43">
        <w:trPr>
          <w:cantSplit/>
          <w:trHeight w:val="1325"/>
        </w:trPr>
        <w:tc>
          <w:tcPr>
            <w:tcW w:w="1698" w:type="dxa"/>
            <w:gridSpan w:val="2"/>
          </w:tcPr>
          <w:p w14:paraId="0C5D21FF"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1CA5523" wp14:editId="0A30EE1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47" w:type="dxa"/>
            <w:vAlign w:val="center"/>
          </w:tcPr>
          <w:p w14:paraId="6BEDE7C9"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0E1F40C"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49" w:type="dxa"/>
          </w:tcPr>
          <w:p w14:paraId="175C24BD" w14:textId="77777777" w:rsidR="00720F32" w:rsidRDefault="00720F32" w:rsidP="00720F32">
            <w:pPr>
              <w:tabs>
                <w:tab w:val="clear" w:pos="794"/>
                <w:tab w:val="left" w:pos="559"/>
                <w:tab w:val="left" w:pos="4111"/>
              </w:tabs>
              <w:ind w:left="559" w:hanging="559"/>
              <w:rPr>
                <w:lang w:eastAsia="zh-CN"/>
              </w:rPr>
            </w:pPr>
          </w:p>
        </w:tc>
      </w:tr>
      <w:tr w:rsidR="00720F32" w:rsidRPr="00B21057" w14:paraId="0A42C2D7" w14:textId="77777777" w:rsidTr="008A6E43">
        <w:trPr>
          <w:cantSplit/>
          <w:trHeight w:val="539"/>
        </w:trPr>
        <w:tc>
          <w:tcPr>
            <w:tcW w:w="5445" w:type="dxa"/>
            <w:gridSpan w:val="3"/>
          </w:tcPr>
          <w:p w14:paraId="4998A496" w14:textId="77777777" w:rsidR="00720F32" w:rsidRPr="00B21057" w:rsidRDefault="00720F32" w:rsidP="00956D38">
            <w:pPr>
              <w:tabs>
                <w:tab w:val="left" w:pos="4111"/>
              </w:tabs>
              <w:spacing w:before="0"/>
              <w:rPr>
                <w:b/>
                <w:szCs w:val="24"/>
                <w:lang w:eastAsia="zh-CN"/>
              </w:rPr>
            </w:pPr>
          </w:p>
        </w:tc>
        <w:tc>
          <w:tcPr>
            <w:tcW w:w="4449" w:type="dxa"/>
            <w:vAlign w:val="center"/>
          </w:tcPr>
          <w:p w14:paraId="7FEEE136" w14:textId="727003E9" w:rsidR="00720F32" w:rsidRPr="00B21057" w:rsidRDefault="001A7C97" w:rsidP="00FB35F9">
            <w:pPr>
              <w:tabs>
                <w:tab w:val="clear" w:pos="794"/>
                <w:tab w:val="left" w:pos="559"/>
                <w:tab w:val="left" w:pos="4111"/>
              </w:tabs>
              <w:spacing w:after="120"/>
              <w:ind w:left="561" w:hanging="561"/>
              <w:rPr>
                <w:b/>
                <w:bCs/>
                <w:szCs w:val="24"/>
                <w:lang w:eastAsia="zh-CN"/>
              </w:rPr>
            </w:pPr>
            <w:r w:rsidRPr="00B21057">
              <w:rPr>
                <w:szCs w:val="24"/>
                <w:lang w:eastAsia="zh-CN"/>
              </w:rPr>
              <w:t>2022</w:t>
            </w:r>
            <w:r w:rsidRPr="00B21057">
              <w:rPr>
                <w:szCs w:val="24"/>
                <w:lang w:eastAsia="zh-CN"/>
              </w:rPr>
              <w:t>年</w:t>
            </w:r>
            <w:r w:rsidRPr="00B21057">
              <w:rPr>
                <w:szCs w:val="24"/>
                <w:lang w:eastAsia="zh-CN"/>
              </w:rPr>
              <w:t>12</w:t>
            </w:r>
            <w:r w:rsidRPr="00B21057">
              <w:rPr>
                <w:szCs w:val="24"/>
                <w:lang w:eastAsia="zh-CN"/>
              </w:rPr>
              <w:t>月</w:t>
            </w:r>
            <w:r w:rsidRPr="00B21057">
              <w:rPr>
                <w:szCs w:val="24"/>
                <w:lang w:eastAsia="zh-CN"/>
              </w:rPr>
              <w:t>20</w:t>
            </w:r>
            <w:r w:rsidRPr="00B21057">
              <w:rPr>
                <w:szCs w:val="24"/>
                <w:lang w:eastAsia="zh-CN"/>
              </w:rPr>
              <w:t>日</w:t>
            </w:r>
            <w:r w:rsidR="00720F32" w:rsidRPr="00B21057">
              <w:rPr>
                <w:rFonts w:hint="eastAsia"/>
                <w:szCs w:val="24"/>
                <w:lang w:eastAsia="zh-CN"/>
              </w:rPr>
              <w:t>，日内瓦</w:t>
            </w:r>
          </w:p>
        </w:tc>
      </w:tr>
      <w:tr w:rsidR="00720F32" w:rsidRPr="00B21057" w14:paraId="249E09F1" w14:textId="77777777" w:rsidTr="008A6E43">
        <w:trPr>
          <w:cantSplit/>
          <w:trHeight w:val="570"/>
        </w:trPr>
        <w:tc>
          <w:tcPr>
            <w:tcW w:w="1271" w:type="dxa"/>
          </w:tcPr>
          <w:p w14:paraId="3C1A49DE" w14:textId="5DA1DD14" w:rsidR="00720F32" w:rsidRPr="00E44A6C" w:rsidRDefault="00720F32" w:rsidP="00E44A6C">
            <w:pPr>
              <w:tabs>
                <w:tab w:val="left" w:pos="4111"/>
              </w:tabs>
              <w:spacing w:before="0"/>
              <w:rPr>
                <w:b/>
                <w:bCs/>
                <w:szCs w:val="24"/>
                <w:lang w:eastAsia="zh-CN"/>
              </w:rPr>
            </w:pPr>
            <w:r w:rsidRPr="00B21057">
              <w:rPr>
                <w:rFonts w:hint="eastAsia"/>
                <w:b/>
                <w:bCs/>
                <w:szCs w:val="24"/>
                <w:lang w:eastAsia="zh-CN"/>
              </w:rPr>
              <w:t>文号：</w:t>
            </w:r>
          </w:p>
        </w:tc>
        <w:tc>
          <w:tcPr>
            <w:tcW w:w="4173" w:type="dxa"/>
            <w:gridSpan w:val="2"/>
          </w:tcPr>
          <w:p w14:paraId="6446F3C9" w14:textId="156BA4E7" w:rsidR="00720F32" w:rsidRPr="00B21057" w:rsidRDefault="00720F32" w:rsidP="00720F32">
            <w:pPr>
              <w:tabs>
                <w:tab w:val="left" w:pos="4111"/>
              </w:tabs>
              <w:spacing w:before="0"/>
              <w:rPr>
                <w:b/>
                <w:szCs w:val="24"/>
                <w:lang w:eastAsia="zh-CN"/>
              </w:rPr>
            </w:pPr>
            <w:r w:rsidRPr="00B21057">
              <w:rPr>
                <w:rFonts w:hint="eastAsia"/>
                <w:b/>
                <w:szCs w:val="24"/>
                <w:lang w:eastAsia="zh-CN"/>
              </w:rPr>
              <w:t>电信标准化局第</w:t>
            </w:r>
            <w:r w:rsidR="001A7C97" w:rsidRPr="00B21057">
              <w:rPr>
                <w:b/>
                <w:szCs w:val="24"/>
                <w:lang w:eastAsia="zh-CN"/>
              </w:rPr>
              <w:t>62</w:t>
            </w:r>
            <w:r w:rsidRPr="00B21057">
              <w:rPr>
                <w:rFonts w:hint="eastAsia"/>
                <w:b/>
                <w:szCs w:val="24"/>
                <w:lang w:eastAsia="zh-CN"/>
              </w:rPr>
              <w:t>号通函</w:t>
            </w:r>
          </w:p>
        </w:tc>
        <w:tc>
          <w:tcPr>
            <w:tcW w:w="4449" w:type="dxa"/>
            <w:vMerge w:val="restart"/>
          </w:tcPr>
          <w:p w14:paraId="1103513F" w14:textId="77777777" w:rsidR="00720F32" w:rsidRPr="00B21057" w:rsidRDefault="00720F32" w:rsidP="00CC50C4">
            <w:pPr>
              <w:tabs>
                <w:tab w:val="left" w:pos="4111"/>
              </w:tabs>
              <w:spacing w:before="0"/>
              <w:rPr>
                <w:b/>
                <w:bCs/>
                <w:szCs w:val="24"/>
                <w:lang w:eastAsia="zh-CN"/>
              </w:rPr>
            </w:pPr>
            <w:bookmarkStart w:id="0" w:name="Addressee_E"/>
            <w:bookmarkEnd w:id="0"/>
            <w:r w:rsidRPr="00B21057">
              <w:rPr>
                <w:rFonts w:hint="eastAsia"/>
                <w:b/>
                <w:bCs/>
                <w:szCs w:val="24"/>
                <w:lang w:eastAsia="zh-CN"/>
              </w:rPr>
              <w:t>致：</w:t>
            </w:r>
          </w:p>
          <w:p w14:paraId="622C15D5" w14:textId="77777777" w:rsidR="001A7C97" w:rsidRPr="00B21057" w:rsidRDefault="001A7C97" w:rsidP="001A7C97">
            <w:pPr>
              <w:tabs>
                <w:tab w:val="clear" w:pos="794"/>
                <w:tab w:val="left" w:pos="284"/>
                <w:tab w:val="left" w:pos="4111"/>
              </w:tabs>
              <w:spacing w:before="40" w:after="40"/>
              <w:ind w:left="57"/>
              <w:rPr>
                <w:szCs w:val="24"/>
                <w:lang w:eastAsia="zh-CN"/>
              </w:rPr>
            </w:pPr>
            <w:r w:rsidRPr="00B21057">
              <w:rPr>
                <w:szCs w:val="24"/>
                <w:lang w:eastAsia="zh-CN"/>
              </w:rPr>
              <w:t>-</w:t>
            </w:r>
            <w:r w:rsidRPr="00B21057">
              <w:rPr>
                <w:szCs w:val="24"/>
                <w:lang w:eastAsia="zh-CN"/>
              </w:rPr>
              <w:tab/>
            </w:r>
            <w:r w:rsidRPr="00B21057">
              <w:rPr>
                <w:szCs w:val="24"/>
                <w:lang w:eastAsia="zh-CN"/>
              </w:rPr>
              <w:t>国际电联各成员国主管部门；</w:t>
            </w:r>
          </w:p>
          <w:p w14:paraId="504E6D30" w14:textId="77777777" w:rsidR="001A7C97" w:rsidRPr="00B21057" w:rsidRDefault="001A7C97" w:rsidP="001A7C97">
            <w:pPr>
              <w:tabs>
                <w:tab w:val="clear" w:pos="794"/>
                <w:tab w:val="left" w:pos="284"/>
                <w:tab w:val="left" w:pos="4111"/>
              </w:tabs>
              <w:spacing w:before="40" w:after="40"/>
              <w:ind w:left="57"/>
              <w:rPr>
                <w:szCs w:val="24"/>
                <w:lang w:eastAsia="zh-CN"/>
              </w:rPr>
            </w:pPr>
            <w:r w:rsidRPr="00B21057">
              <w:rPr>
                <w:szCs w:val="24"/>
                <w:lang w:eastAsia="zh-CN"/>
              </w:rPr>
              <w:t>-</w:t>
            </w:r>
            <w:r w:rsidRPr="00B21057">
              <w:rPr>
                <w:szCs w:val="24"/>
                <w:lang w:eastAsia="zh-CN"/>
              </w:rPr>
              <w:tab/>
              <w:t>ITU-T</w:t>
            </w:r>
            <w:r w:rsidRPr="00B21057">
              <w:rPr>
                <w:szCs w:val="24"/>
                <w:lang w:eastAsia="zh-CN"/>
              </w:rPr>
              <w:t>部门成员；</w:t>
            </w:r>
          </w:p>
          <w:p w14:paraId="22519B9C" w14:textId="77777777" w:rsidR="001A7C97" w:rsidRPr="00B21057" w:rsidRDefault="001A7C97" w:rsidP="001A7C97">
            <w:pPr>
              <w:tabs>
                <w:tab w:val="clear" w:pos="794"/>
                <w:tab w:val="clear" w:pos="1191"/>
                <w:tab w:val="clear" w:pos="1588"/>
                <w:tab w:val="clear" w:pos="1985"/>
              </w:tabs>
              <w:spacing w:before="0"/>
              <w:ind w:left="284" w:hanging="284"/>
              <w:rPr>
                <w:szCs w:val="24"/>
                <w:lang w:eastAsia="zh-CN"/>
              </w:rPr>
            </w:pPr>
            <w:r w:rsidRPr="00B21057">
              <w:rPr>
                <w:szCs w:val="24"/>
                <w:lang w:eastAsia="zh-CN"/>
              </w:rPr>
              <w:t>-</w:t>
            </w:r>
            <w:r w:rsidRPr="00B21057">
              <w:rPr>
                <w:szCs w:val="24"/>
                <w:lang w:eastAsia="zh-CN"/>
              </w:rPr>
              <w:tab/>
              <w:t>ITU-T</w:t>
            </w:r>
            <w:r w:rsidRPr="00B21057">
              <w:rPr>
                <w:szCs w:val="24"/>
                <w:lang w:eastAsia="zh-CN"/>
              </w:rPr>
              <w:t>部门准成员；</w:t>
            </w:r>
          </w:p>
          <w:p w14:paraId="787B133D" w14:textId="2BF648BF" w:rsidR="00720F32" w:rsidRPr="00B21057" w:rsidRDefault="001A7C97" w:rsidP="001A7C97">
            <w:pPr>
              <w:tabs>
                <w:tab w:val="clear" w:pos="794"/>
                <w:tab w:val="clear" w:pos="1191"/>
                <w:tab w:val="clear" w:pos="1588"/>
                <w:tab w:val="clear" w:pos="1985"/>
              </w:tabs>
              <w:spacing w:before="0"/>
              <w:ind w:left="284" w:hanging="284"/>
              <w:rPr>
                <w:szCs w:val="24"/>
                <w:lang w:eastAsia="zh-CN"/>
              </w:rPr>
            </w:pPr>
            <w:r w:rsidRPr="00B21057">
              <w:rPr>
                <w:szCs w:val="24"/>
                <w:lang w:eastAsia="zh-CN"/>
              </w:rPr>
              <w:t>-</w:t>
            </w:r>
            <w:r w:rsidRPr="00B21057">
              <w:rPr>
                <w:szCs w:val="24"/>
                <w:lang w:eastAsia="zh-CN"/>
              </w:rPr>
              <w:tab/>
            </w:r>
            <w:r w:rsidRPr="00B21057">
              <w:rPr>
                <w:szCs w:val="24"/>
                <w:lang w:eastAsia="zh-CN"/>
              </w:rPr>
              <w:t>国际电联学术成员</w:t>
            </w:r>
          </w:p>
        </w:tc>
      </w:tr>
      <w:tr w:rsidR="00720F32" w:rsidRPr="00B21057" w14:paraId="701E049C" w14:textId="77777777" w:rsidTr="008A6E43">
        <w:trPr>
          <w:cantSplit/>
          <w:trHeight w:val="385"/>
        </w:trPr>
        <w:tc>
          <w:tcPr>
            <w:tcW w:w="1271" w:type="dxa"/>
          </w:tcPr>
          <w:p w14:paraId="5DF022EA" w14:textId="77777777" w:rsidR="00720F32" w:rsidRPr="00B21057" w:rsidRDefault="00720F32" w:rsidP="00191798">
            <w:pPr>
              <w:spacing w:before="40" w:after="40"/>
              <w:rPr>
                <w:b/>
                <w:bCs/>
                <w:szCs w:val="24"/>
                <w:lang w:eastAsia="zh-CN"/>
              </w:rPr>
            </w:pPr>
            <w:r w:rsidRPr="00B21057">
              <w:rPr>
                <w:rFonts w:hint="eastAsia"/>
                <w:b/>
                <w:bCs/>
                <w:szCs w:val="24"/>
                <w:lang w:eastAsia="zh-CN"/>
              </w:rPr>
              <w:t>电话：</w:t>
            </w:r>
          </w:p>
        </w:tc>
        <w:tc>
          <w:tcPr>
            <w:tcW w:w="4173" w:type="dxa"/>
            <w:gridSpan w:val="2"/>
          </w:tcPr>
          <w:p w14:paraId="607845F8" w14:textId="5398EA34" w:rsidR="00720F32" w:rsidRPr="00B21057" w:rsidRDefault="001A7C97" w:rsidP="00191798">
            <w:pPr>
              <w:tabs>
                <w:tab w:val="left" w:pos="4111"/>
              </w:tabs>
              <w:spacing w:before="40" w:after="40"/>
              <w:rPr>
                <w:szCs w:val="24"/>
                <w:lang w:eastAsia="zh-CN"/>
              </w:rPr>
            </w:pPr>
            <w:r w:rsidRPr="00B21057">
              <w:rPr>
                <w:szCs w:val="24"/>
                <w:lang w:eastAsia="zh-CN"/>
              </w:rPr>
              <w:t>+41 22 730 5356</w:t>
            </w:r>
          </w:p>
        </w:tc>
        <w:tc>
          <w:tcPr>
            <w:tcW w:w="4449" w:type="dxa"/>
            <w:vMerge/>
          </w:tcPr>
          <w:p w14:paraId="01212891" w14:textId="77777777" w:rsidR="00720F32" w:rsidRPr="00B21057" w:rsidRDefault="00720F32" w:rsidP="00956D38">
            <w:pPr>
              <w:tabs>
                <w:tab w:val="left" w:pos="4111"/>
              </w:tabs>
              <w:spacing w:before="0"/>
              <w:rPr>
                <w:b/>
                <w:szCs w:val="24"/>
                <w:lang w:eastAsia="zh-CN"/>
              </w:rPr>
            </w:pPr>
          </w:p>
        </w:tc>
      </w:tr>
      <w:tr w:rsidR="00720F32" w:rsidRPr="00B21057" w14:paraId="7B1870CE" w14:textId="77777777" w:rsidTr="008A6E43">
        <w:trPr>
          <w:cantSplit/>
          <w:trHeight w:val="631"/>
        </w:trPr>
        <w:tc>
          <w:tcPr>
            <w:tcW w:w="1271" w:type="dxa"/>
          </w:tcPr>
          <w:p w14:paraId="4AA3CEE1" w14:textId="77777777" w:rsidR="00720F32" w:rsidRPr="00B21057" w:rsidRDefault="00720F32" w:rsidP="00191798">
            <w:pPr>
              <w:spacing w:before="40" w:after="40"/>
              <w:rPr>
                <w:b/>
                <w:bCs/>
                <w:szCs w:val="24"/>
                <w:lang w:eastAsia="zh-CN"/>
              </w:rPr>
            </w:pPr>
            <w:r w:rsidRPr="00B21057">
              <w:rPr>
                <w:rFonts w:hint="eastAsia"/>
                <w:b/>
                <w:bCs/>
                <w:szCs w:val="24"/>
                <w:lang w:eastAsia="zh-CN"/>
              </w:rPr>
              <w:t>传真：</w:t>
            </w:r>
          </w:p>
        </w:tc>
        <w:tc>
          <w:tcPr>
            <w:tcW w:w="4173" w:type="dxa"/>
            <w:gridSpan w:val="2"/>
          </w:tcPr>
          <w:p w14:paraId="09447D03" w14:textId="77777777" w:rsidR="00720F32" w:rsidRPr="00B21057" w:rsidRDefault="00720F32" w:rsidP="00191798">
            <w:pPr>
              <w:tabs>
                <w:tab w:val="left" w:pos="4111"/>
              </w:tabs>
              <w:spacing w:before="40" w:after="40"/>
              <w:rPr>
                <w:rStyle w:val="Hyperlink"/>
                <w:szCs w:val="24"/>
                <w:lang w:eastAsia="zh-CN"/>
              </w:rPr>
            </w:pPr>
            <w:r w:rsidRPr="00B21057">
              <w:rPr>
                <w:szCs w:val="24"/>
                <w:lang w:eastAsia="zh-CN"/>
              </w:rPr>
              <w:t>+41 22 730 5853</w:t>
            </w:r>
          </w:p>
        </w:tc>
        <w:tc>
          <w:tcPr>
            <w:tcW w:w="4449" w:type="dxa"/>
            <w:vMerge/>
          </w:tcPr>
          <w:p w14:paraId="237C8574" w14:textId="77777777" w:rsidR="00720F32" w:rsidRPr="00B21057" w:rsidRDefault="00720F32" w:rsidP="00956D38">
            <w:pPr>
              <w:tabs>
                <w:tab w:val="left" w:pos="4111"/>
              </w:tabs>
              <w:spacing w:before="0"/>
              <w:rPr>
                <w:b/>
                <w:szCs w:val="24"/>
                <w:lang w:eastAsia="zh-CN"/>
              </w:rPr>
            </w:pPr>
          </w:p>
        </w:tc>
      </w:tr>
      <w:tr w:rsidR="0063445E" w:rsidRPr="00B21057" w14:paraId="60B33E3C" w14:textId="77777777" w:rsidTr="008A6E43">
        <w:trPr>
          <w:cantSplit/>
          <w:trHeight w:val="1340"/>
        </w:trPr>
        <w:tc>
          <w:tcPr>
            <w:tcW w:w="1271" w:type="dxa"/>
          </w:tcPr>
          <w:p w14:paraId="73AC7B7B" w14:textId="77777777" w:rsidR="0063445E" w:rsidRPr="00B21057" w:rsidRDefault="00CC50C4" w:rsidP="00191798">
            <w:pPr>
              <w:spacing w:before="40" w:after="40"/>
              <w:rPr>
                <w:b/>
                <w:bCs/>
                <w:szCs w:val="24"/>
                <w:lang w:eastAsia="zh-CN"/>
              </w:rPr>
            </w:pPr>
            <w:r w:rsidRPr="00B21057">
              <w:rPr>
                <w:rFonts w:ascii="Calibri" w:hAnsi="Calibri" w:hint="eastAsia"/>
                <w:b/>
                <w:szCs w:val="24"/>
                <w:lang w:eastAsia="zh-CN"/>
              </w:rPr>
              <w:t>电子邮件</w:t>
            </w:r>
            <w:r w:rsidR="0063445E" w:rsidRPr="00B21057">
              <w:rPr>
                <w:rFonts w:hint="eastAsia"/>
                <w:b/>
                <w:bCs/>
                <w:szCs w:val="24"/>
                <w:lang w:eastAsia="zh-CN"/>
              </w:rPr>
              <w:t>：</w:t>
            </w:r>
          </w:p>
        </w:tc>
        <w:tc>
          <w:tcPr>
            <w:tcW w:w="4173" w:type="dxa"/>
            <w:gridSpan w:val="2"/>
          </w:tcPr>
          <w:p w14:paraId="3B0A0636" w14:textId="1A1041AF" w:rsidR="00160A43" w:rsidRPr="00B21057" w:rsidRDefault="003B3FED" w:rsidP="00160A43">
            <w:pPr>
              <w:tabs>
                <w:tab w:val="left" w:pos="4111"/>
              </w:tabs>
              <w:spacing w:before="0"/>
              <w:rPr>
                <w:szCs w:val="24"/>
                <w:lang w:eastAsia="zh-CN"/>
              </w:rPr>
            </w:pPr>
            <w:hyperlink r:id="rId7" w:history="1">
              <w:r w:rsidR="001A7C97" w:rsidRPr="00B21057">
                <w:rPr>
                  <w:rStyle w:val="Hyperlink"/>
                  <w:szCs w:val="24"/>
                </w:rPr>
                <w:t>tsbevents@itu.int</w:t>
              </w:r>
            </w:hyperlink>
          </w:p>
          <w:p w14:paraId="0A9D0815" w14:textId="77777777" w:rsidR="007568DA" w:rsidRPr="00B21057" w:rsidRDefault="007568DA" w:rsidP="005C26FD">
            <w:pPr>
              <w:tabs>
                <w:tab w:val="left" w:pos="4111"/>
              </w:tabs>
              <w:spacing w:before="40"/>
              <w:rPr>
                <w:szCs w:val="24"/>
                <w:lang w:eastAsia="zh-CN"/>
              </w:rPr>
            </w:pPr>
          </w:p>
        </w:tc>
        <w:tc>
          <w:tcPr>
            <w:tcW w:w="4449" w:type="dxa"/>
          </w:tcPr>
          <w:p w14:paraId="454BC587" w14:textId="77777777" w:rsidR="0063445E" w:rsidRPr="00B21057" w:rsidRDefault="0063445E" w:rsidP="00956D38">
            <w:pPr>
              <w:tabs>
                <w:tab w:val="left" w:pos="4111"/>
              </w:tabs>
              <w:spacing w:before="0"/>
              <w:rPr>
                <w:b/>
                <w:szCs w:val="24"/>
                <w:lang w:eastAsia="zh-CN"/>
              </w:rPr>
            </w:pPr>
            <w:r w:rsidRPr="00B21057">
              <w:rPr>
                <w:rFonts w:hint="eastAsia"/>
                <w:b/>
                <w:szCs w:val="24"/>
                <w:lang w:eastAsia="zh-CN"/>
              </w:rPr>
              <w:t>抄送：</w:t>
            </w:r>
          </w:p>
          <w:p w14:paraId="44CBA3EE" w14:textId="77777777" w:rsidR="001A7C97" w:rsidRPr="00B21057" w:rsidRDefault="001A7C97" w:rsidP="001A7C97">
            <w:pPr>
              <w:tabs>
                <w:tab w:val="clear" w:pos="794"/>
                <w:tab w:val="left" w:pos="284"/>
                <w:tab w:val="left" w:pos="4111"/>
              </w:tabs>
              <w:spacing w:before="40" w:after="40"/>
              <w:ind w:left="61"/>
              <w:rPr>
                <w:b/>
                <w:bCs/>
                <w:szCs w:val="24"/>
                <w:lang w:eastAsia="zh-CN"/>
              </w:rPr>
            </w:pPr>
            <w:r w:rsidRPr="00B21057">
              <w:rPr>
                <w:szCs w:val="24"/>
                <w:lang w:eastAsia="zh-CN"/>
              </w:rPr>
              <w:t>-</w:t>
            </w:r>
            <w:r w:rsidRPr="00B21057">
              <w:rPr>
                <w:szCs w:val="24"/>
                <w:lang w:eastAsia="zh-CN"/>
              </w:rPr>
              <w:tab/>
            </w:r>
            <w:r w:rsidRPr="00B21057">
              <w:rPr>
                <w:szCs w:val="24"/>
                <w:lang w:eastAsia="zh-CN"/>
              </w:rPr>
              <w:t>各</w:t>
            </w:r>
            <w:proofErr w:type="gramStart"/>
            <w:r w:rsidRPr="00B21057">
              <w:rPr>
                <w:szCs w:val="24"/>
                <w:lang w:eastAsia="zh-CN"/>
              </w:rPr>
              <w:t>研究组正副主席</w:t>
            </w:r>
            <w:proofErr w:type="gramEnd"/>
            <w:r w:rsidRPr="00B21057">
              <w:rPr>
                <w:szCs w:val="24"/>
                <w:lang w:eastAsia="zh-CN"/>
              </w:rPr>
              <w:t>；</w:t>
            </w:r>
          </w:p>
          <w:p w14:paraId="535CC710" w14:textId="77777777" w:rsidR="001A7C97" w:rsidRPr="00B21057" w:rsidRDefault="001A7C97" w:rsidP="001A7C97">
            <w:pPr>
              <w:tabs>
                <w:tab w:val="clear" w:pos="794"/>
                <w:tab w:val="left" w:pos="284"/>
                <w:tab w:val="left" w:pos="4111"/>
              </w:tabs>
              <w:spacing w:before="40" w:after="40"/>
              <w:ind w:left="57"/>
              <w:rPr>
                <w:szCs w:val="24"/>
                <w:lang w:eastAsia="zh-CN"/>
              </w:rPr>
            </w:pPr>
            <w:r w:rsidRPr="00B21057">
              <w:rPr>
                <w:szCs w:val="24"/>
                <w:lang w:eastAsia="zh-CN"/>
              </w:rPr>
              <w:t>-</w:t>
            </w:r>
            <w:r w:rsidRPr="00B21057">
              <w:rPr>
                <w:szCs w:val="24"/>
                <w:lang w:eastAsia="zh-CN"/>
              </w:rPr>
              <w:tab/>
            </w:r>
            <w:r w:rsidRPr="00B21057">
              <w:rPr>
                <w:szCs w:val="24"/>
                <w:lang w:eastAsia="zh-CN"/>
              </w:rPr>
              <w:t>电信发展局主任；</w:t>
            </w:r>
          </w:p>
          <w:p w14:paraId="16DE1408" w14:textId="4ECABB04" w:rsidR="0063445E" w:rsidRPr="00B21057" w:rsidRDefault="001A7C97" w:rsidP="001A7C97">
            <w:pPr>
              <w:tabs>
                <w:tab w:val="clear" w:pos="794"/>
                <w:tab w:val="left" w:pos="284"/>
                <w:tab w:val="left" w:pos="4111"/>
              </w:tabs>
              <w:spacing w:before="40" w:after="40"/>
              <w:ind w:left="57"/>
              <w:rPr>
                <w:szCs w:val="24"/>
                <w:lang w:eastAsia="zh-CN"/>
              </w:rPr>
            </w:pPr>
            <w:r w:rsidRPr="00B21057">
              <w:rPr>
                <w:szCs w:val="24"/>
                <w:lang w:eastAsia="zh-CN"/>
              </w:rPr>
              <w:t>-</w:t>
            </w:r>
            <w:r w:rsidRPr="00B21057">
              <w:rPr>
                <w:szCs w:val="24"/>
                <w:lang w:eastAsia="zh-CN"/>
              </w:rPr>
              <w:tab/>
            </w:r>
            <w:r w:rsidRPr="00B21057">
              <w:rPr>
                <w:szCs w:val="24"/>
                <w:lang w:eastAsia="zh-CN"/>
              </w:rPr>
              <w:t>无线电通信局主任</w:t>
            </w:r>
          </w:p>
        </w:tc>
      </w:tr>
      <w:tr w:rsidR="00720F32" w:rsidRPr="00B21057" w14:paraId="238EA540" w14:textId="77777777" w:rsidTr="008A6E43">
        <w:trPr>
          <w:cantSplit/>
          <w:trHeight w:val="832"/>
        </w:trPr>
        <w:tc>
          <w:tcPr>
            <w:tcW w:w="1271" w:type="dxa"/>
          </w:tcPr>
          <w:p w14:paraId="57678100" w14:textId="77777777" w:rsidR="00720F32" w:rsidRPr="00B21057" w:rsidRDefault="00720F32" w:rsidP="00191798">
            <w:pPr>
              <w:spacing w:before="40" w:after="40"/>
              <w:rPr>
                <w:b/>
                <w:bCs/>
                <w:szCs w:val="24"/>
                <w:lang w:eastAsia="zh-CN"/>
              </w:rPr>
            </w:pPr>
            <w:r w:rsidRPr="00B21057">
              <w:rPr>
                <w:rFonts w:hint="eastAsia"/>
                <w:b/>
                <w:bCs/>
                <w:szCs w:val="24"/>
                <w:lang w:eastAsia="zh-CN"/>
              </w:rPr>
              <w:t>事由：</w:t>
            </w:r>
          </w:p>
        </w:tc>
        <w:tc>
          <w:tcPr>
            <w:tcW w:w="8623" w:type="dxa"/>
            <w:gridSpan w:val="3"/>
          </w:tcPr>
          <w:p w14:paraId="71D53FE1" w14:textId="00DF667E" w:rsidR="001A7C97" w:rsidRPr="00B21057" w:rsidRDefault="001A7C97" w:rsidP="008A6E43">
            <w:pPr>
              <w:tabs>
                <w:tab w:val="left" w:pos="4111"/>
              </w:tabs>
              <w:spacing w:before="0" w:after="120"/>
              <w:ind w:left="57"/>
              <w:rPr>
                <w:b/>
                <w:bCs/>
                <w:szCs w:val="24"/>
                <w:lang w:eastAsia="zh-CN"/>
              </w:rPr>
            </w:pPr>
            <w:r w:rsidRPr="00B21057">
              <w:rPr>
                <w:rFonts w:hint="eastAsia"/>
                <w:b/>
                <w:bCs/>
                <w:szCs w:val="24"/>
                <w:lang w:eastAsia="zh-CN"/>
              </w:rPr>
              <w:t>国际电联关于</w:t>
            </w:r>
            <w:r w:rsidR="00E44A6C">
              <w:rPr>
                <w:rFonts w:hint="eastAsia"/>
                <w:b/>
                <w:bCs/>
                <w:szCs w:val="24"/>
                <w:lang w:eastAsia="zh-CN"/>
              </w:rPr>
              <w:t>“</w:t>
            </w:r>
            <w:r w:rsidRPr="00B21057">
              <w:rPr>
                <w:rFonts w:hint="eastAsia"/>
                <w:b/>
                <w:bCs/>
                <w:szCs w:val="24"/>
                <w:lang w:eastAsia="zh-CN"/>
              </w:rPr>
              <w:t>加速信通技术的循环和</w:t>
            </w:r>
            <w:proofErr w:type="gramStart"/>
            <w:r w:rsidRPr="00B21057">
              <w:rPr>
                <w:rFonts w:hint="eastAsia"/>
                <w:b/>
                <w:bCs/>
                <w:szCs w:val="24"/>
                <w:lang w:eastAsia="zh-CN"/>
              </w:rPr>
              <w:t>可</w:t>
            </w:r>
            <w:proofErr w:type="gramEnd"/>
            <w:r w:rsidRPr="00B21057">
              <w:rPr>
                <w:rFonts w:hint="eastAsia"/>
                <w:b/>
                <w:bCs/>
                <w:szCs w:val="24"/>
                <w:lang w:eastAsia="zh-CN"/>
              </w:rPr>
              <w:t>持续公共采购</w:t>
            </w:r>
            <w:r w:rsidR="00E44A6C">
              <w:rPr>
                <w:rFonts w:hint="eastAsia"/>
                <w:b/>
                <w:bCs/>
                <w:szCs w:val="24"/>
                <w:lang w:eastAsia="zh-CN"/>
              </w:rPr>
              <w:t>”</w:t>
            </w:r>
            <w:r w:rsidRPr="00B21057">
              <w:rPr>
                <w:rFonts w:hint="eastAsia"/>
                <w:b/>
                <w:bCs/>
                <w:szCs w:val="24"/>
                <w:lang w:eastAsia="zh-CN"/>
              </w:rPr>
              <w:t>的讲习班</w:t>
            </w:r>
          </w:p>
          <w:p w14:paraId="38CCCAD8" w14:textId="1D0087C3" w:rsidR="00720F32" w:rsidRPr="00B21057" w:rsidRDefault="001A7C97" w:rsidP="00B21057">
            <w:pPr>
              <w:tabs>
                <w:tab w:val="left" w:pos="4111"/>
              </w:tabs>
              <w:spacing w:before="0"/>
              <w:rPr>
                <w:b/>
                <w:szCs w:val="24"/>
                <w:lang w:eastAsia="zh-CN"/>
              </w:rPr>
            </w:pPr>
            <w:r w:rsidRPr="00B21057">
              <w:rPr>
                <w:rFonts w:cstheme="majorBidi"/>
                <w:b/>
                <w:szCs w:val="24"/>
                <w:lang w:eastAsia="zh-CN"/>
              </w:rPr>
              <w:t>（</w:t>
            </w:r>
            <w:r w:rsidRPr="00B21057">
              <w:rPr>
                <w:rFonts w:cstheme="majorBidi"/>
                <w:b/>
                <w:szCs w:val="24"/>
                <w:lang w:eastAsia="zh-CN"/>
              </w:rPr>
              <w:t>2023</w:t>
            </w:r>
            <w:r w:rsidRPr="00B21057">
              <w:rPr>
                <w:rFonts w:cstheme="majorBidi"/>
                <w:b/>
                <w:szCs w:val="24"/>
                <w:lang w:eastAsia="zh-CN"/>
              </w:rPr>
              <w:t>年</w:t>
            </w:r>
            <w:r w:rsidRPr="00B21057">
              <w:rPr>
                <w:rFonts w:cstheme="majorBidi"/>
                <w:b/>
                <w:szCs w:val="24"/>
                <w:lang w:eastAsia="zh-CN"/>
              </w:rPr>
              <w:t>2</w:t>
            </w:r>
            <w:r w:rsidRPr="00B21057">
              <w:rPr>
                <w:rFonts w:cstheme="majorBidi"/>
                <w:b/>
                <w:szCs w:val="24"/>
                <w:lang w:eastAsia="zh-CN"/>
              </w:rPr>
              <w:t>月</w:t>
            </w:r>
            <w:r w:rsidRPr="00B21057">
              <w:rPr>
                <w:rFonts w:cstheme="majorBidi"/>
                <w:b/>
                <w:szCs w:val="24"/>
                <w:lang w:eastAsia="zh-CN"/>
              </w:rPr>
              <w:t>14</w:t>
            </w:r>
            <w:r w:rsidRPr="00B21057">
              <w:rPr>
                <w:rFonts w:cstheme="majorBidi"/>
                <w:b/>
                <w:szCs w:val="24"/>
                <w:lang w:eastAsia="zh-CN"/>
              </w:rPr>
              <w:t>日，</w:t>
            </w:r>
            <w:r w:rsidRPr="00B21057">
              <w:rPr>
                <w:rFonts w:cstheme="majorBidi" w:hint="eastAsia"/>
                <w:b/>
                <w:szCs w:val="24"/>
                <w:lang w:eastAsia="zh-CN"/>
              </w:rPr>
              <w:t>全虚拟会议</w:t>
            </w:r>
            <w:r w:rsidRPr="00B21057">
              <w:rPr>
                <w:rFonts w:cstheme="majorBidi"/>
                <w:b/>
                <w:szCs w:val="24"/>
                <w:lang w:eastAsia="zh-CN"/>
              </w:rPr>
              <w:t>）</w:t>
            </w:r>
          </w:p>
        </w:tc>
      </w:tr>
    </w:tbl>
    <w:p w14:paraId="18D16BF1" w14:textId="77777777" w:rsidR="0063445E" w:rsidRPr="00B21057" w:rsidRDefault="0063445E" w:rsidP="0063445E">
      <w:pPr>
        <w:rPr>
          <w:szCs w:val="24"/>
          <w:lang w:eastAsia="zh-CN"/>
        </w:rPr>
      </w:pPr>
      <w:bookmarkStart w:id="1" w:name="StartTyping_E"/>
      <w:bookmarkEnd w:id="1"/>
      <w:r w:rsidRPr="00B21057">
        <w:rPr>
          <w:rFonts w:hint="eastAsia"/>
          <w:szCs w:val="24"/>
          <w:lang w:eastAsia="zh-CN"/>
        </w:rPr>
        <w:t>尊敬的先生</w:t>
      </w:r>
      <w:r w:rsidRPr="00B21057">
        <w:rPr>
          <w:rFonts w:hint="eastAsia"/>
          <w:szCs w:val="24"/>
          <w:lang w:eastAsia="zh-CN"/>
        </w:rPr>
        <w:t>/</w:t>
      </w:r>
      <w:r w:rsidRPr="00B21057">
        <w:rPr>
          <w:rFonts w:hint="eastAsia"/>
          <w:szCs w:val="24"/>
          <w:lang w:eastAsia="zh-CN"/>
        </w:rPr>
        <w:t>女士：</w:t>
      </w:r>
    </w:p>
    <w:p w14:paraId="73BFAC60" w14:textId="24F73675" w:rsidR="001A7C97" w:rsidRPr="00B21057" w:rsidRDefault="001A7C97" w:rsidP="001A7C97">
      <w:pPr>
        <w:spacing w:before="240"/>
        <w:rPr>
          <w:szCs w:val="24"/>
          <w:lang w:eastAsia="zh-CN"/>
        </w:rPr>
      </w:pPr>
      <w:r w:rsidRPr="00B21057">
        <w:rPr>
          <w:szCs w:val="24"/>
          <w:lang w:eastAsia="zh-CN"/>
        </w:rPr>
        <w:t>1</w:t>
      </w:r>
      <w:r w:rsidRPr="00B21057">
        <w:rPr>
          <w:szCs w:val="24"/>
          <w:lang w:eastAsia="zh-CN"/>
        </w:rPr>
        <w:tab/>
      </w:r>
      <w:r w:rsidRPr="00B21057">
        <w:rPr>
          <w:rFonts w:hint="eastAsia"/>
          <w:szCs w:val="24"/>
          <w:lang w:eastAsia="zh-CN"/>
        </w:rPr>
        <w:t>国际电信联盟（</w:t>
      </w:r>
      <w:r w:rsidRPr="00B21057">
        <w:rPr>
          <w:rFonts w:hint="eastAsia"/>
          <w:szCs w:val="24"/>
          <w:lang w:eastAsia="zh-CN"/>
        </w:rPr>
        <w:t>ITU</w:t>
      </w:r>
      <w:r w:rsidRPr="00B21057">
        <w:rPr>
          <w:rFonts w:hint="eastAsia"/>
          <w:szCs w:val="24"/>
          <w:lang w:eastAsia="zh-CN"/>
        </w:rPr>
        <w:t>）与</w:t>
      </w:r>
      <w:proofErr w:type="spellStart"/>
      <w:r w:rsidRPr="00B21057">
        <w:rPr>
          <w:rFonts w:hint="eastAsia"/>
          <w:szCs w:val="24"/>
          <w:lang w:eastAsia="zh-CN"/>
        </w:rPr>
        <w:t>GovStack</w:t>
      </w:r>
      <w:proofErr w:type="spellEnd"/>
      <w:r w:rsidRPr="00B21057">
        <w:rPr>
          <w:rFonts w:hint="eastAsia"/>
          <w:szCs w:val="24"/>
          <w:lang w:eastAsia="zh-CN"/>
        </w:rPr>
        <w:t>（</w:t>
      </w:r>
      <w:r w:rsidRPr="00B21057">
        <w:rPr>
          <w:rFonts w:hint="eastAsia"/>
          <w:szCs w:val="24"/>
          <w:lang w:eastAsia="zh-CN"/>
        </w:rPr>
        <w:t>ITU</w:t>
      </w:r>
      <w:r w:rsidRPr="00B21057">
        <w:rPr>
          <w:rFonts w:hint="eastAsia"/>
          <w:szCs w:val="24"/>
          <w:lang w:eastAsia="zh-CN"/>
        </w:rPr>
        <w:t>、德国、爱沙尼亚、</w:t>
      </w:r>
      <w:proofErr w:type="spellStart"/>
      <w:r w:rsidRPr="00B21057">
        <w:rPr>
          <w:rFonts w:hint="eastAsia"/>
          <w:szCs w:val="24"/>
          <w:lang w:eastAsia="zh-CN"/>
        </w:rPr>
        <w:t>GiZ</w:t>
      </w:r>
      <w:proofErr w:type="spellEnd"/>
      <w:r w:rsidRPr="00B21057">
        <w:rPr>
          <w:rFonts w:hint="eastAsia"/>
          <w:szCs w:val="24"/>
          <w:lang w:eastAsia="zh-CN"/>
        </w:rPr>
        <w:t>和数字影响联盟的倡议）以及循环电子伙伴关系和全球电子理事会合作，正在组织一个关于</w:t>
      </w:r>
      <w:r w:rsidR="00E44A6C">
        <w:rPr>
          <w:rFonts w:hint="eastAsia"/>
          <w:szCs w:val="24"/>
          <w:lang w:eastAsia="zh-CN"/>
        </w:rPr>
        <w:t>“</w:t>
      </w:r>
      <w:r w:rsidRPr="00B21057">
        <w:rPr>
          <w:rFonts w:hint="eastAsia"/>
          <w:b/>
          <w:bCs/>
          <w:szCs w:val="24"/>
          <w:lang w:eastAsia="zh-CN"/>
        </w:rPr>
        <w:t>加速信通技术的循环和</w:t>
      </w:r>
      <w:proofErr w:type="gramStart"/>
      <w:r w:rsidRPr="00B21057">
        <w:rPr>
          <w:rFonts w:hint="eastAsia"/>
          <w:b/>
          <w:bCs/>
          <w:szCs w:val="24"/>
          <w:lang w:eastAsia="zh-CN"/>
        </w:rPr>
        <w:t>可</w:t>
      </w:r>
      <w:proofErr w:type="gramEnd"/>
      <w:r w:rsidRPr="00B21057">
        <w:rPr>
          <w:rFonts w:hint="eastAsia"/>
          <w:b/>
          <w:bCs/>
          <w:szCs w:val="24"/>
          <w:lang w:eastAsia="zh-CN"/>
        </w:rPr>
        <w:t>持续公共采购</w:t>
      </w:r>
      <w:r w:rsidR="00E44A6C">
        <w:rPr>
          <w:rFonts w:hint="eastAsia"/>
          <w:szCs w:val="24"/>
          <w:lang w:eastAsia="zh-CN"/>
        </w:rPr>
        <w:t>”</w:t>
      </w:r>
      <w:r w:rsidRPr="00B21057">
        <w:rPr>
          <w:rFonts w:hint="eastAsia"/>
          <w:szCs w:val="24"/>
          <w:lang w:eastAsia="zh-CN"/>
        </w:rPr>
        <w:t>的讲习班，将于</w:t>
      </w:r>
      <w:r w:rsidRPr="00B21057">
        <w:rPr>
          <w:rFonts w:hint="eastAsia"/>
          <w:b/>
          <w:bCs/>
          <w:szCs w:val="24"/>
          <w:lang w:eastAsia="zh-CN"/>
        </w:rPr>
        <w:t>欧洲中部时间</w:t>
      </w:r>
      <w:r w:rsidRPr="00B21057">
        <w:rPr>
          <w:rFonts w:hint="eastAsia"/>
          <w:b/>
          <w:bCs/>
          <w:szCs w:val="24"/>
          <w:lang w:eastAsia="zh-CN"/>
        </w:rPr>
        <w:t>2023</w:t>
      </w:r>
      <w:r w:rsidRPr="00B21057">
        <w:rPr>
          <w:rFonts w:hint="eastAsia"/>
          <w:b/>
          <w:bCs/>
          <w:szCs w:val="24"/>
          <w:lang w:eastAsia="zh-CN"/>
        </w:rPr>
        <w:t>年</w:t>
      </w:r>
      <w:r w:rsidRPr="00B21057">
        <w:rPr>
          <w:rFonts w:hint="eastAsia"/>
          <w:b/>
          <w:bCs/>
          <w:szCs w:val="24"/>
          <w:lang w:eastAsia="zh-CN"/>
        </w:rPr>
        <w:t>2</w:t>
      </w:r>
      <w:r w:rsidRPr="00B21057">
        <w:rPr>
          <w:rFonts w:hint="eastAsia"/>
          <w:b/>
          <w:bCs/>
          <w:szCs w:val="24"/>
          <w:lang w:eastAsia="zh-CN"/>
        </w:rPr>
        <w:t>月</w:t>
      </w:r>
      <w:r w:rsidRPr="00B21057">
        <w:rPr>
          <w:rFonts w:hint="eastAsia"/>
          <w:b/>
          <w:bCs/>
          <w:szCs w:val="24"/>
          <w:lang w:eastAsia="zh-CN"/>
        </w:rPr>
        <w:t>14</w:t>
      </w:r>
      <w:r w:rsidRPr="00B21057">
        <w:rPr>
          <w:rFonts w:hint="eastAsia"/>
          <w:b/>
          <w:bCs/>
          <w:szCs w:val="24"/>
          <w:lang w:eastAsia="zh-CN"/>
        </w:rPr>
        <w:t>日</w:t>
      </w:r>
      <w:r w:rsidRPr="00B21057">
        <w:rPr>
          <w:rFonts w:hint="eastAsia"/>
          <w:b/>
          <w:bCs/>
          <w:szCs w:val="24"/>
          <w:lang w:eastAsia="zh-CN"/>
        </w:rPr>
        <w:t>13</w:t>
      </w:r>
      <w:r w:rsidRPr="00B21057">
        <w:rPr>
          <w:rFonts w:hint="eastAsia"/>
          <w:b/>
          <w:bCs/>
          <w:szCs w:val="24"/>
          <w:lang w:eastAsia="zh-CN"/>
        </w:rPr>
        <w:t>时至</w:t>
      </w:r>
      <w:r w:rsidRPr="00B21057">
        <w:rPr>
          <w:rFonts w:hint="eastAsia"/>
          <w:b/>
          <w:bCs/>
          <w:szCs w:val="24"/>
          <w:lang w:eastAsia="zh-CN"/>
        </w:rPr>
        <w:t>16</w:t>
      </w:r>
      <w:r w:rsidRPr="00B21057">
        <w:rPr>
          <w:rFonts w:hint="eastAsia"/>
          <w:b/>
          <w:bCs/>
          <w:szCs w:val="24"/>
          <w:lang w:eastAsia="zh-CN"/>
        </w:rPr>
        <w:t>时</w:t>
      </w:r>
      <w:r w:rsidRPr="00B21057">
        <w:rPr>
          <w:rFonts w:hint="eastAsia"/>
          <w:szCs w:val="24"/>
          <w:lang w:eastAsia="zh-CN"/>
        </w:rPr>
        <w:t>以虚拟会议形式举行。</w:t>
      </w:r>
    </w:p>
    <w:p w14:paraId="1B44CE4C" w14:textId="77777777" w:rsidR="001A7C97" w:rsidRPr="00B21057" w:rsidRDefault="001A7C97" w:rsidP="001A7C97">
      <w:pPr>
        <w:rPr>
          <w:rFonts w:cstheme="majorBidi"/>
          <w:szCs w:val="24"/>
          <w:lang w:eastAsia="zh-CN"/>
        </w:rPr>
      </w:pPr>
      <w:r w:rsidRPr="00B21057">
        <w:rPr>
          <w:rFonts w:cstheme="majorBidi"/>
          <w:bCs/>
          <w:szCs w:val="24"/>
          <w:lang w:eastAsia="zh-CN"/>
        </w:rPr>
        <w:t>2</w:t>
      </w:r>
      <w:r w:rsidRPr="00B21057">
        <w:rPr>
          <w:rFonts w:cstheme="majorBidi"/>
          <w:szCs w:val="24"/>
          <w:lang w:eastAsia="zh-CN"/>
        </w:rPr>
        <w:tab/>
      </w:r>
      <w:r w:rsidRPr="00B21057">
        <w:rPr>
          <w:rFonts w:cstheme="majorBidi" w:hint="eastAsia"/>
          <w:szCs w:val="24"/>
          <w:lang w:eastAsia="zh-CN"/>
        </w:rPr>
        <w:t>循环和可持续采购是各组织可以用来塑造向可持续社会过渡的有力工具。政府和其他公共组织可以通过应用循环经济原则和标准来购买产品和服务，在塑造当地循环和可持续经济方面发挥重要作用。循环和可持续采购需要更广泛的实践，以超越概念，开启行动，促成转型，实现循环经济的惠益</w:t>
      </w:r>
      <w:r w:rsidRPr="00B21057">
        <w:rPr>
          <w:rFonts w:cstheme="majorBidi"/>
          <w:szCs w:val="24"/>
          <w:lang w:eastAsia="zh-CN"/>
        </w:rPr>
        <w:t>。</w:t>
      </w:r>
    </w:p>
    <w:p w14:paraId="39AAF0FB" w14:textId="77777777" w:rsidR="001A7C97" w:rsidRPr="00B21057" w:rsidRDefault="001A7C97" w:rsidP="001A7C97">
      <w:pPr>
        <w:rPr>
          <w:rFonts w:cstheme="majorBidi"/>
          <w:szCs w:val="24"/>
          <w:lang w:eastAsia="zh-CN"/>
        </w:rPr>
      </w:pPr>
      <w:r w:rsidRPr="00B21057">
        <w:rPr>
          <w:rFonts w:cstheme="majorBidi"/>
          <w:bCs/>
          <w:szCs w:val="24"/>
          <w:lang w:eastAsia="zh-CN"/>
        </w:rPr>
        <w:t>3</w:t>
      </w:r>
      <w:r w:rsidRPr="00B21057">
        <w:rPr>
          <w:rFonts w:cstheme="majorBidi"/>
          <w:szCs w:val="24"/>
          <w:lang w:eastAsia="zh-CN"/>
        </w:rPr>
        <w:tab/>
      </w:r>
      <w:r w:rsidRPr="00B21057">
        <w:rPr>
          <w:rFonts w:hint="eastAsia"/>
          <w:szCs w:val="24"/>
          <w:lang w:eastAsia="zh-CN"/>
        </w:rPr>
        <w:t>为了支持政府和公共部门，国际电联制定了一个关于</w:t>
      </w:r>
      <w:r w:rsidRPr="00B21057">
        <w:rPr>
          <w:rFonts w:ascii="STKaiti" w:eastAsia="STKaiti" w:hAnsi="STKaiti" w:hint="eastAsia"/>
          <w:szCs w:val="24"/>
          <w:lang w:eastAsia="zh-CN"/>
        </w:rPr>
        <w:t>信通技术公共采购用以减轻电子废物的不利影响</w:t>
      </w:r>
      <w:r w:rsidRPr="00B21057">
        <w:rPr>
          <w:rFonts w:hint="eastAsia"/>
          <w:szCs w:val="24"/>
          <w:lang w:eastAsia="zh-CN"/>
        </w:rPr>
        <w:t>的国际标准，以及一个关于</w:t>
      </w:r>
      <w:r w:rsidRPr="00B21057">
        <w:rPr>
          <w:rFonts w:ascii="STKaiti" w:eastAsia="STKaiti" w:hAnsi="STKaiti" w:hint="eastAsia"/>
          <w:szCs w:val="24"/>
          <w:lang w:eastAsia="zh-CN"/>
        </w:rPr>
        <w:t>信通技术循环和可持续公共采购</w:t>
      </w:r>
      <w:r w:rsidRPr="00B21057">
        <w:rPr>
          <w:rFonts w:hint="eastAsia"/>
          <w:szCs w:val="24"/>
          <w:lang w:eastAsia="zh-CN"/>
        </w:rPr>
        <w:t>的准则</w:t>
      </w:r>
      <w:r w:rsidRPr="00B21057">
        <w:rPr>
          <w:szCs w:val="24"/>
          <w:lang w:eastAsia="zh-CN"/>
        </w:rPr>
        <w:t>。</w:t>
      </w:r>
    </w:p>
    <w:p w14:paraId="6DEBAFF0" w14:textId="0D6A0E70" w:rsidR="001A7C97" w:rsidRPr="00B21057" w:rsidRDefault="001A7C97" w:rsidP="001A7C97">
      <w:pPr>
        <w:rPr>
          <w:rFonts w:cstheme="majorBidi"/>
          <w:szCs w:val="24"/>
          <w:lang w:eastAsia="zh-CN"/>
        </w:rPr>
      </w:pPr>
      <w:r w:rsidRPr="00B21057">
        <w:rPr>
          <w:szCs w:val="24"/>
          <w:lang w:eastAsia="zh-CN"/>
        </w:rPr>
        <w:t>4</w:t>
      </w:r>
      <w:r w:rsidRPr="00B21057">
        <w:rPr>
          <w:rFonts w:cstheme="majorBidi"/>
          <w:szCs w:val="24"/>
          <w:lang w:eastAsia="zh-CN"/>
        </w:rPr>
        <w:tab/>
      </w:r>
      <w:r w:rsidRPr="00B21057">
        <w:rPr>
          <w:rFonts w:cstheme="majorBidi" w:hint="eastAsia"/>
          <w:szCs w:val="24"/>
          <w:lang w:eastAsia="zh-CN"/>
        </w:rPr>
        <w:t>该标准由</w:t>
      </w:r>
      <w:r w:rsidRPr="00B21057">
        <w:rPr>
          <w:rFonts w:cstheme="majorBidi"/>
          <w:szCs w:val="24"/>
          <w:lang w:eastAsia="zh-CN"/>
        </w:rPr>
        <w:fldChar w:fldCharType="begin"/>
      </w:r>
      <w:r w:rsidRPr="00B21057">
        <w:rPr>
          <w:rFonts w:cstheme="majorBidi"/>
          <w:szCs w:val="24"/>
          <w:lang w:eastAsia="zh-CN"/>
        </w:rPr>
        <w:instrText xml:space="preserve"> </w:instrText>
      </w:r>
      <w:r w:rsidRPr="00B21057">
        <w:rPr>
          <w:rFonts w:cstheme="majorBidi" w:hint="eastAsia"/>
          <w:szCs w:val="24"/>
          <w:lang w:eastAsia="zh-CN"/>
        </w:rPr>
        <w:instrText>HYPERLINK "https://www.itu.int/en/ITU-T/studygroups/2022-2024/05/Pages/default.aspx"</w:instrText>
      </w:r>
      <w:r w:rsidRPr="00B21057">
        <w:rPr>
          <w:rFonts w:cstheme="majorBidi"/>
          <w:szCs w:val="24"/>
          <w:lang w:eastAsia="zh-CN"/>
        </w:rPr>
        <w:instrText xml:space="preserve"> </w:instrText>
      </w:r>
      <w:r w:rsidRPr="00B21057">
        <w:rPr>
          <w:rFonts w:cstheme="majorBidi"/>
          <w:szCs w:val="24"/>
          <w:lang w:eastAsia="zh-CN"/>
        </w:rPr>
      </w:r>
      <w:r w:rsidRPr="00B21057">
        <w:rPr>
          <w:rFonts w:cstheme="majorBidi"/>
          <w:szCs w:val="24"/>
          <w:lang w:eastAsia="zh-CN"/>
        </w:rPr>
        <w:fldChar w:fldCharType="separate"/>
      </w:r>
      <w:r w:rsidRPr="00B21057">
        <w:rPr>
          <w:rStyle w:val="Hyperlink"/>
          <w:rFonts w:cstheme="majorBidi" w:hint="eastAsia"/>
          <w:szCs w:val="24"/>
          <w:lang w:eastAsia="zh-CN"/>
        </w:rPr>
        <w:t>ITU-T</w:t>
      </w:r>
      <w:r w:rsidRPr="00B21057">
        <w:rPr>
          <w:rStyle w:val="Hyperlink"/>
          <w:rFonts w:cstheme="majorBidi" w:hint="eastAsia"/>
          <w:szCs w:val="24"/>
          <w:lang w:eastAsia="zh-CN"/>
        </w:rPr>
        <w:t>第</w:t>
      </w:r>
      <w:r w:rsidRPr="00B21057">
        <w:rPr>
          <w:rStyle w:val="Hyperlink"/>
          <w:rFonts w:cstheme="majorBidi" w:hint="eastAsia"/>
          <w:szCs w:val="24"/>
          <w:lang w:eastAsia="zh-CN"/>
        </w:rPr>
        <w:t>5</w:t>
      </w:r>
      <w:r w:rsidRPr="00B21057">
        <w:rPr>
          <w:rStyle w:val="Hyperlink"/>
          <w:rFonts w:cstheme="majorBidi" w:hint="eastAsia"/>
          <w:szCs w:val="24"/>
          <w:lang w:eastAsia="zh-CN"/>
        </w:rPr>
        <w:t>研究组</w:t>
      </w:r>
      <w:r w:rsidR="00CB4063">
        <w:rPr>
          <w:rStyle w:val="Hyperlink"/>
          <w:rFonts w:cstheme="majorBidi" w:hint="eastAsia"/>
          <w:szCs w:val="24"/>
          <w:lang w:eastAsia="zh-CN"/>
        </w:rPr>
        <w:t>“</w:t>
      </w:r>
      <w:r w:rsidRPr="00B21057">
        <w:rPr>
          <w:rStyle w:val="Hyperlink"/>
          <w:rFonts w:cstheme="majorBidi" w:hint="eastAsia"/>
          <w:szCs w:val="24"/>
          <w:lang w:eastAsia="zh-CN"/>
        </w:rPr>
        <w:t>EMF</w:t>
      </w:r>
      <w:r w:rsidRPr="00B21057">
        <w:rPr>
          <w:rStyle w:val="Hyperlink"/>
          <w:rFonts w:cstheme="majorBidi" w:hint="eastAsia"/>
          <w:szCs w:val="24"/>
          <w:lang w:eastAsia="zh-CN"/>
        </w:rPr>
        <w:t>、环境、气候行动、可持续数字化和循环经济</w:t>
      </w:r>
      <w:r w:rsidR="00CB4063">
        <w:rPr>
          <w:rStyle w:val="Hyperlink"/>
          <w:rFonts w:cstheme="majorBidi" w:hint="eastAsia"/>
          <w:szCs w:val="24"/>
          <w:lang w:eastAsia="zh-CN"/>
        </w:rPr>
        <w:t>”</w:t>
      </w:r>
      <w:r w:rsidRPr="00B21057">
        <w:rPr>
          <w:rFonts w:cstheme="majorBidi"/>
          <w:szCs w:val="24"/>
          <w:lang w:eastAsia="zh-CN"/>
        </w:rPr>
        <w:fldChar w:fldCharType="end"/>
      </w:r>
      <w:r w:rsidRPr="00B21057">
        <w:rPr>
          <w:rFonts w:cstheme="majorBidi" w:hint="eastAsia"/>
          <w:szCs w:val="24"/>
          <w:lang w:eastAsia="zh-CN"/>
        </w:rPr>
        <w:t>制定。</w:t>
      </w:r>
    </w:p>
    <w:p w14:paraId="05C97377" w14:textId="77777777" w:rsidR="001A7C97" w:rsidRPr="00B21057" w:rsidRDefault="001A7C97" w:rsidP="001A7C97">
      <w:pPr>
        <w:rPr>
          <w:szCs w:val="24"/>
          <w:lang w:eastAsia="zh-CN"/>
        </w:rPr>
      </w:pPr>
      <w:r w:rsidRPr="00B21057">
        <w:rPr>
          <w:szCs w:val="24"/>
          <w:lang w:eastAsia="zh-CN"/>
        </w:rPr>
        <w:t>5</w:t>
      </w:r>
      <w:r w:rsidRPr="00B21057">
        <w:rPr>
          <w:szCs w:val="24"/>
          <w:lang w:eastAsia="zh-CN"/>
        </w:rPr>
        <w:tab/>
      </w:r>
      <w:r w:rsidRPr="00B21057">
        <w:rPr>
          <w:rFonts w:hint="eastAsia"/>
          <w:szCs w:val="24"/>
          <w:lang w:eastAsia="zh-CN"/>
        </w:rPr>
        <w:t>该准则是作为</w:t>
      </w:r>
      <w:r w:rsidR="00E0125F">
        <w:fldChar w:fldCharType="begin"/>
      </w:r>
      <w:r w:rsidR="00E0125F">
        <w:instrText>HYPERLINK "https://www.govstack.global/"</w:instrText>
      </w:r>
      <w:r w:rsidR="00E0125F">
        <w:fldChar w:fldCharType="separate"/>
      </w:r>
      <w:proofErr w:type="spellStart"/>
      <w:r w:rsidRPr="00B21057">
        <w:rPr>
          <w:rStyle w:val="Hyperlink"/>
          <w:rFonts w:hint="eastAsia"/>
          <w:szCs w:val="24"/>
          <w:lang w:eastAsia="zh-CN"/>
        </w:rPr>
        <w:t>GovStack</w:t>
      </w:r>
      <w:proofErr w:type="spellEnd"/>
      <w:r w:rsidR="00E0125F">
        <w:rPr>
          <w:rStyle w:val="Hyperlink"/>
          <w:szCs w:val="24"/>
          <w:lang w:eastAsia="zh-CN"/>
        </w:rPr>
        <w:fldChar w:fldCharType="end"/>
      </w:r>
      <w:r w:rsidRPr="00B21057">
        <w:rPr>
          <w:rFonts w:hint="eastAsia"/>
          <w:szCs w:val="24"/>
          <w:lang w:eastAsia="zh-CN"/>
        </w:rPr>
        <w:t>倡议绿色部分的一部分而制定的，旨在加速政府服务的数字化转型，同时认识到这种转型对环境的潜在影响。制定该准则被定位为</w:t>
      </w:r>
      <w:hyperlink r:id="rId8" w:history="1">
        <w:r w:rsidRPr="00B21057">
          <w:rPr>
            <w:rStyle w:val="Hyperlink"/>
            <w:rFonts w:hint="eastAsia"/>
            <w:szCs w:val="24"/>
            <w:lang w:eastAsia="zh-CN"/>
          </w:rPr>
          <w:t>循环电子伙伴关系</w:t>
        </w:r>
      </w:hyperlink>
      <w:r w:rsidRPr="00B21057">
        <w:rPr>
          <w:rFonts w:hint="eastAsia"/>
          <w:szCs w:val="24"/>
          <w:lang w:eastAsia="zh-CN"/>
        </w:rPr>
        <w:t>下的一个项目，其合作伙伴组织国际电联和全球电子理事会在这项工作中发挥了主导作用</w:t>
      </w:r>
      <w:r w:rsidRPr="00B21057">
        <w:rPr>
          <w:szCs w:val="24"/>
          <w:lang w:eastAsia="zh-CN"/>
        </w:rPr>
        <w:t>。</w:t>
      </w:r>
    </w:p>
    <w:p w14:paraId="1C5F57A7" w14:textId="77777777" w:rsidR="001A7C97" w:rsidRPr="00B21057" w:rsidRDefault="001A7C97" w:rsidP="001A7C97">
      <w:pPr>
        <w:rPr>
          <w:szCs w:val="24"/>
          <w:lang w:eastAsia="zh-CN"/>
        </w:rPr>
      </w:pPr>
      <w:r w:rsidRPr="00B21057">
        <w:rPr>
          <w:szCs w:val="24"/>
          <w:lang w:eastAsia="zh-CN"/>
        </w:rPr>
        <w:t>6</w:t>
      </w:r>
      <w:r w:rsidRPr="00B21057">
        <w:rPr>
          <w:szCs w:val="24"/>
          <w:lang w:eastAsia="zh-CN"/>
        </w:rPr>
        <w:tab/>
      </w:r>
      <w:r w:rsidRPr="00B21057">
        <w:rPr>
          <w:rFonts w:hint="eastAsia"/>
          <w:szCs w:val="24"/>
          <w:lang w:val="en-US" w:eastAsia="zh-CN"/>
        </w:rPr>
        <w:t>讲习班旨在提供循环经济概念的知识和见解，以及如何将循环和可持续要求纳入公共部门的信通技术采购政策和项目。在讲习班结束时，与会者将能够：</w:t>
      </w:r>
    </w:p>
    <w:p w14:paraId="10B256B8" w14:textId="77777777" w:rsidR="001A7C97" w:rsidRPr="00B21057" w:rsidRDefault="001A7C97" w:rsidP="001A7C97">
      <w:pPr>
        <w:pStyle w:val="enumlev1"/>
        <w:rPr>
          <w:szCs w:val="24"/>
          <w:lang w:eastAsia="zh-CN"/>
        </w:rPr>
      </w:pPr>
      <w:r w:rsidRPr="00B21057">
        <w:rPr>
          <w:szCs w:val="24"/>
          <w:lang w:eastAsia="zh-CN"/>
        </w:rPr>
        <w:t>•</w:t>
      </w:r>
      <w:r w:rsidRPr="00B21057">
        <w:rPr>
          <w:szCs w:val="24"/>
          <w:lang w:eastAsia="zh-CN"/>
        </w:rPr>
        <w:tab/>
      </w:r>
      <w:proofErr w:type="gramStart"/>
      <w:r w:rsidRPr="00B21057">
        <w:rPr>
          <w:rFonts w:hint="eastAsia"/>
          <w:szCs w:val="24"/>
          <w:lang w:eastAsia="zh-CN"/>
        </w:rPr>
        <w:t>了解信</w:t>
      </w:r>
      <w:proofErr w:type="gramEnd"/>
      <w:r w:rsidRPr="00B21057">
        <w:rPr>
          <w:rFonts w:hint="eastAsia"/>
          <w:szCs w:val="24"/>
          <w:lang w:eastAsia="zh-CN"/>
        </w:rPr>
        <w:t>通技术的循环经济是什么样子，以及公共采购如何成为部门可持续发展的强大过渡工具</w:t>
      </w:r>
      <w:r w:rsidRPr="00B21057">
        <w:rPr>
          <w:szCs w:val="24"/>
          <w:lang w:eastAsia="zh-CN"/>
        </w:rPr>
        <w:t>；</w:t>
      </w:r>
    </w:p>
    <w:p w14:paraId="24B59B66" w14:textId="77777777" w:rsidR="001A7C97" w:rsidRPr="00B21057" w:rsidRDefault="001A7C97" w:rsidP="001A7C97">
      <w:pPr>
        <w:pStyle w:val="enumlev1"/>
        <w:rPr>
          <w:szCs w:val="24"/>
          <w:lang w:eastAsia="zh-CN"/>
        </w:rPr>
      </w:pPr>
      <w:r w:rsidRPr="00B21057">
        <w:rPr>
          <w:szCs w:val="24"/>
          <w:lang w:eastAsia="zh-CN"/>
        </w:rPr>
        <w:t>•</w:t>
      </w:r>
      <w:r w:rsidRPr="00B21057">
        <w:rPr>
          <w:szCs w:val="24"/>
          <w:lang w:eastAsia="zh-CN"/>
        </w:rPr>
        <w:tab/>
      </w:r>
      <w:r w:rsidRPr="00B21057">
        <w:rPr>
          <w:rFonts w:hint="eastAsia"/>
          <w:szCs w:val="24"/>
          <w:lang w:eastAsia="zh-CN"/>
        </w:rPr>
        <w:t>将国际标准</w:t>
      </w:r>
      <w:r w:rsidRPr="00B21057">
        <w:rPr>
          <w:rFonts w:hint="eastAsia"/>
          <w:szCs w:val="24"/>
          <w:lang w:eastAsia="zh-CN"/>
        </w:rPr>
        <w:t>ITU-T</w:t>
      </w:r>
      <w:r w:rsidRPr="00B21057">
        <w:rPr>
          <w:rFonts w:hint="eastAsia"/>
          <w:szCs w:val="24"/>
          <w:lang w:eastAsia="zh-CN"/>
        </w:rPr>
        <w:t>关于</w:t>
      </w:r>
      <w:r w:rsidRPr="00B21057">
        <w:rPr>
          <w:rFonts w:ascii="STKaiti" w:eastAsia="STKaiti" w:hAnsi="STKaiti" w:hint="eastAsia"/>
          <w:szCs w:val="24"/>
          <w:lang w:eastAsia="zh-CN"/>
        </w:rPr>
        <w:t>信通技术公共采购用以减轻电子废物的不利影响</w:t>
      </w:r>
      <w:r w:rsidRPr="00B21057">
        <w:rPr>
          <w:rFonts w:hint="eastAsia"/>
          <w:szCs w:val="24"/>
          <w:lang w:eastAsia="zh-CN"/>
        </w:rPr>
        <w:t>的建议书应用于政策和程序</w:t>
      </w:r>
      <w:r w:rsidRPr="00B21057">
        <w:rPr>
          <w:szCs w:val="24"/>
          <w:lang w:eastAsia="zh-CN"/>
        </w:rPr>
        <w:t>；</w:t>
      </w:r>
    </w:p>
    <w:p w14:paraId="661767A0" w14:textId="77777777" w:rsidR="001A7C97" w:rsidRPr="00B21057" w:rsidRDefault="001A7C97" w:rsidP="001A7C97">
      <w:pPr>
        <w:pStyle w:val="enumlev1"/>
        <w:rPr>
          <w:szCs w:val="24"/>
          <w:lang w:eastAsia="zh-CN"/>
        </w:rPr>
      </w:pPr>
      <w:r w:rsidRPr="00B21057">
        <w:rPr>
          <w:szCs w:val="24"/>
          <w:lang w:eastAsia="zh-CN"/>
        </w:rPr>
        <w:lastRenderedPageBreak/>
        <w:t>•</w:t>
      </w:r>
      <w:r w:rsidRPr="00B21057">
        <w:rPr>
          <w:szCs w:val="24"/>
          <w:lang w:eastAsia="zh-CN"/>
        </w:rPr>
        <w:tab/>
      </w:r>
      <w:r w:rsidRPr="00B21057">
        <w:rPr>
          <w:rFonts w:hint="eastAsia"/>
          <w:szCs w:val="24"/>
          <w:lang w:eastAsia="zh-CN"/>
        </w:rPr>
        <w:t>通过利用该准则制定战略、创造条件和嵌入正确的程序，确定循环和可持续公共采购的实用方法。</w:t>
      </w:r>
    </w:p>
    <w:p w14:paraId="2AEF6195" w14:textId="6C567270" w:rsidR="001A7C97" w:rsidRPr="00B21057" w:rsidRDefault="008D5064" w:rsidP="001A7C97">
      <w:pPr>
        <w:rPr>
          <w:szCs w:val="24"/>
          <w:lang w:eastAsia="zh-CN"/>
        </w:rPr>
      </w:pPr>
      <w:r w:rsidRPr="00B21057">
        <w:rPr>
          <w:szCs w:val="24"/>
          <w:lang w:eastAsia="zh-CN"/>
        </w:rPr>
        <w:t>7</w:t>
      </w:r>
      <w:r w:rsidR="001A7C97" w:rsidRPr="00B21057">
        <w:rPr>
          <w:szCs w:val="24"/>
          <w:lang w:eastAsia="zh-CN"/>
        </w:rPr>
        <w:tab/>
      </w:r>
      <w:r w:rsidR="001A7C97" w:rsidRPr="00B21057">
        <w:rPr>
          <w:rFonts w:hint="eastAsia"/>
          <w:szCs w:val="24"/>
          <w:lang w:eastAsia="zh-CN"/>
        </w:rPr>
        <w:t>国际电联成员国、部门成员、部门准成员和学术机构，以及来自国际电联成员国家的任何希望对此工作做出贡献的个人，包括同为国际、区域和国家组织成员的个人，都可以参加讲习班。讲习班不收取费用，并向所有人开放</w:t>
      </w:r>
      <w:r w:rsidR="001A7C97" w:rsidRPr="00B21057">
        <w:rPr>
          <w:szCs w:val="24"/>
          <w:lang w:eastAsia="zh-CN"/>
        </w:rPr>
        <w:t>。</w:t>
      </w:r>
    </w:p>
    <w:p w14:paraId="3C7F5FA8" w14:textId="513E60A0" w:rsidR="001A7C97" w:rsidRPr="00B21057" w:rsidRDefault="008D5064" w:rsidP="001A7C97">
      <w:pPr>
        <w:rPr>
          <w:szCs w:val="24"/>
          <w:lang w:eastAsia="zh-CN"/>
        </w:rPr>
      </w:pPr>
      <w:r w:rsidRPr="00B21057">
        <w:rPr>
          <w:szCs w:val="24"/>
          <w:lang w:eastAsia="zh-CN"/>
        </w:rPr>
        <w:t>8</w:t>
      </w:r>
      <w:r w:rsidR="001A7C97" w:rsidRPr="00B21057">
        <w:rPr>
          <w:szCs w:val="24"/>
          <w:lang w:eastAsia="zh-CN"/>
        </w:rPr>
        <w:tab/>
      </w:r>
      <w:r w:rsidR="001A7C97" w:rsidRPr="00B21057">
        <w:rPr>
          <w:rFonts w:hint="eastAsia"/>
          <w:szCs w:val="24"/>
          <w:lang w:eastAsia="zh-CN"/>
        </w:rPr>
        <w:t>所有与活动有关的信息（如日程草案、发言人名单、注册链接、远程连接细节）都将在活动网站上公布：</w:t>
      </w:r>
      <w:hyperlink r:id="rId9" w:history="1">
        <w:r w:rsidR="001A7C97" w:rsidRPr="00B21057">
          <w:rPr>
            <w:rStyle w:val="Hyperlink"/>
            <w:rFonts w:hint="eastAsia"/>
            <w:szCs w:val="24"/>
            <w:lang w:eastAsia="zh-CN"/>
          </w:rPr>
          <w:t>https://www.itu.int/en/ITU-T/Workshops-and-Seminars/2023/0214/Pages/default.aspx</w:t>
        </w:r>
      </w:hyperlink>
      <w:r w:rsidR="001A7C97" w:rsidRPr="00B21057">
        <w:rPr>
          <w:rFonts w:hint="eastAsia"/>
          <w:szCs w:val="24"/>
          <w:lang w:eastAsia="zh-CN"/>
        </w:rPr>
        <w:t>。网站将定期更新新出现的或修改过的信息。我们鼓励与会者定期查看网站的最新动态</w:t>
      </w:r>
      <w:r w:rsidR="001A7C97" w:rsidRPr="00B21057">
        <w:rPr>
          <w:b/>
          <w:bCs/>
          <w:szCs w:val="24"/>
          <w:lang w:eastAsia="zh-CN"/>
        </w:rPr>
        <w:t>。</w:t>
      </w:r>
    </w:p>
    <w:p w14:paraId="5300E083" w14:textId="77777777" w:rsidR="00720F32" w:rsidRPr="00B21057" w:rsidRDefault="00720F32" w:rsidP="00720F32">
      <w:pPr>
        <w:tabs>
          <w:tab w:val="left" w:pos="1418"/>
          <w:tab w:val="left" w:pos="1702"/>
          <w:tab w:val="left" w:pos="2160"/>
        </w:tabs>
        <w:spacing w:before="720"/>
        <w:rPr>
          <w:szCs w:val="24"/>
          <w:lang w:eastAsia="zh-CN"/>
        </w:rPr>
      </w:pPr>
      <w:r w:rsidRPr="00B21057">
        <w:rPr>
          <w:rFonts w:hint="eastAsia"/>
          <w:szCs w:val="24"/>
          <w:lang w:eastAsia="zh-CN"/>
        </w:rPr>
        <w:t>顺致敬意！</w:t>
      </w:r>
    </w:p>
    <w:p w14:paraId="63B1D5A8" w14:textId="77777777" w:rsidR="00720F32" w:rsidRPr="00B21057" w:rsidRDefault="00720F32" w:rsidP="00720F32">
      <w:pPr>
        <w:tabs>
          <w:tab w:val="left" w:pos="1418"/>
          <w:tab w:val="left" w:pos="1702"/>
          <w:tab w:val="left" w:pos="2160"/>
        </w:tabs>
        <w:spacing w:before="360"/>
        <w:rPr>
          <w:rFonts w:ascii="KaiTi" w:eastAsia="STKaiti" w:hAnsi="KaiTi"/>
          <w:szCs w:val="24"/>
          <w:lang w:val="en-US" w:eastAsia="zh-CN"/>
        </w:rPr>
      </w:pPr>
      <w:r w:rsidRPr="00B21057">
        <w:rPr>
          <w:rFonts w:ascii="KaiTi" w:eastAsia="STKaiti" w:hAnsi="KaiTi" w:hint="eastAsia"/>
          <w:szCs w:val="24"/>
          <w:lang w:val="en-US" w:eastAsia="zh-CN"/>
        </w:rPr>
        <w:t>（原件已签）</w:t>
      </w:r>
    </w:p>
    <w:p w14:paraId="385E8697" w14:textId="77777777" w:rsidR="00720F32" w:rsidRPr="00B21057" w:rsidRDefault="00720F32" w:rsidP="00720F32">
      <w:pPr>
        <w:tabs>
          <w:tab w:val="left" w:pos="1418"/>
          <w:tab w:val="left" w:pos="1702"/>
          <w:tab w:val="left" w:pos="2160"/>
        </w:tabs>
        <w:spacing w:before="480" w:after="20"/>
        <w:ind w:right="91"/>
        <w:rPr>
          <w:szCs w:val="24"/>
          <w:lang w:eastAsia="zh-CN"/>
        </w:rPr>
      </w:pPr>
      <w:r w:rsidRPr="00B21057">
        <w:rPr>
          <w:rFonts w:hint="eastAsia"/>
          <w:szCs w:val="24"/>
          <w:lang w:eastAsia="zh-CN"/>
        </w:rPr>
        <w:t>电信标准化局主任</w:t>
      </w:r>
    </w:p>
    <w:p w14:paraId="1D5E32AA" w14:textId="77777777" w:rsidR="00720F32" w:rsidRPr="00B21057" w:rsidRDefault="00720F32" w:rsidP="00720F32">
      <w:pPr>
        <w:tabs>
          <w:tab w:val="left" w:pos="1418"/>
          <w:tab w:val="left" w:pos="1702"/>
          <w:tab w:val="left" w:pos="2160"/>
        </w:tabs>
        <w:spacing w:before="0" w:after="20"/>
        <w:ind w:right="91"/>
        <w:rPr>
          <w:rFonts w:ascii="SimSun" w:hAnsi="SimSun"/>
          <w:szCs w:val="24"/>
          <w:lang w:eastAsia="zh-CN"/>
        </w:rPr>
      </w:pPr>
      <w:r w:rsidRPr="00B21057">
        <w:rPr>
          <w:rFonts w:ascii="SimSun" w:hAnsi="SimSun" w:hint="eastAsia"/>
          <w:szCs w:val="24"/>
          <w:lang w:eastAsia="zh-CN"/>
        </w:rPr>
        <w:t>李在摄</w:t>
      </w:r>
    </w:p>
    <w:sectPr w:rsidR="00720F32" w:rsidRPr="00B21057">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F897" w14:textId="77777777" w:rsidR="001E198D" w:rsidRDefault="001E198D">
      <w:r>
        <w:separator/>
      </w:r>
    </w:p>
  </w:endnote>
  <w:endnote w:type="continuationSeparator" w:id="0">
    <w:p w14:paraId="1254D61B" w14:textId="77777777" w:rsidR="001E198D" w:rsidRDefault="001E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DC78" w14:textId="77777777" w:rsidR="00621F93" w:rsidRDefault="00621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401C" w14:textId="260D26D8" w:rsidR="00841612" w:rsidRPr="00CB4063" w:rsidRDefault="00841612" w:rsidP="00CB4063">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F74B"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A473" w14:textId="77777777" w:rsidR="001E198D" w:rsidRDefault="001E198D">
      <w:r>
        <w:separator/>
      </w:r>
    </w:p>
  </w:footnote>
  <w:footnote w:type="continuationSeparator" w:id="0">
    <w:p w14:paraId="6B313D45" w14:textId="77777777" w:rsidR="001E198D" w:rsidRDefault="001E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C271" w14:textId="77777777" w:rsidR="00621F93" w:rsidRDefault="00621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D231" w14:textId="693DE61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665AFCB7" w14:textId="10EB3F5F" w:rsidR="008D5064" w:rsidRPr="002D2024" w:rsidRDefault="001A7C97" w:rsidP="008D5064">
    <w:pPr>
      <w:pStyle w:val="Header"/>
      <w:spacing w:after="240"/>
      <w:rPr>
        <w:sz w:val="18"/>
        <w:szCs w:val="16"/>
      </w:rPr>
    </w:pPr>
    <w:proofErr w:type="spellStart"/>
    <w:r w:rsidRPr="001A7C97">
      <w:rPr>
        <w:sz w:val="18"/>
        <w:szCs w:val="16"/>
      </w:rPr>
      <w:t>电信标准化局第</w:t>
    </w:r>
    <w:proofErr w:type="spellEnd"/>
    <w:r w:rsidRPr="001A7C97">
      <w:rPr>
        <w:sz w:val="18"/>
        <w:szCs w:val="16"/>
      </w:rPr>
      <w:t>062</w:t>
    </w:r>
    <w:proofErr w:type="spellStart"/>
    <w:r w:rsidRPr="001A7C97">
      <w:rPr>
        <w:sz w:val="18"/>
        <w:szCs w:val="16"/>
      </w:rPr>
      <w:t>号通函</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C5B" w14:textId="77777777" w:rsidR="00621F93" w:rsidRDefault="00621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97"/>
    <w:rsid w:val="00027EE3"/>
    <w:rsid w:val="00081BA5"/>
    <w:rsid w:val="00090E72"/>
    <w:rsid w:val="00094C0B"/>
    <w:rsid w:val="000A2484"/>
    <w:rsid w:val="00117471"/>
    <w:rsid w:val="00124B7E"/>
    <w:rsid w:val="00160A43"/>
    <w:rsid w:val="00191798"/>
    <w:rsid w:val="001A7C97"/>
    <w:rsid w:val="001D6E70"/>
    <w:rsid w:val="001E198D"/>
    <w:rsid w:val="00234A9B"/>
    <w:rsid w:val="00282732"/>
    <w:rsid w:val="00284869"/>
    <w:rsid w:val="002D2024"/>
    <w:rsid w:val="002E05E3"/>
    <w:rsid w:val="00303A2A"/>
    <w:rsid w:val="003064AD"/>
    <w:rsid w:val="00334A24"/>
    <w:rsid w:val="0035674D"/>
    <w:rsid w:val="0038630E"/>
    <w:rsid w:val="003F1CCA"/>
    <w:rsid w:val="00464015"/>
    <w:rsid w:val="00486359"/>
    <w:rsid w:val="004C241D"/>
    <w:rsid w:val="00590119"/>
    <w:rsid w:val="005C26FD"/>
    <w:rsid w:val="00621F93"/>
    <w:rsid w:val="00624E27"/>
    <w:rsid w:val="00627AE8"/>
    <w:rsid w:val="0063445E"/>
    <w:rsid w:val="006B463C"/>
    <w:rsid w:val="006D22B1"/>
    <w:rsid w:val="006D42C6"/>
    <w:rsid w:val="00720F32"/>
    <w:rsid w:val="007568DA"/>
    <w:rsid w:val="007B645F"/>
    <w:rsid w:val="00841612"/>
    <w:rsid w:val="0084436D"/>
    <w:rsid w:val="008A6E43"/>
    <w:rsid w:val="008B2BDA"/>
    <w:rsid w:val="008D5064"/>
    <w:rsid w:val="009128F1"/>
    <w:rsid w:val="009424FC"/>
    <w:rsid w:val="00956D38"/>
    <w:rsid w:val="009727EA"/>
    <w:rsid w:val="00974486"/>
    <w:rsid w:val="009C2FF6"/>
    <w:rsid w:val="00A1090D"/>
    <w:rsid w:val="00A16AB0"/>
    <w:rsid w:val="00A55D76"/>
    <w:rsid w:val="00AA3151"/>
    <w:rsid w:val="00B01F79"/>
    <w:rsid w:val="00B21057"/>
    <w:rsid w:val="00B56B75"/>
    <w:rsid w:val="00BB5392"/>
    <w:rsid w:val="00BC7AEE"/>
    <w:rsid w:val="00BE339D"/>
    <w:rsid w:val="00C03E87"/>
    <w:rsid w:val="00C6016A"/>
    <w:rsid w:val="00C7008A"/>
    <w:rsid w:val="00C916ED"/>
    <w:rsid w:val="00CB4063"/>
    <w:rsid w:val="00CC50C4"/>
    <w:rsid w:val="00D16F47"/>
    <w:rsid w:val="00D2501B"/>
    <w:rsid w:val="00D34F86"/>
    <w:rsid w:val="00D54BFA"/>
    <w:rsid w:val="00E0125F"/>
    <w:rsid w:val="00E35907"/>
    <w:rsid w:val="00E37E2F"/>
    <w:rsid w:val="00E41E39"/>
    <w:rsid w:val="00E44A6C"/>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8E08"/>
  <w15:docId w15:val="{E0261D7B-5FC6-4898-B5A5-2B08EBF4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1A7C97"/>
    <w:rPr>
      <w:color w:val="605E5C"/>
      <w:shd w:val="clear" w:color="auto" w:fill="E1DFDD"/>
    </w:rPr>
  </w:style>
  <w:style w:type="paragraph" w:customStyle="1" w:styleId="enumlev1">
    <w:name w:val="enumlev1"/>
    <w:basedOn w:val="Normal"/>
    <w:rsid w:val="001A7C97"/>
    <w:pPr>
      <w:overflowPunct/>
      <w:autoSpaceDE/>
      <w:autoSpaceDN/>
      <w:adjustRightInd/>
      <w:spacing w:before="80"/>
      <w:ind w:left="794" w:hanging="794"/>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p2030.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tsbevents@itu.in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en/ITU-T/Workshops-and-Seminars/2023/0214/Pages/default.aspx"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0</TotalTime>
  <Pages>2</Pages>
  <Words>1059</Words>
  <Characters>556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1612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Kehan</dc:creator>
  <cp:lastModifiedBy>Maguire, Mairéad</cp:lastModifiedBy>
  <cp:revision>2</cp:revision>
  <cp:lastPrinted>2011-04-11T13:21:00Z</cp:lastPrinted>
  <dcterms:created xsi:type="dcterms:W3CDTF">2023-01-18T16:00:00Z</dcterms:created>
  <dcterms:modified xsi:type="dcterms:W3CDTF">2023-01-18T16:00:00Z</dcterms:modified>
</cp:coreProperties>
</file>