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1409"/>
        <w:gridCol w:w="3470"/>
        <w:gridCol w:w="5327"/>
      </w:tblGrid>
      <w:tr w:rsidR="007B6316" w14:paraId="0AE95532" w14:textId="77777777" w:rsidTr="00C66442">
        <w:trPr>
          <w:cantSplit/>
          <w:trHeight w:val="340"/>
        </w:trPr>
        <w:tc>
          <w:tcPr>
            <w:tcW w:w="1410" w:type="dxa"/>
          </w:tcPr>
          <w:p w14:paraId="3451C84E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7B4FDFC6" wp14:editId="42489E59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407E1567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4007EBAE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E86344" w14:paraId="4F2B4354" w14:textId="77777777" w:rsidTr="00C66442">
        <w:trPr>
          <w:cantSplit/>
          <w:trHeight w:val="340"/>
        </w:trPr>
        <w:tc>
          <w:tcPr>
            <w:tcW w:w="1406" w:type="dxa"/>
          </w:tcPr>
          <w:p w14:paraId="3476109E" w14:textId="77777777" w:rsidR="007B6316" w:rsidRPr="00E86344" w:rsidRDefault="007B6316" w:rsidP="00C6644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71" w:type="dxa"/>
          </w:tcPr>
          <w:p w14:paraId="306852BE" w14:textId="77777777" w:rsidR="007B6316" w:rsidRPr="00E86344" w:rsidRDefault="007B6316" w:rsidP="00C66442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329" w:type="dxa"/>
          </w:tcPr>
          <w:p w14:paraId="2D3B1898" w14:textId="2F651A8B" w:rsidR="007B6316" w:rsidRPr="00E86344" w:rsidRDefault="00F10E75" w:rsidP="00C66442">
            <w:pPr>
              <w:rPr>
                <w:rFonts w:cstheme="minorHAnsi"/>
                <w:sz w:val="22"/>
                <w:szCs w:val="22"/>
              </w:rPr>
            </w:pPr>
            <w:r w:rsidRPr="00E86344">
              <w:rPr>
                <w:rFonts w:cstheme="minorHAnsi"/>
                <w:sz w:val="22"/>
                <w:szCs w:val="22"/>
              </w:rPr>
              <w:t>Ginebra, 7 de diciembre de 2022</w:t>
            </w:r>
          </w:p>
        </w:tc>
      </w:tr>
      <w:tr w:rsidR="007B6316" w:rsidRPr="00E86344" w14:paraId="1FB838F0" w14:textId="77777777" w:rsidTr="00C66442">
        <w:trPr>
          <w:cantSplit/>
          <w:trHeight w:val="340"/>
        </w:trPr>
        <w:tc>
          <w:tcPr>
            <w:tcW w:w="1406" w:type="dxa"/>
          </w:tcPr>
          <w:p w14:paraId="510A985C" w14:textId="75C6ED18" w:rsidR="007B6316" w:rsidRPr="00E86344" w:rsidRDefault="007B6316" w:rsidP="00C66442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E86344">
              <w:rPr>
                <w:rFonts w:cstheme="minorHAnsi"/>
                <w:b/>
                <w:bCs/>
                <w:sz w:val="22"/>
                <w:szCs w:val="22"/>
              </w:rPr>
              <w:t>Ref.:</w:t>
            </w:r>
          </w:p>
        </w:tc>
        <w:tc>
          <w:tcPr>
            <w:tcW w:w="3471" w:type="dxa"/>
          </w:tcPr>
          <w:p w14:paraId="513EA106" w14:textId="65D35B66" w:rsidR="007B6316" w:rsidRPr="00E86344" w:rsidRDefault="007B6316" w:rsidP="00E36050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86344">
              <w:rPr>
                <w:rFonts w:cstheme="minorHAnsi"/>
                <w:b/>
                <w:bCs/>
                <w:sz w:val="22"/>
                <w:szCs w:val="22"/>
              </w:rPr>
              <w:t xml:space="preserve">Circular TSB </w:t>
            </w:r>
            <w:r w:rsidR="00F10E75" w:rsidRPr="00E86344">
              <w:rPr>
                <w:rFonts w:cstheme="minorHAnsi"/>
                <w:b/>
                <w:bCs/>
                <w:sz w:val="22"/>
                <w:szCs w:val="22"/>
              </w:rPr>
              <w:t>059</w:t>
            </w:r>
            <w:r w:rsidR="00E36050" w:rsidRPr="00E86344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="00F10E75" w:rsidRPr="00E86344">
              <w:rPr>
                <w:rFonts w:cstheme="minorHAnsi"/>
                <w:sz w:val="22"/>
                <w:szCs w:val="22"/>
              </w:rPr>
              <w:t>TSB Events/MA</w:t>
            </w:r>
          </w:p>
        </w:tc>
        <w:tc>
          <w:tcPr>
            <w:tcW w:w="5329" w:type="dxa"/>
            <w:vMerge w:val="restart"/>
          </w:tcPr>
          <w:p w14:paraId="790B18E3" w14:textId="77777777" w:rsidR="00F10E75" w:rsidRPr="00E86344" w:rsidRDefault="00F10E75" w:rsidP="00C66442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bookmarkStart w:id="0" w:name="Addressee_S"/>
            <w:bookmarkEnd w:id="0"/>
            <w:r w:rsidRPr="00E86344">
              <w:rPr>
                <w:rFonts w:cstheme="minorHAnsi"/>
                <w:b/>
                <w:bCs/>
                <w:sz w:val="22"/>
                <w:szCs w:val="22"/>
              </w:rPr>
              <w:t>A:</w:t>
            </w:r>
          </w:p>
          <w:p w14:paraId="39C6ADFB" w14:textId="53C75ABD" w:rsidR="00F10E75" w:rsidRPr="00E86344" w:rsidRDefault="00C66442" w:rsidP="00C66442">
            <w:pPr>
              <w:tabs>
                <w:tab w:val="clear" w:pos="794"/>
                <w:tab w:val="left" w:pos="391"/>
              </w:tabs>
              <w:spacing w:before="40" w:after="40"/>
              <w:ind w:left="391" w:hanging="391"/>
              <w:rPr>
                <w:rFonts w:cstheme="minorHAnsi"/>
                <w:sz w:val="22"/>
                <w:szCs w:val="22"/>
              </w:rPr>
            </w:pPr>
            <w:r w:rsidRPr="00E86344">
              <w:rPr>
                <w:rFonts w:cstheme="minorHAnsi"/>
                <w:sz w:val="22"/>
                <w:szCs w:val="22"/>
              </w:rPr>
              <w:t>–</w:t>
            </w:r>
            <w:r w:rsidRPr="00E86344">
              <w:rPr>
                <w:rFonts w:cstheme="minorHAnsi"/>
                <w:sz w:val="22"/>
                <w:szCs w:val="22"/>
              </w:rPr>
              <w:tab/>
            </w:r>
            <w:r w:rsidR="00F10E75" w:rsidRPr="00E86344">
              <w:rPr>
                <w:rFonts w:cstheme="minorHAnsi"/>
                <w:sz w:val="22"/>
                <w:szCs w:val="22"/>
              </w:rPr>
              <w:t>las Administraciones de los Estados Miembros de la Unión;</w:t>
            </w:r>
          </w:p>
          <w:p w14:paraId="160D5738" w14:textId="7921B052" w:rsidR="00F10E75" w:rsidRPr="00E86344" w:rsidRDefault="00C66442" w:rsidP="00C66442">
            <w:pPr>
              <w:tabs>
                <w:tab w:val="clear" w:pos="794"/>
                <w:tab w:val="left" w:pos="391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  <w:r w:rsidRPr="00E86344">
              <w:rPr>
                <w:rFonts w:cstheme="minorHAnsi"/>
                <w:sz w:val="22"/>
                <w:szCs w:val="22"/>
              </w:rPr>
              <w:t>–</w:t>
            </w:r>
            <w:r w:rsidRPr="00E86344">
              <w:rPr>
                <w:rFonts w:cstheme="minorHAnsi"/>
                <w:sz w:val="22"/>
                <w:szCs w:val="22"/>
              </w:rPr>
              <w:tab/>
            </w:r>
            <w:r w:rsidR="00F10E75" w:rsidRPr="00E86344">
              <w:rPr>
                <w:rFonts w:cstheme="minorHAnsi"/>
                <w:sz w:val="22"/>
                <w:szCs w:val="22"/>
              </w:rPr>
              <w:t>los Miembros de Sector del UIT-T;</w:t>
            </w:r>
          </w:p>
          <w:p w14:paraId="18D7BB70" w14:textId="1C763187" w:rsidR="00F10E75" w:rsidRPr="00E86344" w:rsidRDefault="00C66442" w:rsidP="00C66442">
            <w:pPr>
              <w:tabs>
                <w:tab w:val="clear" w:pos="794"/>
                <w:tab w:val="left" w:pos="391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  <w:r w:rsidRPr="00E86344">
              <w:rPr>
                <w:rFonts w:cstheme="minorHAnsi"/>
                <w:sz w:val="22"/>
                <w:szCs w:val="22"/>
              </w:rPr>
              <w:t>–</w:t>
            </w:r>
            <w:r w:rsidRPr="00E86344">
              <w:rPr>
                <w:rFonts w:cstheme="minorHAnsi"/>
                <w:sz w:val="22"/>
                <w:szCs w:val="22"/>
              </w:rPr>
              <w:tab/>
            </w:r>
            <w:r w:rsidR="00F10E75" w:rsidRPr="00E86344">
              <w:rPr>
                <w:rFonts w:cstheme="minorHAnsi"/>
                <w:sz w:val="22"/>
                <w:szCs w:val="22"/>
              </w:rPr>
              <w:t>los Asociados del UIT-T;</w:t>
            </w:r>
          </w:p>
          <w:p w14:paraId="6AB43DEA" w14:textId="238F7FE2" w:rsidR="007B6316" w:rsidRPr="00E86344" w:rsidRDefault="00C66442" w:rsidP="00C66442">
            <w:pPr>
              <w:tabs>
                <w:tab w:val="clear" w:pos="794"/>
                <w:tab w:val="left" w:pos="391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  <w:r w:rsidRPr="00E86344">
              <w:rPr>
                <w:rFonts w:cstheme="minorHAnsi"/>
                <w:sz w:val="22"/>
                <w:szCs w:val="22"/>
              </w:rPr>
              <w:t>–</w:t>
            </w:r>
            <w:r w:rsidRPr="00E86344">
              <w:rPr>
                <w:rFonts w:cstheme="minorHAnsi"/>
                <w:sz w:val="22"/>
                <w:szCs w:val="22"/>
              </w:rPr>
              <w:tab/>
            </w:r>
            <w:r w:rsidR="00F10E75" w:rsidRPr="00E86344">
              <w:rPr>
                <w:rFonts w:cstheme="minorHAnsi"/>
                <w:sz w:val="22"/>
                <w:szCs w:val="22"/>
              </w:rPr>
              <w:t>las Instituciones Académicas de la UIT</w:t>
            </w:r>
          </w:p>
        </w:tc>
      </w:tr>
      <w:tr w:rsidR="00F10E75" w:rsidRPr="00E86344" w14:paraId="55E83A2D" w14:textId="77777777" w:rsidTr="00C66442">
        <w:trPr>
          <w:cantSplit/>
          <w:trHeight w:val="340"/>
        </w:trPr>
        <w:tc>
          <w:tcPr>
            <w:tcW w:w="1406" w:type="dxa"/>
          </w:tcPr>
          <w:p w14:paraId="0059B80C" w14:textId="6CDCFE36" w:rsidR="00F10E75" w:rsidRPr="00E86344" w:rsidRDefault="00F10E75" w:rsidP="00C66442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E86344">
              <w:rPr>
                <w:rFonts w:cstheme="minorHAnsi"/>
                <w:b/>
                <w:bCs/>
                <w:sz w:val="22"/>
                <w:szCs w:val="22"/>
              </w:rPr>
              <w:t>Contacto:</w:t>
            </w:r>
          </w:p>
        </w:tc>
        <w:tc>
          <w:tcPr>
            <w:tcW w:w="3471" w:type="dxa"/>
          </w:tcPr>
          <w:p w14:paraId="0CF653CB" w14:textId="588858EA" w:rsidR="00F10E75" w:rsidRPr="00E86344" w:rsidRDefault="00F10E75" w:rsidP="00C66442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E86344">
              <w:rPr>
                <w:rFonts w:cstheme="minorHAnsi"/>
                <w:b/>
                <w:bCs/>
                <w:sz w:val="22"/>
                <w:szCs w:val="22"/>
              </w:rPr>
              <w:t>Martin Adolph</w:t>
            </w:r>
          </w:p>
        </w:tc>
        <w:tc>
          <w:tcPr>
            <w:tcW w:w="5329" w:type="dxa"/>
            <w:vMerge/>
          </w:tcPr>
          <w:p w14:paraId="60F94566" w14:textId="77777777" w:rsidR="00F10E75" w:rsidRPr="00E86344" w:rsidRDefault="00F10E75" w:rsidP="00F10E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</w:p>
        </w:tc>
      </w:tr>
      <w:tr w:rsidR="007B6316" w:rsidRPr="00E86344" w14:paraId="26394183" w14:textId="77777777" w:rsidTr="00C66442">
        <w:trPr>
          <w:cantSplit/>
        </w:trPr>
        <w:tc>
          <w:tcPr>
            <w:tcW w:w="1406" w:type="dxa"/>
          </w:tcPr>
          <w:p w14:paraId="796D1D7C" w14:textId="77777777" w:rsidR="007B6316" w:rsidRPr="00E86344" w:rsidRDefault="007B6316" w:rsidP="00C66442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E86344">
              <w:rPr>
                <w:rFonts w:cstheme="minorHAnsi"/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3471" w:type="dxa"/>
          </w:tcPr>
          <w:p w14:paraId="6A111721" w14:textId="0CF71B66" w:rsidR="007B6316" w:rsidRPr="00E86344" w:rsidRDefault="00F10E75" w:rsidP="00C66442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86344">
              <w:rPr>
                <w:rFonts w:cstheme="minorHAnsi"/>
                <w:sz w:val="22"/>
                <w:szCs w:val="22"/>
              </w:rPr>
              <w:t>+41 22 730 6828</w:t>
            </w:r>
          </w:p>
        </w:tc>
        <w:tc>
          <w:tcPr>
            <w:tcW w:w="5329" w:type="dxa"/>
            <w:vMerge/>
          </w:tcPr>
          <w:p w14:paraId="2CB13B36" w14:textId="77777777" w:rsidR="007B6316" w:rsidRPr="00E86344" w:rsidRDefault="007B6316" w:rsidP="00303D62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7B6316" w:rsidRPr="00E86344" w14:paraId="7A9FADD2" w14:textId="77777777" w:rsidTr="00C66442">
        <w:trPr>
          <w:cantSplit/>
        </w:trPr>
        <w:tc>
          <w:tcPr>
            <w:tcW w:w="1406" w:type="dxa"/>
          </w:tcPr>
          <w:p w14:paraId="7D930F95" w14:textId="77777777" w:rsidR="007B6316" w:rsidRPr="00E86344" w:rsidRDefault="007B6316" w:rsidP="00C66442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E86344">
              <w:rPr>
                <w:rFonts w:cstheme="minorHAnsi"/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3471" w:type="dxa"/>
          </w:tcPr>
          <w:p w14:paraId="0DC9D4E6" w14:textId="31285B1E" w:rsidR="007B6316" w:rsidRPr="00E86344" w:rsidRDefault="00F10E75" w:rsidP="00C66442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86344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12F92225" w14:textId="77777777" w:rsidR="007B6316" w:rsidRPr="00E86344" w:rsidRDefault="007B6316" w:rsidP="00303D62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34772" w:rsidRPr="00E86344" w14:paraId="401AFABC" w14:textId="77777777" w:rsidTr="00C66442">
        <w:trPr>
          <w:cantSplit/>
        </w:trPr>
        <w:tc>
          <w:tcPr>
            <w:tcW w:w="1406" w:type="dxa"/>
          </w:tcPr>
          <w:p w14:paraId="5ADC3CF6" w14:textId="77777777" w:rsidR="00C34772" w:rsidRPr="00E86344" w:rsidRDefault="00C34772" w:rsidP="00C66442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E86344">
              <w:rPr>
                <w:rFonts w:cstheme="minorHAnsi"/>
                <w:b/>
                <w:bCs/>
                <w:sz w:val="22"/>
                <w:szCs w:val="22"/>
              </w:rPr>
              <w:t>Correo-e:</w:t>
            </w:r>
          </w:p>
        </w:tc>
        <w:tc>
          <w:tcPr>
            <w:tcW w:w="3471" w:type="dxa"/>
          </w:tcPr>
          <w:p w14:paraId="3949C098" w14:textId="7EDDF357" w:rsidR="00F10E75" w:rsidRPr="00E86344" w:rsidRDefault="00000000" w:rsidP="00C66442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hyperlink r:id="rId9" w:history="1">
              <w:r w:rsidR="00C66442" w:rsidRPr="00E86344">
                <w:rPr>
                  <w:rStyle w:val="Hyperlink"/>
                  <w:rFonts w:cstheme="minorHAnsi"/>
                  <w:sz w:val="22"/>
                  <w:szCs w:val="22"/>
                </w:rPr>
                <w:t>tsbsg12rgafr@itu.int</w:t>
              </w:r>
            </w:hyperlink>
          </w:p>
          <w:p w14:paraId="4E1B83F4" w14:textId="53CDD4E7" w:rsidR="00C34772" w:rsidRPr="00E86344" w:rsidRDefault="00000000" w:rsidP="00C66442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hyperlink r:id="rId10" w:history="1">
              <w:r w:rsidR="00C66442" w:rsidRPr="00E86344">
                <w:rPr>
                  <w:rStyle w:val="Hyperlink"/>
                  <w:rFonts w:cstheme="minorHAnsi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5329" w:type="dxa"/>
          </w:tcPr>
          <w:p w14:paraId="10A218A3" w14:textId="668BFDAB" w:rsidR="00C34772" w:rsidRPr="00E86344" w:rsidRDefault="00C34772" w:rsidP="00C66442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E86344">
              <w:rPr>
                <w:rFonts w:cstheme="minorHAnsi"/>
                <w:b/>
                <w:bCs/>
                <w:sz w:val="22"/>
                <w:szCs w:val="22"/>
              </w:rPr>
              <w:t>Copia</w:t>
            </w:r>
            <w:r w:rsidR="00C66442" w:rsidRPr="00E86344">
              <w:rPr>
                <w:rFonts w:cstheme="minorHAnsi"/>
                <w:b/>
                <w:bCs/>
                <w:sz w:val="22"/>
                <w:szCs w:val="22"/>
              </w:rPr>
              <w:t xml:space="preserve"> a</w:t>
            </w:r>
            <w:r w:rsidRPr="00E86344">
              <w:rPr>
                <w:rFonts w:cstheme="minorHAnsi"/>
                <w:b/>
                <w:bCs/>
                <w:sz w:val="22"/>
                <w:szCs w:val="22"/>
              </w:rPr>
              <w:t>:</w:t>
            </w:r>
          </w:p>
          <w:p w14:paraId="4F0C6928" w14:textId="5E023A94" w:rsidR="00F10E75" w:rsidRPr="00E86344" w:rsidRDefault="00C66442" w:rsidP="00C66442">
            <w:pPr>
              <w:tabs>
                <w:tab w:val="clear" w:pos="794"/>
                <w:tab w:val="left" w:pos="391"/>
              </w:tabs>
              <w:spacing w:before="40" w:after="40"/>
              <w:ind w:left="391" w:hanging="391"/>
              <w:rPr>
                <w:rFonts w:cstheme="minorHAnsi"/>
                <w:sz w:val="22"/>
                <w:szCs w:val="22"/>
              </w:rPr>
            </w:pPr>
            <w:r w:rsidRPr="00E86344">
              <w:rPr>
                <w:rFonts w:cstheme="minorHAnsi"/>
                <w:sz w:val="22"/>
                <w:szCs w:val="22"/>
              </w:rPr>
              <w:t>–</w:t>
            </w:r>
            <w:r w:rsidRPr="00E86344">
              <w:rPr>
                <w:rFonts w:cstheme="minorHAnsi"/>
                <w:sz w:val="22"/>
                <w:szCs w:val="22"/>
              </w:rPr>
              <w:tab/>
            </w:r>
            <w:r w:rsidR="00F10E75" w:rsidRPr="00E86344">
              <w:rPr>
                <w:rFonts w:cstheme="minorHAnsi"/>
                <w:sz w:val="22"/>
                <w:szCs w:val="22"/>
              </w:rPr>
              <w:t xml:space="preserve">los </w:t>
            </w:r>
            <w:proofErr w:type="gramStart"/>
            <w:r w:rsidR="00F10E75" w:rsidRPr="00E86344">
              <w:rPr>
                <w:rFonts w:cstheme="minorHAnsi"/>
                <w:sz w:val="22"/>
                <w:szCs w:val="22"/>
              </w:rPr>
              <w:t>Presidentes</w:t>
            </w:r>
            <w:proofErr w:type="gramEnd"/>
            <w:r w:rsidR="00F10E75" w:rsidRPr="00E86344">
              <w:rPr>
                <w:rFonts w:cstheme="minorHAnsi"/>
                <w:sz w:val="22"/>
                <w:szCs w:val="22"/>
              </w:rPr>
              <w:t xml:space="preserve"> y Vicepresidentes de las Comisiones de Estudio;</w:t>
            </w:r>
          </w:p>
          <w:p w14:paraId="2A2AF31B" w14:textId="168E2885" w:rsidR="00F10E75" w:rsidRPr="00E86344" w:rsidRDefault="00C66442" w:rsidP="00C66442">
            <w:pPr>
              <w:tabs>
                <w:tab w:val="clear" w:pos="794"/>
                <w:tab w:val="left" w:pos="391"/>
              </w:tabs>
              <w:spacing w:before="40" w:after="40"/>
              <w:ind w:left="391" w:hanging="391"/>
              <w:rPr>
                <w:rFonts w:cstheme="minorHAnsi"/>
                <w:sz w:val="22"/>
                <w:szCs w:val="22"/>
              </w:rPr>
            </w:pPr>
            <w:r w:rsidRPr="00E86344">
              <w:rPr>
                <w:rFonts w:cstheme="minorHAnsi"/>
                <w:sz w:val="22"/>
                <w:szCs w:val="22"/>
              </w:rPr>
              <w:t>–</w:t>
            </w:r>
            <w:r w:rsidRPr="00E86344">
              <w:rPr>
                <w:rFonts w:cstheme="minorHAnsi"/>
                <w:sz w:val="22"/>
                <w:szCs w:val="22"/>
              </w:rPr>
              <w:tab/>
            </w:r>
            <w:r w:rsidR="00F10E75" w:rsidRPr="00E86344">
              <w:rPr>
                <w:rFonts w:cstheme="minorHAnsi"/>
                <w:sz w:val="22"/>
                <w:szCs w:val="22"/>
              </w:rPr>
              <w:t xml:space="preserve">la </w:t>
            </w:r>
            <w:proofErr w:type="gramStart"/>
            <w:r w:rsidR="00F10E75" w:rsidRPr="00E86344">
              <w:rPr>
                <w:rFonts w:cstheme="minorHAnsi"/>
                <w:sz w:val="22"/>
                <w:szCs w:val="22"/>
              </w:rPr>
              <w:t>Directora</w:t>
            </w:r>
            <w:proofErr w:type="gramEnd"/>
            <w:r w:rsidR="00F10E75" w:rsidRPr="00E86344">
              <w:rPr>
                <w:rFonts w:cstheme="minorHAnsi"/>
                <w:sz w:val="22"/>
                <w:szCs w:val="22"/>
              </w:rPr>
              <w:t xml:space="preserve"> de la Oficina de Desarrollo de las Telecomunicaciones;</w:t>
            </w:r>
          </w:p>
          <w:p w14:paraId="4CBD28E7" w14:textId="66B5273E" w:rsidR="00F10E75" w:rsidRPr="00E86344" w:rsidRDefault="00C66442" w:rsidP="00C66442">
            <w:pPr>
              <w:tabs>
                <w:tab w:val="clear" w:pos="794"/>
                <w:tab w:val="left" w:pos="391"/>
              </w:tabs>
              <w:spacing w:before="40" w:after="40"/>
              <w:ind w:left="391" w:hanging="391"/>
              <w:rPr>
                <w:rFonts w:cstheme="minorHAnsi"/>
                <w:sz w:val="22"/>
                <w:szCs w:val="22"/>
              </w:rPr>
            </w:pPr>
            <w:r w:rsidRPr="00E86344">
              <w:rPr>
                <w:rFonts w:cstheme="minorHAnsi"/>
                <w:sz w:val="22"/>
                <w:szCs w:val="22"/>
              </w:rPr>
              <w:t>–</w:t>
            </w:r>
            <w:r w:rsidRPr="00E86344">
              <w:rPr>
                <w:rFonts w:cstheme="minorHAnsi"/>
                <w:sz w:val="22"/>
                <w:szCs w:val="22"/>
              </w:rPr>
              <w:tab/>
            </w:r>
            <w:r w:rsidR="00F10E75" w:rsidRPr="00E86344">
              <w:rPr>
                <w:rFonts w:cstheme="minorHAnsi"/>
                <w:sz w:val="22"/>
                <w:szCs w:val="22"/>
              </w:rPr>
              <w:t xml:space="preserve">el </w:t>
            </w:r>
            <w:proofErr w:type="gramStart"/>
            <w:r w:rsidR="00F10E75" w:rsidRPr="00E86344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="00F10E75" w:rsidRPr="00E86344">
              <w:rPr>
                <w:rFonts w:cstheme="minorHAnsi"/>
                <w:sz w:val="22"/>
                <w:szCs w:val="22"/>
              </w:rPr>
              <w:t xml:space="preserve"> de la Oficina de Radiocomunicaciones;</w:t>
            </w:r>
          </w:p>
          <w:p w14:paraId="45CC0CFC" w14:textId="4EAF66D0" w:rsidR="00C34772" w:rsidRPr="00E86344" w:rsidRDefault="00C66442" w:rsidP="00C66442">
            <w:pPr>
              <w:tabs>
                <w:tab w:val="clear" w:pos="794"/>
                <w:tab w:val="left" w:pos="391"/>
              </w:tabs>
              <w:spacing w:before="40" w:after="40"/>
              <w:ind w:left="391" w:hanging="391"/>
              <w:rPr>
                <w:rFonts w:cstheme="minorHAnsi"/>
                <w:sz w:val="22"/>
                <w:szCs w:val="22"/>
              </w:rPr>
            </w:pPr>
            <w:r w:rsidRPr="00E86344">
              <w:rPr>
                <w:rFonts w:cstheme="minorHAnsi"/>
                <w:sz w:val="22"/>
                <w:szCs w:val="22"/>
              </w:rPr>
              <w:t>–</w:t>
            </w:r>
            <w:r w:rsidRPr="00E86344">
              <w:rPr>
                <w:rFonts w:cstheme="minorHAnsi"/>
                <w:sz w:val="22"/>
                <w:szCs w:val="22"/>
              </w:rPr>
              <w:tab/>
            </w:r>
            <w:r w:rsidR="00F10E75" w:rsidRPr="00E86344">
              <w:rPr>
                <w:rFonts w:cstheme="minorHAnsi"/>
                <w:sz w:val="22"/>
                <w:szCs w:val="22"/>
              </w:rPr>
              <w:t xml:space="preserve">el </w:t>
            </w:r>
            <w:proofErr w:type="gramStart"/>
            <w:r w:rsidR="00F10E75" w:rsidRPr="00E86344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="00F10E75" w:rsidRPr="00E86344">
              <w:rPr>
                <w:rFonts w:cstheme="minorHAnsi"/>
                <w:sz w:val="22"/>
                <w:szCs w:val="22"/>
              </w:rPr>
              <w:t xml:space="preserve"> de la Oficina Regional de la UIT para África, Addis Abeba</w:t>
            </w:r>
          </w:p>
        </w:tc>
      </w:tr>
      <w:tr w:rsidR="007B6316" w:rsidRPr="00E86344" w14:paraId="15801630" w14:textId="77777777" w:rsidTr="00C66442">
        <w:trPr>
          <w:cantSplit/>
        </w:trPr>
        <w:tc>
          <w:tcPr>
            <w:tcW w:w="1406" w:type="dxa"/>
          </w:tcPr>
          <w:p w14:paraId="6611DA4F" w14:textId="77777777" w:rsidR="007B6316" w:rsidRPr="00E86344" w:rsidRDefault="007B6316" w:rsidP="00C6644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E86344">
              <w:rPr>
                <w:rFonts w:cstheme="minorHAnsi"/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8800" w:type="dxa"/>
            <w:gridSpan w:val="2"/>
          </w:tcPr>
          <w:p w14:paraId="55F0E4A3" w14:textId="44275D17" w:rsidR="007B6316" w:rsidRPr="00E86344" w:rsidRDefault="00F10E75" w:rsidP="00C6644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E86344">
              <w:rPr>
                <w:rFonts w:cstheme="minorHAnsi"/>
                <w:b/>
                <w:bCs/>
                <w:sz w:val="22"/>
                <w:szCs w:val="22"/>
              </w:rPr>
              <w:t xml:space="preserve">Taller de la UIT sobre "Calidad de los servicios de telecomunicaciones" (Banjul </w:t>
            </w:r>
            <w:r w:rsidR="00C66442" w:rsidRPr="00E86344">
              <w:rPr>
                <w:rFonts w:cstheme="minorHAnsi"/>
                <w:b/>
                <w:bCs/>
                <w:sz w:val="22"/>
                <w:szCs w:val="22"/>
              </w:rPr>
              <w:t>(</w:t>
            </w:r>
            <w:r w:rsidRPr="00E86344">
              <w:rPr>
                <w:rFonts w:cstheme="minorHAnsi"/>
                <w:b/>
                <w:bCs/>
                <w:sz w:val="22"/>
                <w:szCs w:val="22"/>
              </w:rPr>
              <w:t>República de Gambia</w:t>
            </w:r>
            <w:r w:rsidR="00C66442" w:rsidRPr="00E86344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r w:rsidRPr="00E86344">
              <w:rPr>
                <w:rFonts w:cstheme="minorHAnsi"/>
                <w:b/>
                <w:bCs/>
                <w:sz w:val="22"/>
                <w:szCs w:val="22"/>
              </w:rPr>
              <w:t>, 13-14 de marzo de 2023)</w:t>
            </w:r>
          </w:p>
        </w:tc>
      </w:tr>
    </w:tbl>
    <w:p w14:paraId="6DDFE229" w14:textId="77777777" w:rsidR="00C34772" w:rsidRPr="00E86344" w:rsidRDefault="00C34772" w:rsidP="00C66442">
      <w:pPr>
        <w:pStyle w:val="Normalaftertitle"/>
        <w:rPr>
          <w:rFonts w:cstheme="minorHAnsi"/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E86344">
        <w:rPr>
          <w:rFonts w:cstheme="minorHAnsi"/>
          <w:sz w:val="22"/>
          <w:szCs w:val="22"/>
        </w:rPr>
        <w:t>Muy Señora mía/Muy Señor mío:</w:t>
      </w:r>
    </w:p>
    <w:p w14:paraId="40CC6739" w14:textId="6D67C6D1" w:rsidR="00F10E75" w:rsidRPr="00E86344" w:rsidRDefault="00F10E75" w:rsidP="00F10E75">
      <w:pPr>
        <w:rPr>
          <w:rFonts w:cstheme="minorHAnsi"/>
          <w:sz w:val="22"/>
          <w:szCs w:val="22"/>
          <w:lang w:val="es-ES"/>
        </w:rPr>
      </w:pPr>
      <w:r w:rsidRPr="00E86344">
        <w:rPr>
          <w:rFonts w:cstheme="minorHAnsi"/>
          <w:sz w:val="22"/>
          <w:szCs w:val="22"/>
          <w:lang w:val="es-ES"/>
        </w:rPr>
        <w:t>1</w:t>
      </w:r>
      <w:r w:rsidRPr="00E86344">
        <w:rPr>
          <w:rFonts w:cstheme="minorHAnsi"/>
          <w:sz w:val="22"/>
          <w:szCs w:val="22"/>
          <w:lang w:val="es-ES"/>
        </w:rPr>
        <w:tab/>
      </w:r>
      <w:proofErr w:type="gramStart"/>
      <w:r w:rsidRPr="00E86344">
        <w:rPr>
          <w:rFonts w:cstheme="minorHAnsi"/>
          <w:sz w:val="22"/>
          <w:szCs w:val="22"/>
          <w:lang w:val="es-ES"/>
        </w:rPr>
        <w:t>Me</w:t>
      </w:r>
      <w:proofErr w:type="gramEnd"/>
      <w:r w:rsidRPr="00E86344">
        <w:rPr>
          <w:rFonts w:cstheme="minorHAnsi"/>
          <w:sz w:val="22"/>
          <w:szCs w:val="22"/>
          <w:lang w:val="es-ES"/>
        </w:rPr>
        <w:t xml:space="preserve"> complace informarle que la Unión Internacional de Telecomunicaciones (UIT) está organizando un taller sobre "</w:t>
      </w:r>
      <w:r w:rsidRPr="00E86344">
        <w:rPr>
          <w:rFonts w:cstheme="minorHAnsi"/>
          <w:b/>
          <w:bCs/>
          <w:sz w:val="22"/>
          <w:szCs w:val="22"/>
          <w:lang w:val="es-ES"/>
        </w:rPr>
        <w:t>Calidad de los servicios de telecomunicaciones</w:t>
      </w:r>
      <w:r w:rsidRPr="00E86344">
        <w:rPr>
          <w:rFonts w:cstheme="minorHAnsi"/>
          <w:sz w:val="22"/>
          <w:szCs w:val="22"/>
          <w:lang w:val="es-ES"/>
        </w:rPr>
        <w:t>" en Banjul (República de Gambia), los días 13 y 14 de marzo de 2023.</w:t>
      </w:r>
    </w:p>
    <w:p w14:paraId="7CA0D4A3" w14:textId="77777777" w:rsidR="00F10E75" w:rsidRPr="00E86344" w:rsidRDefault="00F10E75" w:rsidP="00F10E75">
      <w:pPr>
        <w:rPr>
          <w:rFonts w:cstheme="minorHAnsi"/>
          <w:sz w:val="22"/>
          <w:szCs w:val="22"/>
          <w:lang w:val="es-ES"/>
        </w:rPr>
      </w:pPr>
      <w:r w:rsidRPr="00E86344">
        <w:rPr>
          <w:rFonts w:cstheme="minorHAnsi"/>
          <w:sz w:val="22"/>
          <w:szCs w:val="22"/>
          <w:lang w:val="es-ES"/>
        </w:rPr>
        <w:t>El amable anfitrión del taller será el organismo regulador de los servicios públicos de Gambia, PURA.</w:t>
      </w:r>
    </w:p>
    <w:p w14:paraId="410A76BD" w14:textId="630D496D" w:rsidR="00F10E75" w:rsidRPr="00E86344" w:rsidRDefault="00F10E75" w:rsidP="00F10E75">
      <w:pPr>
        <w:rPr>
          <w:rFonts w:cstheme="minorHAnsi"/>
          <w:sz w:val="22"/>
          <w:szCs w:val="22"/>
          <w:lang w:val="es-ES"/>
        </w:rPr>
      </w:pPr>
      <w:r w:rsidRPr="00E86344">
        <w:rPr>
          <w:rFonts w:cstheme="minorHAnsi"/>
          <w:sz w:val="22"/>
          <w:szCs w:val="22"/>
          <w:lang w:val="es-ES"/>
        </w:rPr>
        <w:t xml:space="preserve">El taller se celebra con ocasión de la reunión del </w:t>
      </w:r>
      <w:hyperlink r:id="rId11" w:history="1">
        <w:r w:rsidRPr="00E86344">
          <w:rPr>
            <w:rStyle w:val="Hyperlink"/>
            <w:rFonts w:cstheme="minorHAnsi"/>
            <w:sz w:val="22"/>
            <w:szCs w:val="22"/>
            <w:lang w:val="es-ES"/>
          </w:rPr>
          <w:t>Grupo Regional de la CE</w:t>
        </w:r>
        <w:r w:rsidR="00C66442" w:rsidRPr="00E86344">
          <w:rPr>
            <w:rStyle w:val="Hyperlink"/>
            <w:rFonts w:cstheme="minorHAnsi"/>
            <w:sz w:val="22"/>
            <w:szCs w:val="22"/>
            <w:lang w:val="es-ES"/>
          </w:rPr>
          <w:t> </w:t>
        </w:r>
        <w:r w:rsidRPr="00E86344">
          <w:rPr>
            <w:rStyle w:val="Hyperlink"/>
            <w:rFonts w:cstheme="minorHAnsi"/>
            <w:sz w:val="22"/>
            <w:szCs w:val="22"/>
            <w:lang w:val="es-ES"/>
          </w:rPr>
          <w:t>12 del UIT-T sobre Calidad de Servicio para la Región de África (GR-AFR de la CE</w:t>
        </w:r>
        <w:r w:rsidR="00C66442" w:rsidRPr="00E86344">
          <w:rPr>
            <w:rStyle w:val="Hyperlink"/>
            <w:rFonts w:cstheme="minorHAnsi"/>
            <w:sz w:val="22"/>
            <w:szCs w:val="22"/>
            <w:lang w:val="es-ES"/>
          </w:rPr>
          <w:t> </w:t>
        </w:r>
        <w:r w:rsidRPr="00E86344">
          <w:rPr>
            <w:rStyle w:val="Hyperlink"/>
            <w:rFonts w:cstheme="minorHAnsi"/>
            <w:sz w:val="22"/>
            <w:szCs w:val="22"/>
            <w:lang w:val="es-ES"/>
          </w:rPr>
          <w:t>12)</w:t>
        </w:r>
      </w:hyperlink>
      <w:r w:rsidRPr="00E86344">
        <w:rPr>
          <w:rFonts w:cstheme="minorHAnsi"/>
          <w:sz w:val="22"/>
          <w:szCs w:val="22"/>
          <w:lang w:val="es-ES"/>
        </w:rPr>
        <w:t xml:space="preserve"> y su sesión de formación práctica sobre </w:t>
      </w:r>
      <w:hyperlink r:id="rId12" w:history="1">
        <w:r w:rsidRPr="00E86344">
          <w:rPr>
            <w:rStyle w:val="Hyperlink"/>
            <w:rFonts w:cstheme="minorHAnsi"/>
            <w:sz w:val="22"/>
            <w:szCs w:val="22"/>
            <w:lang w:val="es-ES"/>
          </w:rPr>
          <w:t>reducción de la brecha de normalización</w:t>
        </w:r>
      </w:hyperlink>
      <w:r w:rsidRPr="00E86344">
        <w:rPr>
          <w:rFonts w:cstheme="minorHAnsi"/>
          <w:sz w:val="22"/>
          <w:szCs w:val="22"/>
          <w:lang w:val="es-ES"/>
        </w:rPr>
        <w:t xml:space="preserve"> (15-16 de marzo de 2023).</w:t>
      </w:r>
    </w:p>
    <w:p w14:paraId="4979FE83" w14:textId="7C5E3F55" w:rsidR="00F10E75" w:rsidRPr="00E86344" w:rsidRDefault="00F10E75" w:rsidP="00F10E75">
      <w:pPr>
        <w:rPr>
          <w:rFonts w:cstheme="minorHAnsi"/>
          <w:sz w:val="22"/>
          <w:szCs w:val="22"/>
          <w:lang w:val="es-ES"/>
        </w:rPr>
      </w:pPr>
      <w:r w:rsidRPr="00E86344">
        <w:rPr>
          <w:rFonts w:cstheme="minorHAnsi"/>
          <w:sz w:val="22"/>
          <w:szCs w:val="22"/>
          <w:lang w:val="es-ES"/>
        </w:rPr>
        <w:t>2</w:t>
      </w:r>
      <w:r w:rsidRPr="00E86344">
        <w:rPr>
          <w:rFonts w:cstheme="minorHAnsi"/>
          <w:sz w:val="22"/>
          <w:szCs w:val="22"/>
          <w:lang w:val="es-ES"/>
        </w:rPr>
        <w:tab/>
        <w:t xml:space="preserve">El objetivo del taller, facilitado por el </w:t>
      </w:r>
      <w:hyperlink r:id="rId13" w:history="1">
        <w:r w:rsidRPr="00E86344">
          <w:rPr>
            <w:rStyle w:val="Hyperlink"/>
            <w:rFonts w:cstheme="minorHAnsi"/>
            <w:sz w:val="22"/>
            <w:szCs w:val="22"/>
            <w:lang w:val="es-ES"/>
          </w:rPr>
          <w:t>Grupo para el desarrollo de la calidad de servicio (GDCS)</w:t>
        </w:r>
      </w:hyperlink>
      <w:r w:rsidRPr="00E86344">
        <w:rPr>
          <w:rFonts w:cstheme="minorHAnsi"/>
          <w:sz w:val="22"/>
          <w:szCs w:val="22"/>
          <w:lang w:val="es-ES"/>
        </w:rPr>
        <w:t xml:space="preserve">, que desarrolla su labor en el marco de la </w:t>
      </w:r>
      <w:hyperlink r:id="rId14" w:history="1">
        <w:r w:rsidRPr="00E86344">
          <w:rPr>
            <w:rStyle w:val="Hyperlink"/>
            <w:rFonts w:cstheme="minorHAnsi"/>
            <w:sz w:val="22"/>
            <w:szCs w:val="22"/>
            <w:lang w:val="es-ES"/>
          </w:rPr>
          <w:t>Comisión de Estudio</w:t>
        </w:r>
        <w:r w:rsidR="002313F2" w:rsidRPr="00E86344">
          <w:rPr>
            <w:rStyle w:val="Hyperlink"/>
            <w:rFonts w:cstheme="minorHAnsi"/>
            <w:sz w:val="22"/>
            <w:szCs w:val="22"/>
            <w:lang w:val="es-ES"/>
          </w:rPr>
          <w:t> </w:t>
        </w:r>
        <w:r w:rsidRPr="00E86344">
          <w:rPr>
            <w:rStyle w:val="Hyperlink"/>
            <w:rFonts w:cstheme="minorHAnsi"/>
            <w:sz w:val="22"/>
            <w:szCs w:val="22"/>
            <w:lang w:val="es-ES"/>
          </w:rPr>
          <w:t>12 del UIT-T</w:t>
        </w:r>
      </w:hyperlink>
      <w:r w:rsidRPr="00E86344">
        <w:rPr>
          <w:rFonts w:cstheme="minorHAnsi"/>
          <w:sz w:val="22"/>
          <w:szCs w:val="22"/>
          <w:lang w:val="es-ES"/>
        </w:rPr>
        <w:t xml:space="preserve"> (Calidad de funcionamiento, calidad de servicio y calidad percibida) es ampliar el alcance de las actividades de la UIT sobre la calidad de los servicios de telecomunicaciones en la Región de África y fomentar la aplicación de la </w:t>
      </w:r>
      <w:hyperlink r:id="rId15" w:history="1">
        <w:r w:rsidRPr="00E86344">
          <w:rPr>
            <w:rStyle w:val="Hyperlink"/>
            <w:rFonts w:cstheme="minorHAnsi"/>
            <w:sz w:val="22"/>
            <w:szCs w:val="22"/>
            <w:lang w:val="es-ES"/>
          </w:rPr>
          <w:t>Resolución</w:t>
        </w:r>
        <w:r w:rsidR="00E36050" w:rsidRPr="00E86344">
          <w:rPr>
            <w:rStyle w:val="Hyperlink"/>
            <w:rFonts w:cstheme="minorHAnsi"/>
            <w:sz w:val="22"/>
            <w:szCs w:val="22"/>
            <w:lang w:val="es-ES"/>
          </w:rPr>
          <w:t> </w:t>
        </w:r>
        <w:r w:rsidRPr="00E86344">
          <w:rPr>
            <w:rStyle w:val="Hyperlink"/>
            <w:rFonts w:cstheme="minorHAnsi"/>
            <w:sz w:val="22"/>
            <w:szCs w:val="22"/>
            <w:lang w:val="es-ES"/>
          </w:rPr>
          <w:t>95 de la AMNT</w:t>
        </w:r>
      </w:hyperlink>
      <w:r w:rsidRPr="00E86344">
        <w:rPr>
          <w:rFonts w:cstheme="minorHAnsi"/>
          <w:sz w:val="22"/>
          <w:szCs w:val="22"/>
          <w:lang w:val="es-ES"/>
        </w:rPr>
        <w:t xml:space="preserve"> sobre las iniciativas del UIT-T encaminadas a aumentar la concienciación en materia de prácticas y políticas idóneas sobre calidad de servicio.</w:t>
      </w:r>
    </w:p>
    <w:p w14:paraId="6825B6DD" w14:textId="77777777" w:rsidR="00F10E75" w:rsidRPr="00E86344" w:rsidRDefault="00F10E75" w:rsidP="00F10E75">
      <w:pPr>
        <w:rPr>
          <w:rFonts w:cstheme="minorHAnsi"/>
          <w:sz w:val="22"/>
          <w:szCs w:val="22"/>
          <w:lang w:val="es-ES"/>
        </w:rPr>
      </w:pPr>
      <w:r w:rsidRPr="00E86344">
        <w:rPr>
          <w:rFonts w:cstheme="minorHAnsi"/>
          <w:sz w:val="22"/>
          <w:szCs w:val="22"/>
          <w:lang w:val="es-ES"/>
        </w:rPr>
        <w:t>3</w:t>
      </w:r>
      <w:r w:rsidRPr="00E86344">
        <w:rPr>
          <w:rFonts w:cstheme="minorHAnsi"/>
          <w:sz w:val="22"/>
          <w:szCs w:val="22"/>
          <w:lang w:val="es-ES"/>
        </w:rPr>
        <w:tab/>
      </w:r>
      <w:proofErr w:type="gramStart"/>
      <w:r w:rsidRPr="00E86344">
        <w:rPr>
          <w:rFonts w:cstheme="minorHAnsi"/>
          <w:sz w:val="22"/>
          <w:szCs w:val="22"/>
          <w:lang w:val="es-ES"/>
        </w:rPr>
        <w:t>Los</w:t>
      </w:r>
      <w:proofErr w:type="gramEnd"/>
      <w:r w:rsidRPr="00E86344">
        <w:rPr>
          <w:rFonts w:cstheme="minorHAnsi"/>
          <w:sz w:val="22"/>
          <w:szCs w:val="22"/>
          <w:lang w:val="es-ES"/>
        </w:rPr>
        <w:t xml:space="preserve"> objetivos del taller son, entre otros:</w:t>
      </w:r>
    </w:p>
    <w:p w14:paraId="09E51CDF" w14:textId="2F7BA6B9" w:rsidR="00F10E75" w:rsidRPr="00E86344" w:rsidRDefault="00C66442" w:rsidP="00C66442">
      <w:pPr>
        <w:pStyle w:val="enumlev1"/>
        <w:rPr>
          <w:rFonts w:cstheme="minorHAnsi"/>
          <w:sz w:val="22"/>
          <w:szCs w:val="22"/>
          <w:lang w:val="es-ES"/>
        </w:rPr>
      </w:pPr>
      <w:r w:rsidRPr="00E86344">
        <w:rPr>
          <w:rFonts w:cstheme="minorHAnsi"/>
          <w:sz w:val="22"/>
          <w:szCs w:val="22"/>
          <w:lang w:val="es-ES"/>
        </w:rPr>
        <w:t>–</w:t>
      </w:r>
      <w:r w:rsidRPr="00E86344">
        <w:rPr>
          <w:rFonts w:cstheme="minorHAnsi"/>
          <w:sz w:val="22"/>
          <w:szCs w:val="22"/>
          <w:lang w:val="es-ES"/>
        </w:rPr>
        <w:tab/>
      </w:r>
      <w:r w:rsidR="00F10E75" w:rsidRPr="00E86344">
        <w:rPr>
          <w:rFonts w:cstheme="minorHAnsi"/>
          <w:sz w:val="22"/>
          <w:szCs w:val="22"/>
          <w:lang w:val="es-ES"/>
        </w:rPr>
        <w:t>presentar la labor de la Comisión de Estudio</w:t>
      </w:r>
      <w:r w:rsidR="00E36050" w:rsidRPr="00E86344">
        <w:rPr>
          <w:rFonts w:cstheme="minorHAnsi"/>
          <w:sz w:val="22"/>
          <w:szCs w:val="22"/>
          <w:lang w:val="es-ES"/>
        </w:rPr>
        <w:t> </w:t>
      </w:r>
      <w:r w:rsidR="00F10E75" w:rsidRPr="00E86344">
        <w:rPr>
          <w:rFonts w:cstheme="minorHAnsi"/>
          <w:sz w:val="22"/>
          <w:szCs w:val="22"/>
          <w:lang w:val="es-ES"/>
        </w:rPr>
        <w:t>12 del UIT-T sobre funcionamiento, calidad de servicio (QoS) y calidad percibida (QoE);</w:t>
      </w:r>
    </w:p>
    <w:p w14:paraId="35914FA9" w14:textId="14589633" w:rsidR="00F10E75" w:rsidRPr="00E86344" w:rsidRDefault="00C66442" w:rsidP="00C66442">
      <w:pPr>
        <w:pStyle w:val="enumlev1"/>
        <w:rPr>
          <w:rFonts w:cstheme="minorHAnsi"/>
          <w:sz w:val="22"/>
          <w:szCs w:val="22"/>
          <w:lang w:val="es-ES"/>
        </w:rPr>
      </w:pPr>
      <w:r w:rsidRPr="00E86344">
        <w:rPr>
          <w:rFonts w:cstheme="minorHAnsi"/>
          <w:sz w:val="22"/>
          <w:szCs w:val="22"/>
          <w:lang w:val="es-ES"/>
        </w:rPr>
        <w:t>–</w:t>
      </w:r>
      <w:r w:rsidRPr="00E86344">
        <w:rPr>
          <w:rFonts w:cstheme="minorHAnsi"/>
          <w:sz w:val="22"/>
          <w:szCs w:val="22"/>
          <w:lang w:val="es-ES"/>
        </w:rPr>
        <w:tab/>
      </w:r>
      <w:r w:rsidR="00F10E75" w:rsidRPr="00E86344">
        <w:rPr>
          <w:rFonts w:cstheme="minorHAnsi"/>
          <w:sz w:val="22"/>
          <w:szCs w:val="22"/>
          <w:lang w:val="es-ES"/>
        </w:rPr>
        <w:t>intercambiar mejores prácticas de calidad, experiencias y lecciones aprendidas de los servicios de telecomunicaciones, comprendidas las prácticas de evaluación de la QoS/QoE, establecimiento de referencias y optimización;</w:t>
      </w:r>
    </w:p>
    <w:p w14:paraId="22A9C629" w14:textId="2586D09C" w:rsidR="00F10E75" w:rsidRPr="00E86344" w:rsidRDefault="00C66442" w:rsidP="00C66442">
      <w:pPr>
        <w:pStyle w:val="enumlev1"/>
        <w:rPr>
          <w:rFonts w:cstheme="minorHAnsi"/>
          <w:sz w:val="22"/>
          <w:szCs w:val="22"/>
          <w:lang w:val="es-ES"/>
        </w:rPr>
      </w:pPr>
      <w:r w:rsidRPr="00E86344">
        <w:rPr>
          <w:rFonts w:cstheme="minorHAnsi"/>
          <w:sz w:val="22"/>
          <w:szCs w:val="22"/>
          <w:lang w:val="es-ES"/>
        </w:rPr>
        <w:t>–</w:t>
      </w:r>
      <w:r w:rsidRPr="00E86344">
        <w:rPr>
          <w:rFonts w:cstheme="minorHAnsi"/>
          <w:sz w:val="22"/>
          <w:szCs w:val="22"/>
          <w:lang w:val="es-ES"/>
        </w:rPr>
        <w:tab/>
      </w:r>
      <w:r w:rsidR="00F10E75" w:rsidRPr="00E86344">
        <w:rPr>
          <w:rFonts w:cstheme="minorHAnsi"/>
          <w:sz w:val="22"/>
          <w:szCs w:val="22"/>
          <w:lang w:val="es-ES"/>
        </w:rPr>
        <w:t>evaluar el impacto de las tendencias del sector de telecomunicaciones en la calidad de servicio, y</w:t>
      </w:r>
    </w:p>
    <w:p w14:paraId="6623DC79" w14:textId="7D991BA8" w:rsidR="00F10E75" w:rsidRPr="00E86344" w:rsidRDefault="00C66442" w:rsidP="00C66442">
      <w:pPr>
        <w:pStyle w:val="enumlev1"/>
        <w:rPr>
          <w:rFonts w:cstheme="minorHAnsi"/>
          <w:sz w:val="22"/>
          <w:szCs w:val="22"/>
          <w:lang w:val="es-ES"/>
        </w:rPr>
      </w:pPr>
      <w:r w:rsidRPr="00E86344">
        <w:rPr>
          <w:rFonts w:cstheme="minorHAnsi"/>
          <w:sz w:val="22"/>
          <w:szCs w:val="22"/>
          <w:lang w:val="es-ES"/>
        </w:rPr>
        <w:t>–</w:t>
      </w:r>
      <w:r w:rsidRPr="00E86344">
        <w:rPr>
          <w:rFonts w:cstheme="minorHAnsi"/>
          <w:sz w:val="22"/>
          <w:szCs w:val="22"/>
          <w:lang w:val="es-ES"/>
        </w:rPr>
        <w:tab/>
      </w:r>
      <w:r w:rsidR="00F10E75" w:rsidRPr="00E86344">
        <w:rPr>
          <w:rFonts w:cstheme="minorHAnsi"/>
          <w:sz w:val="22"/>
          <w:szCs w:val="22"/>
          <w:lang w:val="es-ES"/>
        </w:rPr>
        <w:t>establecer cuáles son los requisitos y estrategias para hacer inventario de la conectividad y la calidad del servicio de telecomunicaciones y visualizarlas.</w:t>
      </w:r>
    </w:p>
    <w:p w14:paraId="08CDF609" w14:textId="77777777" w:rsidR="00F10E75" w:rsidRPr="00E86344" w:rsidRDefault="00F10E75" w:rsidP="00F10E75">
      <w:pPr>
        <w:rPr>
          <w:rFonts w:cstheme="minorHAnsi"/>
          <w:sz w:val="22"/>
          <w:szCs w:val="22"/>
          <w:lang w:val="es-ES"/>
        </w:rPr>
      </w:pPr>
      <w:r w:rsidRPr="00E86344">
        <w:rPr>
          <w:rFonts w:cstheme="minorHAnsi"/>
          <w:sz w:val="22"/>
          <w:szCs w:val="22"/>
          <w:lang w:val="es-ES"/>
        </w:rPr>
        <w:lastRenderedPageBreak/>
        <w:t>4</w:t>
      </w:r>
      <w:r w:rsidRPr="00E86344">
        <w:rPr>
          <w:rFonts w:cstheme="minorHAnsi"/>
          <w:sz w:val="22"/>
          <w:szCs w:val="22"/>
          <w:lang w:val="es-ES"/>
        </w:rPr>
        <w:tab/>
      </w:r>
      <w:proofErr w:type="gramStart"/>
      <w:r w:rsidRPr="00E86344">
        <w:rPr>
          <w:rFonts w:cstheme="minorHAnsi"/>
          <w:sz w:val="22"/>
          <w:szCs w:val="22"/>
          <w:lang w:val="es-ES"/>
        </w:rPr>
        <w:t>El</w:t>
      </w:r>
      <w:proofErr w:type="gramEnd"/>
      <w:r w:rsidRPr="00E86344">
        <w:rPr>
          <w:rFonts w:cstheme="minorHAnsi"/>
          <w:sz w:val="22"/>
          <w:szCs w:val="22"/>
          <w:lang w:val="es-ES"/>
        </w:rPr>
        <w:t xml:space="preserve"> taller está dirigido a representantes de organismos reguladores nacionales, ministerios, proveedores de servicios y soluciones, instituciones académicas, instituciones de investigación y desarrollo, grupos de derechos de consumidores y otras organizaciones que se ocupan de temas relacionados con la calidad de los servicios de telecomunicaciones. La participación es gratuita y está abierta a todas las partes interesadas, en particular a Estados Miembros, Miembros de Sector, Asociados e Instituciones Académicas de la UIT, así como cualquier persona de un país que sea miembro de la UIT y desee contribuir a los trabajos.</w:t>
      </w:r>
    </w:p>
    <w:p w14:paraId="60647635" w14:textId="3D8F71E3" w:rsidR="00F10E75" w:rsidRPr="00E86344" w:rsidRDefault="00F10E75" w:rsidP="00F10E75">
      <w:pPr>
        <w:rPr>
          <w:rFonts w:cstheme="minorHAnsi"/>
          <w:sz w:val="22"/>
          <w:szCs w:val="22"/>
          <w:lang w:val="es-ES"/>
        </w:rPr>
      </w:pPr>
      <w:r w:rsidRPr="00E86344">
        <w:rPr>
          <w:rFonts w:cstheme="minorHAnsi"/>
          <w:sz w:val="22"/>
          <w:szCs w:val="22"/>
          <w:lang w:val="es-ES"/>
        </w:rPr>
        <w:t>5</w:t>
      </w:r>
      <w:r w:rsidRPr="00E86344">
        <w:rPr>
          <w:rFonts w:cstheme="minorHAnsi"/>
          <w:sz w:val="22"/>
          <w:szCs w:val="22"/>
          <w:lang w:val="es-ES"/>
        </w:rPr>
        <w:tab/>
      </w:r>
      <w:proofErr w:type="gramStart"/>
      <w:r w:rsidRPr="00E86344">
        <w:rPr>
          <w:rFonts w:cstheme="minorHAnsi"/>
          <w:sz w:val="22"/>
          <w:szCs w:val="22"/>
          <w:lang w:val="es-ES"/>
        </w:rPr>
        <w:t>Toda</w:t>
      </w:r>
      <w:proofErr w:type="gramEnd"/>
      <w:r w:rsidRPr="00E86344">
        <w:rPr>
          <w:rFonts w:cstheme="minorHAnsi"/>
          <w:sz w:val="22"/>
          <w:szCs w:val="22"/>
          <w:lang w:val="es-ES"/>
        </w:rPr>
        <w:t xml:space="preserve"> la información pertinente relativa a la conferencia (proyecto de programa, ponentes y enlace de inscripción) estará disponible en la siguiente página web: </w:t>
      </w:r>
      <w:hyperlink r:id="rId16" w:history="1">
        <w:r w:rsidR="00C66442" w:rsidRPr="00E86344">
          <w:rPr>
            <w:rStyle w:val="Hyperlink"/>
            <w:rFonts w:cstheme="minorHAnsi"/>
            <w:sz w:val="22"/>
            <w:szCs w:val="22"/>
            <w:lang w:val="es-ES"/>
          </w:rPr>
          <w:t>https://www.itu.int/en/ITU-T/Workshops-and-Seminars/qos/20230313/Pages/default.aspx</w:t>
        </w:r>
      </w:hyperlink>
      <w:r w:rsidR="00C66442" w:rsidRPr="00E86344">
        <w:rPr>
          <w:rFonts w:cstheme="minorHAnsi"/>
          <w:sz w:val="22"/>
          <w:szCs w:val="22"/>
          <w:lang w:val="es-ES"/>
        </w:rPr>
        <w:t>.</w:t>
      </w:r>
    </w:p>
    <w:p w14:paraId="0917BF46" w14:textId="77777777" w:rsidR="00F10E75" w:rsidRPr="00E86344" w:rsidRDefault="00F10E75" w:rsidP="00F10E75">
      <w:pPr>
        <w:rPr>
          <w:rFonts w:cstheme="minorHAnsi"/>
          <w:sz w:val="22"/>
          <w:szCs w:val="22"/>
          <w:lang w:val="es-ES"/>
        </w:rPr>
      </w:pPr>
      <w:r w:rsidRPr="00E86344">
        <w:rPr>
          <w:rFonts w:cstheme="minorHAnsi"/>
          <w:sz w:val="22"/>
          <w:szCs w:val="22"/>
          <w:lang w:val="es-ES"/>
        </w:rPr>
        <w:t>La página web del evento se actualizará periódicamente a medida que se disponga de información nueva o modificada. Se recomienda a los participantes que consulten periódicamente el sitio web para conocer las últimas actualizaciones.</w:t>
      </w:r>
    </w:p>
    <w:p w14:paraId="6F11A91C" w14:textId="4348D2AC" w:rsidR="00F10E75" w:rsidRPr="00E86344" w:rsidRDefault="00F10E75" w:rsidP="00F10E75">
      <w:pPr>
        <w:rPr>
          <w:rFonts w:cstheme="minorHAnsi"/>
          <w:sz w:val="22"/>
          <w:szCs w:val="22"/>
          <w:lang w:val="es-ES"/>
        </w:rPr>
      </w:pPr>
      <w:r w:rsidRPr="00E86344">
        <w:rPr>
          <w:rFonts w:cstheme="minorHAnsi"/>
          <w:sz w:val="22"/>
          <w:szCs w:val="22"/>
          <w:lang w:val="es-ES"/>
        </w:rPr>
        <w:t>6</w:t>
      </w:r>
      <w:r w:rsidRPr="00E86344">
        <w:rPr>
          <w:rFonts w:cstheme="minorHAnsi"/>
          <w:sz w:val="22"/>
          <w:szCs w:val="22"/>
          <w:lang w:val="es-ES"/>
        </w:rPr>
        <w:tab/>
      </w:r>
      <w:proofErr w:type="gramStart"/>
      <w:r w:rsidRPr="00E86344">
        <w:rPr>
          <w:rFonts w:cstheme="minorHAnsi"/>
          <w:sz w:val="22"/>
          <w:szCs w:val="22"/>
          <w:lang w:val="es-ES"/>
        </w:rPr>
        <w:t>En</w:t>
      </w:r>
      <w:proofErr w:type="gramEnd"/>
      <w:r w:rsidRPr="00E86344">
        <w:rPr>
          <w:rFonts w:cstheme="minorHAnsi"/>
          <w:sz w:val="22"/>
          <w:szCs w:val="22"/>
          <w:lang w:val="es-ES"/>
        </w:rPr>
        <w:t xml:space="preserve"> la página web de la UIT indicada </w:t>
      </w:r>
      <w:r w:rsidRPr="00E86344">
        <w:rPr>
          <w:rFonts w:cstheme="minorHAnsi"/>
          <w:i/>
          <w:iCs/>
          <w:sz w:val="22"/>
          <w:szCs w:val="22"/>
          <w:lang w:val="es-ES"/>
        </w:rPr>
        <w:t>supra</w:t>
      </w:r>
      <w:r w:rsidRPr="00E86344">
        <w:rPr>
          <w:rFonts w:cstheme="minorHAnsi"/>
          <w:sz w:val="22"/>
          <w:szCs w:val="22"/>
          <w:lang w:val="es-ES"/>
        </w:rPr>
        <w:t xml:space="preserve"> se facilitará información general a los participantes sobre alojamiento en hoteles, transporte y trámites de obtención de visados.</w:t>
      </w:r>
    </w:p>
    <w:p w14:paraId="1391785B" w14:textId="5BC6E05B" w:rsidR="00F10E75" w:rsidRPr="00E86344" w:rsidRDefault="00F10E75" w:rsidP="00F10E75">
      <w:pPr>
        <w:rPr>
          <w:rFonts w:cstheme="minorHAnsi"/>
          <w:sz w:val="22"/>
          <w:szCs w:val="22"/>
          <w:lang w:val="es-ES"/>
        </w:rPr>
      </w:pPr>
      <w:r w:rsidRPr="00E86344">
        <w:rPr>
          <w:rFonts w:cstheme="minorHAnsi"/>
          <w:sz w:val="22"/>
          <w:szCs w:val="22"/>
          <w:lang w:val="es-ES"/>
        </w:rPr>
        <w:t xml:space="preserve">Todos los participantes que deseen participar en el Taller deberán inscribirse previamente. Le invitamos a cumplimentar el formulario de inscripción en línea en la dirección </w:t>
      </w:r>
      <w:hyperlink r:id="rId17" w:history="1">
        <w:r w:rsidR="00C66442" w:rsidRPr="00E86344">
          <w:rPr>
            <w:rStyle w:val="Hyperlink"/>
            <w:rFonts w:cstheme="minorHAnsi"/>
            <w:sz w:val="22"/>
            <w:szCs w:val="22"/>
            <w:lang w:val="es-ES"/>
          </w:rPr>
          <w:t>https://www.itu.int/net4/CRM/xreg/web/Registration.aspx?Event=C-00012123</w:t>
        </w:r>
      </w:hyperlink>
      <w:r w:rsidRPr="00E86344">
        <w:rPr>
          <w:rFonts w:cstheme="minorHAnsi"/>
          <w:sz w:val="22"/>
          <w:szCs w:val="22"/>
          <w:lang w:val="es-ES"/>
        </w:rPr>
        <w:t>, lo antes posible.</w:t>
      </w:r>
    </w:p>
    <w:p w14:paraId="4EC30529" w14:textId="77777777" w:rsidR="00F10E75" w:rsidRPr="00E86344" w:rsidRDefault="00F10E75" w:rsidP="00F10E75">
      <w:pPr>
        <w:rPr>
          <w:rFonts w:cstheme="minorHAnsi"/>
          <w:sz w:val="22"/>
          <w:szCs w:val="22"/>
          <w:lang w:val="es-ES"/>
        </w:rPr>
      </w:pPr>
      <w:r w:rsidRPr="00E86344">
        <w:rPr>
          <w:rFonts w:cstheme="minorHAnsi"/>
          <w:b/>
          <w:bCs/>
          <w:sz w:val="22"/>
          <w:szCs w:val="22"/>
          <w:lang w:val="es-ES"/>
        </w:rPr>
        <w:t>Para poder participar presencialmente se alienta realizar la inscripción de forma temprana</w:t>
      </w:r>
      <w:r w:rsidRPr="00E86344">
        <w:rPr>
          <w:rFonts w:cstheme="minorHAnsi"/>
          <w:sz w:val="22"/>
          <w:szCs w:val="22"/>
          <w:lang w:val="es-ES"/>
        </w:rPr>
        <w:t xml:space="preserve"> y, debido a la capacidad limitada en el lugar de celebración del evento, se solicita que </w:t>
      </w:r>
      <w:r w:rsidRPr="00E86344">
        <w:rPr>
          <w:rFonts w:cstheme="minorHAnsi"/>
          <w:b/>
          <w:bCs/>
          <w:sz w:val="22"/>
          <w:szCs w:val="22"/>
          <w:lang w:val="es-ES"/>
        </w:rPr>
        <w:t xml:space="preserve">dicha inscripción </w:t>
      </w:r>
      <w:r w:rsidRPr="00E86344">
        <w:rPr>
          <w:rFonts w:cstheme="minorHAnsi"/>
          <w:sz w:val="22"/>
          <w:szCs w:val="22"/>
          <w:lang w:val="es-ES"/>
        </w:rPr>
        <w:t xml:space="preserve">se complete </w:t>
      </w:r>
      <w:r w:rsidRPr="00E86344">
        <w:rPr>
          <w:rFonts w:cstheme="minorHAnsi"/>
          <w:b/>
          <w:bCs/>
          <w:sz w:val="22"/>
          <w:szCs w:val="22"/>
          <w:lang w:val="es-ES"/>
        </w:rPr>
        <w:t>a más tardar el 24 de febrero de 2023</w:t>
      </w:r>
      <w:r w:rsidRPr="00E86344">
        <w:rPr>
          <w:rFonts w:cstheme="minorHAnsi"/>
          <w:sz w:val="22"/>
          <w:szCs w:val="22"/>
          <w:lang w:val="es-ES"/>
        </w:rPr>
        <w:t>. Le rogamos tenga presente que la preinscripción de los participantes en nuestros eventos se lleva a cabo exclusivamente en línea.</w:t>
      </w:r>
    </w:p>
    <w:p w14:paraId="2AA9E863" w14:textId="40F8C690" w:rsidR="00F10E75" w:rsidRPr="00E86344" w:rsidRDefault="00F10E75" w:rsidP="00F10E75">
      <w:pPr>
        <w:rPr>
          <w:rFonts w:cstheme="minorHAnsi"/>
          <w:sz w:val="22"/>
          <w:szCs w:val="22"/>
          <w:lang w:val="es-ES"/>
        </w:rPr>
      </w:pPr>
      <w:r w:rsidRPr="00E86344">
        <w:rPr>
          <w:rFonts w:cstheme="minorHAnsi"/>
          <w:sz w:val="22"/>
          <w:szCs w:val="22"/>
          <w:lang w:val="es-ES"/>
        </w:rPr>
        <w:t>7</w:t>
      </w:r>
      <w:r w:rsidRPr="00E86344">
        <w:rPr>
          <w:rFonts w:cstheme="minorHAnsi"/>
          <w:sz w:val="22"/>
          <w:szCs w:val="22"/>
          <w:lang w:val="es-ES"/>
        </w:rPr>
        <w:tab/>
      </w:r>
      <w:proofErr w:type="gramStart"/>
      <w:r w:rsidRPr="00E86344">
        <w:rPr>
          <w:rFonts w:cstheme="minorHAnsi"/>
          <w:sz w:val="22"/>
          <w:szCs w:val="22"/>
          <w:lang w:val="es-ES"/>
        </w:rPr>
        <w:t>Quisiera</w:t>
      </w:r>
      <w:proofErr w:type="gramEnd"/>
      <w:r w:rsidRPr="00E86344">
        <w:rPr>
          <w:rFonts w:cstheme="minorHAnsi"/>
          <w:sz w:val="22"/>
          <w:szCs w:val="22"/>
          <w:lang w:val="es-ES"/>
        </w:rPr>
        <w:t xml:space="preserve"> recordarle que los ciudadanos procedentes de ciertos países necesitan visado para entrar y permanecer en Gambia. Ese visado debe solicitarse en la oficina (embajada o consulado) que representa a Gambia en su país o, en su defecto, en la más próxima a su país de partida. Puede consultarse información adicional sobre los requisitos para la obtención del visado en el sitio web del evento, bajo el epígrafe "</w:t>
      </w:r>
      <w:hyperlink r:id="rId18" w:history="1">
        <w:r w:rsidRPr="00E86344">
          <w:rPr>
            <w:rStyle w:val="Hyperlink"/>
            <w:rFonts w:cstheme="minorHAnsi"/>
            <w:b/>
            <w:bCs/>
            <w:sz w:val="22"/>
            <w:szCs w:val="22"/>
            <w:lang w:val="es-ES"/>
          </w:rPr>
          <w:t>Información práctica</w:t>
        </w:r>
      </w:hyperlink>
      <w:r w:rsidRPr="00E86344">
        <w:rPr>
          <w:rFonts w:cstheme="minorHAnsi"/>
          <w:sz w:val="22"/>
          <w:szCs w:val="22"/>
          <w:lang w:val="es-ES"/>
        </w:rPr>
        <w:t>".</w:t>
      </w:r>
    </w:p>
    <w:p w14:paraId="42B65825" w14:textId="77777777" w:rsidR="007B6316" w:rsidRPr="00E86344" w:rsidRDefault="007B6316" w:rsidP="007B6316">
      <w:pPr>
        <w:rPr>
          <w:rFonts w:cstheme="minorHAnsi"/>
          <w:sz w:val="22"/>
          <w:szCs w:val="22"/>
        </w:rPr>
      </w:pPr>
      <w:r w:rsidRPr="00E86344">
        <w:rPr>
          <w:rFonts w:cstheme="minorHAnsi"/>
          <w:sz w:val="22"/>
          <w:szCs w:val="22"/>
        </w:rPr>
        <w:t>Atentamente,</w:t>
      </w:r>
    </w:p>
    <w:p w14:paraId="385DA356" w14:textId="6E6E3D97" w:rsidR="00401C20" w:rsidRPr="00E86344" w:rsidRDefault="002E28E8" w:rsidP="00DF1374">
      <w:pPr>
        <w:spacing w:before="960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63DAD83" wp14:editId="1E759A1C">
            <wp:simplePos x="0" y="0"/>
            <wp:positionH relativeFrom="column">
              <wp:posOffset>-1303</wp:posOffset>
            </wp:positionH>
            <wp:positionV relativeFrom="paragraph">
              <wp:posOffset>156210</wp:posOffset>
            </wp:positionV>
            <wp:extent cx="711200" cy="320311"/>
            <wp:effectExtent l="0" t="0" r="0" b="3810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20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E86344">
        <w:rPr>
          <w:rFonts w:cstheme="minorHAnsi"/>
          <w:sz w:val="22"/>
          <w:szCs w:val="22"/>
        </w:rPr>
        <w:t>Chaesub Lee</w:t>
      </w:r>
      <w:r w:rsidR="007B6316" w:rsidRPr="00E86344">
        <w:rPr>
          <w:rFonts w:cstheme="minorHAnsi"/>
          <w:sz w:val="22"/>
          <w:szCs w:val="22"/>
        </w:rPr>
        <w:br/>
      </w:r>
      <w:proofErr w:type="gramStart"/>
      <w:r w:rsidR="007B6316" w:rsidRPr="00E86344">
        <w:rPr>
          <w:rFonts w:cstheme="minorHAnsi"/>
          <w:sz w:val="22"/>
          <w:szCs w:val="22"/>
        </w:rPr>
        <w:t>Director</w:t>
      </w:r>
      <w:proofErr w:type="gramEnd"/>
      <w:r w:rsidR="007B6316" w:rsidRPr="00E86344">
        <w:rPr>
          <w:rFonts w:cstheme="minorHAnsi"/>
          <w:sz w:val="22"/>
          <w:szCs w:val="22"/>
        </w:rPr>
        <w:t xml:space="preserve"> de la Oficina de </w:t>
      </w:r>
      <w:r w:rsidR="007B6316" w:rsidRPr="00E86344">
        <w:rPr>
          <w:rFonts w:cstheme="minorHAnsi"/>
          <w:sz w:val="22"/>
          <w:szCs w:val="22"/>
        </w:rPr>
        <w:br/>
        <w:t>Normalización de las Telecomunicaciones</w:t>
      </w:r>
    </w:p>
    <w:sectPr w:rsidR="00401C20" w:rsidRPr="00E86344" w:rsidSect="00B87E9E">
      <w:headerReference w:type="default" r:id="rId20"/>
      <w:footerReference w:type="first" r:id="rId21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49416" w14:textId="77777777" w:rsidR="00CB3CA8" w:rsidRDefault="00CB3CA8">
      <w:r>
        <w:separator/>
      </w:r>
    </w:p>
  </w:endnote>
  <w:endnote w:type="continuationSeparator" w:id="0">
    <w:p w14:paraId="662BA77B" w14:textId="77777777" w:rsidR="00CB3CA8" w:rsidRDefault="00CB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8425" w14:textId="6DA15B58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C66442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0820" w14:textId="77777777" w:rsidR="00CB3CA8" w:rsidRDefault="00CB3CA8">
      <w:r>
        <w:t>____________________</w:t>
      </w:r>
    </w:p>
  </w:footnote>
  <w:footnote w:type="continuationSeparator" w:id="0">
    <w:p w14:paraId="3D06A1B7" w14:textId="77777777" w:rsidR="00CB3CA8" w:rsidRDefault="00CB3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930E" w14:textId="364DCB14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C66442">
      <w:rPr>
        <w:rStyle w:val="PageNumber"/>
        <w:sz w:val="18"/>
        <w:szCs w:val="18"/>
      </w:rPr>
      <w:br/>
    </w:r>
    <w:r w:rsidR="00C66442" w:rsidRPr="00C66442">
      <w:rPr>
        <w:sz w:val="18"/>
        <w:szCs w:val="18"/>
      </w:rPr>
      <w:t>Circular TSB 059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D389A"/>
    <w:multiLevelType w:val="hybridMultilevel"/>
    <w:tmpl w:val="5FB4F80C"/>
    <w:lvl w:ilvl="0" w:tplc="4B2E7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303080400">
    <w:abstractNumId w:val="0"/>
  </w:num>
  <w:num w:numId="2" w16cid:durableId="1458837781">
    <w:abstractNumId w:val="4"/>
  </w:num>
  <w:num w:numId="3" w16cid:durableId="581260119">
    <w:abstractNumId w:val="2"/>
  </w:num>
  <w:num w:numId="4" w16cid:durableId="995720939">
    <w:abstractNumId w:val="1"/>
  </w:num>
  <w:num w:numId="5" w16cid:durableId="1514152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75"/>
    <w:rsid w:val="00002529"/>
    <w:rsid w:val="00085662"/>
    <w:rsid w:val="000C382F"/>
    <w:rsid w:val="001173CC"/>
    <w:rsid w:val="0014464D"/>
    <w:rsid w:val="001A54CC"/>
    <w:rsid w:val="002313F2"/>
    <w:rsid w:val="00257FB4"/>
    <w:rsid w:val="002E28E8"/>
    <w:rsid w:val="002E496E"/>
    <w:rsid w:val="00303D62"/>
    <w:rsid w:val="00335367"/>
    <w:rsid w:val="00370C2D"/>
    <w:rsid w:val="003D1E8D"/>
    <w:rsid w:val="003D673B"/>
    <w:rsid w:val="003F2855"/>
    <w:rsid w:val="00401C20"/>
    <w:rsid w:val="004A7957"/>
    <w:rsid w:val="004C4144"/>
    <w:rsid w:val="0055719E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23D7A"/>
    <w:rsid w:val="0095172A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C66442"/>
    <w:rsid w:val="00CB3CA8"/>
    <w:rsid w:val="00D54642"/>
    <w:rsid w:val="00D834E7"/>
    <w:rsid w:val="00DD77C9"/>
    <w:rsid w:val="00DF1374"/>
    <w:rsid w:val="00DF3538"/>
    <w:rsid w:val="00E36050"/>
    <w:rsid w:val="00E839B0"/>
    <w:rsid w:val="00E86344"/>
    <w:rsid w:val="00E92C09"/>
    <w:rsid w:val="00F10E75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91776"/>
  <w15:docId w15:val="{9422FB26-975C-4EC6-AE60-4077AF5C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66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22-2024/12/Pages/QSDG.aspx" TargetMode="External"/><Relationship Id="rId18" Type="http://schemas.openxmlformats.org/officeDocument/2006/relationships/hyperlink" Target="https://staging.itu.int/en/ITU-T/regionalgroups/sg12-afr/Documents/2023-Gambia-Practical_information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gap/Pages/default.aspx" TargetMode="External"/><Relationship Id="rId17" Type="http://schemas.openxmlformats.org/officeDocument/2006/relationships/hyperlink" Target="https://www.itu.int/net4/CRM/xreg/web/Registration.aspx?Event=C-000121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Workshops-and-Seminars/qos/20230313/Pages/default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regionalgroups/sg12-afr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pub/T-RES-T.95-2022/es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sbevents@itu.int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12rgafr@itu.int" TargetMode="External"/><Relationship Id="rId14" Type="http://schemas.openxmlformats.org/officeDocument/2006/relationships/hyperlink" Target="https://www.itu.int/es/ITU-T/studygroups/2022-2024/12/Pages/defaul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20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5961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7</cp:revision>
  <cp:lastPrinted>2022-12-15T09:12:00Z</cp:lastPrinted>
  <dcterms:created xsi:type="dcterms:W3CDTF">2022-12-13T10:46:00Z</dcterms:created>
  <dcterms:modified xsi:type="dcterms:W3CDTF">2022-12-15T09:13:00Z</dcterms:modified>
</cp:coreProperties>
</file>