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00940399" w14:textId="77777777" w:rsidTr="007B6316">
        <w:trPr>
          <w:cantSplit/>
          <w:trHeight w:val="340"/>
        </w:trPr>
        <w:tc>
          <w:tcPr>
            <w:tcW w:w="1410" w:type="dxa"/>
            <w:gridSpan w:val="2"/>
          </w:tcPr>
          <w:p w14:paraId="0A350B6A"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7F83359D" wp14:editId="67ACB3D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30039882"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14FE7325"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FB7A9B" w14:paraId="16AC6855" w14:textId="77777777" w:rsidTr="00303D62">
        <w:trPr>
          <w:cantSplit/>
          <w:trHeight w:val="340"/>
        </w:trPr>
        <w:tc>
          <w:tcPr>
            <w:tcW w:w="993" w:type="dxa"/>
          </w:tcPr>
          <w:p w14:paraId="495ABE0D" w14:textId="77777777" w:rsidR="007B6316" w:rsidRPr="00FB7A9B" w:rsidRDefault="007B6316" w:rsidP="00303D62">
            <w:pPr>
              <w:tabs>
                <w:tab w:val="left" w:pos="4111"/>
              </w:tabs>
              <w:spacing w:before="10"/>
              <w:ind w:left="57"/>
              <w:rPr>
                <w:rFonts w:cstheme="minorHAnsi"/>
                <w:b/>
                <w:bCs/>
                <w:sz w:val="22"/>
                <w:szCs w:val="22"/>
              </w:rPr>
            </w:pPr>
          </w:p>
        </w:tc>
        <w:tc>
          <w:tcPr>
            <w:tcW w:w="3884" w:type="dxa"/>
            <w:gridSpan w:val="2"/>
          </w:tcPr>
          <w:p w14:paraId="3939DEC7" w14:textId="77777777" w:rsidR="007B6316" w:rsidRPr="00FB7A9B" w:rsidRDefault="007B6316" w:rsidP="00303D62">
            <w:pPr>
              <w:tabs>
                <w:tab w:val="left" w:pos="4111"/>
              </w:tabs>
              <w:spacing w:before="0"/>
              <w:ind w:left="57"/>
              <w:rPr>
                <w:rFonts w:cstheme="minorHAnsi"/>
                <w:b/>
                <w:sz w:val="22"/>
                <w:szCs w:val="22"/>
              </w:rPr>
            </w:pPr>
          </w:p>
        </w:tc>
        <w:tc>
          <w:tcPr>
            <w:tcW w:w="5329" w:type="dxa"/>
          </w:tcPr>
          <w:p w14:paraId="7C24465D" w14:textId="310A70DF" w:rsidR="007B6316" w:rsidRPr="00FB7A9B" w:rsidRDefault="007B6316" w:rsidP="007B6316">
            <w:pPr>
              <w:tabs>
                <w:tab w:val="clear" w:pos="794"/>
                <w:tab w:val="clear" w:pos="1191"/>
                <w:tab w:val="clear" w:pos="1588"/>
                <w:tab w:val="clear" w:pos="1985"/>
                <w:tab w:val="left" w:pos="284"/>
              </w:tabs>
              <w:spacing w:after="120"/>
              <w:ind w:left="284" w:hanging="227"/>
              <w:rPr>
                <w:rFonts w:cstheme="minorHAnsi"/>
                <w:sz w:val="22"/>
                <w:szCs w:val="22"/>
              </w:rPr>
            </w:pPr>
            <w:r w:rsidRPr="00FB7A9B">
              <w:rPr>
                <w:rFonts w:cstheme="minorHAnsi"/>
                <w:sz w:val="22"/>
                <w:szCs w:val="22"/>
              </w:rPr>
              <w:t>Ginebra,</w:t>
            </w:r>
            <w:r w:rsidR="008A0D8A" w:rsidRPr="00FB7A9B">
              <w:rPr>
                <w:rFonts w:cstheme="minorHAnsi"/>
                <w:sz w:val="22"/>
                <w:szCs w:val="22"/>
              </w:rPr>
              <w:t xml:space="preserve"> 2 de noviembre de 2022</w:t>
            </w:r>
          </w:p>
        </w:tc>
      </w:tr>
      <w:tr w:rsidR="007B6316" w:rsidRPr="00FB7A9B" w14:paraId="38A9C17C" w14:textId="77777777" w:rsidTr="00303D62">
        <w:trPr>
          <w:cantSplit/>
          <w:trHeight w:val="340"/>
        </w:trPr>
        <w:tc>
          <w:tcPr>
            <w:tcW w:w="993" w:type="dxa"/>
          </w:tcPr>
          <w:p w14:paraId="6F2B32CF" w14:textId="77777777" w:rsidR="007B6316" w:rsidRPr="00FB7A9B" w:rsidRDefault="007B6316" w:rsidP="00303D62">
            <w:pPr>
              <w:tabs>
                <w:tab w:val="left" w:pos="4111"/>
              </w:tabs>
              <w:spacing w:before="10"/>
              <w:ind w:left="57"/>
              <w:rPr>
                <w:rFonts w:cstheme="minorHAnsi"/>
                <w:b/>
                <w:bCs/>
                <w:sz w:val="22"/>
                <w:szCs w:val="22"/>
              </w:rPr>
            </w:pPr>
            <w:r w:rsidRPr="00FB7A9B">
              <w:rPr>
                <w:rFonts w:cstheme="minorHAnsi"/>
                <w:b/>
                <w:bCs/>
                <w:sz w:val="22"/>
                <w:szCs w:val="22"/>
              </w:rPr>
              <w:t>Ref.:</w:t>
            </w:r>
          </w:p>
          <w:p w14:paraId="6749164C" w14:textId="7DFB04D4" w:rsidR="008A0D8A" w:rsidRPr="00FB7A9B" w:rsidRDefault="008A0D8A" w:rsidP="007B6316">
            <w:pPr>
              <w:tabs>
                <w:tab w:val="left" w:pos="4111"/>
              </w:tabs>
              <w:spacing w:before="10"/>
              <w:ind w:left="57"/>
              <w:rPr>
                <w:rFonts w:cstheme="minorHAnsi"/>
                <w:b/>
                <w:bCs/>
                <w:sz w:val="22"/>
                <w:szCs w:val="22"/>
              </w:rPr>
            </w:pPr>
          </w:p>
        </w:tc>
        <w:tc>
          <w:tcPr>
            <w:tcW w:w="3884" w:type="dxa"/>
            <w:gridSpan w:val="2"/>
          </w:tcPr>
          <w:p w14:paraId="79E95F69" w14:textId="2D08D024" w:rsidR="007B6316" w:rsidRPr="00FB7A9B" w:rsidRDefault="007B6316" w:rsidP="00303D62">
            <w:pPr>
              <w:tabs>
                <w:tab w:val="left" w:pos="4111"/>
              </w:tabs>
              <w:spacing w:before="0"/>
              <w:ind w:left="57"/>
              <w:rPr>
                <w:rFonts w:cstheme="minorHAnsi"/>
                <w:b/>
                <w:sz w:val="22"/>
                <w:szCs w:val="22"/>
                <w:lang w:val="en-US"/>
              </w:rPr>
            </w:pPr>
            <w:r w:rsidRPr="00FB7A9B">
              <w:rPr>
                <w:rFonts w:cstheme="minorHAnsi"/>
                <w:b/>
                <w:sz w:val="22"/>
                <w:szCs w:val="22"/>
                <w:lang w:val="en-US"/>
              </w:rPr>
              <w:t xml:space="preserve">Circular TSB </w:t>
            </w:r>
            <w:r w:rsidR="008A0D8A" w:rsidRPr="00FB7A9B">
              <w:rPr>
                <w:rFonts w:cstheme="minorHAnsi"/>
                <w:b/>
                <w:sz w:val="22"/>
                <w:szCs w:val="22"/>
                <w:lang w:val="en-US"/>
              </w:rPr>
              <w:t>48</w:t>
            </w:r>
          </w:p>
          <w:p w14:paraId="1CABACD6" w14:textId="0F7F3D91" w:rsidR="007B6316" w:rsidRPr="00FB7A9B" w:rsidRDefault="008A0D8A" w:rsidP="007B6316">
            <w:pPr>
              <w:tabs>
                <w:tab w:val="left" w:pos="4111"/>
              </w:tabs>
              <w:spacing w:before="0"/>
              <w:ind w:left="57"/>
              <w:rPr>
                <w:rFonts w:cstheme="minorHAnsi"/>
                <w:b/>
                <w:sz w:val="22"/>
                <w:szCs w:val="22"/>
                <w:lang w:val="en-US"/>
              </w:rPr>
            </w:pPr>
            <w:r w:rsidRPr="00FB7A9B">
              <w:rPr>
                <w:rFonts w:cstheme="minorHAnsi"/>
                <w:sz w:val="22"/>
                <w:szCs w:val="22"/>
                <w:lang w:val="en-US"/>
              </w:rPr>
              <w:t>FNC-2023/SP</w:t>
            </w:r>
          </w:p>
        </w:tc>
        <w:tc>
          <w:tcPr>
            <w:tcW w:w="5329" w:type="dxa"/>
            <w:vMerge w:val="restart"/>
          </w:tcPr>
          <w:p w14:paraId="1BD704D3" w14:textId="125688C7" w:rsidR="007B6316" w:rsidRPr="00FB7A9B" w:rsidRDefault="007B6316" w:rsidP="00303D62">
            <w:pPr>
              <w:tabs>
                <w:tab w:val="clear" w:pos="794"/>
                <w:tab w:val="clear" w:pos="1191"/>
                <w:tab w:val="clear" w:pos="1588"/>
                <w:tab w:val="clear" w:pos="1985"/>
                <w:tab w:val="left" w:pos="284"/>
              </w:tabs>
              <w:spacing w:before="0"/>
              <w:ind w:left="284" w:hanging="227"/>
              <w:rPr>
                <w:rFonts w:cstheme="minorHAnsi"/>
                <w:sz w:val="22"/>
                <w:szCs w:val="22"/>
              </w:rPr>
            </w:pPr>
            <w:bookmarkStart w:id="0" w:name="Addressee_S"/>
            <w:bookmarkEnd w:id="0"/>
            <w:r w:rsidRPr="00FB7A9B">
              <w:rPr>
                <w:rFonts w:cstheme="minorHAnsi"/>
                <w:sz w:val="22"/>
                <w:szCs w:val="22"/>
              </w:rPr>
              <w:t>-</w:t>
            </w:r>
            <w:r w:rsidRPr="00FB7A9B">
              <w:rPr>
                <w:rFonts w:cstheme="minorHAnsi"/>
                <w:sz w:val="22"/>
                <w:szCs w:val="22"/>
              </w:rPr>
              <w:tab/>
              <w:t>A las Administraciones de los Estados Miembros de la Unión</w:t>
            </w:r>
            <w:r w:rsidR="008A0D8A" w:rsidRPr="00FB7A9B">
              <w:rPr>
                <w:rFonts w:cstheme="minorHAnsi"/>
                <w:sz w:val="22"/>
                <w:szCs w:val="22"/>
              </w:rPr>
              <w:t>;</w:t>
            </w:r>
          </w:p>
          <w:p w14:paraId="0CE0EBA4" w14:textId="15A00C94" w:rsidR="008A0D8A" w:rsidRPr="00FB7A9B" w:rsidRDefault="008A0D8A" w:rsidP="00303D62">
            <w:pPr>
              <w:tabs>
                <w:tab w:val="clear" w:pos="794"/>
                <w:tab w:val="clear" w:pos="1191"/>
                <w:tab w:val="clear" w:pos="1588"/>
                <w:tab w:val="clear" w:pos="1985"/>
                <w:tab w:val="left" w:pos="284"/>
              </w:tabs>
              <w:spacing w:before="0"/>
              <w:ind w:left="284" w:hanging="227"/>
              <w:rPr>
                <w:rFonts w:cstheme="minorHAnsi"/>
                <w:sz w:val="22"/>
                <w:szCs w:val="22"/>
              </w:rPr>
            </w:pPr>
            <w:r w:rsidRPr="00FB7A9B">
              <w:rPr>
                <w:rFonts w:cstheme="minorHAnsi"/>
                <w:sz w:val="22"/>
                <w:szCs w:val="22"/>
              </w:rPr>
              <w:t>-</w:t>
            </w:r>
            <w:r w:rsidRPr="00FB7A9B">
              <w:rPr>
                <w:rFonts w:cstheme="minorHAnsi"/>
                <w:sz w:val="22"/>
                <w:szCs w:val="22"/>
              </w:rPr>
              <w:tab/>
              <w:t xml:space="preserve">A los Miembros de </w:t>
            </w:r>
            <w:r w:rsidR="000E2999" w:rsidRPr="00FB7A9B">
              <w:rPr>
                <w:rFonts w:cstheme="minorHAnsi"/>
                <w:sz w:val="22"/>
                <w:szCs w:val="22"/>
              </w:rPr>
              <w:t>Sector</w:t>
            </w:r>
            <w:r w:rsidRPr="00FB7A9B">
              <w:rPr>
                <w:rFonts w:cstheme="minorHAnsi"/>
                <w:sz w:val="22"/>
                <w:szCs w:val="22"/>
              </w:rPr>
              <w:t xml:space="preserve"> del UIT-T;</w:t>
            </w:r>
          </w:p>
          <w:p w14:paraId="27AB6AD2" w14:textId="77777777" w:rsidR="008A0D8A" w:rsidRPr="00FB7A9B" w:rsidRDefault="008A0D8A" w:rsidP="00303D62">
            <w:pPr>
              <w:tabs>
                <w:tab w:val="clear" w:pos="794"/>
                <w:tab w:val="clear" w:pos="1191"/>
                <w:tab w:val="clear" w:pos="1588"/>
                <w:tab w:val="clear" w:pos="1985"/>
                <w:tab w:val="left" w:pos="284"/>
              </w:tabs>
              <w:spacing w:before="0"/>
              <w:ind w:left="284" w:hanging="227"/>
              <w:rPr>
                <w:rFonts w:cstheme="minorHAnsi"/>
                <w:sz w:val="22"/>
                <w:szCs w:val="22"/>
              </w:rPr>
            </w:pPr>
            <w:r w:rsidRPr="00FB7A9B">
              <w:rPr>
                <w:rFonts w:cstheme="minorHAnsi"/>
                <w:sz w:val="22"/>
                <w:szCs w:val="22"/>
              </w:rPr>
              <w:t>-</w:t>
            </w:r>
            <w:r w:rsidRPr="00FB7A9B">
              <w:rPr>
                <w:rFonts w:cstheme="minorHAnsi"/>
                <w:sz w:val="22"/>
                <w:szCs w:val="22"/>
              </w:rPr>
              <w:tab/>
              <w:t>A los Asociados del UIT-T;</w:t>
            </w:r>
          </w:p>
          <w:p w14:paraId="01125DEB" w14:textId="10E322F5" w:rsidR="008A0D8A" w:rsidRPr="00FB7A9B" w:rsidRDefault="008A0D8A" w:rsidP="00303D62">
            <w:pPr>
              <w:tabs>
                <w:tab w:val="clear" w:pos="794"/>
                <w:tab w:val="clear" w:pos="1191"/>
                <w:tab w:val="clear" w:pos="1588"/>
                <w:tab w:val="clear" w:pos="1985"/>
                <w:tab w:val="left" w:pos="284"/>
              </w:tabs>
              <w:spacing w:before="0"/>
              <w:ind w:left="284" w:hanging="227"/>
              <w:rPr>
                <w:rFonts w:cstheme="minorHAnsi"/>
                <w:sz w:val="22"/>
                <w:szCs w:val="22"/>
              </w:rPr>
            </w:pPr>
            <w:r w:rsidRPr="00FB7A9B">
              <w:rPr>
                <w:rFonts w:cstheme="minorHAnsi"/>
                <w:sz w:val="22"/>
                <w:szCs w:val="22"/>
              </w:rPr>
              <w:t>-</w:t>
            </w:r>
            <w:r w:rsidRPr="00FB7A9B">
              <w:rPr>
                <w:rFonts w:cstheme="minorHAnsi"/>
                <w:sz w:val="22"/>
                <w:szCs w:val="22"/>
              </w:rPr>
              <w:tab/>
              <w:t>A las Instituciones Académicas de la UIT</w:t>
            </w:r>
          </w:p>
        </w:tc>
      </w:tr>
      <w:tr w:rsidR="008A0D8A" w:rsidRPr="00FB7A9B" w14:paraId="38A361F3" w14:textId="77777777" w:rsidTr="00303D62">
        <w:trPr>
          <w:cantSplit/>
        </w:trPr>
        <w:tc>
          <w:tcPr>
            <w:tcW w:w="993" w:type="dxa"/>
          </w:tcPr>
          <w:p w14:paraId="5644D73C" w14:textId="36C6A6D5" w:rsidR="008A0D8A" w:rsidRPr="00FB7A9B" w:rsidRDefault="008A0D8A" w:rsidP="00303D62">
            <w:pPr>
              <w:tabs>
                <w:tab w:val="left" w:pos="4111"/>
              </w:tabs>
              <w:spacing w:before="10"/>
              <w:ind w:left="57"/>
              <w:rPr>
                <w:rFonts w:cstheme="minorHAnsi"/>
                <w:b/>
                <w:bCs/>
                <w:sz w:val="22"/>
                <w:szCs w:val="22"/>
              </w:rPr>
            </w:pPr>
            <w:r w:rsidRPr="00FB7A9B">
              <w:rPr>
                <w:rFonts w:cstheme="minorHAnsi"/>
                <w:b/>
                <w:bCs/>
                <w:sz w:val="22"/>
                <w:szCs w:val="22"/>
              </w:rPr>
              <w:t>Contacto:</w:t>
            </w:r>
          </w:p>
        </w:tc>
        <w:tc>
          <w:tcPr>
            <w:tcW w:w="3884" w:type="dxa"/>
            <w:gridSpan w:val="2"/>
          </w:tcPr>
          <w:p w14:paraId="2A020508" w14:textId="2DA43482" w:rsidR="008A0D8A" w:rsidRPr="00FB7A9B" w:rsidRDefault="008A0D8A" w:rsidP="00303D62">
            <w:pPr>
              <w:tabs>
                <w:tab w:val="left" w:pos="4111"/>
              </w:tabs>
              <w:spacing w:before="0"/>
              <w:ind w:left="57"/>
              <w:rPr>
                <w:rFonts w:cstheme="minorHAnsi"/>
                <w:sz w:val="22"/>
                <w:szCs w:val="22"/>
              </w:rPr>
            </w:pPr>
            <w:r w:rsidRPr="00FB7A9B">
              <w:rPr>
                <w:rFonts w:cstheme="minorHAnsi"/>
                <w:sz w:val="22"/>
                <w:szCs w:val="22"/>
                <w:lang w:val="en-US"/>
              </w:rPr>
              <w:t>Stefano Polidori</w:t>
            </w:r>
          </w:p>
        </w:tc>
        <w:tc>
          <w:tcPr>
            <w:tcW w:w="5329" w:type="dxa"/>
            <w:vMerge/>
          </w:tcPr>
          <w:p w14:paraId="2A87D92D" w14:textId="77777777" w:rsidR="008A0D8A" w:rsidRPr="00FB7A9B" w:rsidRDefault="008A0D8A" w:rsidP="00303D62">
            <w:pPr>
              <w:tabs>
                <w:tab w:val="left" w:pos="4111"/>
              </w:tabs>
              <w:spacing w:before="0"/>
              <w:rPr>
                <w:rFonts w:cstheme="minorHAnsi"/>
                <w:b/>
                <w:sz w:val="22"/>
                <w:szCs w:val="22"/>
              </w:rPr>
            </w:pPr>
          </w:p>
        </w:tc>
      </w:tr>
      <w:tr w:rsidR="007B6316" w:rsidRPr="00FB7A9B" w14:paraId="084AD85E" w14:textId="77777777" w:rsidTr="00303D62">
        <w:trPr>
          <w:cantSplit/>
        </w:trPr>
        <w:tc>
          <w:tcPr>
            <w:tcW w:w="993" w:type="dxa"/>
          </w:tcPr>
          <w:p w14:paraId="637085F7" w14:textId="77777777" w:rsidR="007B6316" w:rsidRPr="00FB7A9B" w:rsidRDefault="007B6316" w:rsidP="00303D62">
            <w:pPr>
              <w:tabs>
                <w:tab w:val="left" w:pos="4111"/>
              </w:tabs>
              <w:spacing w:before="10"/>
              <w:ind w:left="57"/>
              <w:rPr>
                <w:rFonts w:cstheme="minorHAnsi"/>
                <w:b/>
                <w:bCs/>
                <w:sz w:val="22"/>
                <w:szCs w:val="22"/>
              </w:rPr>
            </w:pPr>
            <w:r w:rsidRPr="00FB7A9B">
              <w:rPr>
                <w:rFonts w:cstheme="minorHAnsi"/>
                <w:b/>
                <w:bCs/>
                <w:sz w:val="22"/>
                <w:szCs w:val="22"/>
              </w:rPr>
              <w:t>Tel.:</w:t>
            </w:r>
          </w:p>
        </w:tc>
        <w:tc>
          <w:tcPr>
            <w:tcW w:w="3884" w:type="dxa"/>
            <w:gridSpan w:val="2"/>
          </w:tcPr>
          <w:p w14:paraId="6ED04AD1" w14:textId="417D5C1C" w:rsidR="007B6316" w:rsidRPr="00FB7A9B" w:rsidRDefault="007B6316" w:rsidP="00303D62">
            <w:pPr>
              <w:tabs>
                <w:tab w:val="left" w:pos="4111"/>
              </w:tabs>
              <w:spacing w:before="0"/>
              <w:ind w:left="57"/>
              <w:rPr>
                <w:rStyle w:val="Hyperlink"/>
                <w:rFonts w:cstheme="minorHAnsi"/>
                <w:sz w:val="22"/>
                <w:szCs w:val="22"/>
              </w:rPr>
            </w:pPr>
            <w:r w:rsidRPr="00FB7A9B">
              <w:rPr>
                <w:rFonts w:cstheme="minorHAnsi"/>
                <w:sz w:val="22"/>
                <w:szCs w:val="22"/>
              </w:rPr>
              <w:t>+41 22 730</w:t>
            </w:r>
            <w:r w:rsidR="008A0D8A" w:rsidRPr="00FB7A9B">
              <w:rPr>
                <w:rFonts w:cstheme="minorHAnsi"/>
                <w:sz w:val="22"/>
                <w:szCs w:val="22"/>
              </w:rPr>
              <w:t xml:space="preserve"> 5858</w:t>
            </w:r>
          </w:p>
        </w:tc>
        <w:tc>
          <w:tcPr>
            <w:tcW w:w="5329" w:type="dxa"/>
            <w:vMerge/>
          </w:tcPr>
          <w:p w14:paraId="47D317F4" w14:textId="77777777" w:rsidR="007B6316" w:rsidRPr="00FB7A9B" w:rsidRDefault="007B6316" w:rsidP="00303D62">
            <w:pPr>
              <w:tabs>
                <w:tab w:val="left" w:pos="4111"/>
              </w:tabs>
              <w:spacing w:before="0"/>
              <w:rPr>
                <w:rFonts w:cstheme="minorHAnsi"/>
                <w:b/>
                <w:sz w:val="22"/>
                <w:szCs w:val="22"/>
              </w:rPr>
            </w:pPr>
          </w:p>
        </w:tc>
      </w:tr>
      <w:tr w:rsidR="007B6316" w:rsidRPr="00FB7A9B" w14:paraId="7608061A" w14:textId="77777777" w:rsidTr="00303D62">
        <w:trPr>
          <w:cantSplit/>
        </w:trPr>
        <w:tc>
          <w:tcPr>
            <w:tcW w:w="993" w:type="dxa"/>
          </w:tcPr>
          <w:p w14:paraId="3A5B30C4" w14:textId="77777777" w:rsidR="007B6316" w:rsidRPr="00FB7A9B" w:rsidRDefault="007B6316" w:rsidP="00303D62">
            <w:pPr>
              <w:tabs>
                <w:tab w:val="left" w:pos="4111"/>
              </w:tabs>
              <w:spacing w:before="10"/>
              <w:ind w:left="57"/>
              <w:rPr>
                <w:rFonts w:cstheme="minorHAnsi"/>
                <w:b/>
                <w:bCs/>
                <w:sz w:val="22"/>
                <w:szCs w:val="22"/>
              </w:rPr>
            </w:pPr>
            <w:r w:rsidRPr="00FB7A9B">
              <w:rPr>
                <w:rFonts w:cstheme="minorHAnsi"/>
                <w:b/>
                <w:bCs/>
                <w:sz w:val="22"/>
                <w:szCs w:val="22"/>
              </w:rPr>
              <w:t>Fax:</w:t>
            </w:r>
          </w:p>
        </w:tc>
        <w:tc>
          <w:tcPr>
            <w:tcW w:w="3884" w:type="dxa"/>
            <w:gridSpan w:val="2"/>
          </w:tcPr>
          <w:p w14:paraId="576AA5E5" w14:textId="77777777" w:rsidR="007B6316" w:rsidRPr="00FB7A9B" w:rsidRDefault="007B6316" w:rsidP="00303D62">
            <w:pPr>
              <w:tabs>
                <w:tab w:val="left" w:pos="4111"/>
              </w:tabs>
              <w:spacing w:before="0"/>
              <w:ind w:left="57"/>
              <w:rPr>
                <w:rStyle w:val="Hyperlink"/>
                <w:rFonts w:cstheme="minorHAnsi"/>
                <w:sz w:val="22"/>
                <w:szCs w:val="22"/>
              </w:rPr>
            </w:pPr>
            <w:r w:rsidRPr="00FB7A9B">
              <w:rPr>
                <w:rFonts w:cstheme="minorHAnsi"/>
                <w:sz w:val="22"/>
                <w:szCs w:val="22"/>
              </w:rPr>
              <w:t>+41 22 730 5853</w:t>
            </w:r>
          </w:p>
        </w:tc>
        <w:tc>
          <w:tcPr>
            <w:tcW w:w="5329" w:type="dxa"/>
            <w:vMerge/>
          </w:tcPr>
          <w:p w14:paraId="316B221A" w14:textId="77777777" w:rsidR="007B6316" w:rsidRPr="00FB7A9B" w:rsidRDefault="007B6316" w:rsidP="00303D62">
            <w:pPr>
              <w:tabs>
                <w:tab w:val="left" w:pos="4111"/>
              </w:tabs>
              <w:spacing w:before="0"/>
              <w:rPr>
                <w:rFonts w:cstheme="minorHAnsi"/>
                <w:b/>
                <w:sz w:val="22"/>
                <w:szCs w:val="22"/>
              </w:rPr>
            </w:pPr>
          </w:p>
        </w:tc>
      </w:tr>
      <w:tr w:rsidR="00C34772" w:rsidRPr="00FB7A9B" w14:paraId="0231E1B6" w14:textId="77777777" w:rsidTr="00303D62">
        <w:trPr>
          <w:cantSplit/>
        </w:trPr>
        <w:tc>
          <w:tcPr>
            <w:tcW w:w="993" w:type="dxa"/>
          </w:tcPr>
          <w:p w14:paraId="2CDEF84D" w14:textId="77777777" w:rsidR="00C34772" w:rsidRPr="00FB7A9B" w:rsidRDefault="00C34772" w:rsidP="00303D62">
            <w:pPr>
              <w:tabs>
                <w:tab w:val="left" w:pos="4111"/>
              </w:tabs>
              <w:spacing w:before="10"/>
              <w:ind w:left="57"/>
              <w:rPr>
                <w:rFonts w:cstheme="minorHAnsi"/>
                <w:b/>
                <w:bCs/>
                <w:sz w:val="22"/>
                <w:szCs w:val="22"/>
              </w:rPr>
            </w:pPr>
            <w:r w:rsidRPr="00FB7A9B">
              <w:rPr>
                <w:rFonts w:cstheme="minorHAnsi"/>
                <w:b/>
                <w:bCs/>
                <w:sz w:val="22"/>
                <w:szCs w:val="22"/>
              </w:rPr>
              <w:t>Correo-e:</w:t>
            </w:r>
          </w:p>
        </w:tc>
        <w:tc>
          <w:tcPr>
            <w:tcW w:w="3884" w:type="dxa"/>
            <w:gridSpan w:val="2"/>
          </w:tcPr>
          <w:p w14:paraId="00E86856" w14:textId="5B284CD7" w:rsidR="00C34772" w:rsidRPr="00FB7A9B" w:rsidRDefault="00000000" w:rsidP="00303D62">
            <w:pPr>
              <w:tabs>
                <w:tab w:val="left" w:pos="4111"/>
              </w:tabs>
              <w:spacing w:before="0"/>
              <w:ind w:left="57"/>
              <w:rPr>
                <w:rFonts w:cstheme="minorHAnsi"/>
                <w:sz w:val="22"/>
                <w:szCs w:val="22"/>
              </w:rPr>
            </w:pPr>
            <w:hyperlink r:id="rId9" w:history="1">
              <w:r w:rsidR="008A0D8A" w:rsidRPr="00FB7A9B">
                <w:rPr>
                  <w:rStyle w:val="Hyperlink"/>
                  <w:rFonts w:cstheme="minorHAnsi"/>
                  <w:sz w:val="22"/>
                  <w:szCs w:val="22"/>
                </w:rPr>
                <w:t>tsbsevents@itu.int</w:t>
              </w:r>
            </w:hyperlink>
            <w:r w:rsidR="00C34772" w:rsidRPr="00FB7A9B">
              <w:rPr>
                <w:rFonts w:cstheme="minorHAnsi"/>
                <w:sz w:val="22"/>
                <w:szCs w:val="22"/>
              </w:rPr>
              <w:t xml:space="preserve"> </w:t>
            </w:r>
          </w:p>
        </w:tc>
        <w:tc>
          <w:tcPr>
            <w:tcW w:w="5329" w:type="dxa"/>
          </w:tcPr>
          <w:p w14:paraId="6EF74DDB" w14:textId="77777777" w:rsidR="00C34772" w:rsidRPr="00FB7A9B" w:rsidRDefault="00C34772" w:rsidP="00303D62">
            <w:pPr>
              <w:tabs>
                <w:tab w:val="left" w:pos="4111"/>
              </w:tabs>
              <w:spacing w:before="0"/>
              <w:rPr>
                <w:rFonts w:cstheme="minorHAnsi"/>
                <w:sz w:val="22"/>
                <w:szCs w:val="22"/>
              </w:rPr>
            </w:pPr>
            <w:r w:rsidRPr="00FB7A9B">
              <w:rPr>
                <w:rFonts w:cstheme="minorHAnsi"/>
                <w:b/>
                <w:sz w:val="22"/>
                <w:szCs w:val="22"/>
              </w:rPr>
              <w:t>Copia</w:t>
            </w:r>
            <w:r w:rsidRPr="00FB7A9B">
              <w:rPr>
                <w:rFonts w:cstheme="minorHAnsi"/>
                <w:sz w:val="22"/>
                <w:szCs w:val="22"/>
              </w:rPr>
              <w:t>:</w:t>
            </w:r>
          </w:p>
          <w:p w14:paraId="23A97E19" w14:textId="4D711D96" w:rsidR="00C34772" w:rsidRPr="00FB7A9B" w:rsidRDefault="00C34772" w:rsidP="00303D62">
            <w:pPr>
              <w:tabs>
                <w:tab w:val="left" w:pos="226"/>
                <w:tab w:val="left" w:pos="4111"/>
              </w:tabs>
              <w:spacing w:before="0"/>
              <w:ind w:left="226" w:hanging="226"/>
              <w:rPr>
                <w:rFonts w:cstheme="minorHAnsi"/>
                <w:sz w:val="22"/>
                <w:szCs w:val="22"/>
              </w:rPr>
            </w:pPr>
            <w:r w:rsidRPr="00FB7A9B">
              <w:rPr>
                <w:rFonts w:cstheme="minorHAnsi"/>
                <w:sz w:val="22"/>
                <w:szCs w:val="22"/>
              </w:rPr>
              <w:t>-</w:t>
            </w:r>
            <w:r w:rsidRPr="00FB7A9B">
              <w:rPr>
                <w:rFonts w:cstheme="minorHAnsi"/>
                <w:sz w:val="22"/>
                <w:szCs w:val="22"/>
              </w:rPr>
              <w:tab/>
              <w:t>A</w:t>
            </w:r>
            <w:r w:rsidR="008A0D8A" w:rsidRPr="00FB7A9B">
              <w:rPr>
                <w:rFonts w:cstheme="minorHAnsi"/>
                <w:sz w:val="22"/>
                <w:szCs w:val="22"/>
              </w:rPr>
              <w:t xml:space="preserve"> </w:t>
            </w:r>
            <w:r w:rsidRPr="00FB7A9B">
              <w:rPr>
                <w:rFonts w:cstheme="minorHAnsi"/>
                <w:sz w:val="22"/>
                <w:szCs w:val="22"/>
              </w:rPr>
              <w:t>l</w:t>
            </w:r>
            <w:r w:rsidR="008A0D8A" w:rsidRPr="00FB7A9B">
              <w:rPr>
                <w:rFonts w:cstheme="minorHAnsi"/>
                <w:sz w:val="22"/>
                <w:szCs w:val="22"/>
              </w:rPr>
              <w:t>os</w:t>
            </w:r>
            <w:r w:rsidRPr="00FB7A9B">
              <w:rPr>
                <w:rFonts w:cstheme="minorHAnsi"/>
                <w:sz w:val="22"/>
                <w:szCs w:val="22"/>
              </w:rPr>
              <w:t xml:space="preserve"> </w:t>
            </w:r>
            <w:proofErr w:type="gramStart"/>
            <w:r w:rsidRPr="00FB7A9B">
              <w:rPr>
                <w:rFonts w:cstheme="minorHAnsi"/>
                <w:sz w:val="22"/>
                <w:szCs w:val="22"/>
              </w:rPr>
              <w:t>Presidente</w:t>
            </w:r>
            <w:r w:rsidR="008A0D8A" w:rsidRPr="00FB7A9B">
              <w:rPr>
                <w:rFonts w:cstheme="minorHAnsi"/>
                <w:sz w:val="22"/>
                <w:szCs w:val="22"/>
              </w:rPr>
              <w:t>s</w:t>
            </w:r>
            <w:proofErr w:type="gramEnd"/>
            <w:r w:rsidR="008A0D8A" w:rsidRPr="00FB7A9B">
              <w:rPr>
                <w:rFonts w:cstheme="minorHAnsi"/>
                <w:sz w:val="22"/>
                <w:szCs w:val="22"/>
              </w:rPr>
              <w:t xml:space="preserve"> </w:t>
            </w:r>
            <w:r w:rsidRPr="00FB7A9B">
              <w:rPr>
                <w:rFonts w:cstheme="minorHAnsi"/>
                <w:sz w:val="22"/>
                <w:szCs w:val="22"/>
              </w:rPr>
              <w:t>y a los Vicepresidentes de la</w:t>
            </w:r>
            <w:r w:rsidR="008A0D8A" w:rsidRPr="00FB7A9B">
              <w:rPr>
                <w:rFonts w:cstheme="minorHAnsi"/>
                <w:sz w:val="22"/>
                <w:szCs w:val="22"/>
              </w:rPr>
              <w:t>s</w:t>
            </w:r>
            <w:r w:rsidRPr="00FB7A9B">
              <w:rPr>
                <w:rFonts w:cstheme="minorHAnsi"/>
                <w:sz w:val="22"/>
                <w:szCs w:val="22"/>
              </w:rPr>
              <w:br/>
              <w:t>Comisi</w:t>
            </w:r>
            <w:r w:rsidR="008A0D8A" w:rsidRPr="00FB7A9B">
              <w:rPr>
                <w:rFonts w:cstheme="minorHAnsi"/>
                <w:sz w:val="22"/>
                <w:szCs w:val="22"/>
              </w:rPr>
              <w:t>o</w:t>
            </w:r>
            <w:r w:rsidRPr="00FB7A9B">
              <w:rPr>
                <w:rFonts w:cstheme="minorHAnsi"/>
                <w:sz w:val="22"/>
                <w:szCs w:val="22"/>
              </w:rPr>
              <w:t>n</w:t>
            </w:r>
            <w:r w:rsidR="008A0D8A" w:rsidRPr="00FB7A9B">
              <w:rPr>
                <w:rFonts w:cstheme="minorHAnsi"/>
                <w:sz w:val="22"/>
                <w:szCs w:val="22"/>
              </w:rPr>
              <w:t>es</w:t>
            </w:r>
            <w:r w:rsidRPr="00FB7A9B">
              <w:rPr>
                <w:rFonts w:cstheme="minorHAnsi"/>
                <w:sz w:val="22"/>
                <w:szCs w:val="22"/>
              </w:rPr>
              <w:t xml:space="preserve"> de Estudio;</w:t>
            </w:r>
          </w:p>
          <w:p w14:paraId="38574692" w14:textId="77777777" w:rsidR="00C34772" w:rsidRPr="00FB7A9B" w:rsidRDefault="00C34772" w:rsidP="00303D62">
            <w:pPr>
              <w:tabs>
                <w:tab w:val="clear" w:pos="794"/>
                <w:tab w:val="clear" w:pos="1191"/>
                <w:tab w:val="clear" w:pos="1588"/>
                <w:tab w:val="clear" w:pos="1985"/>
                <w:tab w:val="left" w:pos="226"/>
                <w:tab w:val="left" w:pos="510"/>
              </w:tabs>
              <w:spacing w:before="0"/>
              <w:ind w:left="226" w:hanging="169"/>
              <w:rPr>
                <w:rFonts w:cstheme="minorHAnsi"/>
                <w:sz w:val="22"/>
                <w:szCs w:val="22"/>
              </w:rPr>
            </w:pPr>
            <w:r w:rsidRPr="00FB7A9B">
              <w:rPr>
                <w:rFonts w:cstheme="minorHAnsi"/>
                <w:sz w:val="22"/>
                <w:szCs w:val="22"/>
              </w:rPr>
              <w:t>-</w:t>
            </w:r>
            <w:r w:rsidRPr="00FB7A9B">
              <w:rPr>
                <w:rFonts w:cstheme="minorHAnsi"/>
                <w:sz w:val="22"/>
                <w:szCs w:val="22"/>
              </w:rPr>
              <w:tab/>
              <w:t>A</w:t>
            </w:r>
            <w:r w:rsidR="00876165" w:rsidRPr="00FB7A9B">
              <w:rPr>
                <w:rFonts w:cstheme="minorHAnsi"/>
                <w:sz w:val="22"/>
                <w:szCs w:val="22"/>
              </w:rPr>
              <w:t xml:space="preserve"> </w:t>
            </w:r>
            <w:r w:rsidRPr="00FB7A9B">
              <w:rPr>
                <w:rFonts w:cstheme="minorHAnsi"/>
                <w:sz w:val="22"/>
                <w:szCs w:val="22"/>
              </w:rPr>
              <w:t>l</w:t>
            </w:r>
            <w:r w:rsidR="00876165" w:rsidRPr="00FB7A9B">
              <w:rPr>
                <w:rFonts w:cstheme="minorHAnsi"/>
                <w:sz w:val="22"/>
                <w:szCs w:val="22"/>
              </w:rPr>
              <w:t>a</w:t>
            </w:r>
            <w:r w:rsidRPr="00FB7A9B">
              <w:rPr>
                <w:rFonts w:cstheme="minorHAnsi"/>
                <w:sz w:val="22"/>
                <w:szCs w:val="22"/>
              </w:rPr>
              <w:t xml:space="preserve"> </w:t>
            </w:r>
            <w:proofErr w:type="gramStart"/>
            <w:r w:rsidRPr="00FB7A9B">
              <w:rPr>
                <w:rFonts w:cstheme="minorHAnsi"/>
                <w:sz w:val="22"/>
                <w:szCs w:val="22"/>
              </w:rPr>
              <w:t>Director</w:t>
            </w:r>
            <w:r w:rsidR="00876165" w:rsidRPr="00FB7A9B">
              <w:rPr>
                <w:rFonts w:cstheme="minorHAnsi"/>
                <w:sz w:val="22"/>
                <w:szCs w:val="22"/>
              </w:rPr>
              <w:t>a</w:t>
            </w:r>
            <w:proofErr w:type="gramEnd"/>
            <w:r w:rsidRPr="00FB7A9B">
              <w:rPr>
                <w:rFonts w:cstheme="minorHAnsi"/>
                <w:sz w:val="22"/>
                <w:szCs w:val="22"/>
              </w:rPr>
              <w:t xml:space="preserve"> de la Oficina de Desarrollo de las Telecomunicaciones;</w:t>
            </w:r>
          </w:p>
          <w:p w14:paraId="6914D83F" w14:textId="77777777" w:rsidR="00C34772" w:rsidRDefault="00C34772" w:rsidP="00303D62">
            <w:pPr>
              <w:tabs>
                <w:tab w:val="clear" w:pos="794"/>
                <w:tab w:val="clear" w:pos="1191"/>
                <w:tab w:val="clear" w:pos="1588"/>
                <w:tab w:val="clear" w:pos="1985"/>
                <w:tab w:val="left" w:pos="226"/>
                <w:tab w:val="left" w:pos="510"/>
              </w:tabs>
              <w:spacing w:before="0"/>
              <w:ind w:left="226" w:hanging="169"/>
              <w:rPr>
                <w:rFonts w:cstheme="minorHAnsi"/>
                <w:sz w:val="22"/>
                <w:szCs w:val="22"/>
              </w:rPr>
            </w:pPr>
            <w:r w:rsidRPr="00FB7A9B">
              <w:rPr>
                <w:rFonts w:cstheme="minorHAnsi"/>
                <w:sz w:val="22"/>
                <w:szCs w:val="22"/>
              </w:rPr>
              <w:t>-</w:t>
            </w:r>
            <w:r w:rsidRPr="00FB7A9B">
              <w:rPr>
                <w:rFonts w:cstheme="minorHAnsi"/>
                <w:sz w:val="22"/>
                <w:szCs w:val="22"/>
              </w:rPr>
              <w:tab/>
              <w:t xml:space="preserve">Al </w:t>
            </w:r>
            <w:proofErr w:type="gramStart"/>
            <w:r w:rsidRPr="00FB7A9B">
              <w:rPr>
                <w:rFonts w:cstheme="minorHAnsi"/>
                <w:sz w:val="22"/>
                <w:szCs w:val="22"/>
              </w:rPr>
              <w:t>Director</w:t>
            </w:r>
            <w:proofErr w:type="gramEnd"/>
            <w:r w:rsidRPr="00FB7A9B">
              <w:rPr>
                <w:rFonts w:cstheme="minorHAnsi"/>
                <w:sz w:val="22"/>
                <w:szCs w:val="22"/>
              </w:rPr>
              <w:t xml:space="preserve"> de la Oficina de Radiocomunicaciones</w:t>
            </w:r>
          </w:p>
          <w:p w14:paraId="073B1F71" w14:textId="21CA4DBC" w:rsidR="002E47C7" w:rsidRPr="00FB7A9B" w:rsidRDefault="002E47C7" w:rsidP="00303D62">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FB7A9B" w14:paraId="36894BE6" w14:textId="77777777" w:rsidTr="00DA30ED">
        <w:trPr>
          <w:cantSplit/>
        </w:trPr>
        <w:tc>
          <w:tcPr>
            <w:tcW w:w="993" w:type="dxa"/>
          </w:tcPr>
          <w:p w14:paraId="4EACA44F" w14:textId="77777777" w:rsidR="007B6316" w:rsidRPr="00FB7A9B" w:rsidRDefault="007B6316" w:rsidP="00303D62">
            <w:pPr>
              <w:tabs>
                <w:tab w:val="left" w:pos="4111"/>
              </w:tabs>
              <w:spacing w:before="10"/>
              <w:ind w:left="57"/>
              <w:rPr>
                <w:rFonts w:cstheme="minorHAnsi"/>
                <w:b/>
                <w:bCs/>
                <w:sz w:val="22"/>
                <w:szCs w:val="22"/>
              </w:rPr>
            </w:pPr>
            <w:r w:rsidRPr="00FB7A9B">
              <w:rPr>
                <w:rFonts w:cstheme="minorHAnsi"/>
                <w:b/>
                <w:bCs/>
                <w:sz w:val="22"/>
                <w:szCs w:val="22"/>
              </w:rPr>
              <w:t>Asunto:</w:t>
            </w:r>
          </w:p>
        </w:tc>
        <w:tc>
          <w:tcPr>
            <w:tcW w:w="9213" w:type="dxa"/>
            <w:gridSpan w:val="3"/>
          </w:tcPr>
          <w:p w14:paraId="50285673" w14:textId="2F09B9AA" w:rsidR="007B6316" w:rsidRPr="00FB7A9B" w:rsidRDefault="008A0D8A" w:rsidP="00303D62">
            <w:pPr>
              <w:tabs>
                <w:tab w:val="left" w:pos="4111"/>
              </w:tabs>
              <w:spacing w:before="0"/>
              <w:rPr>
                <w:rFonts w:cstheme="minorHAnsi"/>
                <w:b/>
                <w:sz w:val="22"/>
                <w:szCs w:val="22"/>
              </w:rPr>
            </w:pPr>
            <w:r w:rsidRPr="00FB7A9B">
              <w:rPr>
                <w:rFonts w:cstheme="minorHAnsi"/>
                <w:b/>
                <w:bCs/>
                <w:sz w:val="22"/>
                <w:szCs w:val="22"/>
                <w:lang w:val="es-ES"/>
              </w:rPr>
              <w:t>Simposio sobre el Automóvil Conectado del Futuro (FNC-2023)</w:t>
            </w:r>
            <w:r w:rsidRPr="00FB7A9B">
              <w:rPr>
                <w:rFonts w:cstheme="minorHAnsi"/>
                <w:b/>
                <w:bCs/>
                <w:sz w:val="22"/>
                <w:szCs w:val="22"/>
                <w:lang w:val="es-ES"/>
              </w:rPr>
              <w:br/>
              <w:t>(Reunión plenamente virtual, del 13 al 16 de marzo de 2023)</w:t>
            </w:r>
          </w:p>
        </w:tc>
      </w:tr>
    </w:tbl>
    <w:p w14:paraId="4C319364" w14:textId="77777777" w:rsidR="00C34772" w:rsidRPr="00FB7A9B" w:rsidRDefault="00C34772" w:rsidP="007B6316">
      <w:pPr>
        <w:spacing w:before="320"/>
        <w:rPr>
          <w:rFonts w:cstheme="minorHAnsi"/>
          <w:sz w:val="22"/>
          <w:szCs w:val="22"/>
        </w:rPr>
      </w:pPr>
      <w:bookmarkStart w:id="1" w:name="StartTyping_S"/>
      <w:bookmarkStart w:id="2" w:name="suitetext"/>
      <w:bookmarkStart w:id="3" w:name="text"/>
      <w:bookmarkEnd w:id="1"/>
      <w:bookmarkEnd w:id="2"/>
      <w:bookmarkEnd w:id="3"/>
      <w:r w:rsidRPr="00FB7A9B">
        <w:rPr>
          <w:rFonts w:cstheme="minorHAnsi"/>
          <w:sz w:val="22"/>
          <w:szCs w:val="22"/>
        </w:rPr>
        <w:t>Muy Señora mía/Muy Señor mío:</w:t>
      </w:r>
    </w:p>
    <w:p w14:paraId="189353BB" w14:textId="48FB2294" w:rsidR="008A0D8A" w:rsidRPr="00FB7A9B" w:rsidRDefault="008A0D8A" w:rsidP="008A0D8A">
      <w:pPr>
        <w:rPr>
          <w:rFonts w:cstheme="minorHAnsi"/>
          <w:b/>
          <w:bCs/>
          <w:noProof/>
          <w:sz w:val="22"/>
          <w:szCs w:val="22"/>
          <w:lang w:val="es-ES"/>
        </w:rPr>
      </w:pPr>
      <w:r w:rsidRPr="00FB7A9B">
        <w:rPr>
          <w:rFonts w:cstheme="minorHAnsi"/>
          <w:sz w:val="22"/>
          <w:szCs w:val="22"/>
          <w:lang w:val="es-ES"/>
        </w:rPr>
        <w:t>1</w:t>
      </w:r>
      <w:r w:rsidRPr="00FB7A9B">
        <w:rPr>
          <w:rFonts w:cstheme="minorHAnsi"/>
          <w:sz w:val="22"/>
          <w:szCs w:val="22"/>
          <w:lang w:val="es-ES"/>
        </w:rPr>
        <w:tab/>
      </w:r>
      <w:proofErr w:type="gramStart"/>
      <w:r w:rsidRPr="00FB7A9B">
        <w:rPr>
          <w:rFonts w:cstheme="minorHAnsi"/>
          <w:sz w:val="22"/>
          <w:szCs w:val="22"/>
          <w:lang w:val="es-ES"/>
        </w:rPr>
        <w:t>Me</w:t>
      </w:r>
      <w:proofErr w:type="gramEnd"/>
      <w:r w:rsidRPr="00FB7A9B">
        <w:rPr>
          <w:rFonts w:cstheme="minorHAnsi"/>
          <w:sz w:val="22"/>
          <w:szCs w:val="22"/>
          <w:lang w:val="es-ES"/>
        </w:rPr>
        <w:t xml:space="preserve"> complace informarle que la Unión Internacional de Telecomunicaciones (UIT) y la Comisión Económica para Europa (CEPE) de las Naciones Unidas organizarán conjuntamente la 18ª edición del </w:t>
      </w:r>
      <w:r w:rsidRPr="00FB7A9B">
        <w:rPr>
          <w:rFonts w:cstheme="minorHAnsi"/>
          <w:b/>
          <w:bCs/>
          <w:sz w:val="22"/>
          <w:szCs w:val="22"/>
          <w:lang w:val="es-ES"/>
        </w:rPr>
        <w:t>Simposio sobre el Automóvil Conectado del Futuro (FNC-2023)</w:t>
      </w:r>
      <w:r w:rsidRPr="00FB7A9B">
        <w:rPr>
          <w:rFonts w:cstheme="minorHAnsi"/>
          <w:sz w:val="22"/>
          <w:szCs w:val="22"/>
          <w:lang w:val="es-ES"/>
        </w:rPr>
        <w:t xml:space="preserve">, que se celebrará de manera virtual del </w:t>
      </w:r>
      <w:r w:rsidRPr="00FB7A9B">
        <w:rPr>
          <w:rFonts w:cstheme="minorHAnsi"/>
          <w:b/>
          <w:bCs/>
          <w:sz w:val="22"/>
          <w:szCs w:val="22"/>
          <w:lang w:val="es-ES"/>
        </w:rPr>
        <w:t>13 al 16 de marzo de 2023</w:t>
      </w:r>
      <w:r w:rsidRPr="00FB7A9B">
        <w:rPr>
          <w:rFonts w:cstheme="minorHAnsi"/>
          <w:sz w:val="22"/>
          <w:szCs w:val="22"/>
          <w:lang w:val="es-ES"/>
        </w:rPr>
        <w:t xml:space="preserve">, </w:t>
      </w:r>
      <w:r w:rsidRPr="00FB7A9B">
        <w:rPr>
          <w:rFonts w:cstheme="minorHAnsi"/>
          <w:b/>
          <w:bCs/>
          <w:sz w:val="22"/>
          <w:szCs w:val="22"/>
          <w:lang w:val="es-ES"/>
        </w:rPr>
        <w:t>de 13.00 a 16.00 horas CET, cada día</w:t>
      </w:r>
      <w:r w:rsidRPr="00FB7A9B">
        <w:rPr>
          <w:rFonts w:cstheme="minorHAnsi"/>
          <w:sz w:val="22"/>
          <w:szCs w:val="22"/>
          <w:lang w:val="es-ES"/>
        </w:rPr>
        <w:t xml:space="preserve">. </w:t>
      </w:r>
    </w:p>
    <w:p w14:paraId="66FFF17E" w14:textId="4F817AE5" w:rsidR="008A0D8A" w:rsidRPr="00FB7A9B" w:rsidRDefault="008A0D8A" w:rsidP="008A0D8A">
      <w:pPr>
        <w:rPr>
          <w:rFonts w:cstheme="minorHAnsi"/>
          <w:sz w:val="22"/>
          <w:szCs w:val="22"/>
        </w:rPr>
      </w:pPr>
      <w:r w:rsidRPr="00FB7A9B">
        <w:rPr>
          <w:rFonts w:cstheme="minorHAnsi"/>
          <w:sz w:val="22"/>
          <w:szCs w:val="22"/>
        </w:rPr>
        <w:t xml:space="preserve">Después del Simposio se celebrará la Reunión de la Colaboración sobre Normas de Comunicación en los Sistemas de Transporte Inteligentes (CITS) el 17 de marzo de 2023. Puede obtenerse más información en el sitio web de la CITS: </w:t>
      </w:r>
      <w:hyperlink r:id="rId10" w:history="1">
        <w:r w:rsidRPr="00FB7A9B">
          <w:rPr>
            <w:rStyle w:val="Hyperlink"/>
            <w:rFonts w:cstheme="minorHAnsi"/>
            <w:sz w:val="22"/>
            <w:szCs w:val="22"/>
          </w:rPr>
          <w:t>https://www.itu.int/go/cits</w:t>
        </w:r>
      </w:hyperlink>
      <w:r w:rsidRPr="00FB7A9B">
        <w:rPr>
          <w:rFonts w:cstheme="minorHAnsi"/>
          <w:sz w:val="22"/>
          <w:szCs w:val="22"/>
        </w:rPr>
        <w:t>.</w:t>
      </w:r>
    </w:p>
    <w:p w14:paraId="03E05056" w14:textId="77777777" w:rsidR="008A0D8A" w:rsidRPr="00FB7A9B" w:rsidRDefault="008A0D8A" w:rsidP="008A0D8A">
      <w:pPr>
        <w:rPr>
          <w:rFonts w:cstheme="minorHAnsi"/>
          <w:sz w:val="22"/>
          <w:szCs w:val="22"/>
        </w:rPr>
      </w:pPr>
      <w:r w:rsidRPr="00FB7A9B">
        <w:rPr>
          <w:rFonts w:cstheme="minorHAnsi"/>
          <w:sz w:val="22"/>
          <w:szCs w:val="22"/>
        </w:rPr>
        <w:t>2</w:t>
      </w:r>
      <w:r w:rsidRPr="00FB7A9B">
        <w:rPr>
          <w:rFonts w:cstheme="minorHAnsi"/>
          <w:sz w:val="22"/>
          <w:szCs w:val="22"/>
        </w:rPr>
        <w:tab/>
      </w:r>
      <w:proofErr w:type="gramStart"/>
      <w:r w:rsidRPr="00FB7A9B">
        <w:rPr>
          <w:rFonts w:cstheme="minorHAnsi"/>
          <w:sz w:val="22"/>
          <w:szCs w:val="22"/>
        </w:rPr>
        <w:t>Desde</w:t>
      </w:r>
      <w:proofErr w:type="gramEnd"/>
      <w:r w:rsidRPr="00FB7A9B">
        <w:rPr>
          <w:rFonts w:cstheme="minorHAnsi"/>
          <w:sz w:val="22"/>
          <w:szCs w:val="22"/>
        </w:rPr>
        <w:t xml:space="preserve"> su creación en 2005, el Simposio sobre el Automóvil Conectado del Futuro tiene por objeto reunir a representantes de las industrias del automóvil y de las tecnologías de la información y las comunicaciones con dirigentes gubernamentales y organismos reguladores para examinar la situación y el futuro de las comunicaciones de los vehículos y la conducción automática, desde los puntos de vista técnico y reglamentario.</w:t>
      </w:r>
    </w:p>
    <w:p w14:paraId="4F769363" w14:textId="77777777" w:rsidR="008A0D8A" w:rsidRPr="00FB7A9B" w:rsidRDefault="008A0D8A" w:rsidP="008A0D8A">
      <w:pPr>
        <w:rPr>
          <w:rFonts w:cstheme="minorHAnsi"/>
          <w:noProof/>
          <w:sz w:val="22"/>
          <w:szCs w:val="22"/>
          <w:lang w:val="es-ES"/>
        </w:rPr>
      </w:pPr>
      <w:r w:rsidRPr="00FB7A9B">
        <w:rPr>
          <w:rFonts w:cstheme="minorHAnsi"/>
          <w:sz w:val="22"/>
          <w:szCs w:val="22"/>
        </w:rPr>
        <w:t>Los expertos del FNC-2023 examinarán el marco mundial de reglamentación, sobre el que se apoyará el despliegue de soluciones de movilidad altamente automatizadas, y los avances tecnológicos más recientes en materia de conectividad de vehículos y aplicaciones de inteligencia artificial (IA) para mejorar el funcionamiento de los vehículos sin conductor, su diseño y fabricación, el mantenimiento de las carreteras, la gestión del flujo de tráfico y la experiencia de pasajeros. El Simposio profundizará en las relaciones entre las comunicaciones de los vehículos y la conducción automatizada/autónoma analizando el papel crucial de los marcos normativos para hacer realidad los sistemas de transporte inteligente (ITS) del futuro. La colaboración entre los diversos organismos de normalización, así como la definición de áreas específicas en las que la IA resultará de mayor utilidad, son componentes esenciales para lograr el éxito de la movilidad del futuro.</w:t>
      </w:r>
    </w:p>
    <w:p w14:paraId="130113E2" w14:textId="77777777" w:rsidR="008A0D8A" w:rsidRPr="00FB7A9B" w:rsidRDefault="008A0D8A" w:rsidP="008A0D8A">
      <w:pPr>
        <w:tabs>
          <w:tab w:val="clear" w:pos="794"/>
          <w:tab w:val="clear" w:pos="1191"/>
          <w:tab w:val="clear" w:pos="1588"/>
          <w:tab w:val="clear" w:pos="1985"/>
        </w:tabs>
        <w:overflowPunct/>
        <w:autoSpaceDE/>
        <w:autoSpaceDN/>
        <w:adjustRightInd/>
        <w:spacing w:before="0"/>
        <w:textAlignment w:val="auto"/>
        <w:rPr>
          <w:rFonts w:cstheme="minorHAnsi"/>
          <w:noProof/>
          <w:sz w:val="22"/>
          <w:szCs w:val="22"/>
          <w:lang w:val="es-ES"/>
        </w:rPr>
      </w:pPr>
      <w:r w:rsidRPr="00FB7A9B">
        <w:rPr>
          <w:rFonts w:cstheme="minorHAnsi"/>
          <w:noProof/>
          <w:sz w:val="22"/>
          <w:szCs w:val="22"/>
          <w:lang w:val="es-ES"/>
        </w:rPr>
        <w:br w:type="page"/>
      </w:r>
    </w:p>
    <w:p w14:paraId="24F03F31" w14:textId="7417BBC7" w:rsidR="007B6316" w:rsidRPr="00FB7A9B" w:rsidRDefault="008A0D8A" w:rsidP="008A0D8A">
      <w:pPr>
        <w:spacing w:after="120"/>
        <w:rPr>
          <w:rFonts w:cstheme="minorHAnsi"/>
          <w:sz w:val="22"/>
          <w:szCs w:val="22"/>
        </w:rPr>
      </w:pPr>
      <w:r w:rsidRPr="00FB7A9B">
        <w:rPr>
          <w:rFonts w:cstheme="minorHAnsi"/>
          <w:sz w:val="22"/>
          <w:szCs w:val="22"/>
          <w:lang w:val="es-ES"/>
        </w:rPr>
        <w:lastRenderedPageBreak/>
        <w:t xml:space="preserve">La estructura del Simposio será la siguiente (véase el </w:t>
      </w:r>
      <w:hyperlink w:anchor="annex" w:history="1">
        <w:r w:rsidRPr="00FB7A9B">
          <w:rPr>
            <w:rStyle w:val="Hyperlink"/>
            <w:rFonts w:cstheme="minorHAnsi"/>
            <w:sz w:val="22"/>
            <w:szCs w:val="22"/>
            <w:lang w:val="es-ES"/>
          </w:rPr>
          <w:t>ANEXO</w:t>
        </w:r>
      </w:hyperlink>
      <w:r w:rsidRPr="00FB7A9B">
        <w:rPr>
          <w:rFonts w:cstheme="minorHAnsi"/>
          <w:sz w:val="22"/>
          <w:szCs w:val="22"/>
          <w:lang w:val="es-ES"/>
        </w:rPr>
        <w:t xml:space="preserve"> para conocer el proyecto de programa):</w:t>
      </w:r>
    </w:p>
    <w:tbl>
      <w:tblPr>
        <w:tblStyle w:val="TableGrid1"/>
        <w:tblW w:w="5000" w:type="pct"/>
        <w:tblLayout w:type="fixed"/>
        <w:tblLook w:val="04A0" w:firstRow="1" w:lastRow="0" w:firstColumn="1" w:lastColumn="0" w:noHBand="0" w:noVBand="1"/>
      </w:tblPr>
      <w:tblGrid>
        <w:gridCol w:w="3366"/>
        <w:gridCol w:w="6263"/>
      </w:tblGrid>
      <w:tr w:rsidR="008A0D8A" w:rsidRPr="00FB7A9B" w14:paraId="68F63CA5" w14:textId="77777777" w:rsidTr="00A175BB">
        <w:tc>
          <w:tcPr>
            <w:tcW w:w="3397" w:type="dxa"/>
            <w:vAlign w:val="center"/>
          </w:tcPr>
          <w:p w14:paraId="1368241B" w14:textId="3C6C96C4" w:rsidR="008A0D8A" w:rsidRPr="00FB7A9B" w:rsidRDefault="008A0D8A" w:rsidP="00A175BB">
            <w:pPr>
              <w:pStyle w:val="TableText"/>
              <w:rPr>
                <w:rFonts w:cstheme="minorHAnsi"/>
                <w:noProof/>
                <w:lang w:val="en-GB"/>
              </w:rPr>
            </w:pPr>
            <w:r w:rsidRPr="00FB7A9B">
              <w:rPr>
                <w:rFonts w:cstheme="minorHAnsi"/>
                <w:lang w:val="es-ES"/>
              </w:rPr>
              <w:t>13 de marzo de 2023</w:t>
            </w:r>
            <w:r w:rsidR="00A175BB" w:rsidRPr="00FB7A9B">
              <w:rPr>
                <w:rFonts w:cstheme="minorHAnsi"/>
                <w:lang w:val="es-ES"/>
              </w:rPr>
              <w:br/>
            </w:r>
            <w:r w:rsidRPr="00FB7A9B">
              <w:rPr>
                <w:rFonts w:cstheme="minorHAnsi"/>
                <w:lang w:val="es-ES"/>
              </w:rPr>
              <w:t>(13.00-1</w:t>
            </w:r>
            <w:r w:rsidR="00A175BB" w:rsidRPr="00FB7A9B">
              <w:rPr>
                <w:rFonts w:cstheme="minorHAnsi"/>
                <w:lang w:val="es-ES"/>
              </w:rPr>
              <w:t>3</w:t>
            </w:r>
            <w:r w:rsidRPr="00FB7A9B">
              <w:rPr>
                <w:rFonts w:cstheme="minorHAnsi"/>
                <w:lang w:val="es-ES"/>
              </w:rPr>
              <w:t>.</w:t>
            </w:r>
            <w:r w:rsidR="00A175BB" w:rsidRPr="00FB7A9B">
              <w:rPr>
                <w:rFonts w:cstheme="minorHAnsi"/>
                <w:lang w:val="es-ES"/>
              </w:rPr>
              <w:t>30</w:t>
            </w:r>
            <w:r w:rsidRPr="00FB7A9B">
              <w:rPr>
                <w:rFonts w:cstheme="minorHAnsi"/>
                <w:lang w:val="es-ES"/>
              </w:rPr>
              <w:t xml:space="preserve"> CET):</w:t>
            </w:r>
          </w:p>
        </w:tc>
        <w:tc>
          <w:tcPr>
            <w:tcW w:w="6322" w:type="dxa"/>
            <w:vAlign w:val="center"/>
          </w:tcPr>
          <w:p w14:paraId="1D3DDA8E" w14:textId="77777777" w:rsidR="008A0D8A" w:rsidRPr="00FB7A9B" w:rsidRDefault="008A0D8A" w:rsidP="00A175BB">
            <w:pPr>
              <w:pStyle w:val="TableText"/>
              <w:rPr>
                <w:rFonts w:cstheme="minorHAnsi"/>
                <w:b/>
                <w:noProof/>
                <w:lang w:val="en-GB"/>
              </w:rPr>
            </w:pPr>
            <w:r w:rsidRPr="00FB7A9B">
              <w:rPr>
                <w:rFonts w:cstheme="minorHAnsi"/>
                <w:b/>
                <w:i/>
                <w:iCs/>
                <w:lang w:val="es-ES"/>
              </w:rPr>
              <w:t>CEREMONIA DE APERTURA</w:t>
            </w:r>
          </w:p>
        </w:tc>
      </w:tr>
      <w:tr w:rsidR="008A0D8A" w:rsidRPr="00FB7A9B" w14:paraId="4861C716" w14:textId="77777777" w:rsidTr="00A175BB">
        <w:tc>
          <w:tcPr>
            <w:tcW w:w="3397" w:type="dxa"/>
            <w:vAlign w:val="center"/>
          </w:tcPr>
          <w:p w14:paraId="49817596" w14:textId="4492EA64" w:rsidR="008A0D8A" w:rsidRPr="00FB7A9B" w:rsidRDefault="008A0D8A" w:rsidP="00A175BB">
            <w:pPr>
              <w:pStyle w:val="TableText"/>
              <w:rPr>
                <w:rFonts w:cstheme="minorHAnsi"/>
                <w:noProof/>
                <w:lang w:val="en-GB"/>
              </w:rPr>
            </w:pPr>
            <w:r w:rsidRPr="00FB7A9B">
              <w:rPr>
                <w:rFonts w:cstheme="minorHAnsi"/>
                <w:lang w:val="es-ES"/>
              </w:rPr>
              <w:t>13 de marzo de 2023</w:t>
            </w:r>
            <w:r w:rsidR="00A175BB" w:rsidRPr="00FB7A9B">
              <w:rPr>
                <w:rFonts w:cstheme="minorHAnsi"/>
                <w:lang w:val="es-ES"/>
              </w:rPr>
              <w:br/>
            </w:r>
            <w:r w:rsidRPr="00FB7A9B">
              <w:rPr>
                <w:rFonts w:cstheme="minorHAnsi"/>
                <w:lang w:val="es-ES"/>
              </w:rPr>
              <w:t>(13.</w:t>
            </w:r>
            <w:r w:rsidR="00A175BB" w:rsidRPr="00FB7A9B">
              <w:rPr>
                <w:rFonts w:cstheme="minorHAnsi"/>
                <w:lang w:val="es-ES"/>
              </w:rPr>
              <w:t>3</w:t>
            </w:r>
            <w:r w:rsidRPr="00FB7A9B">
              <w:rPr>
                <w:rFonts w:cstheme="minorHAnsi"/>
                <w:lang w:val="es-ES"/>
              </w:rPr>
              <w:t>0-16.00 CET):</w:t>
            </w:r>
          </w:p>
        </w:tc>
        <w:tc>
          <w:tcPr>
            <w:tcW w:w="6322" w:type="dxa"/>
            <w:vAlign w:val="center"/>
          </w:tcPr>
          <w:p w14:paraId="0688C7B3" w14:textId="4DBF0A26" w:rsidR="008A0D8A" w:rsidRPr="00FB7A9B" w:rsidRDefault="008A0D8A" w:rsidP="00A175BB">
            <w:pPr>
              <w:pStyle w:val="TableText"/>
              <w:rPr>
                <w:rFonts w:cstheme="minorHAnsi"/>
                <w:b/>
                <w:i/>
                <w:iCs/>
                <w:noProof/>
                <w:lang w:val="es-ES"/>
              </w:rPr>
            </w:pPr>
            <w:r w:rsidRPr="00FB7A9B">
              <w:rPr>
                <w:rFonts w:cstheme="minorHAnsi"/>
                <w:b/>
                <w:i/>
                <w:iCs/>
                <w:lang w:val="es-ES"/>
              </w:rPr>
              <w:t>SESIÓN 1</w:t>
            </w:r>
            <w:r w:rsidR="00A175BB" w:rsidRPr="00FB7A9B">
              <w:rPr>
                <w:rFonts w:cstheme="minorHAnsi"/>
                <w:b/>
                <w:i/>
                <w:iCs/>
                <w:lang w:val="es-ES"/>
              </w:rPr>
              <w:t xml:space="preserve"> </w:t>
            </w:r>
            <w:r w:rsidR="00A175BB" w:rsidRPr="00FB7A9B">
              <w:rPr>
                <w:rFonts w:eastAsia="Times New Roman" w:cstheme="minorHAnsi"/>
                <w:b/>
                <w:bCs/>
                <w:i/>
                <w:iCs/>
                <w:lang w:val="es-ES"/>
              </w:rPr>
              <w:t xml:space="preserve">– </w:t>
            </w:r>
            <w:r w:rsidRPr="00FB7A9B">
              <w:rPr>
                <w:rFonts w:cstheme="minorHAnsi"/>
                <w:b/>
                <w:i/>
                <w:iCs/>
                <w:lang w:val="es-ES"/>
              </w:rPr>
              <w:t>¿Serán los vehículos automatizados controlados por IA seguros para los usuarios de carreteras?</w:t>
            </w:r>
          </w:p>
        </w:tc>
      </w:tr>
      <w:tr w:rsidR="008A0D8A" w:rsidRPr="00FB7A9B" w14:paraId="1AA68EF0" w14:textId="77777777" w:rsidTr="00A175BB">
        <w:tc>
          <w:tcPr>
            <w:tcW w:w="3397" w:type="dxa"/>
            <w:vAlign w:val="center"/>
          </w:tcPr>
          <w:p w14:paraId="6A1F8582" w14:textId="744C80BE" w:rsidR="008A0D8A" w:rsidRPr="00FB7A9B" w:rsidRDefault="008A0D8A" w:rsidP="00A175BB">
            <w:pPr>
              <w:pStyle w:val="TableText"/>
              <w:rPr>
                <w:rFonts w:cstheme="minorHAnsi"/>
                <w:noProof/>
                <w:lang w:val="en-GB"/>
              </w:rPr>
            </w:pPr>
            <w:r w:rsidRPr="00FB7A9B">
              <w:rPr>
                <w:rFonts w:cstheme="minorHAnsi"/>
                <w:lang w:val="es-ES"/>
              </w:rPr>
              <w:t>14 de marzo de 2023</w:t>
            </w:r>
            <w:r w:rsidR="00A175BB" w:rsidRPr="00FB7A9B">
              <w:rPr>
                <w:rFonts w:cstheme="minorHAnsi"/>
                <w:lang w:val="es-ES"/>
              </w:rPr>
              <w:br/>
            </w:r>
            <w:r w:rsidRPr="00FB7A9B">
              <w:rPr>
                <w:rFonts w:cstheme="minorHAnsi"/>
                <w:lang w:val="es-ES"/>
              </w:rPr>
              <w:t>(13.00-16.00 CET):</w:t>
            </w:r>
          </w:p>
        </w:tc>
        <w:tc>
          <w:tcPr>
            <w:tcW w:w="6322" w:type="dxa"/>
            <w:vAlign w:val="center"/>
          </w:tcPr>
          <w:p w14:paraId="5651C95B" w14:textId="070E76C9" w:rsidR="008A0D8A" w:rsidRPr="00FB7A9B" w:rsidRDefault="008A0D8A" w:rsidP="00A175BB">
            <w:pPr>
              <w:pStyle w:val="TableText"/>
              <w:rPr>
                <w:rFonts w:cstheme="minorHAnsi"/>
                <w:b/>
                <w:i/>
                <w:iCs/>
                <w:noProof/>
                <w:lang w:val="es-ES"/>
              </w:rPr>
            </w:pPr>
            <w:r w:rsidRPr="00FB7A9B">
              <w:rPr>
                <w:rFonts w:cstheme="minorHAnsi"/>
                <w:b/>
                <w:i/>
                <w:iCs/>
                <w:lang w:val="es-ES"/>
              </w:rPr>
              <w:t>SESIÓN 2</w:t>
            </w:r>
            <w:r w:rsidR="00A175BB" w:rsidRPr="00FB7A9B">
              <w:rPr>
                <w:rFonts w:cstheme="minorHAnsi"/>
                <w:b/>
                <w:i/>
                <w:iCs/>
                <w:lang w:val="es-ES"/>
              </w:rPr>
              <w:t xml:space="preserve"> </w:t>
            </w:r>
            <w:r w:rsidR="00A175BB" w:rsidRPr="00FB7A9B">
              <w:rPr>
                <w:rFonts w:eastAsia="Times New Roman" w:cstheme="minorHAnsi"/>
                <w:b/>
                <w:bCs/>
                <w:i/>
                <w:iCs/>
                <w:lang w:val="es-ES"/>
              </w:rPr>
              <w:t xml:space="preserve">– </w:t>
            </w:r>
            <w:r w:rsidRPr="00FB7A9B">
              <w:rPr>
                <w:rFonts w:cstheme="minorHAnsi"/>
                <w:b/>
                <w:i/>
                <w:iCs/>
                <w:lang w:val="es-ES"/>
              </w:rPr>
              <w:t>Utilización de la inteligencia artificial automovilística para mejorar la seguridad de los vehículos, los servicios y la gestión del transporte</w:t>
            </w:r>
            <w:r w:rsidRPr="00FB7A9B">
              <w:rPr>
                <w:rFonts w:cstheme="minorHAnsi"/>
                <w:b/>
                <w:lang w:val="es-ES"/>
              </w:rPr>
              <w:t xml:space="preserve"> </w:t>
            </w:r>
          </w:p>
        </w:tc>
      </w:tr>
      <w:tr w:rsidR="008A0D8A" w:rsidRPr="00FB7A9B" w14:paraId="0759F861" w14:textId="77777777" w:rsidTr="00A175BB">
        <w:tc>
          <w:tcPr>
            <w:tcW w:w="3397" w:type="dxa"/>
            <w:vAlign w:val="center"/>
          </w:tcPr>
          <w:p w14:paraId="02C64FBA" w14:textId="6B0EDEDA" w:rsidR="008A0D8A" w:rsidRPr="00FB7A9B" w:rsidRDefault="008A0D8A" w:rsidP="00A175BB">
            <w:pPr>
              <w:pStyle w:val="TableText"/>
              <w:rPr>
                <w:rFonts w:cstheme="minorHAnsi"/>
                <w:noProof/>
                <w:lang w:val="en-GB"/>
              </w:rPr>
            </w:pPr>
            <w:r w:rsidRPr="00FB7A9B">
              <w:rPr>
                <w:rFonts w:cstheme="minorHAnsi"/>
                <w:lang w:val="es-ES"/>
              </w:rPr>
              <w:t>15 de marzo de 2023</w:t>
            </w:r>
            <w:r w:rsidR="00A175BB" w:rsidRPr="00FB7A9B">
              <w:rPr>
                <w:rFonts w:cstheme="minorHAnsi"/>
                <w:lang w:val="es-ES"/>
              </w:rPr>
              <w:br/>
            </w:r>
            <w:r w:rsidRPr="00FB7A9B">
              <w:rPr>
                <w:rFonts w:cstheme="minorHAnsi"/>
                <w:lang w:val="es-ES"/>
              </w:rPr>
              <w:t>(13.00-16.00 CET):</w:t>
            </w:r>
          </w:p>
        </w:tc>
        <w:tc>
          <w:tcPr>
            <w:tcW w:w="6322" w:type="dxa"/>
            <w:vAlign w:val="center"/>
          </w:tcPr>
          <w:p w14:paraId="0CED5170" w14:textId="77777777" w:rsidR="008A0D8A" w:rsidRPr="00FB7A9B" w:rsidRDefault="008A0D8A" w:rsidP="00A175BB">
            <w:pPr>
              <w:pStyle w:val="TableText"/>
              <w:rPr>
                <w:rFonts w:cstheme="minorHAnsi"/>
                <w:b/>
                <w:i/>
                <w:iCs/>
                <w:noProof/>
                <w:lang w:val="es-ES"/>
              </w:rPr>
            </w:pPr>
            <w:r w:rsidRPr="00FB7A9B">
              <w:rPr>
                <w:rFonts w:cstheme="minorHAnsi"/>
                <w:b/>
                <w:i/>
                <w:iCs/>
                <w:lang w:val="es-ES"/>
              </w:rPr>
              <w:t>SESIÓN 3 – Sistemas de conducción automatizada (ADS) para vehículos de uso privado y otros vehículos (camiones, vehículos de reparto, autobuses, robotaxis, etc.)</w:t>
            </w:r>
          </w:p>
        </w:tc>
      </w:tr>
      <w:tr w:rsidR="008A0D8A" w:rsidRPr="00FB7A9B" w14:paraId="2CE161CA" w14:textId="77777777" w:rsidTr="00A175BB">
        <w:tc>
          <w:tcPr>
            <w:tcW w:w="3397" w:type="dxa"/>
            <w:vAlign w:val="center"/>
          </w:tcPr>
          <w:p w14:paraId="219A5EAC" w14:textId="6C0F2EBA" w:rsidR="008A0D8A" w:rsidRPr="00FB7A9B" w:rsidRDefault="008A0D8A" w:rsidP="00A175BB">
            <w:pPr>
              <w:pStyle w:val="TableText"/>
              <w:rPr>
                <w:rFonts w:cstheme="minorHAnsi"/>
                <w:noProof/>
                <w:lang w:val="en-GB"/>
              </w:rPr>
            </w:pPr>
            <w:r w:rsidRPr="00FB7A9B">
              <w:rPr>
                <w:rFonts w:cstheme="minorHAnsi"/>
                <w:lang w:val="es-ES"/>
              </w:rPr>
              <w:t>16 de marzo de 2023</w:t>
            </w:r>
            <w:r w:rsidR="00A175BB" w:rsidRPr="00FB7A9B">
              <w:rPr>
                <w:rFonts w:cstheme="minorHAnsi"/>
                <w:lang w:val="es-ES"/>
              </w:rPr>
              <w:br/>
            </w:r>
            <w:r w:rsidRPr="00FB7A9B">
              <w:rPr>
                <w:rFonts w:cstheme="minorHAnsi"/>
                <w:lang w:val="es-ES"/>
              </w:rPr>
              <w:t xml:space="preserve">(13.00-16.00 CET): </w:t>
            </w:r>
          </w:p>
        </w:tc>
        <w:tc>
          <w:tcPr>
            <w:tcW w:w="6322" w:type="dxa"/>
            <w:vAlign w:val="center"/>
          </w:tcPr>
          <w:p w14:paraId="3A2EB4F8" w14:textId="77777777" w:rsidR="008A0D8A" w:rsidRPr="00FB7A9B" w:rsidRDefault="008A0D8A" w:rsidP="00A175BB">
            <w:pPr>
              <w:pStyle w:val="TableText"/>
              <w:rPr>
                <w:rFonts w:cstheme="minorHAnsi"/>
                <w:b/>
                <w:i/>
                <w:iCs/>
                <w:noProof/>
                <w:lang w:val="es-ES"/>
              </w:rPr>
            </w:pPr>
            <w:r w:rsidRPr="00FB7A9B">
              <w:rPr>
                <w:rFonts w:cstheme="minorHAnsi"/>
                <w:b/>
                <w:i/>
                <w:iCs/>
                <w:lang w:val="es-ES"/>
              </w:rPr>
              <w:t>SESIÓN 4 – Comunicaciones inalámbricas aplicadas a la seguridad de vehículos, los servicios y la gestión de transporte – Situación actual y futuras direcciones</w:t>
            </w:r>
          </w:p>
        </w:tc>
      </w:tr>
    </w:tbl>
    <w:p w14:paraId="4299A993" w14:textId="77777777" w:rsidR="008A0D8A" w:rsidRPr="00FB7A9B" w:rsidRDefault="008A0D8A" w:rsidP="008A0D8A">
      <w:pPr>
        <w:rPr>
          <w:rFonts w:cstheme="minorHAnsi"/>
          <w:sz w:val="22"/>
          <w:szCs w:val="22"/>
        </w:rPr>
      </w:pPr>
      <w:r w:rsidRPr="00FB7A9B">
        <w:rPr>
          <w:rFonts w:cstheme="minorHAnsi"/>
          <w:sz w:val="22"/>
          <w:szCs w:val="22"/>
        </w:rPr>
        <w:t>3</w:t>
      </w:r>
      <w:r w:rsidRPr="00FB7A9B">
        <w:rPr>
          <w:rFonts w:cstheme="minorHAnsi"/>
          <w:sz w:val="22"/>
          <w:szCs w:val="22"/>
        </w:rPr>
        <w:tab/>
      </w:r>
      <w:proofErr w:type="gramStart"/>
      <w:r w:rsidRPr="00FB7A9B">
        <w:rPr>
          <w:rFonts w:cstheme="minorHAnsi"/>
          <w:sz w:val="22"/>
          <w:szCs w:val="22"/>
        </w:rPr>
        <w:t>Los</w:t>
      </w:r>
      <w:proofErr w:type="gramEnd"/>
      <w:r w:rsidRPr="00FB7A9B">
        <w:rPr>
          <w:rFonts w:cstheme="minorHAnsi"/>
          <w:sz w:val="22"/>
          <w:szCs w:val="22"/>
        </w:rPr>
        <w:t xml:space="preserve"> debates se celebrarán únicamente en inglés. </w:t>
      </w:r>
    </w:p>
    <w:p w14:paraId="1C0B3383" w14:textId="77777777" w:rsidR="008A0D8A" w:rsidRPr="00FB7A9B" w:rsidRDefault="008A0D8A" w:rsidP="008A0D8A">
      <w:pPr>
        <w:rPr>
          <w:rFonts w:cstheme="minorHAnsi"/>
          <w:sz w:val="22"/>
          <w:szCs w:val="22"/>
        </w:rPr>
      </w:pPr>
      <w:r w:rsidRPr="00FB7A9B">
        <w:rPr>
          <w:rFonts w:cstheme="minorHAnsi"/>
          <w:sz w:val="22"/>
          <w:szCs w:val="22"/>
        </w:rPr>
        <w:t>4</w:t>
      </w:r>
      <w:r w:rsidRPr="00FB7A9B">
        <w:rPr>
          <w:rFonts w:cstheme="minorHAnsi"/>
          <w:sz w:val="22"/>
          <w:szCs w:val="22"/>
        </w:rPr>
        <w:tab/>
      </w:r>
      <w:proofErr w:type="gramStart"/>
      <w:r w:rsidRPr="00FB7A9B">
        <w:rPr>
          <w:rFonts w:cstheme="minorHAnsi"/>
          <w:sz w:val="22"/>
          <w:szCs w:val="22"/>
        </w:rPr>
        <w:t>La</w:t>
      </w:r>
      <w:proofErr w:type="gramEnd"/>
      <w:r w:rsidRPr="00FB7A9B">
        <w:rPr>
          <w:rFonts w:cstheme="minorHAnsi"/>
          <w:sz w:val="22"/>
          <w:szCs w:val="22"/>
        </w:rPr>
        <w:t xml:space="preserve"> participación está abierta a los Estados Miembros, a los Miembros de Sector, a los Asociados y a las Instituciones Académicas de la UIT, y a cualquier persona de un país que sea miembro de las Naciones Unidas y desee contribuir a los trabajos. Esto incluye a las personas que también son miembros de organizaciones nacionales, regionales e internacionales. La participación en el Simposio será gratuita. </w:t>
      </w:r>
      <w:bookmarkStart w:id="4" w:name="_Hlk54906746"/>
      <w:bookmarkEnd w:id="4"/>
    </w:p>
    <w:p w14:paraId="74C3EA86" w14:textId="68A7717C" w:rsidR="008A0D8A" w:rsidRPr="00FB7A9B" w:rsidRDefault="008A0D8A" w:rsidP="008A0D8A">
      <w:pPr>
        <w:rPr>
          <w:rFonts w:cstheme="minorHAnsi"/>
          <w:sz w:val="22"/>
          <w:szCs w:val="22"/>
        </w:rPr>
      </w:pPr>
      <w:r w:rsidRPr="00FB7A9B">
        <w:rPr>
          <w:rFonts w:cstheme="minorHAnsi"/>
          <w:sz w:val="22"/>
          <w:szCs w:val="22"/>
        </w:rPr>
        <w:t>5</w:t>
      </w:r>
      <w:r w:rsidRPr="00FB7A9B">
        <w:rPr>
          <w:rFonts w:cstheme="minorHAnsi"/>
          <w:sz w:val="22"/>
          <w:szCs w:val="22"/>
        </w:rPr>
        <w:tab/>
      </w:r>
      <w:proofErr w:type="gramStart"/>
      <w:r w:rsidRPr="00FB7A9B">
        <w:rPr>
          <w:rFonts w:cstheme="minorHAnsi"/>
          <w:sz w:val="22"/>
          <w:szCs w:val="22"/>
        </w:rPr>
        <w:t>Toda</w:t>
      </w:r>
      <w:proofErr w:type="gramEnd"/>
      <w:r w:rsidRPr="00FB7A9B">
        <w:rPr>
          <w:rFonts w:cstheme="minorHAnsi"/>
          <w:sz w:val="22"/>
          <w:szCs w:val="22"/>
        </w:rPr>
        <w:t xml:space="preserve"> la información pertinente relativa al Simposio (oradores, proyecto de programa, detalles de la conexión a distancia, enlaces para la inscripción) estará disponible en el sitio web del evento principal que se encuentra en: </w:t>
      </w:r>
      <w:hyperlink r:id="rId11" w:history="1">
        <w:r w:rsidR="00A175BB" w:rsidRPr="00FB7A9B">
          <w:rPr>
            <w:rStyle w:val="Hyperlink"/>
            <w:rFonts w:cstheme="minorHAnsi"/>
            <w:sz w:val="22"/>
            <w:szCs w:val="22"/>
          </w:rPr>
          <w:t>https://fnc.itu.int/</w:t>
        </w:r>
      </w:hyperlink>
      <w:r w:rsidRPr="00FB7A9B">
        <w:rPr>
          <w:rFonts w:cstheme="minorHAnsi"/>
          <w:sz w:val="22"/>
          <w:szCs w:val="22"/>
        </w:rPr>
        <w:t>.</w:t>
      </w:r>
    </w:p>
    <w:p w14:paraId="1B0910E4" w14:textId="432AB920" w:rsidR="008A0D8A" w:rsidRPr="00FB7A9B" w:rsidRDefault="008A0D8A" w:rsidP="008A0D8A">
      <w:pPr>
        <w:rPr>
          <w:rFonts w:cstheme="minorHAnsi"/>
          <w:bCs/>
          <w:noProof/>
          <w:sz w:val="22"/>
          <w:szCs w:val="22"/>
          <w:lang w:val="es-ES"/>
        </w:rPr>
      </w:pPr>
      <w:r w:rsidRPr="00FB7A9B">
        <w:rPr>
          <w:rFonts w:cstheme="minorHAnsi"/>
          <w:b/>
          <w:bCs/>
          <w:sz w:val="22"/>
          <w:szCs w:val="22"/>
          <w:lang w:val="es-ES"/>
        </w:rPr>
        <w:t>Rogamos tenga presente que la inscripción es obligatoria</w:t>
      </w:r>
      <w:r w:rsidRPr="00FB7A9B">
        <w:rPr>
          <w:rFonts w:cstheme="minorHAnsi"/>
          <w:sz w:val="22"/>
          <w:szCs w:val="22"/>
          <w:lang w:val="es-ES"/>
        </w:rPr>
        <w:t>. El sitio web se actualizará periódicamente a medida que se disponga de información nueva o modificada. Se ruega a los participantes que visiten periódicamente el sitio web del Simposio para comprobar las actualizaciones. Por favor, si necesita información adicional sobre el programa, no dude en comunicarse con el Sr. Stefano Polidori (</w:t>
      </w:r>
      <w:hyperlink r:id="rId12" w:history="1">
        <w:r w:rsidR="00A175BB" w:rsidRPr="00FB7A9B">
          <w:rPr>
            <w:rStyle w:val="Hyperlink"/>
            <w:rFonts w:cstheme="minorHAnsi"/>
            <w:sz w:val="22"/>
            <w:szCs w:val="22"/>
            <w:lang w:val="es-ES"/>
          </w:rPr>
          <w:t>stefano.polidori@itu.int</w:t>
        </w:r>
      </w:hyperlink>
      <w:r w:rsidRPr="00FB7A9B">
        <w:rPr>
          <w:rFonts w:cstheme="minorHAnsi"/>
          <w:sz w:val="22"/>
          <w:szCs w:val="22"/>
          <w:lang w:val="es-ES"/>
        </w:rPr>
        <w:t xml:space="preserve">). </w:t>
      </w:r>
    </w:p>
    <w:p w14:paraId="45D9B832" w14:textId="6333DAD7" w:rsidR="008A0D8A" w:rsidRPr="00FB7A9B" w:rsidRDefault="008A0D8A" w:rsidP="008A0D8A">
      <w:pPr>
        <w:rPr>
          <w:rFonts w:cstheme="minorHAnsi"/>
          <w:bCs/>
          <w:noProof/>
          <w:color w:val="0000FF"/>
          <w:sz w:val="22"/>
          <w:szCs w:val="22"/>
          <w:u w:val="single"/>
          <w:lang w:val="es-ES"/>
        </w:rPr>
      </w:pPr>
      <w:r w:rsidRPr="00FB7A9B">
        <w:rPr>
          <w:rFonts w:cstheme="minorHAnsi"/>
          <w:sz w:val="22"/>
          <w:szCs w:val="22"/>
          <w:lang w:val="es-ES"/>
        </w:rPr>
        <w:t xml:space="preserve">Para información sobre las </w:t>
      </w:r>
      <w:r w:rsidRPr="00FB7A9B">
        <w:rPr>
          <w:rFonts w:cstheme="minorHAnsi"/>
          <w:b/>
          <w:bCs/>
          <w:sz w:val="22"/>
          <w:szCs w:val="22"/>
          <w:lang w:val="es-ES"/>
        </w:rPr>
        <w:t>oportunidades de patrocinio</w:t>
      </w:r>
      <w:r w:rsidRPr="00FB7A9B">
        <w:rPr>
          <w:rFonts w:cstheme="minorHAnsi"/>
          <w:sz w:val="22"/>
          <w:szCs w:val="22"/>
          <w:lang w:val="es-ES"/>
        </w:rPr>
        <w:t xml:space="preserve"> del FNC-2023, puede comunicarse con </w:t>
      </w:r>
      <w:hyperlink r:id="rId13" w:history="1">
        <w:r w:rsidR="00A175BB" w:rsidRPr="00FB7A9B">
          <w:rPr>
            <w:rStyle w:val="Hyperlink"/>
            <w:rFonts w:cstheme="minorHAnsi"/>
            <w:sz w:val="22"/>
            <w:szCs w:val="22"/>
            <w:lang w:val="es-ES"/>
          </w:rPr>
          <w:t>tsbevents@itu.int</w:t>
        </w:r>
      </w:hyperlink>
      <w:r w:rsidRPr="00FB7A9B">
        <w:rPr>
          <w:rFonts w:cstheme="minorHAnsi"/>
          <w:sz w:val="22"/>
          <w:szCs w:val="22"/>
          <w:lang w:val="es-ES"/>
        </w:rPr>
        <w:t xml:space="preserve">. El paquete de patrocinio puede descargarse en línea en la dirección </w:t>
      </w:r>
      <w:hyperlink r:id="rId14" w:history="1">
        <w:r w:rsidRPr="00FB7A9B">
          <w:rPr>
            <w:rStyle w:val="Hyperlink"/>
            <w:rFonts w:cstheme="minorHAnsi"/>
            <w:sz w:val="22"/>
            <w:szCs w:val="22"/>
            <w:lang w:val="es-ES"/>
          </w:rPr>
          <w:t>https://fnc.itu.int/engage/</w:t>
        </w:r>
      </w:hyperlink>
      <w:r w:rsidRPr="00FB7A9B">
        <w:rPr>
          <w:rFonts w:cstheme="minorHAnsi"/>
          <w:color w:val="000000" w:themeColor="text1"/>
          <w:sz w:val="22"/>
          <w:szCs w:val="22"/>
          <w:lang w:val="es-ES"/>
        </w:rPr>
        <w:t>.</w:t>
      </w:r>
    </w:p>
    <w:p w14:paraId="4F1F7DAF" w14:textId="37DF1251" w:rsidR="007B6316" w:rsidRPr="00FB7A9B" w:rsidRDefault="007B6316" w:rsidP="007B6316">
      <w:pPr>
        <w:rPr>
          <w:rFonts w:cstheme="minorHAnsi"/>
          <w:sz w:val="22"/>
          <w:szCs w:val="22"/>
        </w:rPr>
      </w:pPr>
      <w:r w:rsidRPr="00FB7A9B">
        <w:rPr>
          <w:rFonts w:cstheme="minorHAnsi"/>
          <w:sz w:val="22"/>
          <w:szCs w:val="22"/>
        </w:rPr>
        <w:t>Atentamente,</w:t>
      </w:r>
    </w:p>
    <w:p w14:paraId="66E942C4" w14:textId="03CE6D58" w:rsidR="007B6316" w:rsidRPr="00FB7A9B" w:rsidRDefault="00736D5C" w:rsidP="00E92B85">
      <w:pPr>
        <w:spacing w:before="960"/>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26293CEA" wp14:editId="7733559E">
            <wp:simplePos x="0" y="0"/>
            <wp:positionH relativeFrom="column">
              <wp:posOffset>-2539</wp:posOffset>
            </wp:positionH>
            <wp:positionV relativeFrom="paragraph">
              <wp:posOffset>79428</wp:posOffset>
            </wp:positionV>
            <wp:extent cx="692150" cy="311732"/>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05192" cy="317606"/>
                    </a:xfrm>
                    <a:prstGeom prst="rect">
                      <a:avLst/>
                    </a:prstGeom>
                  </pic:spPr>
                </pic:pic>
              </a:graphicData>
            </a:graphic>
            <wp14:sizeRelH relativeFrom="margin">
              <wp14:pctWidth>0</wp14:pctWidth>
            </wp14:sizeRelH>
            <wp14:sizeRelV relativeFrom="margin">
              <wp14:pctHeight>0</wp14:pctHeight>
            </wp14:sizeRelV>
          </wp:anchor>
        </w:drawing>
      </w:r>
      <w:r w:rsidR="007B6316" w:rsidRPr="00FB7A9B">
        <w:rPr>
          <w:rFonts w:cstheme="minorHAnsi"/>
          <w:sz w:val="22"/>
          <w:szCs w:val="22"/>
        </w:rPr>
        <w:t>Chaesub Lee</w:t>
      </w:r>
      <w:r w:rsidR="007B6316" w:rsidRPr="00FB7A9B">
        <w:rPr>
          <w:rFonts w:cstheme="minorHAnsi"/>
          <w:sz w:val="22"/>
          <w:szCs w:val="22"/>
        </w:rPr>
        <w:br/>
      </w:r>
      <w:proofErr w:type="gramStart"/>
      <w:r w:rsidR="007B6316" w:rsidRPr="00FB7A9B">
        <w:rPr>
          <w:rFonts w:cstheme="minorHAnsi"/>
          <w:sz w:val="22"/>
          <w:szCs w:val="22"/>
        </w:rPr>
        <w:t>Director</w:t>
      </w:r>
      <w:proofErr w:type="gramEnd"/>
      <w:r w:rsidR="007B6316" w:rsidRPr="00FB7A9B">
        <w:rPr>
          <w:rFonts w:cstheme="minorHAnsi"/>
          <w:sz w:val="22"/>
          <w:szCs w:val="22"/>
        </w:rPr>
        <w:t xml:space="preserve"> de la Oficina de </w:t>
      </w:r>
      <w:r w:rsidR="007B6316" w:rsidRPr="00FB7A9B">
        <w:rPr>
          <w:rFonts w:cstheme="minorHAnsi"/>
          <w:sz w:val="22"/>
          <w:szCs w:val="22"/>
        </w:rPr>
        <w:br/>
        <w:t>Normalización de las Telecomunicaciones</w:t>
      </w:r>
    </w:p>
    <w:p w14:paraId="7C782894" w14:textId="372C0FF4" w:rsidR="00A175BB" w:rsidRPr="00FB7A9B" w:rsidRDefault="00A175BB" w:rsidP="007B6316">
      <w:pPr>
        <w:spacing w:before="360"/>
        <w:rPr>
          <w:rFonts w:cstheme="minorHAnsi"/>
          <w:sz w:val="22"/>
          <w:szCs w:val="22"/>
        </w:rPr>
      </w:pPr>
      <w:r w:rsidRPr="00FB7A9B">
        <w:rPr>
          <w:rFonts w:cstheme="minorHAnsi"/>
          <w:b/>
          <w:sz w:val="22"/>
          <w:szCs w:val="22"/>
          <w:lang w:val="es-ES"/>
        </w:rPr>
        <w:t>Anexo</w:t>
      </w:r>
      <w:r w:rsidRPr="00FB7A9B">
        <w:rPr>
          <w:rFonts w:cstheme="minorHAnsi"/>
          <w:sz w:val="22"/>
          <w:szCs w:val="22"/>
          <w:lang w:val="es-ES"/>
        </w:rPr>
        <w:t>:</w:t>
      </w:r>
      <w:r w:rsidRPr="00FB7A9B">
        <w:rPr>
          <w:rFonts w:cstheme="minorHAnsi"/>
          <w:bCs/>
          <w:sz w:val="22"/>
          <w:szCs w:val="22"/>
          <w:lang w:val="es-ES"/>
        </w:rPr>
        <w:t xml:space="preserve"> 1</w:t>
      </w:r>
    </w:p>
    <w:p w14:paraId="1DB3384A" w14:textId="6D396DB5" w:rsidR="008A0D8A" w:rsidRPr="00FB7A9B" w:rsidRDefault="008A0D8A">
      <w:pPr>
        <w:tabs>
          <w:tab w:val="clear" w:pos="794"/>
          <w:tab w:val="clear" w:pos="1191"/>
          <w:tab w:val="clear" w:pos="1588"/>
          <w:tab w:val="clear" w:pos="1985"/>
        </w:tabs>
        <w:overflowPunct/>
        <w:autoSpaceDE/>
        <w:autoSpaceDN/>
        <w:adjustRightInd/>
        <w:spacing w:before="0"/>
        <w:textAlignment w:val="auto"/>
        <w:rPr>
          <w:rFonts w:cstheme="minorHAnsi"/>
          <w:sz w:val="22"/>
          <w:szCs w:val="22"/>
          <w:lang w:val="es-ES"/>
        </w:rPr>
      </w:pPr>
      <w:r w:rsidRPr="00FB7A9B">
        <w:rPr>
          <w:rFonts w:cstheme="minorHAnsi"/>
          <w:sz w:val="22"/>
          <w:szCs w:val="22"/>
          <w:lang w:val="es-ES"/>
        </w:rPr>
        <w:br w:type="page"/>
      </w:r>
    </w:p>
    <w:p w14:paraId="0C1E6376" w14:textId="0169E75F" w:rsidR="00F42AC8" w:rsidRPr="00FB7A9B" w:rsidRDefault="008A0D8A" w:rsidP="00F42AC8">
      <w:pPr>
        <w:pStyle w:val="AnnexTitle"/>
        <w:spacing w:before="120" w:after="120"/>
        <w:rPr>
          <w:rFonts w:cstheme="minorHAnsi"/>
          <w:sz w:val="22"/>
          <w:szCs w:val="22"/>
          <w:lang w:val="es-ES"/>
        </w:rPr>
      </w:pPr>
      <w:bookmarkStart w:id="5" w:name="annex"/>
      <w:r w:rsidRPr="00FB7A9B">
        <w:rPr>
          <w:rFonts w:cstheme="minorHAnsi"/>
          <w:sz w:val="22"/>
          <w:szCs w:val="22"/>
          <w:lang w:val="es-ES"/>
        </w:rPr>
        <w:lastRenderedPageBreak/>
        <w:t>ANEXO</w:t>
      </w:r>
      <w:r w:rsidR="00F42AC8" w:rsidRPr="00FB7A9B">
        <w:rPr>
          <w:rFonts w:cstheme="minorHAnsi"/>
          <w:sz w:val="22"/>
          <w:szCs w:val="22"/>
          <w:lang w:val="es-ES"/>
        </w:rPr>
        <w:br/>
      </w:r>
      <w:r w:rsidR="00A175BB" w:rsidRPr="00FB7A9B">
        <w:rPr>
          <w:rFonts w:cstheme="minorHAnsi"/>
          <w:sz w:val="22"/>
          <w:szCs w:val="22"/>
          <w:lang w:val="es-ES"/>
        </w:rPr>
        <w:br/>
      </w:r>
      <w:r w:rsidRPr="00FB7A9B">
        <w:rPr>
          <w:rFonts w:cstheme="minorHAnsi"/>
          <w:sz w:val="22"/>
          <w:szCs w:val="22"/>
          <w:lang w:val="es-ES"/>
        </w:rPr>
        <w:t>Proyecto de Programa del FNC-2023</w:t>
      </w:r>
    </w:p>
    <w:p w14:paraId="260E89D8" w14:textId="04DA54C7" w:rsidR="00A175BB" w:rsidRPr="00FB7A9B" w:rsidRDefault="00A175BB" w:rsidP="00F42AC8">
      <w:pPr>
        <w:spacing w:after="240"/>
        <w:jc w:val="center"/>
        <w:rPr>
          <w:rFonts w:cstheme="minorHAnsi"/>
          <w:b/>
          <w:bCs/>
          <w:sz w:val="22"/>
          <w:szCs w:val="22"/>
          <w:lang w:val="es-ES"/>
        </w:rPr>
      </w:pPr>
      <w:r w:rsidRPr="00FB7A9B">
        <w:rPr>
          <w:rFonts w:cstheme="minorHAnsi"/>
          <w:sz w:val="22"/>
          <w:szCs w:val="22"/>
          <w:lang w:val="es-ES"/>
        </w:rPr>
        <w:t>Plenamente virtual, 13-16 de marzo de 2023</w:t>
      </w:r>
    </w:p>
    <w:tbl>
      <w:tblPr>
        <w:tblStyle w:val="TableGrid3"/>
        <w:tblW w:w="9639" w:type="dxa"/>
        <w:jc w:val="center"/>
        <w:tblLook w:val="04A0" w:firstRow="1" w:lastRow="0" w:firstColumn="1" w:lastColumn="0" w:noHBand="0" w:noVBand="1"/>
      </w:tblPr>
      <w:tblGrid>
        <w:gridCol w:w="9639"/>
      </w:tblGrid>
      <w:tr w:rsidR="00A175BB" w:rsidRPr="00FB7A9B" w14:paraId="15560136" w14:textId="77777777" w:rsidTr="0088296E">
        <w:trPr>
          <w:cantSplit/>
          <w:trHeight w:val="629"/>
          <w:jc w:val="center"/>
        </w:trPr>
        <w:tc>
          <w:tcPr>
            <w:tcW w:w="9639" w:type="dxa"/>
          </w:tcPr>
          <w:p w14:paraId="5855CC61" w14:textId="77777777" w:rsidR="00A175BB" w:rsidRPr="00FB7A9B" w:rsidRDefault="00A175BB" w:rsidP="00F42AC8">
            <w:pPr>
              <w:pStyle w:val="headingb"/>
              <w:rPr>
                <w:rFonts w:cstheme="minorHAnsi"/>
                <w:i/>
                <w:iCs/>
                <w:color w:val="5B9BD5"/>
                <w:sz w:val="22"/>
                <w:shd w:val="clear" w:color="auto" w:fill="FFFFFF"/>
                <w:lang w:val="es-ES"/>
              </w:rPr>
            </w:pPr>
            <w:r w:rsidRPr="00FB7A9B">
              <w:rPr>
                <w:rFonts w:cstheme="minorHAnsi"/>
                <w:i/>
                <w:iCs/>
                <w:sz w:val="22"/>
                <w:lang w:val="es-ES"/>
              </w:rPr>
              <w:t>13 de marzo de 2023 (13.00-16.00 CET):</w:t>
            </w:r>
          </w:p>
          <w:p w14:paraId="6E8E9554" w14:textId="0ABC64AB" w:rsidR="00A175BB" w:rsidRPr="00FB7A9B" w:rsidRDefault="00A175BB" w:rsidP="00F42AC8">
            <w:pPr>
              <w:pStyle w:val="headingb"/>
              <w:rPr>
                <w:rFonts w:cstheme="minorHAnsi"/>
                <w:color w:val="000000"/>
                <w:sz w:val="22"/>
                <w:shd w:val="clear" w:color="auto" w:fill="FFFFFF"/>
                <w:lang w:val="es-ES"/>
              </w:rPr>
            </w:pPr>
            <w:r w:rsidRPr="00FB7A9B">
              <w:rPr>
                <w:rFonts w:cstheme="minorHAnsi"/>
                <w:sz w:val="22"/>
                <w:lang w:val="es-ES"/>
              </w:rPr>
              <w:t>APERTURA</w:t>
            </w:r>
            <w:r w:rsidR="00B50E1C" w:rsidRPr="00FB7A9B">
              <w:rPr>
                <w:rFonts w:cstheme="minorHAnsi"/>
                <w:sz w:val="22"/>
                <w:lang w:val="es-ES"/>
              </w:rPr>
              <w:t xml:space="preserve"> </w:t>
            </w:r>
          </w:p>
          <w:p w14:paraId="6F03AD86" w14:textId="77777777" w:rsidR="00A175BB" w:rsidRPr="00FB7A9B" w:rsidRDefault="00A175BB" w:rsidP="00A175BB">
            <w:pPr>
              <w:rPr>
                <w:rFonts w:cstheme="minorHAnsi"/>
                <w:color w:val="000000"/>
                <w:sz w:val="22"/>
                <w:shd w:val="clear" w:color="auto" w:fill="FFFFFF"/>
                <w:lang w:val="es-ES"/>
              </w:rPr>
            </w:pPr>
            <w:r w:rsidRPr="00FB7A9B">
              <w:rPr>
                <w:rFonts w:cstheme="minorHAnsi"/>
                <w:sz w:val="22"/>
                <w:lang w:val="es-ES"/>
              </w:rPr>
              <w:t>Discursos inaugurales de la UIT y la CEPE</w:t>
            </w:r>
          </w:p>
          <w:p w14:paraId="7B24F12D" w14:textId="1B4A949B" w:rsidR="00A175BB" w:rsidRPr="00FB7A9B" w:rsidRDefault="00A175BB" w:rsidP="00F42AC8">
            <w:pPr>
              <w:pStyle w:val="headingb"/>
              <w:rPr>
                <w:rFonts w:cstheme="minorHAnsi"/>
                <w:color w:val="000000"/>
                <w:sz w:val="22"/>
                <w:shd w:val="clear" w:color="auto" w:fill="FFFFFF"/>
                <w:lang w:val="es-ES"/>
              </w:rPr>
            </w:pPr>
            <w:r w:rsidRPr="00FB7A9B">
              <w:rPr>
                <w:rFonts w:cstheme="minorHAnsi"/>
                <w:sz w:val="22"/>
                <w:lang w:val="es-ES"/>
              </w:rPr>
              <w:t>SESIÓN 1</w:t>
            </w:r>
            <w:r w:rsidR="00B50E1C" w:rsidRPr="00FB7A9B">
              <w:rPr>
                <w:rFonts w:cstheme="minorHAnsi"/>
                <w:sz w:val="22"/>
                <w:lang w:val="es-ES"/>
              </w:rPr>
              <w:t xml:space="preserve"> </w:t>
            </w:r>
            <w:r w:rsidR="00B50E1C" w:rsidRPr="00FB7A9B">
              <w:rPr>
                <w:rFonts w:eastAsia="Times New Roman" w:cstheme="minorHAnsi"/>
                <w:bCs/>
                <w:sz w:val="22"/>
                <w:lang w:val="es-ES"/>
              </w:rPr>
              <w:t>–</w:t>
            </w:r>
            <w:r w:rsidRPr="00FB7A9B">
              <w:rPr>
                <w:rFonts w:cstheme="minorHAnsi"/>
                <w:sz w:val="22"/>
                <w:lang w:val="es-ES"/>
              </w:rPr>
              <w:t xml:space="preserve"> ¿Serán los vehículos automatizados controlados por IA seguros para los usuarios de carreteras?</w:t>
            </w:r>
          </w:p>
          <w:p w14:paraId="53454328" w14:textId="64749B9A" w:rsidR="00A175BB" w:rsidRPr="00FB7A9B" w:rsidRDefault="00A175BB" w:rsidP="00F42AC8">
            <w:pPr>
              <w:rPr>
                <w:rFonts w:cstheme="minorHAnsi"/>
                <w:color w:val="000000"/>
                <w:sz w:val="22"/>
                <w:shd w:val="clear" w:color="auto" w:fill="FFFFFF"/>
                <w:lang w:val="es-ES"/>
              </w:rPr>
            </w:pPr>
            <w:r w:rsidRPr="00FB7A9B">
              <w:rPr>
                <w:rFonts w:cstheme="minorHAnsi"/>
                <w:sz w:val="22"/>
                <w:lang w:val="es-ES"/>
              </w:rPr>
              <w:t xml:space="preserve">El Foro Mundial para la Armonización de la Reglamentación sobre Vehículos (WP.29) tiene por objetivo ampliar el marco reglamentario para automóviles a fin de abarcar los sistemas de conducción automatizada (ADS). En 2018, el WP.29 creó el Grupo de Trabajo sobre Vehículos Automatizados, Autónomos y Conectados (GRVA) con el cometido de proporcionar un enfoque mundial para la reglamentación técnica en esta área en rápida evolución. Desde 2018, la labor del GRVA ha contribuido decisivamente a que el WP.29 adopte disposiciones para la homologación de sistemas avanzados de asistencia al conductor, normas sobre las actualizaciones de software (Reglamento núm. 156 de las Naciones Unidas), la ciberseguridad de los vehículos en carretera (Reglamento núm. 155 de las Naciones Unidas) y los sistemas de automatización condicional en las autopistas (el Reglamento 157 de las Naciones Unidas). Estas nuevas reglamentaciones establecen la base internacional para la implementación de estas nuevas tecnologías. El WP.29 y su subgrupo GRVA siguen ayudando a la implantación segura de vehículos y sistemas automatizados. </w:t>
            </w:r>
          </w:p>
          <w:p w14:paraId="232E4075" w14:textId="690669CF" w:rsidR="00A175BB" w:rsidRPr="00FB7A9B" w:rsidRDefault="00A175BB" w:rsidP="00F42AC8">
            <w:pPr>
              <w:rPr>
                <w:rFonts w:cstheme="minorHAnsi"/>
                <w:color w:val="000000"/>
                <w:sz w:val="22"/>
                <w:shd w:val="clear" w:color="auto" w:fill="FFFFFF"/>
                <w:lang w:val="es-ES"/>
              </w:rPr>
            </w:pPr>
            <w:r w:rsidRPr="00FB7A9B">
              <w:rPr>
                <w:rFonts w:cstheme="minorHAnsi"/>
                <w:sz w:val="22"/>
                <w:lang w:val="es-ES"/>
              </w:rPr>
              <w:t>En la sesión 1 del Simposio sobre el Automóvil Conectado del Futuro 2023 se examinarán las directrices sobre seguridad y los desarrollos reglamentarios, y se evaluará el rendimiento de la</w:t>
            </w:r>
            <w:r w:rsidR="000E2999" w:rsidRPr="00FB7A9B">
              <w:rPr>
                <w:rFonts w:cstheme="minorHAnsi"/>
                <w:sz w:val="22"/>
                <w:lang w:val="es-ES"/>
              </w:rPr>
              <w:t> </w:t>
            </w:r>
            <w:r w:rsidRPr="00FB7A9B">
              <w:rPr>
                <w:rFonts w:cstheme="minorHAnsi"/>
                <w:sz w:val="22"/>
                <w:lang w:val="es-ES"/>
              </w:rPr>
              <w:t>IA que alimenta los ADS, no solo en relación con autopistas sino también otros casos de uso (por ejemplo, condiciones de conducción urbana).</w:t>
            </w:r>
          </w:p>
          <w:p w14:paraId="5BD4FF61" w14:textId="406B83B3" w:rsidR="00A175BB" w:rsidRPr="00FB7A9B" w:rsidRDefault="00A175BB" w:rsidP="00F42AC8">
            <w:pPr>
              <w:rPr>
                <w:rFonts w:cstheme="minorHAnsi"/>
                <w:bCs/>
                <w:sz w:val="22"/>
                <w:shd w:val="clear" w:color="auto" w:fill="FFFFFF"/>
                <w:lang w:val="es-ES"/>
              </w:rPr>
            </w:pPr>
            <w:r w:rsidRPr="00FB7A9B">
              <w:rPr>
                <w:rFonts w:cstheme="minorHAnsi"/>
                <w:b/>
                <w:sz w:val="22"/>
                <w:lang w:val="es-ES"/>
              </w:rPr>
              <w:t>Moderador: Ian Yarnold</w:t>
            </w:r>
            <w:r w:rsidRPr="00FB7A9B">
              <w:rPr>
                <w:rFonts w:cstheme="minorHAnsi"/>
                <w:sz w:val="22"/>
                <w:lang w:val="es-ES"/>
              </w:rPr>
              <w:t xml:space="preserve">, </w:t>
            </w:r>
            <w:proofErr w:type="gramStart"/>
            <w:r w:rsidRPr="00FB7A9B">
              <w:rPr>
                <w:rFonts w:cstheme="minorHAnsi"/>
                <w:sz w:val="22"/>
                <w:lang w:val="es-ES"/>
              </w:rPr>
              <w:t>Jefe</w:t>
            </w:r>
            <w:proofErr w:type="gramEnd"/>
            <w:r w:rsidRPr="00FB7A9B">
              <w:rPr>
                <w:rFonts w:cstheme="minorHAnsi"/>
                <w:sz w:val="22"/>
                <w:lang w:val="es-ES"/>
              </w:rPr>
              <w:t xml:space="preserve"> de la División Internacional de Normas de Vehículo, Departamento de Transporte, Reino Unido</w:t>
            </w:r>
          </w:p>
        </w:tc>
      </w:tr>
    </w:tbl>
    <w:p w14:paraId="66CDF97D" w14:textId="77777777" w:rsidR="00F42AC8" w:rsidRPr="00FB7A9B" w:rsidRDefault="00F42AC8" w:rsidP="00A175BB">
      <w:pPr>
        <w:rPr>
          <w:rFonts w:cstheme="minorHAnsi"/>
          <w:bCs/>
          <w:i/>
          <w:iCs/>
          <w:sz w:val="22"/>
          <w:szCs w:val="22"/>
          <w:lang w:val="es-ES"/>
        </w:rPr>
      </w:pPr>
    </w:p>
    <w:p w14:paraId="3AA76C75" w14:textId="43F8A250" w:rsidR="00F42AC8" w:rsidRPr="00FB7A9B" w:rsidRDefault="00F42AC8">
      <w:pPr>
        <w:tabs>
          <w:tab w:val="clear" w:pos="794"/>
          <w:tab w:val="clear" w:pos="1191"/>
          <w:tab w:val="clear" w:pos="1588"/>
          <w:tab w:val="clear" w:pos="1985"/>
        </w:tabs>
        <w:overflowPunct/>
        <w:autoSpaceDE/>
        <w:autoSpaceDN/>
        <w:adjustRightInd/>
        <w:spacing w:before="0"/>
        <w:textAlignment w:val="auto"/>
        <w:rPr>
          <w:rFonts w:eastAsia="SimSun" w:cstheme="minorHAnsi"/>
          <w:bCs/>
          <w:i/>
          <w:iCs/>
          <w:sz w:val="22"/>
          <w:szCs w:val="22"/>
          <w:lang w:val="es-ES"/>
        </w:rPr>
      </w:pPr>
    </w:p>
    <w:p w14:paraId="707ECAB8" w14:textId="77777777" w:rsidR="00F42AC8" w:rsidRPr="00FB7A9B" w:rsidRDefault="00F42AC8">
      <w:pPr>
        <w:tabs>
          <w:tab w:val="clear" w:pos="794"/>
          <w:tab w:val="clear" w:pos="1191"/>
          <w:tab w:val="clear" w:pos="1588"/>
          <w:tab w:val="clear" w:pos="1985"/>
        </w:tabs>
        <w:overflowPunct/>
        <w:autoSpaceDE/>
        <w:autoSpaceDN/>
        <w:adjustRightInd/>
        <w:spacing w:before="0"/>
        <w:textAlignment w:val="auto"/>
        <w:rPr>
          <w:rFonts w:eastAsia="SimSun" w:cstheme="minorHAnsi"/>
          <w:bCs/>
          <w:i/>
          <w:iCs/>
          <w:sz w:val="22"/>
          <w:szCs w:val="22"/>
          <w:lang w:val="es-ES"/>
        </w:rPr>
      </w:pPr>
      <w:r w:rsidRPr="00FB7A9B">
        <w:rPr>
          <w:rFonts w:eastAsia="SimSun" w:cstheme="minorHAnsi"/>
          <w:bCs/>
          <w:i/>
          <w:iCs/>
          <w:sz w:val="22"/>
          <w:szCs w:val="22"/>
          <w:lang w:val="es-ES"/>
        </w:rPr>
        <w:br w:type="page"/>
      </w:r>
    </w:p>
    <w:tbl>
      <w:tblPr>
        <w:tblStyle w:val="TableGrid"/>
        <w:tblW w:w="0" w:type="auto"/>
        <w:tblLook w:val="04A0" w:firstRow="1" w:lastRow="0" w:firstColumn="1" w:lastColumn="0" w:noHBand="0" w:noVBand="1"/>
      </w:tblPr>
      <w:tblGrid>
        <w:gridCol w:w="9629"/>
      </w:tblGrid>
      <w:tr w:rsidR="00F42AC8" w:rsidRPr="00FB7A9B" w14:paraId="0A4B0501" w14:textId="77777777" w:rsidTr="00F42AC8">
        <w:tc>
          <w:tcPr>
            <w:tcW w:w="9779" w:type="dxa"/>
          </w:tcPr>
          <w:p w14:paraId="08DFB371" w14:textId="77777777" w:rsidR="00F42AC8" w:rsidRPr="00FB7A9B" w:rsidRDefault="00F42AC8" w:rsidP="00F42AC8">
            <w:pPr>
              <w:pStyle w:val="headingb"/>
              <w:rPr>
                <w:rFonts w:eastAsia="SimSun" w:cstheme="minorHAnsi"/>
                <w:i/>
                <w:iCs/>
                <w:color w:val="5B9BD5"/>
                <w:sz w:val="22"/>
                <w:szCs w:val="22"/>
                <w:lang w:val="es-ES"/>
              </w:rPr>
            </w:pPr>
            <w:r w:rsidRPr="00FB7A9B">
              <w:rPr>
                <w:rFonts w:eastAsia="SimSun" w:cstheme="minorHAnsi"/>
                <w:i/>
                <w:iCs/>
                <w:sz w:val="22"/>
                <w:szCs w:val="22"/>
                <w:lang w:val="es-ES"/>
              </w:rPr>
              <w:lastRenderedPageBreak/>
              <w:t>14 de marzo de 2023 (13.00-16.00 CET):</w:t>
            </w:r>
          </w:p>
          <w:p w14:paraId="08F3B512" w14:textId="09A92F21" w:rsidR="00F42AC8" w:rsidRPr="00FB7A9B" w:rsidRDefault="00F42AC8" w:rsidP="00F42AC8">
            <w:pPr>
              <w:pStyle w:val="headingb"/>
              <w:rPr>
                <w:rFonts w:eastAsia="SimSun" w:cstheme="minorHAnsi"/>
                <w:color w:val="000000"/>
                <w:sz w:val="22"/>
                <w:szCs w:val="22"/>
                <w:shd w:val="clear" w:color="auto" w:fill="FFFFFF"/>
                <w:lang w:val="es-ES"/>
              </w:rPr>
            </w:pPr>
            <w:r w:rsidRPr="00FB7A9B">
              <w:rPr>
                <w:rFonts w:eastAsia="SimSun" w:cstheme="minorHAnsi"/>
                <w:sz w:val="22"/>
                <w:szCs w:val="22"/>
                <w:lang w:val="es-ES"/>
              </w:rPr>
              <w:t>SESIÓN 2</w:t>
            </w:r>
            <w:r w:rsidR="00B50E1C" w:rsidRPr="00FB7A9B">
              <w:rPr>
                <w:rFonts w:cstheme="minorHAnsi"/>
                <w:sz w:val="22"/>
                <w:szCs w:val="22"/>
                <w:lang w:val="es-ES"/>
              </w:rPr>
              <w:t xml:space="preserve"> </w:t>
            </w:r>
            <w:r w:rsidR="00B50E1C" w:rsidRPr="00FB7A9B">
              <w:rPr>
                <w:rFonts w:cstheme="minorHAnsi"/>
                <w:bCs/>
                <w:sz w:val="22"/>
                <w:szCs w:val="22"/>
                <w:lang w:val="es-ES"/>
              </w:rPr>
              <w:t>–</w:t>
            </w:r>
            <w:r w:rsidR="00B50E1C" w:rsidRPr="00FB7A9B">
              <w:rPr>
                <w:rFonts w:eastAsia="SimSun" w:cstheme="minorHAnsi"/>
                <w:sz w:val="22"/>
                <w:szCs w:val="22"/>
                <w:lang w:val="es-ES"/>
              </w:rPr>
              <w:t xml:space="preserve"> </w:t>
            </w:r>
            <w:r w:rsidRPr="00FB7A9B">
              <w:rPr>
                <w:rFonts w:eastAsia="SimSun" w:cstheme="minorHAnsi"/>
                <w:sz w:val="22"/>
                <w:szCs w:val="22"/>
                <w:lang w:val="es-ES"/>
              </w:rPr>
              <w:t>Utilización de la inteligencia artificial automovilística para mejorar la seguridad de los vehículos, los servicios y la gestión del transporte</w:t>
            </w:r>
          </w:p>
          <w:p w14:paraId="08761DCD" w14:textId="77777777" w:rsidR="00F42AC8" w:rsidRPr="00FB7A9B" w:rsidRDefault="00F42AC8" w:rsidP="00F42AC8">
            <w:pPr>
              <w:rPr>
                <w:rFonts w:eastAsia="SimSun" w:cstheme="minorHAnsi"/>
                <w:sz w:val="22"/>
                <w:szCs w:val="22"/>
                <w:lang w:val="es-ES"/>
              </w:rPr>
            </w:pPr>
            <w:r w:rsidRPr="00FB7A9B">
              <w:rPr>
                <w:rFonts w:eastAsia="SimSun" w:cstheme="minorHAnsi"/>
                <w:sz w:val="22"/>
                <w:szCs w:val="22"/>
                <w:lang w:val="es-ES"/>
              </w:rPr>
              <w:t xml:space="preserve">Para algunos, el objetivo de la inteligencia artificial automovilística es eliminar completamente al ser humano de la tarea de conducción, en determinadas o en todas las condiciones. Para otros, se trata de complementar y mejorar la capacidad del conductor para lograr una conducción más segura, ofrecer nuevos y mejores servicios y aumentar la eficacia de la gestión del transporte. Algunos de estos últimos objetivos han demostrado ser viables, en parte, gracias a la IA. El grupo de expertos presentará opiniones y debatirá sobre la situación actual de las aplicaciones de inteligencia artificial relacionadas con los vehículos, sobre los diferentes escenarios y plazos para su implementación y sobre las preocupaciones ligadas a la interacción humana con la IA automotriz. </w:t>
            </w:r>
          </w:p>
          <w:p w14:paraId="721E2A55" w14:textId="36620608" w:rsidR="00F42AC8" w:rsidRPr="00FB7A9B" w:rsidRDefault="00F42AC8" w:rsidP="00F42AC8">
            <w:pPr>
              <w:rPr>
                <w:rFonts w:cstheme="minorHAnsi"/>
                <w:bCs/>
                <w:i/>
                <w:iCs/>
                <w:sz w:val="22"/>
                <w:szCs w:val="22"/>
                <w:lang w:val="es-ES"/>
              </w:rPr>
            </w:pPr>
            <w:r w:rsidRPr="00FB7A9B">
              <w:rPr>
                <w:rFonts w:eastAsia="SimSun" w:cstheme="minorHAnsi"/>
                <w:b/>
                <w:sz w:val="22"/>
                <w:szCs w:val="22"/>
                <w:lang w:val="es-ES"/>
              </w:rPr>
              <w:t>Moderador: Michael L. Sena</w:t>
            </w:r>
            <w:r w:rsidRPr="00FB7A9B">
              <w:rPr>
                <w:rFonts w:eastAsia="SimSun" w:cstheme="minorHAnsi"/>
                <w:sz w:val="22"/>
                <w:szCs w:val="22"/>
                <w:lang w:val="es-ES"/>
              </w:rPr>
              <w:t xml:space="preserve">, Editor y </w:t>
            </w:r>
            <w:proofErr w:type="gramStart"/>
            <w:r w:rsidRPr="00FB7A9B">
              <w:rPr>
                <w:rFonts w:eastAsia="SimSun" w:cstheme="minorHAnsi"/>
                <w:sz w:val="22"/>
                <w:szCs w:val="22"/>
                <w:lang w:val="es-ES"/>
              </w:rPr>
              <w:t>Director</w:t>
            </w:r>
            <w:proofErr w:type="gramEnd"/>
            <w:r w:rsidRPr="00FB7A9B">
              <w:rPr>
                <w:rFonts w:eastAsia="SimSun" w:cstheme="minorHAnsi"/>
                <w:sz w:val="22"/>
                <w:szCs w:val="22"/>
                <w:lang w:val="es-ES"/>
              </w:rPr>
              <w:t xml:space="preserve"> de "The Dispatcher"</w:t>
            </w:r>
          </w:p>
        </w:tc>
      </w:tr>
      <w:tr w:rsidR="00F42AC8" w:rsidRPr="00FB7A9B" w14:paraId="511C8CC3" w14:textId="77777777" w:rsidTr="00F42AC8">
        <w:tc>
          <w:tcPr>
            <w:tcW w:w="9779" w:type="dxa"/>
          </w:tcPr>
          <w:p w14:paraId="6330A6EE" w14:textId="77777777" w:rsidR="00F42AC8" w:rsidRPr="00FB7A9B" w:rsidRDefault="00F42AC8" w:rsidP="00F42AC8">
            <w:pPr>
              <w:pStyle w:val="headingb"/>
              <w:rPr>
                <w:rFonts w:eastAsia="SimSun" w:cstheme="minorHAnsi"/>
                <w:i/>
                <w:iCs/>
                <w:color w:val="5B9BD5"/>
                <w:sz w:val="22"/>
                <w:szCs w:val="22"/>
                <w:lang w:val="es-ES"/>
              </w:rPr>
            </w:pPr>
            <w:r w:rsidRPr="00FB7A9B">
              <w:rPr>
                <w:rFonts w:eastAsia="SimSun" w:cstheme="minorHAnsi"/>
                <w:i/>
                <w:iCs/>
                <w:sz w:val="22"/>
                <w:szCs w:val="22"/>
                <w:lang w:val="es-ES"/>
              </w:rPr>
              <w:t>15 de marzo de 2023 (13.00-16.00 CET):</w:t>
            </w:r>
          </w:p>
          <w:p w14:paraId="5C80ED1F" w14:textId="77777777" w:rsidR="00F42AC8" w:rsidRPr="00FB7A9B" w:rsidRDefault="00F42AC8" w:rsidP="00F42AC8">
            <w:pPr>
              <w:pStyle w:val="headingb"/>
              <w:rPr>
                <w:rFonts w:eastAsia="SimSun" w:cstheme="minorHAnsi"/>
                <w:color w:val="000000"/>
                <w:sz w:val="22"/>
                <w:szCs w:val="22"/>
                <w:shd w:val="clear" w:color="auto" w:fill="FFFFFF"/>
                <w:lang w:val="es-ES"/>
              </w:rPr>
            </w:pPr>
            <w:r w:rsidRPr="00FB7A9B">
              <w:rPr>
                <w:rFonts w:eastAsia="SimSun" w:cstheme="minorHAnsi"/>
                <w:sz w:val="22"/>
                <w:szCs w:val="22"/>
                <w:lang w:val="es-ES"/>
              </w:rPr>
              <w:t>SESIÓN 3 – Sistemas de conducción automatizada (ADS) para vehículos de uso privado y otros vehículos (camiones, vehículos de reparto, autobuses, robotaxis, etc.)</w:t>
            </w:r>
          </w:p>
          <w:p w14:paraId="5915B758" w14:textId="7677A1AA" w:rsidR="00F42AC8" w:rsidRPr="00FB7A9B" w:rsidRDefault="00F42AC8" w:rsidP="00F42AC8">
            <w:pPr>
              <w:rPr>
                <w:rFonts w:eastAsia="SimSun" w:cstheme="minorHAnsi"/>
                <w:sz w:val="22"/>
                <w:szCs w:val="22"/>
                <w:lang w:val="es-ES"/>
              </w:rPr>
            </w:pPr>
            <w:r w:rsidRPr="00FB7A9B">
              <w:rPr>
                <w:rFonts w:eastAsia="SimSun" w:cstheme="minorHAnsi"/>
                <w:sz w:val="22"/>
                <w:szCs w:val="22"/>
                <w:lang w:val="es-ES"/>
              </w:rPr>
              <w:t xml:space="preserve">La plena automatización de la tarea de conducción parece increíblemente próxima. Están apareciendo simultáneamente varios casos de uso que ponen de manifiesto las posibles vías para su adopción en el mercado y la aceptación por parte del consumidor. La evolución de estos casos de uso determinará el futuro de los ADS. El grupo de expertos examinará las nuevas aplicaciones ADS (vehículos de uso privado, vehículos comerciales, vehículos de reparto, vehículos lanzadera, robotaxis) para comprender mejor las dificultades y oportunidades asociadas a la tecnología ADS y el estado de desarrollo y adopción del mercado. </w:t>
            </w:r>
          </w:p>
          <w:p w14:paraId="39C18BCA" w14:textId="31279931" w:rsidR="00F42AC8" w:rsidRPr="00FB7A9B" w:rsidRDefault="00F42AC8" w:rsidP="00F42AC8">
            <w:pPr>
              <w:rPr>
                <w:rFonts w:eastAsia="SimSun" w:cstheme="minorHAnsi"/>
                <w:i/>
                <w:iCs/>
                <w:sz w:val="22"/>
                <w:szCs w:val="22"/>
                <w:lang w:val="es-ES"/>
              </w:rPr>
            </w:pPr>
            <w:r w:rsidRPr="00FB7A9B">
              <w:rPr>
                <w:rFonts w:eastAsia="SimSun" w:cstheme="minorHAnsi"/>
                <w:b/>
                <w:sz w:val="22"/>
                <w:szCs w:val="22"/>
                <w:lang w:val="en-US"/>
              </w:rPr>
              <w:t>Moderador: Roger Lanctot</w:t>
            </w:r>
            <w:r w:rsidRPr="00FB7A9B">
              <w:rPr>
                <w:rFonts w:eastAsia="SimSun" w:cstheme="minorHAnsi"/>
                <w:sz w:val="22"/>
                <w:szCs w:val="22"/>
                <w:lang w:val="en-US"/>
              </w:rPr>
              <w:t>, Director, Automotive Connected Mobility, Strategy Analytics</w:t>
            </w:r>
          </w:p>
        </w:tc>
      </w:tr>
    </w:tbl>
    <w:p w14:paraId="796065FC" w14:textId="77777777" w:rsidR="00F42AC8" w:rsidRPr="00FB7A9B" w:rsidRDefault="00F42AC8" w:rsidP="00A175BB">
      <w:pPr>
        <w:rPr>
          <w:rFonts w:cstheme="minorHAnsi"/>
          <w:bCs/>
          <w:i/>
          <w:iCs/>
          <w:sz w:val="22"/>
          <w:szCs w:val="22"/>
          <w:lang w:val="es-ES"/>
        </w:rPr>
      </w:pPr>
    </w:p>
    <w:p w14:paraId="348D3D13" w14:textId="5999D7D7" w:rsidR="00F42AC8" w:rsidRPr="00FB7A9B" w:rsidRDefault="00F42AC8">
      <w:pPr>
        <w:tabs>
          <w:tab w:val="clear" w:pos="794"/>
          <w:tab w:val="clear" w:pos="1191"/>
          <w:tab w:val="clear" w:pos="1588"/>
          <w:tab w:val="clear" w:pos="1985"/>
        </w:tabs>
        <w:overflowPunct/>
        <w:autoSpaceDE/>
        <w:autoSpaceDN/>
        <w:adjustRightInd/>
        <w:spacing w:before="0"/>
        <w:textAlignment w:val="auto"/>
        <w:rPr>
          <w:rFonts w:eastAsia="SimSun" w:cstheme="minorHAnsi"/>
          <w:sz w:val="22"/>
          <w:szCs w:val="22"/>
          <w:lang w:val="es-ES"/>
        </w:rPr>
      </w:pPr>
      <w:r w:rsidRPr="00FB7A9B">
        <w:rPr>
          <w:rFonts w:eastAsia="SimSun" w:cstheme="minorHAnsi"/>
          <w:sz w:val="22"/>
          <w:szCs w:val="22"/>
          <w:lang w:val="es-ES"/>
        </w:rPr>
        <w:br w:type="page"/>
      </w:r>
    </w:p>
    <w:tbl>
      <w:tblPr>
        <w:tblStyle w:val="TableGrid"/>
        <w:tblW w:w="0" w:type="auto"/>
        <w:tblLook w:val="04A0" w:firstRow="1" w:lastRow="0" w:firstColumn="1" w:lastColumn="0" w:noHBand="0" w:noVBand="1"/>
      </w:tblPr>
      <w:tblGrid>
        <w:gridCol w:w="9629"/>
      </w:tblGrid>
      <w:tr w:rsidR="00F42AC8" w:rsidRPr="00FB7A9B" w14:paraId="76A7B0AB" w14:textId="77777777" w:rsidTr="00F42AC8">
        <w:tc>
          <w:tcPr>
            <w:tcW w:w="9779" w:type="dxa"/>
          </w:tcPr>
          <w:p w14:paraId="5A7C87D5" w14:textId="77777777" w:rsidR="00F42AC8" w:rsidRPr="00FB7A9B" w:rsidRDefault="00F42AC8" w:rsidP="00F42AC8">
            <w:pPr>
              <w:pStyle w:val="headingb"/>
              <w:rPr>
                <w:rFonts w:eastAsia="SimSun" w:cstheme="minorHAnsi"/>
                <w:i/>
                <w:iCs/>
                <w:color w:val="5B9BD5"/>
                <w:sz w:val="22"/>
                <w:szCs w:val="22"/>
                <w:lang w:val="es-ES"/>
              </w:rPr>
            </w:pPr>
            <w:r w:rsidRPr="00FB7A9B">
              <w:rPr>
                <w:rFonts w:eastAsia="SimSun" w:cstheme="minorHAnsi"/>
                <w:i/>
                <w:iCs/>
                <w:sz w:val="22"/>
                <w:szCs w:val="22"/>
                <w:lang w:val="es-ES"/>
              </w:rPr>
              <w:lastRenderedPageBreak/>
              <w:t>16 de marzo de 2023 (13.00-16.00 CET):</w:t>
            </w:r>
          </w:p>
          <w:p w14:paraId="7673EE09" w14:textId="77777777" w:rsidR="00F42AC8" w:rsidRPr="00FB7A9B" w:rsidRDefault="00F42AC8" w:rsidP="00F42AC8">
            <w:pPr>
              <w:pStyle w:val="headingb"/>
              <w:rPr>
                <w:rFonts w:eastAsia="SimSun" w:cstheme="minorHAnsi"/>
                <w:color w:val="000000"/>
                <w:sz w:val="22"/>
                <w:szCs w:val="22"/>
                <w:shd w:val="clear" w:color="auto" w:fill="FFFFFF"/>
                <w:lang w:val="es-ES"/>
              </w:rPr>
            </w:pPr>
            <w:r w:rsidRPr="00FB7A9B">
              <w:rPr>
                <w:rFonts w:eastAsia="SimSun" w:cstheme="minorHAnsi"/>
                <w:sz w:val="22"/>
                <w:szCs w:val="22"/>
                <w:lang w:val="es-ES"/>
              </w:rPr>
              <w:t>SESIÓN 4 – Comunicaciones inalámbricas aplicadas a la seguridad de vehículos, los servicios y la gestión de transporte – Situación actual y futuras direcciones</w:t>
            </w:r>
          </w:p>
          <w:p w14:paraId="587FD28B" w14:textId="01D1CFAC" w:rsidR="00F42AC8" w:rsidRPr="00FB7A9B" w:rsidRDefault="00F42AC8" w:rsidP="00F42AC8">
            <w:pPr>
              <w:rPr>
                <w:rFonts w:eastAsia="SimSun" w:cstheme="minorHAnsi"/>
                <w:color w:val="000000"/>
                <w:sz w:val="22"/>
                <w:szCs w:val="22"/>
                <w:shd w:val="clear" w:color="auto" w:fill="FFFFFF"/>
                <w:lang w:val="es-ES"/>
              </w:rPr>
            </w:pPr>
            <w:r w:rsidRPr="00FB7A9B">
              <w:rPr>
                <w:rFonts w:eastAsia="SimSun" w:cstheme="minorHAnsi"/>
                <w:sz w:val="22"/>
                <w:szCs w:val="22"/>
                <w:lang w:val="es-ES"/>
              </w:rPr>
              <w:t xml:space="preserve">Durante décadas, un segmento de las partes interesadas en el automóvil y otros medios de transporte ha soñado con unas comunicaciones de seguridad para vehículos a través de la tecnología de comunicación directa (V2X). En algunas partes del mundo, sobre todo en China, esta visión está empezando a materializarse. Pero en la mayoría de </w:t>
            </w:r>
            <w:proofErr w:type="gramStart"/>
            <w:r w:rsidRPr="00FB7A9B">
              <w:rPr>
                <w:rFonts w:eastAsia="SimSun" w:cstheme="minorHAnsi"/>
                <w:sz w:val="22"/>
                <w:szCs w:val="22"/>
                <w:lang w:val="es-ES"/>
              </w:rPr>
              <w:t>regiones</w:t>
            </w:r>
            <w:proofErr w:type="gramEnd"/>
            <w:r w:rsidRPr="00FB7A9B">
              <w:rPr>
                <w:rFonts w:eastAsia="SimSun" w:cstheme="minorHAnsi"/>
                <w:sz w:val="22"/>
                <w:szCs w:val="22"/>
                <w:lang w:val="es-ES"/>
              </w:rPr>
              <w:t>, la visión sigue siendo tan solo eso, una visión con un despliegue limitado. El grupo de expertos discutirá los siguientes temas:</w:t>
            </w:r>
          </w:p>
          <w:p w14:paraId="3ABD0154" w14:textId="095E25C3" w:rsidR="00F42AC8" w:rsidRPr="00FB7A9B" w:rsidRDefault="000E2999" w:rsidP="000E2999">
            <w:pPr>
              <w:pStyle w:val="enumlev1"/>
              <w:rPr>
                <w:rFonts w:eastAsia="SimSun" w:cstheme="minorHAnsi"/>
                <w:color w:val="000000"/>
                <w:sz w:val="22"/>
                <w:szCs w:val="22"/>
                <w:shd w:val="clear" w:color="auto" w:fill="FFFFFF"/>
                <w:lang w:val="es-ES"/>
              </w:rPr>
            </w:pPr>
            <w:r w:rsidRPr="00FB7A9B">
              <w:rPr>
                <w:rFonts w:cstheme="minorHAnsi"/>
                <w:sz w:val="22"/>
                <w:szCs w:val="22"/>
                <w:lang w:val="es-ES"/>
              </w:rPr>
              <w:t>–</w:t>
            </w:r>
            <w:r w:rsidRPr="00FB7A9B">
              <w:rPr>
                <w:rFonts w:cstheme="minorHAnsi"/>
                <w:sz w:val="22"/>
                <w:szCs w:val="22"/>
                <w:lang w:val="es-ES"/>
              </w:rPr>
              <w:tab/>
            </w:r>
            <w:r w:rsidR="00F42AC8" w:rsidRPr="00FB7A9B">
              <w:rPr>
                <w:rFonts w:eastAsia="SimSun" w:cstheme="minorHAnsi"/>
                <w:sz w:val="22"/>
                <w:szCs w:val="22"/>
                <w:lang w:val="es-ES"/>
              </w:rPr>
              <w:t>Perspectivas de los sectores público y privado que han conducido a la situación actual.</w:t>
            </w:r>
          </w:p>
          <w:p w14:paraId="7FE8BD64" w14:textId="751A216E" w:rsidR="00F42AC8" w:rsidRPr="00FB7A9B" w:rsidRDefault="000E2999" w:rsidP="000E2999">
            <w:pPr>
              <w:pStyle w:val="enumlev1"/>
              <w:rPr>
                <w:rFonts w:eastAsia="SimSun" w:cstheme="minorHAnsi"/>
                <w:color w:val="000000"/>
                <w:sz w:val="22"/>
                <w:szCs w:val="22"/>
                <w:shd w:val="clear" w:color="auto" w:fill="FFFFFF"/>
                <w:lang w:val="es-ES"/>
              </w:rPr>
            </w:pPr>
            <w:r w:rsidRPr="00FB7A9B">
              <w:rPr>
                <w:rFonts w:cstheme="minorHAnsi"/>
                <w:sz w:val="22"/>
                <w:szCs w:val="22"/>
                <w:lang w:val="es-ES"/>
              </w:rPr>
              <w:t>–</w:t>
            </w:r>
            <w:r w:rsidRPr="00FB7A9B">
              <w:rPr>
                <w:rFonts w:cstheme="minorHAnsi"/>
                <w:sz w:val="22"/>
                <w:szCs w:val="22"/>
                <w:lang w:val="es-ES"/>
              </w:rPr>
              <w:tab/>
            </w:r>
            <w:r w:rsidR="00F42AC8" w:rsidRPr="00FB7A9B">
              <w:rPr>
                <w:rFonts w:eastAsia="SimSun" w:cstheme="minorHAnsi"/>
                <w:sz w:val="22"/>
                <w:szCs w:val="22"/>
                <w:lang w:val="es-ES"/>
              </w:rPr>
              <w:t>Papel de gobiernos, organismos reguladores y sector público.</w:t>
            </w:r>
          </w:p>
          <w:p w14:paraId="1EB6A947" w14:textId="31D28955" w:rsidR="00F42AC8" w:rsidRPr="00FB7A9B" w:rsidRDefault="000E2999" w:rsidP="000E2999">
            <w:pPr>
              <w:pStyle w:val="enumlev1"/>
              <w:rPr>
                <w:rFonts w:eastAsia="SimSun" w:cstheme="minorHAnsi"/>
                <w:sz w:val="22"/>
                <w:szCs w:val="22"/>
                <w:lang w:val="es-ES"/>
              </w:rPr>
            </w:pPr>
            <w:r w:rsidRPr="00FB7A9B">
              <w:rPr>
                <w:rFonts w:cstheme="minorHAnsi"/>
                <w:sz w:val="22"/>
                <w:szCs w:val="22"/>
                <w:lang w:val="es-ES"/>
              </w:rPr>
              <w:t>–</w:t>
            </w:r>
            <w:r w:rsidRPr="00FB7A9B">
              <w:rPr>
                <w:rFonts w:cstheme="minorHAnsi"/>
                <w:sz w:val="22"/>
                <w:szCs w:val="22"/>
                <w:lang w:val="es-ES"/>
              </w:rPr>
              <w:tab/>
            </w:r>
            <w:r w:rsidR="00F42AC8" w:rsidRPr="00FB7A9B">
              <w:rPr>
                <w:rFonts w:eastAsia="SimSun" w:cstheme="minorHAnsi"/>
                <w:sz w:val="22"/>
                <w:szCs w:val="22"/>
                <w:lang w:val="es-ES"/>
              </w:rPr>
              <w:t>Servicios e inversiones comerciales asociadas necesarios para que esta visión de las comunicaciones de seguridad para vehículos se lleve a cabo de forma generalizada.</w:t>
            </w:r>
          </w:p>
          <w:p w14:paraId="2D2EC77C" w14:textId="6088DDAF" w:rsidR="00F42AC8" w:rsidRPr="00FB7A9B" w:rsidRDefault="00F42AC8" w:rsidP="00F42AC8">
            <w:pPr>
              <w:rPr>
                <w:rFonts w:eastAsia="SimSun" w:cstheme="minorHAnsi"/>
                <w:sz w:val="22"/>
                <w:szCs w:val="22"/>
                <w:lang w:val="es-ES"/>
              </w:rPr>
            </w:pPr>
            <w:r w:rsidRPr="00FB7A9B">
              <w:rPr>
                <w:rFonts w:eastAsia="SimSun" w:cstheme="minorHAnsi"/>
                <w:b/>
                <w:bCs/>
                <w:sz w:val="22"/>
                <w:szCs w:val="22"/>
                <w:lang w:val="en-US"/>
              </w:rPr>
              <w:t>Moderador. T. Russell Shields</w:t>
            </w:r>
            <w:r w:rsidRPr="00FB7A9B">
              <w:rPr>
                <w:rFonts w:eastAsia="SimSun" w:cstheme="minorHAnsi"/>
                <w:sz w:val="22"/>
                <w:szCs w:val="22"/>
                <w:lang w:val="en-US"/>
              </w:rPr>
              <w:t>, Consultor, Qualcomm Automotive</w:t>
            </w:r>
          </w:p>
        </w:tc>
      </w:tr>
    </w:tbl>
    <w:bookmarkEnd w:id="5"/>
    <w:p w14:paraId="71A89DC7" w14:textId="4AF30664" w:rsidR="008A0D8A" w:rsidRPr="00FB7A9B" w:rsidRDefault="008A0D8A" w:rsidP="00F42AC8">
      <w:pPr>
        <w:pStyle w:val="Note"/>
        <w:rPr>
          <w:rFonts w:cstheme="minorHAnsi"/>
          <w:noProof/>
          <w:color w:val="444444"/>
          <w:sz w:val="22"/>
          <w:szCs w:val="22"/>
          <w:shd w:val="clear" w:color="auto" w:fill="FFFFFF"/>
          <w:lang w:val="es-ES"/>
        </w:rPr>
      </w:pPr>
      <w:r w:rsidRPr="00FB7A9B">
        <w:rPr>
          <w:rFonts w:cstheme="minorHAnsi"/>
          <w:sz w:val="22"/>
          <w:szCs w:val="22"/>
          <w:lang w:val="es-ES"/>
        </w:rPr>
        <w:t xml:space="preserve">NOTA – Las actualizaciones del programa, incluida la inscripción en línea gratuita para cada sesión, pueden consultarse en línea en la dirección </w:t>
      </w:r>
      <w:hyperlink r:id="rId16" w:history="1">
        <w:r w:rsidR="00F42AC8" w:rsidRPr="00FB7A9B">
          <w:rPr>
            <w:rStyle w:val="Hyperlink"/>
            <w:rFonts w:cstheme="minorHAnsi"/>
            <w:sz w:val="22"/>
            <w:szCs w:val="22"/>
            <w:lang w:val="es-ES"/>
          </w:rPr>
          <w:t>https://fnc.itu.int/programme/</w:t>
        </w:r>
      </w:hyperlink>
      <w:r w:rsidRPr="00FB7A9B">
        <w:rPr>
          <w:rFonts w:cstheme="minorHAnsi"/>
          <w:sz w:val="22"/>
          <w:szCs w:val="22"/>
          <w:lang w:val="es-ES"/>
        </w:rPr>
        <w:t xml:space="preserve"> </w:t>
      </w:r>
    </w:p>
    <w:p w14:paraId="169FC25C" w14:textId="77777777" w:rsidR="00F42AC8" w:rsidRPr="00FB7A9B" w:rsidRDefault="00F42AC8" w:rsidP="00F42AC8">
      <w:pPr>
        <w:spacing w:before="360"/>
        <w:jc w:val="center"/>
        <w:rPr>
          <w:rFonts w:cstheme="minorHAnsi"/>
          <w:sz w:val="22"/>
          <w:szCs w:val="22"/>
          <w:lang w:val="fr-FR"/>
        </w:rPr>
      </w:pPr>
      <w:r w:rsidRPr="00FB7A9B">
        <w:rPr>
          <w:rFonts w:cstheme="minorHAnsi"/>
          <w:sz w:val="22"/>
          <w:szCs w:val="22"/>
          <w:lang w:val="fr-FR"/>
        </w:rPr>
        <w:t>______________</w:t>
      </w:r>
    </w:p>
    <w:p w14:paraId="057A7E67" w14:textId="77777777" w:rsidR="00401C20" w:rsidRPr="00FB7A9B" w:rsidRDefault="00401C20" w:rsidP="00F42AC8">
      <w:pPr>
        <w:spacing w:before="0" w:line="360" w:lineRule="auto"/>
        <w:jc w:val="center"/>
        <w:rPr>
          <w:rFonts w:cstheme="minorHAnsi"/>
          <w:sz w:val="22"/>
          <w:szCs w:val="22"/>
          <w:lang w:val="es-ES"/>
        </w:rPr>
      </w:pPr>
    </w:p>
    <w:sectPr w:rsidR="00401C20" w:rsidRPr="00FB7A9B" w:rsidSect="00B87E9E">
      <w:headerReference w:type="default" r:id="rId17"/>
      <w:footerReference w:type="first" r:id="rId18"/>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5D9C" w14:textId="77777777" w:rsidR="001872AD" w:rsidRDefault="001872AD">
      <w:r>
        <w:separator/>
      </w:r>
    </w:p>
  </w:endnote>
  <w:endnote w:type="continuationSeparator" w:id="0">
    <w:p w14:paraId="1F75D1A7" w14:textId="77777777" w:rsidR="001872AD" w:rsidRDefault="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9DCC"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B2E7" w14:textId="77777777" w:rsidR="001872AD" w:rsidRDefault="001872AD">
      <w:r>
        <w:t>____________________</w:t>
      </w:r>
    </w:p>
  </w:footnote>
  <w:footnote w:type="continuationSeparator" w:id="0">
    <w:p w14:paraId="35D99880" w14:textId="77777777" w:rsidR="001872AD" w:rsidRDefault="0018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9617" w14:textId="35547B4F"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50B508E" w14:textId="1988B808" w:rsidR="008A0D8A" w:rsidRPr="00303D62" w:rsidRDefault="008A0D8A">
    <w:pPr>
      <w:pStyle w:val="Header"/>
      <w:rPr>
        <w:sz w:val="18"/>
        <w:szCs w:val="18"/>
      </w:rPr>
    </w:pPr>
    <w:r>
      <w:rPr>
        <w:rStyle w:val="PageNumber"/>
        <w:sz w:val="18"/>
        <w:szCs w:val="18"/>
      </w:rPr>
      <w:t>Circular TSB 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909340748">
    <w:abstractNumId w:val="0"/>
  </w:num>
  <w:num w:numId="2" w16cid:durableId="19940109">
    <w:abstractNumId w:val="3"/>
  </w:num>
  <w:num w:numId="3" w16cid:durableId="486169541">
    <w:abstractNumId w:val="2"/>
  </w:num>
  <w:num w:numId="4" w16cid:durableId="155839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8A"/>
    <w:rsid w:val="00002529"/>
    <w:rsid w:val="00046D98"/>
    <w:rsid w:val="00085662"/>
    <w:rsid w:val="000B67B0"/>
    <w:rsid w:val="000C382F"/>
    <w:rsid w:val="000D6FCE"/>
    <w:rsid w:val="000E2999"/>
    <w:rsid w:val="001173CC"/>
    <w:rsid w:val="0014464D"/>
    <w:rsid w:val="001872AD"/>
    <w:rsid w:val="001A54CC"/>
    <w:rsid w:val="00257FB4"/>
    <w:rsid w:val="002E47C7"/>
    <w:rsid w:val="002E496E"/>
    <w:rsid w:val="00303D62"/>
    <w:rsid w:val="00335367"/>
    <w:rsid w:val="00370C2D"/>
    <w:rsid w:val="003D1E8D"/>
    <w:rsid w:val="003D673B"/>
    <w:rsid w:val="003F2855"/>
    <w:rsid w:val="00401C20"/>
    <w:rsid w:val="004A7957"/>
    <w:rsid w:val="004C4144"/>
    <w:rsid w:val="0055719E"/>
    <w:rsid w:val="006969B4"/>
    <w:rsid w:val="006E4F7B"/>
    <w:rsid w:val="00736D5C"/>
    <w:rsid w:val="00781E2A"/>
    <w:rsid w:val="007933A2"/>
    <w:rsid w:val="007B6316"/>
    <w:rsid w:val="00814503"/>
    <w:rsid w:val="008258C2"/>
    <w:rsid w:val="008505BD"/>
    <w:rsid w:val="00850C78"/>
    <w:rsid w:val="00876165"/>
    <w:rsid w:val="00884D12"/>
    <w:rsid w:val="008A0D8A"/>
    <w:rsid w:val="008C17AD"/>
    <w:rsid w:val="008D02CD"/>
    <w:rsid w:val="0091370C"/>
    <w:rsid w:val="0095172A"/>
    <w:rsid w:val="009A0BA0"/>
    <w:rsid w:val="00A175BB"/>
    <w:rsid w:val="00A54E47"/>
    <w:rsid w:val="00A9187E"/>
    <w:rsid w:val="00AB6E3A"/>
    <w:rsid w:val="00AE7093"/>
    <w:rsid w:val="00B422BC"/>
    <w:rsid w:val="00B43F77"/>
    <w:rsid w:val="00B50E1C"/>
    <w:rsid w:val="00B55A3E"/>
    <w:rsid w:val="00B87E9E"/>
    <w:rsid w:val="00B95F0A"/>
    <w:rsid w:val="00B96180"/>
    <w:rsid w:val="00C116FE"/>
    <w:rsid w:val="00C17AC0"/>
    <w:rsid w:val="00C34772"/>
    <w:rsid w:val="00C5465A"/>
    <w:rsid w:val="00D54642"/>
    <w:rsid w:val="00D834E7"/>
    <w:rsid w:val="00DD77C9"/>
    <w:rsid w:val="00DF3538"/>
    <w:rsid w:val="00E004DA"/>
    <w:rsid w:val="00E839B0"/>
    <w:rsid w:val="00E92B85"/>
    <w:rsid w:val="00E92C09"/>
    <w:rsid w:val="00F14380"/>
    <w:rsid w:val="00F42AC8"/>
    <w:rsid w:val="00F6461F"/>
    <w:rsid w:val="00FB7A9B"/>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EB96A"/>
  <w15:docId w15:val="{0FB1213B-2C87-4242-913E-98069578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8A0D8A"/>
    <w:rPr>
      <w:color w:val="605E5C"/>
      <w:shd w:val="clear" w:color="auto" w:fill="E1DFDD"/>
    </w:rPr>
  </w:style>
  <w:style w:type="table" w:customStyle="1" w:styleId="TableGrid1">
    <w:name w:val="Table Grid1"/>
    <w:basedOn w:val="TableNormal"/>
    <w:next w:val="TableGrid"/>
    <w:uiPriority w:val="39"/>
    <w:rsid w:val="008A0D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A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0D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75B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events@itu.i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polidori@itu.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nc.itu.int/program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go/c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events@itu.int" TargetMode="External"/><Relationship Id="rId14" Type="http://schemas.openxmlformats.org/officeDocument/2006/relationships/hyperlink" Target="https://fnc.itu.int/eng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40</TotalTime>
  <Pages>1</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10515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Ayala Martinez, Beatriz</dc:creator>
  <cp:lastModifiedBy>Braud, Olivia</cp:lastModifiedBy>
  <cp:revision>9</cp:revision>
  <cp:lastPrinted>2022-12-15T13:08:00Z</cp:lastPrinted>
  <dcterms:created xsi:type="dcterms:W3CDTF">2022-11-07T10:59:00Z</dcterms:created>
  <dcterms:modified xsi:type="dcterms:W3CDTF">2022-12-15T13:08:00Z</dcterms:modified>
</cp:coreProperties>
</file>