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167EA4" w14:paraId="548C41A5" w14:textId="77777777" w:rsidTr="007B6316">
        <w:trPr>
          <w:cantSplit/>
          <w:trHeight w:val="340"/>
        </w:trPr>
        <w:tc>
          <w:tcPr>
            <w:tcW w:w="1410" w:type="dxa"/>
            <w:gridSpan w:val="2"/>
          </w:tcPr>
          <w:p w14:paraId="528C6BA3" w14:textId="77777777" w:rsidR="007B6316" w:rsidRPr="00167EA4" w:rsidRDefault="007B6316" w:rsidP="00303D62">
            <w:pPr>
              <w:tabs>
                <w:tab w:val="left" w:pos="4111"/>
              </w:tabs>
              <w:spacing w:before="10"/>
              <w:ind w:left="57"/>
              <w:rPr>
                <w:sz w:val="22"/>
              </w:rPr>
            </w:pPr>
            <w:r w:rsidRPr="00167EA4">
              <w:rPr>
                <w:noProof/>
                <w:lang w:eastAsia="zh-CN"/>
              </w:rPr>
              <w:drawing>
                <wp:inline distT="0" distB="0" distL="0" distR="0" wp14:anchorId="4CA69E59" wp14:editId="2F15967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00A32A4" w14:textId="77777777" w:rsidR="007B6316" w:rsidRPr="00167EA4" w:rsidRDefault="007B6316" w:rsidP="007B6316">
            <w:pPr>
              <w:spacing w:before="0"/>
              <w:rPr>
                <w:rFonts w:cs="Times New Roman Bold"/>
                <w:b/>
                <w:bCs/>
                <w:smallCaps/>
                <w:sz w:val="26"/>
                <w:szCs w:val="26"/>
              </w:rPr>
            </w:pPr>
            <w:r w:rsidRPr="00167EA4">
              <w:rPr>
                <w:rFonts w:cs="Times New Roman Bold"/>
                <w:b/>
                <w:bCs/>
                <w:smallCaps/>
                <w:sz w:val="36"/>
                <w:szCs w:val="36"/>
              </w:rPr>
              <w:t>Unión Internacional de Telecomunicaciones</w:t>
            </w:r>
          </w:p>
          <w:p w14:paraId="5245A308" w14:textId="77777777" w:rsidR="007B6316" w:rsidRPr="00167EA4" w:rsidRDefault="007B6316" w:rsidP="007B6316">
            <w:pPr>
              <w:spacing w:before="0"/>
            </w:pPr>
            <w:r w:rsidRPr="00167EA4">
              <w:rPr>
                <w:rFonts w:cs="Times New Roman Bold"/>
                <w:b/>
                <w:bCs/>
                <w:smallCaps/>
                <w:sz w:val="28"/>
                <w:szCs w:val="28"/>
              </w:rPr>
              <w:t>Oficina</w:t>
            </w:r>
            <w:r w:rsidRPr="00167EA4">
              <w:rPr>
                <w:rFonts w:cs="Times New Roman Bold"/>
                <w:b/>
                <w:bCs/>
                <w:iCs/>
                <w:smallCaps/>
                <w:sz w:val="22"/>
                <w:szCs w:val="22"/>
              </w:rPr>
              <w:t xml:space="preserve"> </w:t>
            </w:r>
            <w:r w:rsidRPr="00167EA4">
              <w:rPr>
                <w:rFonts w:cs="Times New Roman Bold"/>
                <w:b/>
                <w:bCs/>
                <w:iCs/>
                <w:smallCaps/>
                <w:sz w:val="28"/>
                <w:szCs w:val="28"/>
              </w:rPr>
              <w:t>de Normalización de las Telecomunicaciones</w:t>
            </w:r>
          </w:p>
        </w:tc>
      </w:tr>
      <w:tr w:rsidR="007B6316" w:rsidRPr="00870B9A" w14:paraId="1BE1E84D" w14:textId="77777777" w:rsidTr="00303D62">
        <w:trPr>
          <w:cantSplit/>
          <w:trHeight w:val="340"/>
        </w:trPr>
        <w:tc>
          <w:tcPr>
            <w:tcW w:w="993" w:type="dxa"/>
          </w:tcPr>
          <w:p w14:paraId="23BF4BAF" w14:textId="77777777" w:rsidR="007B6316" w:rsidRPr="00870B9A" w:rsidRDefault="007B6316" w:rsidP="00303D62">
            <w:pPr>
              <w:tabs>
                <w:tab w:val="left" w:pos="4111"/>
              </w:tabs>
              <w:spacing w:before="10"/>
              <w:ind w:left="57"/>
              <w:rPr>
                <w:b/>
                <w:bCs/>
                <w:sz w:val="20"/>
                <w:szCs w:val="18"/>
              </w:rPr>
            </w:pPr>
          </w:p>
        </w:tc>
        <w:tc>
          <w:tcPr>
            <w:tcW w:w="3884" w:type="dxa"/>
            <w:gridSpan w:val="2"/>
          </w:tcPr>
          <w:p w14:paraId="7CC72BE6" w14:textId="77777777" w:rsidR="007B6316" w:rsidRPr="00870B9A" w:rsidRDefault="007B6316" w:rsidP="00303D62">
            <w:pPr>
              <w:tabs>
                <w:tab w:val="left" w:pos="4111"/>
              </w:tabs>
              <w:spacing w:before="0"/>
              <w:ind w:left="57"/>
              <w:rPr>
                <w:b/>
                <w:sz w:val="22"/>
                <w:szCs w:val="18"/>
              </w:rPr>
            </w:pPr>
          </w:p>
        </w:tc>
        <w:tc>
          <w:tcPr>
            <w:tcW w:w="5329" w:type="dxa"/>
          </w:tcPr>
          <w:p w14:paraId="7FEC00A6" w14:textId="7C07D14D" w:rsidR="007B6316" w:rsidRPr="00870B9A" w:rsidRDefault="007B6316" w:rsidP="007B6316">
            <w:pPr>
              <w:tabs>
                <w:tab w:val="clear" w:pos="794"/>
                <w:tab w:val="clear" w:pos="1191"/>
                <w:tab w:val="clear" w:pos="1588"/>
                <w:tab w:val="clear" w:pos="1985"/>
                <w:tab w:val="left" w:pos="284"/>
              </w:tabs>
              <w:spacing w:after="120"/>
              <w:ind w:left="284" w:hanging="227"/>
              <w:rPr>
                <w:sz w:val="22"/>
                <w:szCs w:val="18"/>
              </w:rPr>
            </w:pPr>
            <w:r w:rsidRPr="00870B9A">
              <w:rPr>
                <w:sz w:val="22"/>
                <w:szCs w:val="22"/>
              </w:rPr>
              <w:t>Ginebra,</w:t>
            </w:r>
            <w:r w:rsidR="00906B2A" w:rsidRPr="00870B9A">
              <w:rPr>
                <w:rFonts w:ascii="Calibri" w:eastAsia="Batang" w:hAnsi="Calibri"/>
                <w:sz w:val="22"/>
                <w:szCs w:val="18"/>
              </w:rPr>
              <w:t xml:space="preserve"> </w:t>
            </w:r>
            <w:r w:rsidR="00906B2A" w:rsidRPr="00870B9A">
              <w:rPr>
                <w:sz w:val="22"/>
                <w:szCs w:val="22"/>
              </w:rPr>
              <w:t>14 de septiembre de 2022</w:t>
            </w:r>
          </w:p>
        </w:tc>
      </w:tr>
      <w:tr w:rsidR="00906B2A" w:rsidRPr="00870B9A" w14:paraId="64359619" w14:textId="77777777" w:rsidTr="00303D62">
        <w:trPr>
          <w:cantSplit/>
          <w:trHeight w:val="340"/>
        </w:trPr>
        <w:tc>
          <w:tcPr>
            <w:tcW w:w="993" w:type="dxa"/>
          </w:tcPr>
          <w:p w14:paraId="44999F86" w14:textId="77777777" w:rsidR="00906B2A" w:rsidRPr="00870B9A" w:rsidRDefault="00906B2A" w:rsidP="00303D62">
            <w:pPr>
              <w:tabs>
                <w:tab w:val="left" w:pos="4111"/>
              </w:tabs>
              <w:spacing w:before="10"/>
              <w:ind w:left="57"/>
              <w:rPr>
                <w:b/>
                <w:bCs/>
                <w:sz w:val="20"/>
                <w:szCs w:val="18"/>
              </w:rPr>
            </w:pPr>
            <w:r w:rsidRPr="00870B9A">
              <w:rPr>
                <w:b/>
                <w:bCs/>
                <w:sz w:val="20"/>
                <w:szCs w:val="18"/>
              </w:rPr>
              <w:t>Ref.:</w:t>
            </w:r>
          </w:p>
          <w:p w14:paraId="5489B171" w14:textId="77777777" w:rsidR="00906B2A" w:rsidRPr="00870B9A" w:rsidRDefault="00906B2A" w:rsidP="007B6316">
            <w:pPr>
              <w:tabs>
                <w:tab w:val="left" w:pos="4111"/>
              </w:tabs>
              <w:spacing w:before="10"/>
              <w:ind w:left="57"/>
              <w:rPr>
                <w:b/>
                <w:bCs/>
                <w:sz w:val="20"/>
                <w:szCs w:val="18"/>
              </w:rPr>
            </w:pPr>
          </w:p>
        </w:tc>
        <w:tc>
          <w:tcPr>
            <w:tcW w:w="3884" w:type="dxa"/>
            <w:gridSpan w:val="2"/>
          </w:tcPr>
          <w:p w14:paraId="41692D1E" w14:textId="37334AAA" w:rsidR="00906B2A" w:rsidRPr="00870B9A" w:rsidRDefault="00906B2A" w:rsidP="00303D62">
            <w:pPr>
              <w:tabs>
                <w:tab w:val="left" w:pos="4111"/>
              </w:tabs>
              <w:spacing w:before="0"/>
              <w:ind w:left="57"/>
              <w:rPr>
                <w:b/>
                <w:sz w:val="22"/>
                <w:szCs w:val="18"/>
              </w:rPr>
            </w:pPr>
            <w:r w:rsidRPr="00870B9A">
              <w:rPr>
                <w:b/>
                <w:sz w:val="22"/>
                <w:szCs w:val="18"/>
              </w:rPr>
              <w:t>Circular TSB 37</w:t>
            </w:r>
          </w:p>
          <w:p w14:paraId="18E04AFF" w14:textId="5B640D74" w:rsidR="00906B2A" w:rsidRPr="00870B9A" w:rsidRDefault="00906B2A" w:rsidP="007B6316">
            <w:pPr>
              <w:tabs>
                <w:tab w:val="left" w:pos="4111"/>
              </w:tabs>
              <w:spacing w:before="0"/>
              <w:ind w:left="57"/>
              <w:rPr>
                <w:b/>
                <w:sz w:val="22"/>
                <w:szCs w:val="18"/>
              </w:rPr>
            </w:pPr>
            <w:r w:rsidRPr="00870B9A">
              <w:rPr>
                <w:b/>
                <w:bCs/>
                <w:sz w:val="22"/>
                <w:szCs w:val="18"/>
              </w:rPr>
              <w:t>SG20/CB</w:t>
            </w:r>
          </w:p>
        </w:tc>
        <w:tc>
          <w:tcPr>
            <w:tcW w:w="5329" w:type="dxa"/>
            <w:vMerge w:val="restart"/>
          </w:tcPr>
          <w:p w14:paraId="3893527F" w14:textId="1B917A58" w:rsidR="00906B2A" w:rsidRPr="00870B9A" w:rsidRDefault="00906B2A" w:rsidP="00303D62">
            <w:pPr>
              <w:tabs>
                <w:tab w:val="clear" w:pos="794"/>
                <w:tab w:val="clear" w:pos="1191"/>
                <w:tab w:val="clear" w:pos="1588"/>
                <w:tab w:val="clear" w:pos="1985"/>
                <w:tab w:val="left" w:pos="284"/>
              </w:tabs>
              <w:spacing w:before="0"/>
              <w:ind w:left="284" w:hanging="227"/>
              <w:rPr>
                <w:b/>
                <w:bCs/>
                <w:sz w:val="22"/>
                <w:szCs w:val="18"/>
              </w:rPr>
            </w:pPr>
            <w:bookmarkStart w:id="0" w:name="Addressee_S"/>
            <w:bookmarkEnd w:id="0"/>
            <w:r w:rsidRPr="00870B9A">
              <w:rPr>
                <w:b/>
                <w:bCs/>
                <w:sz w:val="22"/>
                <w:szCs w:val="18"/>
              </w:rPr>
              <w:t>A:</w:t>
            </w:r>
          </w:p>
          <w:p w14:paraId="3B3FCFB8" w14:textId="3614D275" w:rsidR="00906B2A" w:rsidRPr="00870B9A" w:rsidRDefault="00AB7CBE" w:rsidP="00AB7CBE">
            <w:pPr>
              <w:tabs>
                <w:tab w:val="clear" w:pos="794"/>
                <w:tab w:val="clear" w:pos="1191"/>
                <w:tab w:val="clear" w:pos="1588"/>
                <w:tab w:val="clear" w:pos="1985"/>
                <w:tab w:val="left" w:pos="284"/>
              </w:tabs>
              <w:spacing w:before="0" w:after="120"/>
              <w:ind w:left="284" w:hanging="227"/>
              <w:rPr>
                <w:sz w:val="22"/>
                <w:szCs w:val="18"/>
              </w:rPr>
            </w:pPr>
            <w:r w:rsidRPr="00870B9A">
              <w:rPr>
                <w:sz w:val="22"/>
                <w:szCs w:val="18"/>
              </w:rPr>
              <w:t>–</w:t>
            </w:r>
            <w:r w:rsidR="00906B2A" w:rsidRPr="00870B9A">
              <w:rPr>
                <w:sz w:val="22"/>
                <w:szCs w:val="18"/>
              </w:rPr>
              <w:tab/>
              <w:t>las Administraciones de los Estados Miembros de la</w:t>
            </w:r>
            <w:r w:rsidR="001A4DCA" w:rsidRPr="00870B9A">
              <w:rPr>
                <w:sz w:val="22"/>
                <w:szCs w:val="18"/>
              </w:rPr>
              <w:t> </w:t>
            </w:r>
            <w:r w:rsidR="00906B2A" w:rsidRPr="00870B9A">
              <w:rPr>
                <w:sz w:val="22"/>
                <w:szCs w:val="18"/>
              </w:rPr>
              <w:t>Unión;</w:t>
            </w:r>
          </w:p>
          <w:p w14:paraId="1A10A23C" w14:textId="77777777" w:rsidR="00906B2A" w:rsidRPr="00870B9A" w:rsidRDefault="00906B2A" w:rsidP="00303D62">
            <w:pPr>
              <w:tabs>
                <w:tab w:val="left" w:pos="4111"/>
              </w:tabs>
              <w:spacing w:before="0"/>
              <w:rPr>
                <w:sz w:val="22"/>
                <w:szCs w:val="18"/>
              </w:rPr>
            </w:pPr>
            <w:r w:rsidRPr="00870B9A">
              <w:rPr>
                <w:b/>
                <w:sz w:val="22"/>
                <w:szCs w:val="18"/>
              </w:rPr>
              <w:t>Copia</w:t>
            </w:r>
            <w:r w:rsidRPr="00870B9A">
              <w:rPr>
                <w:sz w:val="22"/>
                <w:szCs w:val="18"/>
              </w:rPr>
              <w:t>:</w:t>
            </w:r>
          </w:p>
          <w:p w14:paraId="0B2C9551" w14:textId="6D3FFD2F" w:rsidR="00906B2A" w:rsidRPr="00870B9A" w:rsidRDefault="00AB7CBE" w:rsidP="00AB7CBE">
            <w:pPr>
              <w:tabs>
                <w:tab w:val="clear" w:pos="794"/>
                <w:tab w:val="clear" w:pos="1191"/>
                <w:tab w:val="clear" w:pos="1588"/>
                <w:tab w:val="clear" w:pos="1985"/>
                <w:tab w:val="left" w:pos="284"/>
              </w:tabs>
              <w:spacing w:before="60" w:after="120"/>
              <w:ind w:left="284" w:hanging="227"/>
              <w:rPr>
                <w:sz w:val="22"/>
                <w:szCs w:val="18"/>
              </w:rPr>
            </w:pPr>
            <w:r w:rsidRPr="00870B9A">
              <w:rPr>
                <w:sz w:val="22"/>
                <w:szCs w:val="18"/>
              </w:rPr>
              <w:t>–</w:t>
            </w:r>
            <w:r w:rsidR="00906B2A" w:rsidRPr="00870B9A">
              <w:rPr>
                <w:sz w:val="22"/>
                <w:szCs w:val="18"/>
              </w:rPr>
              <w:tab/>
              <w:t>Miembros del Sector UIT</w:t>
            </w:r>
            <w:r w:rsidRPr="00870B9A">
              <w:rPr>
                <w:sz w:val="22"/>
                <w:szCs w:val="18"/>
              </w:rPr>
              <w:t>–</w:t>
            </w:r>
            <w:r w:rsidR="00906B2A" w:rsidRPr="00870B9A">
              <w:rPr>
                <w:sz w:val="22"/>
                <w:szCs w:val="18"/>
              </w:rPr>
              <w:t>T;</w:t>
            </w:r>
          </w:p>
          <w:p w14:paraId="4868FCC6" w14:textId="7604B446" w:rsidR="00906B2A" w:rsidRPr="00870B9A" w:rsidRDefault="00AB7CBE" w:rsidP="00AB7CBE">
            <w:pPr>
              <w:tabs>
                <w:tab w:val="clear" w:pos="794"/>
                <w:tab w:val="clear" w:pos="1191"/>
                <w:tab w:val="clear" w:pos="1588"/>
                <w:tab w:val="clear" w:pos="1985"/>
                <w:tab w:val="left" w:pos="284"/>
              </w:tabs>
              <w:spacing w:before="0" w:after="40"/>
              <w:ind w:left="284" w:hanging="227"/>
              <w:rPr>
                <w:sz w:val="22"/>
                <w:szCs w:val="18"/>
              </w:rPr>
            </w:pPr>
            <w:r w:rsidRPr="00870B9A">
              <w:rPr>
                <w:sz w:val="22"/>
                <w:szCs w:val="18"/>
              </w:rPr>
              <w:t>–</w:t>
            </w:r>
            <w:r w:rsidR="00906B2A" w:rsidRPr="00870B9A">
              <w:rPr>
                <w:sz w:val="22"/>
                <w:szCs w:val="18"/>
              </w:rPr>
              <w:tab/>
              <w:t>Asociados de la Comisión de Estudio 20 del UIT</w:t>
            </w:r>
            <w:r w:rsidRPr="00870B9A">
              <w:rPr>
                <w:sz w:val="22"/>
                <w:szCs w:val="18"/>
              </w:rPr>
              <w:t>–</w:t>
            </w:r>
            <w:r w:rsidR="00906B2A" w:rsidRPr="00870B9A">
              <w:rPr>
                <w:sz w:val="22"/>
                <w:szCs w:val="18"/>
              </w:rPr>
              <w:t>T;</w:t>
            </w:r>
          </w:p>
          <w:p w14:paraId="7EB6022E" w14:textId="4507BFA5" w:rsidR="00906B2A" w:rsidRPr="00870B9A" w:rsidRDefault="00AB7CBE" w:rsidP="00AB7CBE">
            <w:pPr>
              <w:tabs>
                <w:tab w:val="clear" w:pos="794"/>
                <w:tab w:val="clear" w:pos="1191"/>
                <w:tab w:val="clear" w:pos="1588"/>
                <w:tab w:val="clear" w:pos="1985"/>
                <w:tab w:val="left" w:pos="284"/>
              </w:tabs>
              <w:spacing w:before="0" w:after="40"/>
              <w:ind w:left="284" w:hanging="227"/>
              <w:rPr>
                <w:sz w:val="22"/>
                <w:szCs w:val="18"/>
              </w:rPr>
            </w:pPr>
            <w:r w:rsidRPr="00870B9A">
              <w:rPr>
                <w:sz w:val="22"/>
                <w:szCs w:val="18"/>
              </w:rPr>
              <w:t>–</w:t>
            </w:r>
            <w:r w:rsidR="00906B2A" w:rsidRPr="00870B9A">
              <w:rPr>
                <w:sz w:val="22"/>
                <w:szCs w:val="18"/>
              </w:rPr>
              <w:tab/>
              <w:t>Instituciones Académicas de la UIT;</w:t>
            </w:r>
          </w:p>
          <w:p w14:paraId="277E9F24" w14:textId="7345A906" w:rsidR="00906B2A" w:rsidRPr="00870B9A" w:rsidRDefault="00AB7CBE" w:rsidP="00AB7CBE">
            <w:pPr>
              <w:tabs>
                <w:tab w:val="clear" w:pos="794"/>
                <w:tab w:val="clear" w:pos="1191"/>
                <w:tab w:val="clear" w:pos="1588"/>
                <w:tab w:val="clear" w:pos="1985"/>
                <w:tab w:val="left" w:pos="284"/>
              </w:tabs>
              <w:spacing w:before="0" w:after="40"/>
              <w:ind w:left="284" w:hanging="227"/>
              <w:rPr>
                <w:sz w:val="22"/>
                <w:szCs w:val="18"/>
              </w:rPr>
            </w:pPr>
            <w:r w:rsidRPr="00870B9A">
              <w:rPr>
                <w:sz w:val="22"/>
                <w:szCs w:val="18"/>
              </w:rPr>
              <w:t>–</w:t>
            </w:r>
            <w:r w:rsidR="00906B2A" w:rsidRPr="00870B9A">
              <w:rPr>
                <w:sz w:val="22"/>
                <w:szCs w:val="18"/>
              </w:rPr>
              <w:tab/>
              <w:t>Presidente y a los Vicepresidentes de la Comisión de Estudio 20 del UIT</w:t>
            </w:r>
            <w:r w:rsidRPr="00870B9A">
              <w:rPr>
                <w:sz w:val="22"/>
                <w:szCs w:val="18"/>
              </w:rPr>
              <w:t>–</w:t>
            </w:r>
            <w:r w:rsidR="00906B2A" w:rsidRPr="00870B9A">
              <w:rPr>
                <w:sz w:val="22"/>
                <w:szCs w:val="18"/>
              </w:rPr>
              <w:t>T;</w:t>
            </w:r>
          </w:p>
          <w:p w14:paraId="3FABE871" w14:textId="0535E6C4" w:rsidR="00906B2A" w:rsidRPr="00870B9A" w:rsidRDefault="00AB7CBE" w:rsidP="00AB7CBE">
            <w:pPr>
              <w:tabs>
                <w:tab w:val="clear" w:pos="794"/>
                <w:tab w:val="clear" w:pos="1191"/>
                <w:tab w:val="clear" w:pos="1588"/>
                <w:tab w:val="clear" w:pos="1985"/>
                <w:tab w:val="left" w:pos="284"/>
              </w:tabs>
              <w:spacing w:before="0" w:after="40"/>
              <w:ind w:left="284" w:hanging="227"/>
              <w:rPr>
                <w:sz w:val="22"/>
                <w:szCs w:val="18"/>
              </w:rPr>
            </w:pPr>
            <w:r w:rsidRPr="00870B9A">
              <w:rPr>
                <w:sz w:val="22"/>
                <w:szCs w:val="18"/>
              </w:rPr>
              <w:t>–</w:t>
            </w:r>
            <w:r w:rsidR="00906B2A" w:rsidRPr="00870B9A">
              <w:rPr>
                <w:sz w:val="22"/>
                <w:szCs w:val="18"/>
              </w:rPr>
              <w:tab/>
              <w:t>Director de la Oficina de Desarrollo de las Telecomunicaciones;</w:t>
            </w:r>
          </w:p>
          <w:p w14:paraId="6FA9E7FC" w14:textId="3204BE5C" w:rsidR="00906B2A" w:rsidRPr="00870B9A" w:rsidRDefault="00AB7CBE" w:rsidP="00AB7CBE">
            <w:pPr>
              <w:tabs>
                <w:tab w:val="clear" w:pos="794"/>
                <w:tab w:val="clear" w:pos="1191"/>
                <w:tab w:val="clear" w:pos="1588"/>
                <w:tab w:val="clear" w:pos="1985"/>
                <w:tab w:val="left" w:pos="284"/>
              </w:tabs>
              <w:spacing w:before="0" w:after="40"/>
              <w:ind w:left="284" w:hanging="227"/>
              <w:rPr>
                <w:sz w:val="22"/>
                <w:szCs w:val="18"/>
              </w:rPr>
            </w:pPr>
            <w:r w:rsidRPr="00870B9A">
              <w:rPr>
                <w:sz w:val="22"/>
                <w:szCs w:val="18"/>
              </w:rPr>
              <w:t>–</w:t>
            </w:r>
            <w:r w:rsidR="00906B2A" w:rsidRPr="00870B9A">
              <w:rPr>
                <w:sz w:val="22"/>
                <w:szCs w:val="18"/>
              </w:rPr>
              <w:tab/>
              <w:t>Director de la Oficina de Radiocomunicaciones</w:t>
            </w:r>
          </w:p>
        </w:tc>
      </w:tr>
      <w:tr w:rsidR="00906B2A" w:rsidRPr="00870B9A" w14:paraId="4360D132" w14:textId="77777777" w:rsidTr="00303D62">
        <w:trPr>
          <w:cantSplit/>
        </w:trPr>
        <w:tc>
          <w:tcPr>
            <w:tcW w:w="993" w:type="dxa"/>
          </w:tcPr>
          <w:p w14:paraId="76CC181E" w14:textId="77777777" w:rsidR="00906B2A" w:rsidRPr="00870B9A" w:rsidRDefault="00906B2A" w:rsidP="00303D62">
            <w:pPr>
              <w:tabs>
                <w:tab w:val="left" w:pos="4111"/>
              </w:tabs>
              <w:spacing w:before="10"/>
              <w:ind w:left="57"/>
              <w:rPr>
                <w:b/>
                <w:bCs/>
                <w:sz w:val="20"/>
                <w:szCs w:val="18"/>
              </w:rPr>
            </w:pPr>
            <w:r w:rsidRPr="00870B9A">
              <w:rPr>
                <w:b/>
                <w:bCs/>
                <w:sz w:val="20"/>
                <w:szCs w:val="18"/>
              </w:rPr>
              <w:t>Tel.:</w:t>
            </w:r>
          </w:p>
        </w:tc>
        <w:tc>
          <w:tcPr>
            <w:tcW w:w="3884" w:type="dxa"/>
            <w:gridSpan w:val="2"/>
          </w:tcPr>
          <w:p w14:paraId="0EC62B57" w14:textId="4A8A7C79" w:rsidR="00906B2A" w:rsidRPr="00870B9A" w:rsidRDefault="00906B2A" w:rsidP="00303D62">
            <w:pPr>
              <w:tabs>
                <w:tab w:val="left" w:pos="4111"/>
              </w:tabs>
              <w:spacing w:before="0"/>
              <w:ind w:left="57"/>
              <w:rPr>
                <w:rStyle w:val="Hyperlink"/>
                <w:sz w:val="22"/>
                <w:szCs w:val="18"/>
              </w:rPr>
            </w:pPr>
            <w:r w:rsidRPr="00870B9A">
              <w:rPr>
                <w:sz w:val="22"/>
                <w:szCs w:val="18"/>
              </w:rPr>
              <w:t>+41 22 730 6301</w:t>
            </w:r>
          </w:p>
        </w:tc>
        <w:tc>
          <w:tcPr>
            <w:tcW w:w="5329" w:type="dxa"/>
            <w:vMerge/>
          </w:tcPr>
          <w:p w14:paraId="63796692" w14:textId="013722D4" w:rsidR="00906B2A" w:rsidRPr="00870B9A" w:rsidRDefault="00906B2A" w:rsidP="00906B2A">
            <w:pPr>
              <w:tabs>
                <w:tab w:val="left" w:pos="226"/>
                <w:tab w:val="left" w:pos="510"/>
              </w:tabs>
              <w:spacing w:before="0"/>
              <w:ind w:left="226" w:hanging="169"/>
              <w:rPr>
                <w:b/>
                <w:sz w:val="22"/>
                <w:szCs w:val="18"/>
              </w:rPr>
            </w:pPr>
          </w:p>
        </w:tc>
      </w:tr>
      <w:tr w:rsidR="00906B2A" w:rsidRPr="00870B9A" w14:paraId="1788375A" w14:textId="77777777" w:rsidTr="00303D62">
        <w:trPr>
          <w:cantSplit/>
        </w:trPr>
        <w:tc>
          <w:tcPr>
            <w:tcW w:w="993" w:type="dxa"/>
          </w:tcPr>
          <w:p w14:paraId="7446430D" w14:textId="77777777" w:rsidR="00906B2A" w:rsidRPr="00870B9A" w:rsidRDefault="00906B2A" w:rsidP="00303D62">
            <w:pPr>
              <w:tabs>
                <w:tab w:val="left" w:pos="4111"/>
              </w:tabs>
              <w:spacing w:before="10"/>
              <w:ind w:left="57"/>
              <w:rPr>
                <w:b/>
                <w:bCs/>
                <w:sz w:val="20"/>
                <w:szCs w:val="18"/>
              </w:rPr>
            </w:pPr>
            <w:r w:rsidRPr="00870B9A">
              <w:rPr>
                <w:b/>
                <w:bCs/>
                <w:sz w:val="20"/>
                <w:szCs w:val="18"/>
              </w:rPr>
              <w:t>Fax:</w:t>
            </w:r>
          </w:p>
        </w:tc>
        <w:tc>
          <w:tcPr>
            <w:tcW w:w="3884" w:type="dxa"/>
            <w:gridSpan w:val="2"/>
          </w:tcPr>
          <w:p w14:paraId="46874C66" w14:textId="7301C39C" w:rsidR="00906B2A" w:rsidRPr="00870B9A" w:rsidRDefault="00906B2A" w:rsidP="001A4DCA">
            <w:pPr>
              <w:spacing w:before="0"/>
              <w:rPr>
                <w:rStyle w:val="Hyperlink"/>
                <w:sz w:val="22"/>
                <w:szCs w:val="18"/>
              </w:rPr>
            </w:pPr>
            <w:r w:rsidRPr="00870B9A">
              <w:rPr>
                <w:sz w:val="22"/>
                <w:szCs w:val="18"/>
              </w:rPr>
              <w:t>+41 22 730 5853</w:t>
            </w:r>
          </w:p>
        </w:tc>
        <w:tc>
          <w:tcPr>
            <w:tcW w:w="5329" w:type="dxa"/>
            <w:vMerge/>
          </w:tcPr>
          <w:p w14:paraId="4F8AB680" w14:textId="0487EB0B" w:rsidR="00906B2A" w:rsidRPr="00870B9A" w:rsidRDefault="00906B2A" w:rsidP="00906B2A">
            <w:pPr>
              <w:tabs>
                <w:tab w:val="left" w:pos="226"/>
                <w:tab w:val="left" w:pos="510"/>
              </w:tabs>
              <w:spacing w:before="0"/>
              <w:ind w:left="226" w:hanging="169"/>
              <w:rPr>
                <w:b/>
                <w:sz w:val="22"/>
                <w:szCs w:val="18"/>
              </w:rPr>
            </w:pPr>
          </w:p>
        </w:tc>
      </w:tr>
      <w:tr w:rsidR="00906B2A" w:rsidRPr="00870B9A" w14:paraId="6558CFAC" w14:textId="77777777" w:rsidTr="00303D62">
        <w:trPr>
          <w:cantSplit/>
        </w:trPr>
        <w:tc>
          <w:tcPr>
            <w:tcW w:w="993" w:type="dxa"/>
          </w:tcPr>
          <w:p w14:paraId="5FC02BEB" w14:textId="77777777" w:rsidR="00906B2A" w:rsidRPr="00870B9A" w:rsidRDefault="00906B2A" w:rsidP="00303D62">
            <w:pPr>
              <w:tabs>
                <w:tab w:val="left" w:pos="4111"/>
              </w:tabs>
              <w:spacing w:before="10"/>
              <w:ind w:left="57"/>
              <w:rPr>
                <w:b/>
                <w:bCs/>
                <w:sz w:val="20"/>
                <w:szCs w:val="18"/>
              </w:rPr>
            </w:pPr>
            <w:r w:rsidRPr="00870B9A">
              <w:rPr>
                <w:b/>
                <w:bCs/>
                <w:sz w:val="20"/>
                <w:szCs w:val="18"/>
              </w:rPr>
              <w:t>Correo-e:</w:t>
            </w:r>
          </w:p>
        </w:tc>
        <w:tc>
          <w:tcPr>
            <w:tcW w:w="3884" w:type="dxa"/>
            <w:gridSpan w:val="2"/>
          </w:tcPr>
          <w:p w14:paraId="6A61C75C" w14:textId="0DBC053B" w:rsidR="00906B2A" w:rsidRPr="00870B9A" w:rsidRDefault="00B35776" w:rsidP="00303D62">
            <w:pPr>
              <w:tabs>
                <w:tab w:val="left" w:pos="4111"/>
              </w:tabs>
              <w:spacing w:before="0"/>
              <w:ind w:left="57"/>
              <w:rPr>
                <w:sz w:val="22"/>
                <w:szCs w:val="18"/>
              </w:rPr>
            </w:pPr>
            <w:hyperlink r:id="rId9" w:history="1">
              <w:r w:rsidR="00906B2A" w:rsidRPr="00870B9A">
                <w:rPr>
                  <w:rStyle w:val="Hyperlink"/>
                  <w:sz w:val="22"/>
                  <w:szCs w:val="18"/>
                </w:rPr>
                <w:t>tsbsg20@itu.int</w:t>
              </w:r>
            </w:hyperlink>
            <w:r w:rsidR="00906B2A" w:rsidRPr="00870B9A">
              <w:rPr>
                <w:sz w:val="22"/>
                <w:szCs w:val="18"/>
              </w:rPr>
              <w:t xml:space="preserve"> </w:t>
            </w:r>
          </w:p>
        </w:tc>
        <w:tc>
          <w:tcPr>
            <w:tcW w:w="5329" w:type="dxa"/>
            <w:vMerge/>
          </w:tcPr>
          <w:p w14:paraId="1442E506" w14:textId="71D07774" w:rsidR="00906B2A" w:rsidRPr="00870B9A" w:rsidRDefault="00906B2A" w:rsidP="00906B2A">
            <w:pPr>
              <w:tabs>
                <w:tab w:val="clear" w:pos="794"/>
                <w:tab w:val="clear" w:pos="1191"/>
                <w:tab w:val="clear" w:pos="1588"/>
                <w:tab w:val="clear" w:pos="1985"/>
                <w:tab w:val="left" w:pos="226"/>
                <w:tab w:val="left" w:pos="510"/>
              </w:tabs>
              <w:spacing w:before="0"/>
              <w:ind w:left="226" w:hanging="169"/>
              <w:rPr>
                <w:sz w:val="22"/>
                <w:szCs w:val="18"/>
              </w:rPr>
            </w:pPr>
          </w:p>
        </w:tc>
      </w:tr>
      <w:tr w:rsidR="007B6316" w:rsidRPr="00870B9A" w14:paraId="74AD6E77" w14:textId="77777777" w:rsidTr="00DA30ED">
        <w:trPr>
          <w:cantSplit/>
        </w:trPr>
        <w:tc>
          <w:tcPr>
            <w:tcW w:w="993" w:type="dxa"/>
          </w:tcPr>
          <w:p w14:paraId="1B23F80A" w14:textId="77777777" w:rsidR="007B6316" w:rsidRPr="00870B9A" w:rsidRDefault="007B6316" w:rsidP="001A4DCA">
            <w:pPr>
              <w:tabs>
                <w:tab w:val="left" w:pos="4111"/>
              </w:tabs>
              <w:ind w:left="57"/>
              <w:rPr>
                <w:b/>
                <w:bCs/>
                <w:sz w:val="20"/>
                <w:szCs w:val="18"/>
              </w:rPr>
            </w:pPr>
            <w:r w:rsidRPr="00870B9A">
              <w:rPr>
                <w:b/>
                <w:bCs/>
                <w:sz w:val="22"/>
              </w:rPr>
              <w:t>Asunto</w:t>
            </w:r>
            <w:r w:rsidRPr="00870B9A">
              <w:rPr>
                <w:b/>
                <w:bCs/>
                <w:sz w:val="20"/>
                <w:szCs w:val="18"/>
              </w:rPr>
              <w:t>:</w:t>
            </w:r>
          </w:p>
        </w:tc>
        <w:tc>
          <w:tcPr>
            <w:tcW w:w="9213" w:type="dxa"/>
            <w:gridSpan w:val="3"/>
          </w:tcPr>
          <w:p w14:paraId="4DEF6974" w14:textId="04DB471C" w:rsidR="007B6316" w:rsidRPr="00870B9A" w:rsidRDefault="00906B2A" w:rsidP="001A4DCA">
            <w:pPr>
              <w:tabs>
                <w:tab w:val="left" w:pos="4111"/>
              </w:tabs>
              <w:ind w:right="57"/>
              <w:jc w:val="both"/>
              <w:rPr>
                <w:b/>
                <w:sz w:val="22"/>
                <w:szCs w:val="18"/>
              </w:rPr>
            </w:pPr>
            <w:r w:rsidRPr="00870B9A">
              <w:rPr>
                <w:b/>
                <w:sz w:val="22"/>
                <w:szCs w:val="18"/>
              </w:rPr>
              <w:t xml:space="preserve">Consulta a los Estados Miembros sobre los proyectos de nueva Recomendación determinada UIT-T Y.4601 (ex </w:t>
            </w:r>
            <w:proofErr w:type="spellStart"/>
            <w:r w:rsidRPr="00870B9A">
              <w:rPr>
                <w:b/>
                <w:sz w:val="22"/>
                <w:szCs w:val="18"/>
              </w:rPr>
              <w:t>Y.dt-smartfirefighting</w:t>
            </w:r>
            <w:proofErr w:type="spellEnd"/>
            <w:r w:rsidRPr="00870B9A">
              <w:rPr>
                <w:b/>
                <w:sz w:val="22"/>
                <w:szCs w:val="18"/>
              </w:rPr>
              <w:t>) e Y.4500</w:t>
            </w:r>
            <w:r w:rsidR="00FD7D27" w:rsidRPr="00870B9A">
              <w:rPr>
                <w:b/>
                <w:sz w:val="22"/>
                <w:szCs w:val="18"/>
              </w:rPr>
              <w:t>.</w:t>
            </w:r>
            <w:r w:rsidRPr="00870B9A">
              <w:rPr>
                <w:b/>
                <w:sz w:val="22"/>
                <w:szCs w:val="18"/>
              </w:rPr>
              <w:t>3 (ex Y.oneM2M.SEC.SOL), propuestas para aprobación en la reunión de la Comisión de Estudio 20 del UIT-T (Ginebra,</w:t>
            </w:r>
            <w:r w:rsidR="00AB7CBE" w:rsidRPr="00870B9A">
              <w:rPr>
                <w:b/>
                <w:sz w:val="22"/>
                <w:szCs w:val="18"/>
              </w:rPr>
              <w:t> </w:t>
            </w:r>
            <w:r w:rsidRPr="00870B9A">
              <w:rPr>
                <w:b/>
                <w:sz w:val="22"/>
                <w:szCs w:val="18"/>
              </w:rPr>
              <w:t>30 de enero – 10</w:t>
            </w:r>
            <w:r w:rsidR="001A4DCA" w:rsidRPr="00870B9A">
              <w:rPr>
                <w:b/>
                <w:sz w:val="22"/>
                <w:szCs w:val="18"/>
              </w:rPr>
              <w:t> </w:t>
            </w:r>
            <w:r w:rsidRPr="00870B9A">
              <w:rPr>
                <w:b/>
                <w:sz w:val="22"/>
                <w:szCs w:val="18"/>
              </w:rPr>
              <w:t>de febrero de 2023)</w:t>
            </w:r>
          </w:p>
        </w:tc>
      </w:tr>
    </w:tbl>
    <w:p w14:paraId="3C73B794" w14:textId="77777777" w:rsidR="00C34772" w:rsidRPr="00870B9A" w:rsidRDefault="00C34772" w:rsidP="00870B9A">
      <w:pPr>
        <w:rPr>
          <w:sz w:val="22"/>
          <w:szCs w:val="18"/>
        </w:rPr>
      </w:pPr>
      <w:bookmarkStart w:id="1" w:name="StartTyping_S"/>
      <w:bookmarkStart w:id="2" w:name="suitetext"/>
      <w:bookmarkStart w:id="3" w:name="text"/>
      <w:bookmarkEnd w:id="1"/>
      <w:bookmarkEnd w:id="2"/>
      <w:bookmarkEnd w:id="3"/>
      <w:r w:rsidRPr="00870B9A">
        <w:rPr>
          <w:sz w:val="22"/>
          <w:szCs w:val="18"/>
        </w:rPr>
        <w:t>Muy Señora mía/Muy Señor mío:</w:t>
      </w:r>
    </w:p>
    <w:p w14:paraId="216BF306" w14:textId="3A5C9DF5" w:rsidR="00906B2A" w:rsidRPr="00870B9A" w:rsidRDefault="00906B2A" w:rsidP="001A4DCA">
      <w:pPr>
        <w:jc w:val="both"/>
        <w:rPr>
          <w:sz w:val="22"/>
          <w:szCs w:val="18"/>
        </w:rPr>
      </w:pPr>
      <w:r w:rsidRPr="00870B9A">
        <w:rPr>
          <w:sz w:val="22"/>
          <w:szCs w:val="18"/>
        </w:rPr>
        <w:t>1</w:t>
      </w:r>
      <w:r w:rsidRPr="00870B9A">
        <w:rPr>
          <w:sz w:val="22"/>
          <w:szCs w:val="18"/>
        </w:rPr>
        <w:tab/>
        <w:t xml:space="preserve">La Comisión de Estudio 20 del UIT-T (Internet de las </w:t>
      </w:r>
      <w:r w:rsidR="00C23315" w:rsidRPr="00870B9A">
        <w:rPr>
          <w:sz w:val="22"/>
          <w:szCs w:val="18"/>
        </w:rPr>
        <w:t xml:space="preserve">cosas </w:t>
      </w:r>
      <w:r w:rsidRPr="00870B9A">
        <w:rPr>
          <w:sz w:val="22"/>
          <w:szCs w:val="18"/>
        </w:rPr>
        <w:t>(</w:t>
      </w:r>
      <w:proofErr w:type="spellStart"/>
      <w:r w:rsidRPr="00870B9A">
        <w:rPr>
          <w:sz w:val="22"/>
          <w:szCs w:val="18"/>
        </w:rPr>
        <w:t>IoT</w:t>
      </w:r>
      <w:proofErr w:type="spellEnd"/>
      <w:r w:rsidRPr="00870B9A">
        <w:rPr>
          <w:sz w:val="22"/>
          <w:szCs w:val="18"/>
        </w:rPr>
        <w:t xml:space="preserve">) y </w:t>
      </w:r>
      <w:r w:rsidR="00C23315" w:rsidRPr="00870B9A">
        <w:rPr>
          <w:sz w:val="22"/>
          <w:szCs w:val="18"/>
        </w:rPr>
        <w:t xml:space="preserve">Ciudades </w:t>
      </w:r>
      <w:r w:rsidRPr="00870B9A">
        <w:rPr>
          <w:sz w:val="22"/>
          <w:szCs w:val="18"/>
        </w:rPr>
        <w:t xml:space="preserve">y </w:t>
      </w:r>
      <w:r w:rsidR="00C23315" w:rsidRPr="00870B9A">
        <w:rPr>
          <w:sz w:val="22"/>
          <w:szCs w:val="18"/>
        </w:rPr>
        <w:t xml:space="preserve">Comunidades Inteligentes </w:t>
      </w:r>
      <w:r w:rsidRPr="00870B9A">
        <w:rPr>
          <w:sz w:val="22"/>
          <w:szCs w:val="18"/>
        </w:rPr>
        <w:t xml:space="preserve">(C+CI)) tiene la intención de aplicar el procedimiento de aprobación tradicional descrito en la </w:t>
      </w:r>
      <w:r w:rsidR="001A4DCA" w:rsidRPr="00870B9A">
        <w:rPr>
          <w:sz w:val="22"/>
          <w:szCs w:val="18"/>
        </w:rPr>
        <w:t>cláusula </w:t>
      </w:r>
      <w:r w:rsidRPr="00870B9A">
        <w:rPr>
          <w:sz w:val="22"/>
          <w:szCs w:val="18"/>
        </w:rPr>
        <w:t xml:space="preserve">9 de la Resolución 1 (Rev. Ginebra, 2022) de la AMNT para la aprobación de los dos proyectos de Recomendación citados durante su próxima reunión prevista del 30 de enero al 10 de febrero de 2023. El orden del día y toda la información pertinente sobre la reunión de la Comisión de Estudio 20 del UIT-T se incluirán en la </w:t>
      </w:r>
      <w:hyperlink r:id="rId10" w:history="1">
        <w:r w:rsidRPr="00870B9A">
          <w:rPr>
            <w:rStyle w:val="Hyperlink"/>
            <w:sz w:val="22"/>
            <w:szCs w:val="18"/>
          </w:rPr>
          <w:t>Carta Colectiva 2/20</w:t>
        </w:r>
      </w:hyperlink>
      <w:r w:rsidRPr="00870B9A">
        <w:rPr>
          <w:sz w:val="22"/>
          <w:szCs w:val="18"/>
        </w:rPr>
        <w:t>.</w:t>
      </w:r>
    </w:p>
    <w:p w14:paraId="4556FF60" w14:textId="1F07C00A" w:rsidR="00906B2A" w:rsidRPr="00870B9A" w:rsidRDefault="00906B2A" w:rsidP="001A4DCA">
      <w:pPr>
        <w:jc w:val="both"/>
        <w:rPr>
          <w:sz w:val="22"/>
          <w:szCs w:val="18"/>
        </w:rPr>
      </w:pPr>
      <w:r w:rsidRPr="00870B9A">
        <w:rPr>
          <w:sz w:val="22"/>
          <w:szCs w:val="18"/>
        </w:rPr>
        <w:t>2</w:t>
      </w:r>
      <w:r w:rsidRPr="00870B9A">
        <w:rPr>
          <w:sz w:val="22"/>
          <w:szCs w:val="18"/>
        </w:rPr>
        <w:tab/>
        <w:t>El Anexo</w:t>
      </w:r>
      <w:r w:rsidR="00C23315" w:rsidRPr="00870B9A">
        <w:rPr>
          <w:sz w:val="22"/>
          <w:szCs w:val="18"/>
        </w:rPr>
        <w:t> </w:t>
      </w:r>
      <w:r w:rsidRPr="00870B9A">
        <w:rPr>
          <w:sz w:val="22"/>
          <w:szCs w:val="18"/>
        </w:rPr>
        <w:t>1 contiene los títulos y los resúmenes de los proyectos de nueva Recomendación</w:t>
      </w:r>
      <w:r w:rsidR="00C23315" w:rsidRPr="00870B9A">
        <w:rPr>
          <w:sz w:val="22"/>
          <w:szCs w:val="18"/>
        </w:rPr>
        <w:t xml:space="preserve"> </w:t>
      </w:r>
      <w:r w:rsidRPr="00870B9A">
        <w:rPr>
          <w:sz w:val="22"/>
          <w:szCs w:val="18"/>
        </w:rPr>
        <w:t xml:space="preserve">Y.4601 (ex </w:t>
      </w:r>
      <w:proofErr w:type="spellStart"/>
      <w:r w:rsidRPr="00870B9A">
        <w:rPr>
          <w:sz w:val="22"/>
          <w:szCs w:val="18"/>
        </w:rPr>
        <w:t>Y.dt-smartfirefighting</w:t>
      </w:r>
      <w:proofErr w:type="spellEnd"/>
      <w:r w:rsidRPr="00870B9A">
        <w:rPr>
          <w:sz w:val="22"/>
          <w:szCs w:val="18"/>
        </w:rPr>
        <w:t>) e Y.4500</w:t>
      </w:r>
      <w:r w:rsidR="00FD7D27" w:rsidRPr="00870B9A">
        <w:rPr>
          <w:sz w:val="22"/>
          <w:szCs w:val="18"/>
        </w:rPr>
        <w:t>.</w:t>
      </w:r>
      <w:r w:rsidRPr="00870B9A">
        <w:rPr>
          <w:sz w:val="22"/>
          <w:szCs w:val="18"/>
        </w:rPr>
        <w:t>3 (ex Y.oneM2M.SEC.SOL), propuestos para</w:t>
      </w:r>
      <w:r w:rsidR="00AB7CBE" w:rsidRPr="00870B9A">
        <w:rPr>
          <w:sz w:val="22"/>
          <w:szCs w:val="18"/>
        </w:rPr>
        <w:t xml:space="preserve"> </w:t>
      </w:r>
      <w:r w:rsidRPr="00870B9A">
        <w:rPr>
          <w:sz w:val="22"/>
          <w:szCs w:val="18"/>
        </w:rPr>
        <w:t>aprobación.</w:t>
      </w:r>
    </w:p>
    <w:p w14:paraId="358FE9AE" w14:textId="3C33C0CE" w:rsidR="00906B2A" w:rsidRPr="00870B9A" w:rsidRDefault="00906B2A" w:rsidP="001A4DCA">
      <w:pPr>
        <w:jc w:val="both"/>
        <w:rPr>
          <w:sz w:val="22"/>
          <w:szCs w:val="18"/>
        </w:rPr>
      </w:pPr>
      <w:r w:rsidRPr="00870B9A">
        <w:rPr>
          <w:sz w:val="22"/>
          <w:szCs w:val="18"/>
        </w:rPr>
        <w:t>3</w:t>
      </w:r>
      <w:r w:rsidRPr="00870B9A">
        <w:rPr>
          <w:sz w:val="22"/>
          <w:szCs w:val="18"/>
        </w:rPr>
        <w:tab/>
        <w:t xml:space="preserve">Con esta Circular se inicia el proceso formal de consulta a los Estados Miembros sobre la conveniencia de examinar estos textos para aprobación en la próxima reunión, conforme a lo estipulado en la </w:t>
      </w:r>
      <w:proofErr w:type="spellStart"/>
      <w:r w:rsidR="001A4DCA" w:rsidRPr="00870B9A">
        <w:rPr>
          <w:sz w:val="22"/>
          <w:szCs w:val="18"/>
        </w:rPr>
        <w:t>sub</w:t>
      </w:r>
      <w:r w:rsidRPr="00870B9A">
        <w:rPr>
          <w:sz w:val="22"/>
          <w:szCs w:val="18"/>
        </w:rPr>
        <w:t>cláusula</w:t>
      </w:r>
      <w:proofErr w:type="spellEnd"/>
      <w:r w:rsidR="00AB7CBE" w:rsidRPr="00870B9A">
        <w:rPr>
          <w:sz w:val="22"/>
          <w:szCs w:val="18"/>
        </w:rPr>
        <w:t> </w:t>
      </w:r>
      <w:r w:rsidRPr="00870B9A">
        <w:rPr>
          <w:sz w:val="22"/>
          <w:szCs w:val="18"/>
        </w:rPr>
        <w:t>9.4 de la Resolución</w:t>
      </w:r>
      <w:r w:rsidR="005D7189" w:rsidRPr="00870B9A">
        <w:rPr>
          <w:sz w:val="22"/>
          <w:szCs w:val="18"/>
        </w:rPr>
        <w:t> </w:t>
      </w:r>
      <w:r w:rsidRPr="00870B9A">
        <w:rPr>
          <w:sz w:val="22"/>
          <w:szCs w:val="18"/>
        </w:rPr>
        <w:t>1. Se ruega a los Estados Miembros que completen y devuelvan el formulario del Anexo</w:t>
      </w:r>
      <w:r w:rsidR="005D7189" w:rsidRPr="00870B9A">
        <w:rPr>
          <w:sz w:val="22"/>
          <w:szCs w:val="18"/>
        </w:rPr>
        <w:t> </w:t>
      </w:r>
      <w:r w:rsidRPr="00870B9A">
        <w:rPr>
          <w:sz w:val="22"/>
          <w:szCs w:val="18"/>
        </w:rPr>
        <w:t xml:space="preserve">2 a más tardar a las 23.59 horas UTC del </w:t>
      </w:r>
      <w:r w:rsidRPr="00870B9A">
        <w:rPr>
          <w:b/>
          <w:bCs/>
          <w:sz w:val="22"/>
          <w:szCs w:val="18"/>
        </w:rPr>
        <w:t>18 de enero de 2023</w:t>
      </w:r>
      <w:r w:rsidRPr="00870B9A">
        <w:rPr>
          <w:sz w:val="22"/>
          <w:szCs w:val="18"/>
        </w:rPr>
        <w:t>.</w:t>
      </w:r>
    </w:p>
    <w:p w14:paraId="6D048FF3" w14:textId="356684FD" w:rsidR="00870B9A" w:rsidRDefault="00906B2A" w:rsidP="001A4DCA">
      <w:pPr>
        <w:jc w:val="both"/>
        <w:rPr>
          <w:sz w:val="22"/>
          <w:szCs w:val="18"/>
        </w:rPr>
      </w:pPr>
      <w:r w:rsidRPr="00870B9A">
        <w:rPr>
          <w:sz w:val="22"/>
          <w:szCs w:val="18"/>
        </w:rPr>
        <w:t>4</w:t>
      </w:r>
      <w:r w:rsidRPr="00870B9A">
        <w:rPr>
          <w:sz w:val="22"/>
          <w:szCs w:val="18"/>
        </w:rPr>
        <w:tab/>
        <w:t xml:space="preserve">Si el 70 por ciento como mínimo de las respuestas de los Estados Miembros es favorable a que se considere la aprobación, se dedicará una Sesión Plenaria a la aplicación del procedimiento de aprobación. Los Estados Miembros que no otorguen autoridad para proceder deben informar al </w:t>
      </w:r>
      <w:proofErr w:type="gramStart"/>
      <w:r w:rsidRPr="00870B9A">
        <w:rPr>
          <w:sz w:val="22"/>
          <w:szCs w:val="18"/>
        </w:rPr>
        <w:t>Director</w:t>
      </w:r>
      <w:proofErr w:type="gramEnd"/>
      <w:r w:rsidRPr="00870B9A">
        <w:rPr>
          <w:sz w:val="22"/>
          <w:szCs w:val="18"/>
        </w:rPr>
        <w:t xml:space="preserve"> de la TSB de los motivos en que se fundamenta esta opinión e indicar los cambios que podrían permitir que los trabajos sigan avanzando.</w:t>
      </w:r>
    </w:p>
    <w:p w14:paraId="3908ABB0" w14:textId="77777777" w:rsidR="00870B9A" w:rsidRDefault="00870B9A">
      <w:pPr>
        <w:tabs>
          <w:tab w:val="clear" w:pos="794"/>
          <w:tab w:val="clear" w:pos="1191"/>
          <w:tab w:val="clear" w:pos="1588"/>
          <w:tab w:val="clear" w:pos="1985"/>
        </w:tabs>
        <w:overflowPunct/>
        <w:autoSpaceDE/>
        <w:autoSpaceDN/>
        <w:adjustRightInd/>
        <w:spacing w:before="0"/>
        <w:textAlignment w:val="auto"/>
        <w:rPr>
          <w:sz w:val="22"/>
          <w:szCs w:val="18"/>
        </w:rPr>
      </w:pPr>
      <w:r>
        <w:rPr>
          <w:sz w:val="22"/>
          <w:szCs w:val="18"/>
        </w:rPr>
        <w:br w:type="page"/>
      </w:r>
    </w:p>
    <w:p w14:paraId="63135204" w14:textId="467EAE2E" w:rsidR="00906B2A" w:rsidRPr="00870B9A" w:rsidRDefault="00906B2A" w:rsidP="001A4DCA">
      <w:pPr>
        <w:pStyle w:val="Note"/>
        <w:jc w:val="both"/>
        <w:rPr>
          <w:sz w:val="22"/>
          <w:szCs w:val="18"/>
        </w:rPr>
      </w:pPr>
      <w:r w:rsidRPr="00870B9A">
        <w:rPr>
          <w:sz w:val="22"/>
          <w:szCs w:val="18"/>
        </w:rPr>
        <w:lastRenderedPageBreak/>
        <w:t>NOTA</w:t>
      </w:r>
      <w:r w:rsidR="004039FF" w:rsidRPr="00870B9A">
        <w:rPr>
          <w:sz w:val="22"/>
          <w:szCs w:val="18"/>
        </w:rPr>
        <w:t> </w:t>
      </w:r>
      <w:r w:rsidR="001A4DCA" w:rsidRPr="00870B9A">
        <w:rPr>
          <w:sz w:val="22"/>
          <w:szCs w:val="18"/>
        </w:rPr>
        <w:t xml:space="preserve">1 de la </w:t>
      </w:r>
      <w:r w:rsidRPr="00870B9A">
        <w:rPr>
          <w:sz w:val="22"/>
          <w:szCs w:val="18"/>
        </w:rPr>
        <w:t>TSB</w:t>
      </w:r>
      <w:r w:rsidR="00C23315" w:rsidRPr="00870B9A">
        <w:rPr>
          <w:sz w:val="22"/>
          <w:szCs w:val="18"/>
        </w:rPr>
        <w:t> </w:t>
      </w:r>
      <w:r w:rsidRPr="00870B9A">
        <w:rPr>
          <w:sz w:val="22"/>
          <w:szCs w:val="18"/>
        </w:rPr>
        <w:t>–</w:t>
      </w:r>
      <w:r w:rsidR="00C23315" w:rsidRPr="00870B9A">
        <w:rPr>
          <w:sz w:val="22"/>
          <w:szCs w:val="18"/>
        </w:rPr>
        <w:t> </w:t>
      </w:r>
      <w:r w:rsidRPr="00870B9A">
        <w:rPr>
          <w:sz w:val="22"/>
          <w:szCs w:val="18"/>
        </w:rPr>
        <w:t xml:space="preserve">En la fecha de la presente Circular, la TSB no había recibido ninguna declaración relativa a los derechos de propiedad intelectual en relación con estos proyectos de texto. Para obtener información actualizada, se invita a los miembros a consultar la base de datos de DPI en la dirección </w:t>
      </w:r>
      <w:hyperlink r:id="rId11" w:history="1">
        <w:r w:rsidR="003E737B" w:rsidRPr="00870B9A">
          <w:rPr>
            <w:rStyle w:val="Hyperlink"/>
            <w:sz w:val="22"/>
            <w:szCs w:val="18"/>
          </w:rPr>
          <w:t>https://www.itu.int/es/ITU-T/ipr</w:t>
        </w:r>
      </w:hyperlink>
      <w:r w:rsidR="003E737B" w:rsidRPr="00870B9A">
        <w:rPr>
          <w:sz w:val="22"/>
          <w:szCs w:val="18"/>
        </w:rPr>
        <w:t>.</w:t>
      </w:r>
    </w:p>
    <w:p w14:paraId="773E3D4A" w14:textId="5E50AC42" w:rsidR="00906B2A" w:rsidRPr="00870B9A" w:rsidRDefault="00906B2A" w:rsidP="001A4DCA">
      <w:pPr>
        <w:pStyle w:val="Note"/>
        <w:jc w:val="both"/>
        <w:rPr>
          <w:sz w:val="22"/>
          <w:szCs w:val="18"/>
        </w:rPr>
      </w:pPr>
      <w:r w:rsidRPr="00870B9A">
        <w:rPr>
          <w:sz w:val="22"/>
          <w:szCs w:val="18"/>
        </w:rPr>
        <w:t>NOTA</w:t>
      </w:r>
      <w:r w:rsidR="004039FF" w:rsidRPr="00870B9A">
        <w:rPr>
          <w:sz w:val="22"/>
          <w:szCs w:val="18"/>
        </w:rPr>
        <w:t> </w:t>
      </w:r>
      <w:r w:rsidRPr="00870B9A">
        <w:rPr>
          <w:sz w:val="22"/>
          <w:szCs w:val="18"/>
        </w:rPr>
        <w:t>2 de la TSB</w:t>
      </w:r>
      <w:r w:rsidR="00C23315" w:rsidRPr="00870B9A">
        <w:rPr>
          <w:sz w:val="22"/>
          <w:szCs w:val="18"/>
        </w:rPr>
        <w:t> </w:t>
      </w:r>
      <w:r w:rsidRPr="00870B9A">
        <w:rPr>
          <w:sz w:val="22"/>
          <w:szCs w:val="18"/>
        </w:rPr>
        <w:t>–</w:t>
      </w:r>
      <w:r w:rsidR="00C23315" w:rsidRPr="00870B9A">
        <w:rPr>
          <w:sz w:val="22"/>
          <w:szCs w:val="18"/>
        </w:rPr>
        <w:t> </w:t>
      </w:r>
      <w:r w:rsidRPr="00870B9A">
        <w:rPr>
          <w:sz w:val="22"/>
          <w:szCs w:val="18"/>
        </w:rPr>
        <w:t>Se ha preparado un documento justificativo de la Recomendación UIT-T A.5 para el proyecto de Recomendación UIT-T Y.4500.3 (ex Y.oneM2M.SEC.SOL) determinada.</w:t>
      </w:r>
    </w:p>
    <w:p w14:paraId="4E69BAD1" w14:textId="14B38854" w:rsidR="007B6316" w:rsidRPr="00870B9A" w:rsidRDefault="007B6316" w:rsidP="007B6316">
      <w:pPr>
        <w:rPr>
          <w:sz w:val="22"/>
          <w:szCs w:val="18"/>
        </w:rPr>
      </w:pPr>
      <w:r w:rsidRPr="00870B9A">
        <w:rPr>
          <w:sz w:val="22"/>
          <w:szCs w:val="18"/>
        </w:rPr>
        <w:t>Atentamente,</w:t>
      </w:r>
    </w:p>
    <w:p w14:paraId="6DCD3B4C" w14:textId="4681B1EB" w:rsidR="007B6316" w:rsidRPr="00870B9A" w:rsidRDefault="00B35776" w:rsidP="00870B9A">
      <w:pPr>
        <w:spacing w:before="960"/>
        <w:rPr>
          <w:sz w:val="22"/>
          <w:szCs w:val="18"/>
        </w:rPr>
      </w:pPr>
      <w:r>
        <w:rPr>
          <w:noProof/>
          <w:sz w:val="22"/>
          <w:szCs w:val="18"/>
        </w:rPr>
        <w:drawing>
          <wp:anchor distT="0" distB="0" distL="114300" distR="114300" simplePos="0" relativeHeight="251658240" behindDoc="1" locked="0" layoutInCell="1" allowOverlap="1" wp14:anchorId="42BDB481" wp14:editId="07220758">
            <wp:simplePos x="0" y="0"/>
            <wp:positionH relativeFrom="column">
              <wp:posOffset>-582</wp:posOffset>
            </wp:positionH>
            <wp:positionV relativeFrom="paragraph">
              <wp:posOffset>135255</wp:posOffset>
            </wp:positionV>
            <wp:extent cx="730250" cy="328891"/>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30250" cy="328891"/>
                    </a:xfrm>
                    <a:prstGeom prst="rect">
                      <a:avLst/>
                    </a:prstGeom>
                  </pic:spPr>
                </pic:pic>
              </a:graphicData>
            </a:graphic>
            <wp14:sizeRelH relativeFrom="margin">
              <wp14:pctWidth>0</wp14:pctWidth>
            </wp14:sizeRelH>
            <wp14:sizeRelV relativeFrom="margin">
              <wp14:pctHeight>0</wp14:pctHeight>
            </wp14:sizeRelV>
          </wp:anchor>
        </w:drawing>
      </w:r>
      <w:r w:rsidR="007B6316" w:rsidRPr="00870B9A">
        <w:rPr>
          <w:sz w:val="22"/>
          <w:szCs w:val="18"/>
        </w:rPr>
        <w:t>Chaesub Lee</w:t>
      </w:r>
      <w:r w:rsidR="007B6316" w:rsidRPr="00870B9A">
        <w:rPr>
          <w:sz w:val="22"/>
          <w:szCs w:val="18"/>
        </w:rPr>
        <w:br/>
      </w:r>
      <w:proofErr w:type="gramStart"/>
      <w:r w:rsidR="007B6316" w:rsidRPr="00870B9A">
        <w:rPr>
          <w:sz w:val="22"/>
          <w:szCs w:val="18"/>
        </w:rPr>
        <w:t>Director</w:t>
      </w:r>
      <w:proofErr w:type="gramEnd"/>
      <w:r w:rsidR="007B6316" w:rsidRPr="00870B9A">
        <w:rPr>
          <w:sz w:val="22"/>
          <w:szCs w:val="18"/>
        </w:rPr>
        <w:t xml:space="preserve"> de la Oficina de Normalización</w:t>
      </w:r>
      <w:r w:rsidR="001A4DCA" w:rsidRPr="00870B9A">
        <w:rPr>
          <w:sz w:val="22"/>
          <w:szCs w:val="18"/>
        </w:rPr>
        <w:br/>
      </w:r>
      <w:r w:rsidR="007B6316" w:rsidRPr="00870B9A">
        <w:rPr>
          <w:sz w:val="22"/>
          <w:szCs w:val="18"/>
        </w:rPr>
        <w:t>de las Telecomunicaciones</w:t>
      </w:r>
    </w:p>
    <w:p w14:paraId="364690CC" w14:textId="77777777" w:rsidR="004039FF" w:rsidRDefault="004039FF" w:rsidP="004039FF"/>
    <w:p w14:paraId="22216F0B" w14:textId="77777777" w:rsidR="00870B9A" w:rsidRPr="00870B9A" w:rsidRDefault="00870B9A" w:rsidP="00870B9A">
      <w:pPr>
        <w:rPr>
          <w:sz w:val="22"/>
          <w:szCs w:val="18"/>
        </w:rPr>
      </w:pPr>
    </w:p>
    <w:p w14:paraId="77ADBD67" w14:textId="77777777" w:rsidR="00870B9A" w:rsidRPr="00870B9A" w:rsidRDefault="00870B9A" w:rsidP="00870B9A">
      <w:pPr>
        <w:rPr>
          <w:sz w:val="22"/>
          <w:szCs w:val="18"/>
        </w:rPr>
      </w:pPr>
    </w:p>
    <w:p w14:paraId="5F481266" w14:textId="77777777" w:rsidR="00870B9A" w:rsidRPr="00870B9A" w:rsidRDefault="00870B9A" w:rsidP="00870B9A">
      <w:pPr>
        <w:rPr>
          <w:sz w:val="22"/>
          <w:szCs w:val="18"/>
        </w:rPr>
      </w:pPr>
      <w:r w:rsidRPr="00870B9A">
        <w:rPr>
          <w:b/>
          <w:bCs/>
          <w:sz w:val="22"/>
          <w:szCs w:val="18"/>
        </w:rPr>
        <w:t>Anexos</w:t>
      </w:r>
      <w:r w:rsidRPr="00870B9A">
        <w:rPr>
          <w:sz w:val="22"/>
          <w:szCs w:val="18"/>
        </w:rPr>
        <w:t>: 2</w:t>
      </w:r>
    </w:p>
    <w:p w14:paraId="255684F4" w14:textId="77777777" w:rsidR="004039FF" w:rsidRDefault="004039FF" w:rsidP="004039FF"/>
    <w:p w14:paraId="661DAFD9" w14:textId="77777777" w:rsidR="004039FF" w:rsidRPr="00167EA4" w:rsidRDefault="004039FF" w:rsidP="004039FF"/>
    <w:p w14:paraId="7568B2F7" w14:textId="56508B9A" w:rsidR="00A77832" w:rsidRPr="00167EA4" w:rsidRDefault="00A77832" w:rsidP="007B6316">
      <w:pPr>
        <w:ind w:right="92"/>
      </w:pPr>
      <w:r w:rsidRPr="00167EA4">
        <w:br w:type="page"/>
      </w:r>
    </w:p>
    <w:p w14:paraId="5AF862A2" w14:textId="62CEF1C1" w:rsidR="00A77832" w:rsidRPr="00167EA4" w:rsidRDefault="0019684A" w:rsidP="00206B57">
      <w:pPr>
        <w:pStyle w:val="AnnexNotitle"/>
      </w:pPr>
      <w:r w:rsidRPr="00167EA4">
        <w:lastRenderedPageBreak/>
        <w:t>Anexo</w:t>
      </w:r>
      <w:r w:rsidR="00206B57">
        <w:t xml:space="preserve"> </w:t>
      </w:r>
      <w:r w:rsidRPr="00167EA4">
        <w:t>1</w:t>
      </w:r>
      <w:r w:rsidR="00206B57">
        <w:br/>
      </w:r>
      <w:r w:rsidR="00206B57">
        <w:br/>
      </w:r>
      <w:r w:rsidR="00A77832" w:rsidRPr="00167EA4">
        <w:t>Resumen y ubicación de los proyectos de nueva Recomendación</w:t>
      </w:r>
      <w:r w:rsidR="004039FF">
        <w:br/>
      </w:r>
      <w:r w:rsidR="00A77832" w:rsidRPr="00167EA4">
        <w:t>determinada</w:t>
      </w:r>
      <w:r w:rsidR="004039FF">
        <w:t xml:space="preserve"> </w:t>
      </w:r>
      <w:r w:rsidR="00A77832" w:rsidRPr="00167EA4">
        <w:t xml:space="preserve">UIT-T Y.4601 (ex </w:t>
      </w:r>
      <w:proofErr w:type="spellStart"/>
      <w:r w:rsidR="00A77832" w:rsidRPr="00167EA4">
        <w:t>Y.dt-smartfirefighting</w:t>
      </w:r>
      <w:proofErr w:type="spellEnd"/>
      <w:r w:rsidR="00A77832" w:rsidRPr="00167EA4">
        <w:t>)</w:t>
      </w:r>
      <w:r w:rsidR="004039FF">
        <w:br/>
      </w:r>
      <w:r w:rsidR="00A77832" w:rsidRPr="00167EA4">
        <w:t>e Y.4500</w:t>
      </w:r>
      <w:r w:rsidR="00FD7D27">
        <w:t>.</w:t>
      </w:r>
      <w:r w:rsidR="00A77832" w:rsidRPr="00167EA4">
        <w:t>3 (ex Y.oneM2M.SEC.SOL)</w:t>
      </w:r>
    </w:p>
    <w:p w14:paraId="05ECD658" w14:textId="30F1855A" w:rsidR="00A77832" w:rsidRPr="00F71A83" w:rsidRDefault="00A77832" w:rsidP="00A77832">
      <w:pPr>
        <w:pStyle w:val="Heading1"/>
        <w:rPr>
          <w:sz w:val="26"/>
          <w:szCs w:val="26"/>
        </w:rPr>
      </w:pPr>
      <w:r w:rsidRPr="00F71A83">
        <w:rPr>
          <w:sz w:val="26"/>
          <w:szCs w:val="26"/>
        </w:rPr>
        <w:t>1</w:t>
      </w:r>
      <w:r w:rsidRPr="00F71A83">
        <w:rPr>
          <w:sz w:val="26"/>
          <w:szCs w:val="26"/>
        </w:rPr>
        <w:tab/>
        <w:t>Proyecto de nueva Recomendación UIT-T Y.4601 (ex Y.dt-smartfirefighting): [</w:t>
      </w:r>
      <w:hyperlink r:id="rId13" w:history="1">
        <w:r w:rsidRPr="00F71A83">
          <w:rPr>
            <w:rStyle w:val="Hyperlink"/>
            <w:sz w:val="26"/>
            <w:szCs w:val="26"/>
          </w:rPr>
          <w:t>R2</w:t>
        </w:r>
      </w:hyperlink>
      <w:r w:rsidRPr="00F71A83">
        <w:rPr>
          <w:sz w:val="26"/>
          <w:szCs w:val="26"/>
        </w:rPr>
        <w:t>]</w:t>
      </w:r>
    </w:p>
    <w:p w14:paraId="69E79A40" w14:textId="77777777" w:rsidR="00A77832" w:rsidRPr="00167EA4" w:rsidRDefault="00A77832" w:rsidP="00206B57">
      <w:pPr>
        <w:pStyle w:val="headingb"/>
        <w:jc w:val="both"/>
      </w:pPr>
      <w:r w:rsidRPr="00167EA4">
        <w:t>Requisitos y marco de capacidades de los gemelos digitales para la lucha inteligente contra los incendios</w:t>
      </w:r>
    </w:p>
    <w:p w14:paraId="75157080" w14:textId="77777777" w:rsidR="00A77832" w:rsidRPr="00167EA4" w:rsidRDefault="00A77832" w:rsidP="00A77832">
      <w:pPr>
        <w:pStyle w:val="headingb"/>
      </w:pPr>
      <w:r w:rsidRPr="00167EA4">
        <w:t>Resumen</w:t>
      </w:r>
    </w:p>
    <w:p w14:paraId="5289C3E1" w14:textId="6DA8E853" w:rsidR="00A77832" w:rsidRPr="00167EA4" w:rsidRDefault="00A77832" w:rsidP="00206B57">
      <w:pPr>
        <w:jc w:val="both"/>
      </w:pPr>
      <w:r w:rsidRPr="00167EA4">
        <w:t>En el proyecto de Recomendación UIT-T</w:t>
      </w:r>
      <w:r w:rsidR="005D7189">
        <w:t xml:space="preserve"> </w:t>
      </w:r>
      <w:r w:rsidRPr="00167EA4">
        <w:t>Y.4601 se especifican los requisitos y el marco de capacidades de los gemelos digitales para la lucha inteligente contra los incendios.</w:t>
      </w:r>
    </w:p>
    <w:p w14:paraId="0A2C5F71" w14:textId="77777777" w:rsidR="00A77832" w:rsidRPr="00167EA4" w:rsidRDefault="00A77832" w:rsidP="00206B57">
      <w:pPr>
        <w:jc w:val="both"/>
      </w:pPr>
      <w:r w:rsidRPr="00167EA4">
        <w:t>Un gemelo digital es una representación digital de un objeto de interés que puede requerir diferentes capacidades según el ámbito de aplicación específico de que se trate, como la sincronización entre un objeto físico y su representación digital, así como el apoyo en tiempo real (véase la Recomendación UIT-T Y.4600).</w:t>
      </w:r>
    </w:p>
    <w:p w14:paraId="63561737" w14:textId="66D0B236" w:rsidR="00A77832" w:rsidRPr="00167EA4" w:rsidRDefault="00A77832" w:rsidP="00206B57">
      <w:pPr>
        <w:jc w:val="both"/>
      </w:pPr>
      <w:r w:rsidRPr="00167EA4">
        <w:t>Gracias a la implantación de la tecnología de la Internet de las cosas (IoT) y al proceso de integración de la información, un gemelo digital puede proporcionar una representación digital de un escenario del incendio con un alto nivel de fidelidad, posibilitar la convergencia dinámica entre la entidad física y la entidad digital, y alcanzar una visión y control integrales del escenario del incendio en el presente, el pasado y el futuro. El estado actual de la lucha contra los incendios adolece de una falta de capacidad de detección dinámica completa y de capacidad de predicción. No puede ofrecer información diferida ni una visibilidad adecuada de la interacción entre el personal y el lugar del incendio.</w:t>
      </w:r>
    </w:p>
    <w:p w14:paraId="6B086584" w14:textId="6F51A6B1" w:rsidR="00401C20" w:rsidRPr="00167EA4" w:rsidRDefault="00A77832" w:rsidP="00206B57">
      <w:pPr>
        <w:jc w:val="both"/>
      </w:pPr>
      <w:r w:rsidRPr="00167EA4">
        <w:t>Mediante la implantación de pasarelas, sensores, redes de alta calidad, simulaciones multifísicas, análisis dinámicos y predicciones, así como visualizaciones tridimensionales (3D), los gemelos digitales inteligentes de lucha contra incendios permiten prestar servicios inteligentes como el seguimiento del personal, el seguimiento de los riesgos, el análisis dinámico del escenario del incendio, la optimización de la estrategia de rescate, la presimulación, la reconstrucción de los antecedentes del incendio, entre otros. Estos servicios inteligentes pueden contribuir a mejorar los procesos de toma de decisiones y a reducir el número de víctimas.</w:t>
      </w:r>
    </w:p>
    <w:p w14:paraId="1FA5761F" w14:textId="6EA0E595" w:rsidR="00A77832" w:rsidRPr="00F71A83" w:rsidRDefault="00A77832" w:rsidP="00A77832">
      <w:pPr>
        <w:pStyle w:val="Heading1"/>
        <w:rPr>
          <w:sz w:val="26"/>
          <w:szCs w:val="26"/>
        </w:rPr>
      </w:pPr>
      <w:r w:rsidRPr="00F71A83">
        <w:rPr>
          <w:sz w:val="26"/>
          <w:szCs w:val="26"/>
        </w:rPr>
        <w:t>2</w:t>
      </w:r>
      <w:r w:rsidRPr="00F71A83">
        <w:rPr>
          <w:sz w:val="26"/>
          <w:szCs w:val="26"/>
        </w:rPr>
        <w:tab/>
        <w:t>Proyecto de nueva Recomendación UIT-T Y.4500.3 (ex Y.oneM2M.SEC.SOL) [</w:t>
      </w:r>
      <w:hyperlink r:id="rId14" w:history="1">
        <w:r w:rsidRPr="00F71A83">
          <w:rPr>
            <w:rStyle w:val="Hyperlink"/>
            <w:sz w:val="26"/>
            <w:szCs w:val="26"/>
          </w:rPr>
          <w:t>R3</w:t>
        </w:r>
      </w:hyperlink>
      <w:r w:rsidRPr="00F71A83">
        <w:rPr>
          <w:sz w:val="26"/>
          <w:szCs w:val="26"/>
        </w:rPr>
        <w:t>]</w:t>
      </w:r>
    </w:p>
    <w:p w14:paraId="29B13EAE" w14:textId="77777777" w:rsidR="00A77832" w:rsidRPr="00167EA4" w:rsidRDefault="00A77832" w:rsidP="00A77832">
      <w:pPr>
        <w:pStyle w:val="headingb"/>
      </w:pPr>
      <w:r w:rsidRPr="00167EA4">
        <w:t>oneM2M – Soluciones de seguridad</w:t>
      </w:r>
    </w:p>
    <w:p w14:paraId="0FBE74A0" w14:textId="77777777" w:rsidR="00A77832" w:rsidRPr="00167EA4" w:rsidRDefault="00A77832" w:rsidP="00A77832">
      <w:pPr>
        <w:pStyle w:val="headingb"/>
      </w:pPr>
      <w:r w:rsidRPr="00167EA4">
        <w:t>Resumen</w:t>
      </w:r>
    </w:p>
    <w:p w14:paraId="2A74D5C7" w14:textId="716B564C" w:rsidR="00A77832" w:rsidRPr="00167EA4" w:rsidRDefault="00A77832" w:rsidP="00206B57">
      <w:pPr>
        <w:jc w:val="both"/>
      </w:pPr>
      <w:r w:rsidRPr="00167EA4">
        <w:t>En el proyecto de Recomendación UIT-T Y.4500.3 se exponen las especificaciones para la protección de la seguridad y la privacidad en el contexto máquina a máquina (M2M).</w:t>
      </w:r>
    </w:p>
    <w:p w14:paraId="3DDA8497" w14:textId="4F90C569" w:rsidR="00A77832" w:rsidRPr="00167EA4" w:rsidRDefault="00A77832" w:rsidP="00A77832">
      <w:r w:rsidRPr="00167EA4">
        <w:br w:type="page"/>
      </w:r>
    </w:p>
    <w:p w14:paraId="1937A6B7" w14:textId="080BBFA0" w:rsidR="00A77832" w:rsidRDefault="00B34AA0" w:rsidP="00A77832">
      <w:pPr>
        <w:pStyle w:val="AnnexNotitle"/>
      </w:pPr>
      <w:r w:rsidRPr="00167EA4">
        <w:lastRenderedPageBreak/>
        <w:t xml:space="preserve">Anexo </w:t>
      </w:r>
      <w:r w:rsidR="00A77832" w:rsidRPr="00167EA4">
        <w:t>2</w:t>
      </w:r>
      <w:r>
        <w:br/>
      </w:r>
      <w:r>
        <w:br/>
      </w:r>
      <w:r w:rsidRPr="00167EA4">
        <w:t>Asunto: Respuesta del Estado Miembro a la Circular TSB 37:</w:t>
      </w:r>
      <w:r>
        <w:br/>
      </w:r>
      <w:r w:rsidRPr="00167EA4">
        <w:t>Consulta</w:t>
      </w:r>
      <w:r>
        <w:t xml:space="preserve"> </w:t>
      </w:r>
      <w:r w:rsidRPr="00167EA4">
        <w:t>sobre los proyectos</w:t>
      </w:r>
      <w:r>
        <w:t xml:space="preserve"> </w:t>
      </w:r>
      <w:r w:rsidRPr="00167EA4">
        <w:t xml:space="preserve">de nueva Recomendación </w:t>
      </w:r>
      <w:r>
        <w:br/>
      </w:r>
      <w:r w:rsidRPr="00167EA4">
        <w:t xml:space="preserve">determinada UIT-T Y.4601 (ex </w:t>
      </w:r>
      <w:proofErr w:type="spellStart"/>
      <w:r w:rsidRPr="00167EA4">
        <w:t>Y.dt-smartfirefighting</w:t>
      </w:r>
      <w:proofErr w:type="spellEnd"/>
      <w:r w:rsidRPr="00167EA4">
        <w:t>)</w:t>
      </w:r>
      <w:r w:rsidRPr="00167EA4">
        <w:br/>
        <w:t>e Y.4500</w:t>
      </w:r>
      <w:r w:rsidR="00FD7D27">
        <w:t>.</w:t>
      </w:r>
      <w:r w:rsidRPr="00167EA4">
        <w:t>3 (ex Y.oneM2M.SEC.SOL)</w:t>
      </w:r>
    </w:p>
    <w:p w14:paraId="58AFEC8C" w14:textId="77777777" w:rsidR="00B34AA0" w:rsidRPr="00B34AA0" w:rsidRDefault="00B34AA0" w:rsidP="00B34AA0">
      <w:pPr>
        <w:spacing w:before="0"/>
        <w:rPr>
          <w:sz w:val="16"/>
          <w:szCs w:val="16"/>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
        <w:gridCol w:w="3855"/>
        <w:gridCol w:w="964"/>
        <w:gridCol w:w="3742"/>
      </w:tblGrid>
      <w:tr w:rsidR="00206B57" w:rsidRPr="00167EA4" w14:paraId="7A8F04E3" w14:textId="77777777" w:rsidTr="00B34AA0">
        <w:trPr>
          <w:trHeight w:val="113"/>
        </w:trPr>
        <w:tc>
          <w:tcPr>
            <w:tcW w:w="1077" w:type="dxa"/>
            <w:noWrap/>
            <w:tcMar>
              <w:left w:w="0" w:type="dxa"/>
              <w:right w:w="0" w:type="dxa"/>
            </w:tcMar>
          </w:tcPr>
          <w:p w14:paraId="0F90B9F2" w14:textId="4C0CEFF9" w:rsidR="00A77832" w:rsidRPr="00167EA4" w:rsidRDefault="00A77832" w:rsidP="00206B57">
            <w:pPr>
              <w:spacing w:before="0"/>
              <w:rPr>
                <w:b/>
                <w:bCs/>
              </w:rPr>
            </w:pPr>
            <w:r w:rsidRPr="00167EA4">
              <w:rPr>
                <w:b/>
                <w:bCs/>
              </w:rPr>
              <w:t>A:</w:t>
            </w:r>
          </w:p>
        </w:tc>
        <w:tc>
          <w:tcPr>
            <w:tcW w:w="3855" w:type="dxa"/>
            <w:tcBorders>
              <w:right w:val="single" w:sz="4" w:space="0" w:color="auto"/>
            </w:tcBorders>
            <w:noWrap/>
            <w:tcMar>
              <w:left w:w="0" w:type="dxa"/>
              <w:right w:w="0" w:type="dxa"/>
            </w:tcMar>
          </w:tcPr>
          <w:p w14:paraId="518B9728" w14:textId="2457CDCD" w:rsidR="00654F58" w:rsidRPr="00167EA4" w:rsidRDefault="00654F58" w:rsidP="00B34AA0">
            <w:pPr>
              <w:spacing w:before="240"/>
              <w:contextualSpacing/>
            </w:pPr>
            <w:r w:rsidRPr="00167EA4">
              <w:t>Director de la Oficina</w:t>
            </w:r>
            <w:r w:rsidR="00206B57">
              <w:t xml:space="preserve"> </w:t>
            </w:r>
            <w:r w:rsidRPr="00167EA4">
              <w:t>de Normalización de</w:t>
            </w:r>
            <w:r w:rsidR="00206B57">
              <w:t xml:space="preserve"> </w:t>
            </w:r>
            <w:r w:rsidRPr="00167EA4">
              <w:t>las Telecomunicaciones,</w:t>
            </w:r>
          </w:p>
          <w:p w14:paraId="7332A9C7" w14:textId="50237FAE" w:rsidR="00654F58" w:rsidRPr="00167EA4" w:rsidRDefault="00654F58" w:rsidP="00654F58">
            <w:pPr>
              <w:contextualSpacing/>
            </w:pPr>
            <w:r w:rsidRPr="00167EA4">
              <w:t>Unión Internacional</w:t>
            </w:r>
            <w:r w:rsidR="00206B57">
              <w:t xml:space="preserve"> </w:t>
            </w:r>
            <w:r w:rsidRPr="00167EA4">
              <w:t>de Telecomunicaciones</w:t>
            </w:r>
          </w:p>
          <w:p w14:paraId="79A825BC" w14:textId="77777777" w:rsidR="00654F58" w:rsidRPr="00167EA4" w:rsidRDefault="00654F58" w:rsidP="00654F58">
            <w:pPr>
              <w:contextualSpacing/>
            </w:pPr>
            <w:r w:rsidRPr="00167EA4">
              <w:t>Place des Nations</w:t>
            </w:r>
          </w:p>
          <w:p w14:paraId="3E3A2AAB" w14:textId="42BC939C" w:rsidR="00A77832" w:rsidRPr="00167EA4" w:rsidRDefault="00654F58" w:rsidP="00654F58">
            <w:pPr>
              <w:contextualSpacing/>
            </w:pPr>
            <w:r w:rsidRPr="00167EA4">
              <w:t>CH 1211 Ginebra 20, Suiza</w:t>
            </w:r>
          </w:p>
        </w:tc>
        <w:tc>
          <w:tcPr>
            <w:tcW w:w="964" w:type="dxa"/>
            <w:tcBorders>
              <w:left w:val="single" w:sz="4" w:space="0" w:color="auto"/>
            </w:tcBorders>
            <w:noWrap/>
            <w:tcMar>
              <w:left w:w="0" w:type="dxa"/>
              <w:right w:w="0" w:type="dxa"/>
            </w:tcMar>
          </w:tcPr>
          <w:p w14:paraId="5883ACF9" w14:textId="353DED6B" w:rsidR="00A77832" w:rsidRPr="00167EA4" w:rsidRDefault="00654F58" w:rsidP="00206B57">
            <w:pPr>
              <w:spacing w:before="0"/>
              <w:jc w:val="right"/>
              <w:rPr>
                <w:b/>
                <w:bCs/>
              </w:rPr>
            </w:pPr>
            <w:r w:rsidRPr="00167EA4">
              <w:rPr>
                <w:b/>
                <w:bCs/>
              </w:rPr>
              <w:t>De:</w:t>
            </w:r>
          </w:p>
        </w:tc>
        <w:tc>
          <w:tcPr>
            <w:tcW w:w="3742" w:type="dxa"/>
            <w:noWrap/>
            <w:tcMar>
              <w:left w:w="0" w:type="dxa"/>
              <w:right w:w="0" w:type="dxa"/>
            </w:tcMar>
          </w:tcPr>
          <w:p w14:paraId="67468A9B" w14:textId="77777777" w:rsidR="00654F58" w:rsidRPr="00167EA4" w:rsidRDefault="00654F58" w:rsidP="00206B57">
            <w:pPr>
              <w:spacing w:before="0"/>
              <w:ind w:left="57"/>
            </w:pPr>
            <w:r w:rsidRPr="00167EA4">
              <w:t>[Nombre]</w:t>
            </w:r>
          </w:p>
          <w:p w14:paraId="18405C70" w14:textId="77777777" w:rsidR="00654F58" w:rsidRPr="00167EA4" w:rsidRDefault="00654F58" w:rsidP="0019684A">
            <w:pPr>
              <w:ind w:left="57"/>
            </w:pPr>
            <w:r w:rsidRPr="00167EA4">
              <w:t>[Cargo oficial/Título]</w:t>
            </w:r>
          </w:p>
          <w:p w14:paraId="4E8FB7E7" w14:textId="7826FF63" w:rsidR="00A77832" w:rsidRPr="00167EA4" w:rsidRDefault="00654F58" w:rsidP="0019684A">
            <w:pPr>
              <w:ind w:left="57"/>
            </w:pPr>
            <w:r w:rsidRPr="00167EA4">
              <w:t>[Dirección]</w:t>
            </w:r>
          </w:p>
        </w:tc>
      </w:tr>
      <w:tr w:rsidR="00206B57" w:rsidRPr="00167EA4" w14:paraId="008069F8" w14:textId="77777777" w:rsidTr="00206B57">
        <w:trPr>
          <w:trHeight w:val="20"/>
        </w:trPr>
        <w:tc>
          <w:tcPr>
            <w:tcW w:w="1077" w:type="dxa"/>
            <w:noWrap/>
            <w:tcMar>
              <w:left w:w="0" w:type="dxa"/>
              <w:right w:w="0" w:type="dxa"/>
            </w:tcMar>
          </w:tcPr>
          <w:p w14:paraId="5BBB6EDA" w14:textId="29C35A11" w:rsidR="00654F58" w:rsidRPr="00167EA4" w:rsidRDefault="00654F58" w:rsidP="00654F58">
            <w:pPr>
              <w:rPr>
                <w:b/>
                <w:bCs/>
              </w:rPr>
            </w:pPr>
            <w:r w:rsidRPr="00167EA4">
              <w:rPr>
                <w:b/>
                <w:bCs/>
              </w:rPr>
              <w:t>Fax:</w:t>
            </w:r>
          </w:p>
        </w:tc>
        <w:tc>
          <w:tcPr>
            <w:tcW w:w="3855" w:type="dxa"/>
            <w:tcBorders>
              <w:right w:val="single" w:sz="4" w:space="0" w:color="auto"/>
            </w:tcBorders>
            <w:noWrap/>
            <w:tcMar>
              <w:left w:w="0" w:type="dxa"/>
              <w:right w:w="0" w:type="dxa"/>
            </w:tcMar>
          </w:tcPr>
          <w:p w14:paraId="40987ABC" w14:textId="3ED21B28" w:rsidR="00654F58" w:rsidRPr="00167EA4" w:rsidRDefault="00654F58" w:rsidP="00654F58">
            <w:r w:rsidRPr="00167EA4">
              <w:t>+41-22-730-5853</w:t>
            </w:r>
          </w:p>
        </w:tc>
        <w:tc>
          <w:tcPr>
            <w:tcW w:w="964" w:type="dxa"/>
            <w:tcBorders>
              <w:left w:val="single" w:sz="4" w:space="0" w:color="auto"/>
            </w:tcBorders>
            <w:noWrap/>
            <w:tcMar>
              <w:left w:w="0" w:type="dxa"/>
              <w:right w:w="0" w:type="dxa"/>
            </w:tcMar>
          </w:tcPr>
          <w:p w14:paraId="34A95A76" w14:textId="578CCB12" w:rsidR="00654F58" w:rsidRPr="00167EA4" w:rsidRDefault="00654F58" w:rsidP="0019684A">
            <w:pPr>
              <w:jc w:val="right"/>
              <w:rPr>
                <w:b/>
                <w:bCs/>
              </w:rPr>
            </w:pPr>
            <w:r w:rsidRPr="00167EA4">
              <w:rPr>
                <w:b/>
                <w:bCs/>
              </w:rPr>
              <w:t>Fax:</w:t>
            </w:r>
          </w:p>
        </w:tc>
        <w:tc>
          <w:tcPr>
            <w:tcW w:w="3742" w:type="dxa"/>
            <w:noWrap/>
            <w:tcMar>
              <w:left w:w="0" w:type="dxa"/>
              <w:right w:w="0" w:type="dxa"/>
            </w:tcMar>
          </w:tcPr>
          <w:p w14:paraId="60002460" w14:textId="77777777" w:rsidR="00654F58" w:rsidRPr="00167EA4" w:rsidRDefault="00654F58" w:rsidP="0019684A">
            <w:pPr>
              <w:ind w:left="57"/>
            </w:pPr>
          </w:p>
        </w:tc>
      </w:tr>
      <w:tr w:rsidR="00206B57" w:rsidRPr="00167EA4" w14:paraId="19882EE9" w14:textId="77777777" w:rsidTr="00206B57">
        <w:trPr>
          <w:trHeight w:val="20"/>
        </w:trPr>
        <w:tc>
          <w:tcPr>
            <w:tcW w:w="1077" w:type="dxa"/>
            <w:noWrap/>
            <w:tcMar>
              <w:left w:w="0" w:type="dxa"/>
              <w:right w:w="0" w:type="dxa"/>
            </w:tcMar>
          </w:tcPr>
          <w:p w14:paraId="596E0291" w14:textId="66841C1F" w:rsidR="00654F58" w:rsidRPr="00167EA4" w:rsidRDefault="00654F58" w:rsidP="00654F58">
            <w:pPr>
              <w:rPr>
                <w:b/>
                <w:bCs/>
              </w:rPr>
            </w:pPr>
            <w:r w:rsidRPr="00167EA4">
              <w:rPr>
                <w:b/>
                <w:bCs/>
              </w:rPr>
              <w:t>Correo-e:</w:t>
            </w:r>
          </w:p>
        </w:tc>
        <w:tc>
          <w:tcPr>
            <w:tcW w:w="3855" w:type="dxa"/>
            <w:tcBorders>
              <w:right w:val="single" w:sz="4" w:space="0" w:color="auto"/>
            </w:tcBorders>
            <w:noWrap/>
            <w:tcMar>
              <w:left w:w="0" w:type="dxa"/>
              <w:right w:w="0" w:type="dxa"/>
            </w:tcMar>
          </w:tcPr>
          <w:p w14:paraId="6C656CB6" w14:textId="2119FB69" w:rsidR="00654F58" w:rsidRPr="00167EA4" w:rsidRDefault="00B35776" w:rsidP="00654F58">
            <w:hyperlink r:id="rId15" w:history="1">
              <w:r w:rsidR="00654F58" w:rsidRPr="00167EA4">
                <w:rPr>
                  <w:rStyle w:val="Hyperlink"/>
                </w:rPr>
                <w:t>tsbdir@itu.int</w:t>
              </w:r>
            </w:hyperlink>
          </w:p>
        </w:tc>
        <w:tc>
          <w:tcPr>
            <w:tcW w:w="964" w:type="dxa"/>
            <w:tcBorders>
              <w:left w:val="single" w:sz="4" w:space="0" w:color="auto"/>
            </w:tcBorders>
            <w:noWrap/>
            <w:tcMar>
              <w:left w:w="0" w:type="dxa"/>
              <w:right w:w="0" w:type="dxa"/>
            </w:tcMar>
          </w:tcPr>
          <w:p w14:paraId="0A0866F9" w14:textId="4F574BD4" w:rsidR="00654F58" w:rsidRPr="00167EA4" w:rsidRDefault="00654F58" w:rsidP="0019684A">
            <w:pPr>
              <w:jc w:val="right"/>
              <w:rPr>
                <w:b/>
                <w:bCs/>
              </w:rPr>
            </w:pPr>
            <w:r w:rsidRPr="00167EA4">
              <w:rPr>
                <w:b/>
                <w:bCs/>
              </w:rPr>
              <w:t>Correo-e:</w:t>
            </w:r>
          </w:p>
        </w:tc>
        <w:tc>
          <w:tcPr>
            <w:tcW w:w="3742" w:type="dxa"/>
            <w:noWrap/>
            <w:tcMar>
              <w:left w:w="0" w:type="dxa"/>
              <w:right w:w="0" w:type="dxa"/>
            </w:tcMar>
          </w:tcPr>
          <w:p w14:paraId="7F6324D0" w14:textId="77777777" w:rsidR="00654F58" w:rsidRPr="00167EA4" w:rsidRDefault="00654F58" w:rsidP="0019684A">
            <w:pPr>
              <w:ind w:left="57"/>
            </w:pPr>
          </w:p>
        </w:tc>
      </w:tr>
      <w:tr w:rsidR="00206B57" w:rsidRPr="00167EA4" w14:paraId="32490444" w14:textId="77777777" w:rsidTr="00206B57">
        <w:trPr>
          <w:trHeight w:val="20"/>
        </w:trPr>
        <w:tc>
          <w:tcPr>
            <w:tcW w:w="1077" w:type="dxa"/>
            <w:noWrap/>
            <w:tcMar>
              <w:left w:w="0" w:type="dxa"/>
              <w:right w:w="0" w:type="dxa"/>
            </w:tcMar>
          </w:tcPr>
          <w:p w14:paraId="5E23C687" w14:textId="77777777" w:rsidR="00654F58" w:rsidRPr="00167EA4" w:rsidRDefault="00654F58" w:rsidP="00654F58"/>
        </w:tc>
        <w:tc>
          <w:tcPr>
            <w:tcW w:w="3855" w:type="dxa"/>
            <w:tcBorders>
              <w:right w:val="single" w:sz="4" w:space="0" w:color="auto"/>
            </w:tcBorders>
            <w:noWrap/>
            <w:tcMar>
              <w:left w:w="0" w:type="dxa"/>
              <w:right w:w="0" w:type="dxa"/>
            </w:tcMar>
          </w:tcPr>
          <w:p w14:paraId="1D841278" w14:textId="77777777" w:rsidR="00654F58" w:rsidRPr="00167EA4" w:rsidRDefault="00654F58" w:rsidP="00654F58"/>
        </w:tc>
        <w:tc>
          <w:tcPr>
            <w:tcW w:w="964" w:type="dxa"/>
            <w:tcBorders>
              <w:left w:val="single" w:sz="4" w:space="0" w:color="auto"/>
            </w:tcBorders>
            <w:noWrap/>
            <w:tcMar>
              <w:left w:w="0" w:type="dxa"/>
              <w:right w:w="0" w:type="dxa"/>
            </w:tcMar>
          </w:tcPr>
          <w:p w14:paraId="6EC54EDF" w14:textId="70F3D14F" w:rsidR="00654F58" w:rsidRPr="00167EA4" w:rsidRDefault="00654F58" w:rsidP="0019684A">
            <w:pPr>
              <w:jc w:val="right"/>
              <w:rPr>
                <w:b/>
                <w:bCs/>
              </w:rPr>
            </w:pPr>
            <w:r w:rsidRPr="00167EA4">
              <w:rPr>
                <w:b/>
                <w:bCs/>
              </w:rPr>
              <w:t>Fecha:</w:t>
            </w:r>
          </w:p>
        </w:tc>
        <w:tc>
          <w:tcPr>
            <w:tcW w:w="3742" w:type="dxa"/>
            <w:noWrap/>
            <w:tcMar>
              <w:left w:w="0" w:type="dxa"/>
              <w:right w:w="0" w:type="dxa"/>
            </w:tcMar>
          </w:tcPr>
          <w:p w14:paraId="226FB394" w14:textId="54B1B3DE" w:rsidR="00654F58" w:rsidRPr="00167EA4" w:rsidRDefault="00654F58" w:rsidP="0019684A">
            <w:pPr>
              <w:ind w:left="57"/>
            </w:pPr>
            <w:r w:rsidRPr="00167EA4">
              <w:t>[Lugar,] [Fecha]</w:t>
            </w:r>
          </w:p>
        </w:tc>
      </w:tr>
    </w:tbl>
    <w:p w14:paraId="3E629114" w14:textId="77777777" w:rsidR="00654F58" w:rsidRPr="00167EA4" w:rsidRDefault="00654F58" w:rsidP="00B34AA0">
      <w:pPr>
        <w:spacing w:before="240"/>
      </w:pPr>
      <w:r w:rsidRPr="00167EA4">
        <w:t>Muy Señora mía/Muy Señor mío:</w:t>
      </w:r>
    </w:p>
    <w:p w14:paraId="7FF238D0" w14:textId="24B29E93" w:rsidR="00A77832" w:rsidRPr="00167EA4" w:rsidRDefault="00654F58" w:rsidP="005D7189">
      <w:pPr>
        <w:spacing w:after="180"/>
        <w:jc w:val="both"/>
      </w:pPr>
      <w:r w:rsidRPr="00167EA4">
        <w:t>En relación con la consulta a los Estados Miembros sobre los proyectos de textos determinados que se enumeran en la Circular TSB</w:t>
      </w:r>
      <w:r w:rsidR="004039FF">
        <w:t> </w:t>
      </w:r>
      <w:r w:rsidRPr="00167EA4">
        <w:t>37, quisiera comunicarle la opinión de esta Administración, que se presenta en el siguiente cuadro:</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7087"/>
      </w:tblGrid>
      <w:tr w:rsidR="00F53425" w:rsidRPr="00167EA4" w14:paraId="3CA3BAB2" w14:textId="77777777" w:rsidTr="00C23315">
        <w:trPr>
          <w:tblHeader/>
        </w:trPr>
        <w:tc>
          <w:tcPr>
            <w:tcW w:w="2551" w:type="dxa"/>
            <w:shd w:val="clear" w:color="auto" w:fill="auto"/>
            <w:vAlign w:val="center"/>
          </w:tcPr>
          <w:p w14:paraId="6A7DC513" w14:textId="77777777" w:rsidR="00F53425" w:rsidRPr="00167EA4" w:rsidRDefault="00F53425" w:rsidP="00F53425">
            <w:pPr>
              <w:pStyle w:val="Tablehead0"/>
            </w:pPr>
          </w:p>
        </w:tc>
        <w:tc>
          <w:tcPr>
            <w:tcW w:w="7087" w:type="dxa"/>
            <w:shd w:val="clear" w:color="auto" w:fill="auto"/>
            <w:vAlign w:val="center"/>
          </w:tcPr>
          <w:p w14:paraId="75FE6CE0" w14:textId="77777777" w:rsidR="00F53425" w:rsidRPr="00167EA4" w:rsidRDefault="00F53425" w:rsidP="00F53425">
            <w:pPr>
              <w:pStyle w:val="Tablehead0"/>
            </w:pPr>
            <w:r w:rsidRPr="00167EA4">
              <w:t>Seleccione una de las dos casillas</w:t>
            </w:r>
          </w:p>
        </w:tc>
      </w:tr>
      <w:tr w:rsidR="00F53425" w:rsidRPr="00167EA4" w14:paraId="3915C5C0" w14:textId="77777777" w:rsidTr="00C23315">
        <w:trPr>
          <w:trHeight w:val="748"/>
        </w:trPr>
        <w:tc>
          <w:tcPr>
            <w:tcW w:w="2551" w:type="dxa"/>
            <w:vMerge w:val="restart"/>
            <w:shd w:val="clear" w:color="auto" w:fill="auto"/>
            <w:vAlign w:val="center"/>
          </w:tcPr>
          <w:p w14:paraId="703E191A" w14:textId="579E5D51" w:rsidR="00F53425" w:rsidRPr="00167EA4" w:rsidRDefault="00F53425" w:rsidP="00C23315">
            <w:pPr>
              <w:pStyle w:val="Tabletext0"/>
              <w:ind w:right="-57"/>
              <w:rPr>
                <w:b/>
                <w:bCs/>
                <w:szCs w:val="24"/>
              </w:rPr>
            </w:pPr>
            <w:r w:rsidRPr="00167EA4">
              <w:rPr>
                <w:b/>
                <w:bCs/>
              </w:rPr>
              <w:t xml:space="preserve">Proyecto de nueva </w:t>
            </w:r>
            <w:r w:rsidR="00E42DA0">
              <w:rPr>
                <w:b/>
                <w:bCs/>
              </w:rPr>
              <w:br/>
            </w:r>
            <w:r w:rsidRPr="00167EA4">
              <w:rPr>
                <w:b/>
                <w:bCs/>
              </w:rPr>
              <w:t>Recomendación</w:t>
            </w:r>
            <w:r w:rsidR="00C23315">
              <w:rPr>
                <w:b/>
                <w:bCs/>
              </w:rPr>
              <w:br/>
            </w:r>
            <w:r w:rsidRPr="00167EA4">
              <w:rPr>
                <w:b/>
                <w:bCs/>
              </w:rPr>
              <w:t>UIT-T Y.4601</w:t>
            </w:r>
            <w:r w:rsidR="00C23315">
              <w:rPr>
                <w:b/>
                <w:bCs/>
              </w:rPr>
              <w:t xml:space="preserve"> </w:t>
            </w:r>
            <w:r w:rsidR="00E42DA0">
              <w:rPr>
                <w:b/>
                <w:bCs/>
              </w:rPr>
              <w:br/>
            </w:r>
            <w:r w:rsidRPr="00167EA4">
              <w:rPr>
                <w:b/>
                <w:bCs/>
              </w:rPr>
              <w:t>(ex</w:t>
            </w:r>
            <w:r w:rsidR="00C23315">
              <w:rPr>
                <w:b/>
                <w:bCs/>
              </w:rPr>
              <w:t> </w:t>
            </w:r>
            <w:proofErr w:type="spellStart"/>
            <w:r w:rsidRPr="00167EA4">
              <w:rPr>
                <w:b/>
                <w:bCs/>
              </w:rPr>
              <w:t>Y.dt</w:t>
            </w:r>
            <w:r w:rsidR="00C23315">
              <w:rPr>
                <w:b/>
                <w:bCs/>
              </w:rPr>
              <w:noBreakHyphen/>
            </w:r>
            <w:r w:rsidRPr="00167EA4">
              <w:rPr>
                <w:b/>
                <w:bCs/>
              </w:rPr>
              <w:t>smartfirefighting</w:t>
            </w:r>
            <w:proofErr w:type="spellEnd"/>
            <w:r w:rsidRPr="00167EA4">
              <w:rPr>
                <w:b/>
                <w:bCs/>
              </w:rPr>
              <w:t>)</w:t>
            </w:r>
          </w:p>
        </w:tc>
        <w:tc>
          <w:tcPr>
            <w:tcW w:w="7087" w:type="dxa"/>
            <w:shd w:val="clear" w:color="auto" w:fill="auto"/>
            <w:vAlign w:val="center"/>
          </w:tcPr>
          <w:p w14:paraId="1955DD81" w14:textId="577FAD51" w:rsidR="00F53425" w:rsidRPr="00167EA4" w:rsidRDefault="003E737B" w:rsidP="00C2331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8"/>
              </w:tabs>
              <w:ind w:left="459" w:right="-57" w:hanging="459"/>
              <w:rPr>
                <w:szCs w:val="24"/>
              </w:rPr>
            </w:pPr>
            <w:r w:rsidRPr="00167EA4">
              <w:fldChar w:fldCharType="begin">
                <w:ffData>
                  <w:name w:val="Check1"/>
                  <w:enabled/>
                  <w:calcOnExit w:val="0"/>
                  <w:checkBox>
                    <w:sizeAuto/>
                    <w:default w:val="0"/>
                  </w:checkBox>
                </w:ffData>
              </w:fldChar>
            </w:r>
            <w:r w:rsidRPr="00167EA4">
              <w:instrText xml:space="preserve"> FORMCHECKBOX </w:instrText>
            </w:r>
            <w:r w:rsidR="00B35776">
              <w:fldChar w:fldCharType="separate"/>
            </w:r>
            <w:r w:rsidRPr="00167EA4">
              <w:fldChar w:fldCharType="end"/>
            </w:r>
            <w:r w:rsidRPr="00167EA4">
              <w:tab/>
            </w:r>
            <w:r w:rsidR="00F53425" w:rsidRPr="00167EA4">
              <w:rPr>
                <w:b/>
                <w:bCs/>
              </w:rPr>
              <w:t>Otorga autoridad</w:t>
            </w:r>
            <w:r w:rsidR="00F53425" w:rsidRPr="00167EA4">
              <w:t xml:space="preserve"> a la Comisión de Estudio 20 para examinar este texto para aprobación (en cuyo caso seleccionará una de las dos opciones ⃝):</w:t>
            </w:r>
          </w:p>
          <w:p w14:paraId="0E1F5670" w14:textId="77777777" w:rsidR="00F53425" w:rsidRPr="00167EA4" w:rsidRDefault="00F53425" w:rsidP="00F5342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8"/>
              </w:tabs>
              <w:rPr>
                <w:szCs w:val="24"/>
              </w:rPr>
            </w:pPr>
            <w:r w:rsidRPr="00167EA4">
              <w:rPr>
                <w:sz w:val="20"/>
              </w:rPr>
              <w:t>⃝</w:t>
            </w:r>
            <w:r w:rsidRPr="00167EA4">
              <w:tab/>
              <w:t>Sin comentarios o cambios sugeridos</w:t>
            </w:r>
          </w:p>
          <w:p w14:paraId="6343BF7B" w14:textId="77777777" w:rsidR="00F53425" w:rsidRPr="00167EA4" w:rsidRDefault="00F53425" w:rsidP="00F5342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8"/>
              </w:tabs>
              <w:rPr>
                <w:szCs w:val="24"/>
              </w:rPr>
            </w:pPr>
            <w:r w:rsidRPr="00167EA4">
              <w:t>⃝</w:t>
            </w:r>
            <w:r w:rsidRPr="00167EA4">
              <w:tab/>
              <w:t>Se adjuntan los comentarios o cambios sugeridos</w:t>
            </w:r>
          </w:p>
        </w:tc>
      </w:tr>
      <w:tr w:rsidR="00F53425" w:rsidRPr="00167EA4" w14:paraId="0B61EC30" w14:textId="77777777" w:rsidTr="00C23315">
        <w:trPr>
          <w:trHeight w:val="747"/>
        </w:trPr>
        <w:tc>
          <w:tcPr>
            <w:tcW w:w="2551" w:type="dxa"/>
            <w:vMerge/>
            <w:shd w:val="clear" w:color="auto" w:fill="auto"/>
            <w:vAlign w:val="center"/>
          </w:tcPr>
          <w:p w14:paraId="13501817" w14:textId="77777777" w:rsidR="00F53425" w:rsidRPr="00167EA4" w:rsidRDefault="00F53425" w:rsidP="00F53425">
            <w:pPr>
              <w:pStyle w:val="Tabletext0"/>
              <w:jc w:val="center"/>
              <w:rPr>
                <w:szCs w:val="24"/>
              </w:rPr>
            </w:pPr>
          </w:p>
        </w:tc>
        <w:tc>
          <w:tcPr>
            <w:tcW w:w="7087" w:type="dxa"/>
            <w:shd w:val="clear" w:color="auto" w:fill="auto"/>
            <w:vAlign w:val="center"/>
          </w:tcPr>
          <w:p w14:paraId="02B8ECD2" w14:textId="531B63F0" w:rsidR="00F53425" w:rsidRPr="00167EA4" w:rsidRDefault="003E737B" w:rsidP="003E737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8"/>
              </w:tabs>
              <w:ind w:left="459" w:hanging="459"/>
              <w:rPr>
                <w:sz w:val="20"/>
              </w:rPr>
            </w:pPr>
            <w:r w:rsidRPr="00167EA4">
              <w:fldChar w:fldCharType="begin">
                <w:ffData>
                  <w:name w:val="Check1"/>
                  <w:enabled/>
                  <w:calcOnExit w:val="0"/>
                  <w:checkBox>
                    <w:sizeAuto/>
                    <w:default w:val="0"/>
                  </w:checkBox>
                </w:ffData>
              </w:fldChar>
            </w:r>
            <w:r w:rsidRPr="00167EA4">
              <w:instrText xml:space="preserve"> FORMCHECKBOX </w:instrText>
            </w:r>
            <w:r w:rsidR="00B35776">
              <w:fldChar w:fldCharType="separate"/>
            </w:r>
            <w:r w:rsidRPr="00167EA4">
              <w:fldChar w:fldCharType="end"/>
            </w:r>
            <w:r w:rsidRPr="00167EA4">
              <w:tab/>
            </w:r>
            <w:r w:rsidR="00F53425" w:rsidRPr="00167EA4">
              <w:rPr>
                <w:b/>
                <w:bCs/>
              </w:rPr>
              <w:t>No otorga autoridad</w:t>
            </w:r>
            <w:r w:rsidR="00F53425" w:rsidRPr="00167EA4">
              <w:t xml:space="preserve"> a la Comisión de Estudio 20 para examinar este texto para aprobación (se adjuntan los motivos en que se fundamenta esta opinión y las posibles modificaciones que permitirían que prosiguieran los trabajos)</w:t>
            </w:r>
          </w:p>
        </w:tc>
      </w:tr>
      <w:tr w:rsidR="00C23315" w:rsidRPr="00167EA4" w14:paraId="42BD1D74" w14:textId="77777777" w:rsidTr="00C23315">
        <w:trPr>
          <w:trHeight w:val="748"/>
        </w:trPr>
        <w:tc>
          <w:tcPr>
            <w:tcW w:w="2551" w:type="dxa"/>
            <w:vMerge w:val="restart"/>
            <w:shd w:val="clear" w:color="auto" w:fill="auto"/>
            <w:vAlign w:val="center"/>
          </w:tcPr>
          <w:p w14:paraId="46AEB43F" w14:textId="45060A5A" w:rsidR="00C23315" w:rsidRPr="00167EA4" w:rsidRDefault="00C23315" w:rsidP="00C23315">
            <w:pPr>
              <w:pStyle w:val="Tabletext0"/>
              <w:rPr>
                <w:b/>
                <w:bCs/>
                <w:szCs w:val="24"/>
              </w:rPr>
            </w:pPr>
            <w:r w:rsidRPr="00167EA4">
              <w:rPr>
                <w:b/>
                <w:bCs/>
              </w:rPr>
              <w:t xml:space="preserve">Proyecto de nueva </w:t>
            </w:r>
            <w:r w:rsidR="00E42DA0">
              <w:rPr>
                <w:b/>
                <w:bCs/>
              </w:rPr>
              <w:br/>
            </w:r>
            <w:r w:rsidRPr="00167EA4">
              <w:rPr>
                <w:b/>
                <w:bCs/>
              </w:rPr>
              <w:t>Recomendación</w:t>
            </w:r>
            <w:r>
              <w:rPr>
                <w:b/>
                <w:bCs/>
              </w:rPr>
              <w:br/>
            </w:r>
            <w:r w:rsidRPr="00167EA4">
              <w:rPr>
                <w:b/>
                <w:bCs/>
              </w:rPr>
              <w:t>UIT-T Y.4500</w:t>
            </w:r>
            <w:r w:rsidR="00FD7D27">
              <w:rPr>
                <w:b/>
                <w:bCs/>
              </w:rPr>
              <w:t>.</w:t>
            </w:r>
            <w:r w:rsidRPr="00167EA4">
              <w:rPr>
                <w:b/>
                <w:bCs/>
              </w:rPr>
              <w:t xml:space="preserve">3 </w:t>
            </w:r>
            <w:r w:rsidR="00E42DA0">
              <w:rPr>
                <w:b/>
                <w:bCs/>
              </w:rPr>
              <w:br/>
            </w:r>
            <w:r w:rsidRPr="00167EA4">
              <w:rPr>
                <w:b/>
                <w:bCs/>
              </w:rPr>
              <w:t>(ex</w:t>
            </w:r>
            <w:r>
              <w:rPr>
                <w:b/>
                <w:bCs/>
              </w:rPr>
              <w:t> </w:t>
            </w:r>
            <w:r w:rsidRPr="00167EA4">
              <w:rPr>
                <w:b/>
                <w:bCs/>
              </w:rPr>
              <w:t>Y.oneM2M.SEC.SOL)</w:t>
            </w:r>
          </w:p>
        </w:tc>
        <w:tc>
          <w:tcPr>
            <w:tcW w:w="7087" w:type="dxa"/>
            <w:shd w:val="clear" w:color="auto" w:fill="auto"/>
            <w:vAlign w:val="center"/>
          </w:tcPr>
          <w:p w14:paraId="3745B84F" w14:textId="0E5C68BA" w:rsidR="00C23315" w:rsidRPr="00167EA4" w:rsidRDefault="00C23315" w:rsidP="00C2331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9" w:right="-57" w:hanging="459"/>
              <w:rPr>
                <w:szCs w:val="24"/>
              </w:rPr>
            </w:pPr>
            <w:r w:rsidRPr="00167EA4">
              <w:fldChar w:fldCharType="begin">
                <w:ffData>
                  <w:name w:val="Check1"/>
                  <w:enabled/>
                  <w:calcOnExit w:val="0"/>
                  <w:checkBox>
                    <w:sizeAuto/>
                    <w:default w:val="0"/>
                  </w:checkBox>
                </w:ffData>
              </w:fldChar>
            </w:r>
            <w:r w:rsidRPr="00167EA4">
              <w:instrText xml:space="preserve"> FORMCHECKBOX </w:instrText>
            </w:r>
            <w:r w:rsidR="00B35776">
              <w:fldChar w:fldCharType="separate"/>
            </w:r>
            <w:r w:rsidRPr="00167EA4">
              <w:fldChar w:fldCharType="end"/>
            </w:r>
            <w:r w:rsidRPr="00167EA4">
              <w:tab/>
            </w:r>
            <w:r w:rsidRPr="00167EA4">
              <w:rPr>
                <w:b/>
                <w:bCs/>
              </w:rPr>
              <w:t>Otorga autoridad</w:t>
            </w:r>
            <w:r w:rsidRPr="00167EA4">
              <w:t xml:space="preserve"> a la Comisión de Estudio 20 para examinar este texto para aprobación (en cuyo caso seleccionará una de las dos opciones ⃝):</w:t>
            </w:r>
          </w:p>
          <w:p w14:paraId="08BC7AAE" w14:textId="77777777" w:rsidR="00C23315" w:rsidRPr="00167EA4" w:rsidRDefault="00C23315" w:rsidP="00F53425">
            <w:pPr>
              <w:pStyle w:val="Tabletext0"/>
              <w:tabs>
                <w:tab w:val="clear" w:pos="284"/>
                <w:tab w:val="clear" w:pos="567"/>
                <w:tab w:val="clear" w:pos="851"/>
                <w:tab w:val="left" w:pos="458"/>
              </w:tabs>
              <w:rPr>
                <w:szCs w:val="24"/>
              </w:rPr>
            </w:pPr>
            <w:r w:rsidRPr="00167EA4">
              <w:rPr>
                <w:sz w:val="20"/>
              </w:rPr>
              <w:t>⃝</w:t>
            </w:r>
            <w:r w:rsidRPr="00167EA4">
              <w:tab/>
              <w:t>Sin comentarios o cambios sugeridos</w:t>
            </w:r>
          </w:p>
          <w:p w14:paraId="41BB1FBB" w14:textId="5AB0D87D" w:rsidR="00C23315" w:rsidRPr="00167EA4" w:rsidRDefault="00C23315" w:rsidP="00F53425">
            <w:pPr>
              <w:pStyle w:val="Tabletext0"/>
              <w:tabs>
                <w:tab w:val="clear" w:pos="284"/>
                <w:tab w:val="clear" w:pos="567"/>
                <w:tab w:val="clear" w:pos="851"/>
                <w:tab w:val="left" w:pos="458"/>
              </w:tabs>
              <w:rPr>
                <w:szCs w:val="24"/>
              </w:rPr>
            </w:pPr>
            <w:r w:rsidRPr="00167EA4">
              <w:rPr>
                <w:sz w:val="20"/>
              </w:rPr>
              <w:t>⃝</w:t>
            </w:r>
            <w:r w:rsidRPr="00167EA4">
              <w:rPr>
                <w:sz w:val="20"/>
              </w:rPr>
              <w:tab/>
            </w:r>
            <w:r w:rsidRPr="00167EA4">
              <w:t>Se adjuntan los comentarios o cambios sugeridos</w:t>
            </w:r>
          </w:p>
        </w:tc>
      </w:tr>
      <w:tr w:rsidR="00C23315" w:rsidRPr="00167EA4" w14:paraId="6E115B38" w14:textId="77777777" w:rsidTr="00C23315">
        <w:trPr>
          <w:trHeight w:val="747"/>
        </w:trPr>
        <w:tc>
          <w:tcPr>
            <w:tcW w:w="2551" w:type="dxa"/>
            <w:vMerge/>
            <w:shd w:val="clear" w:color="auto" w:fill="auto"/>
            <w:vAlign w:val="center"/>
          </w:tcPr>
          <w:p w14:paraId="6C1FC0C8" w14:textId="77777777" w:rsidR="00C23315" w:rsidRPr="00167EA4" w:rsidRDefault="00C23315" w:rsidP="00F53425">
            <w:pPr>
              <w:pStyle w:val="Tabletext0"/>
              <w:rPr>
                <w:szCs w:val="24"/>
              </w:rPr>
            </w:pPr>
          </w:p>
        </w:tc>
        <w:tc>
          <w:tcPr>
            <w:tcW w:w="7087" w:type="dxa"/>
            <w:shd w:val="clear" w:color="auto" w:fill="auto"/>
            <w:vAlign w:val="center"/>
          </w:tcPr>
          <w:p w14:paraId="1933AA1A" w14:textId="35B61C78" w:rsidR="00C23315" w:rsidRPr="00167EA4" w:rsidRDefault="00C23315" w:rsidP="003E737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8"/>
              </w:tabs>
              <w:ind w:left="459" w:hanging="459"/>
              <w:rPr>
                <w:sz w:val="20"/>
              </w:rPr>
            </w:pPr>
            <w:r w:rsidRPr="00167EA4">
              <w:fldChar w:fldCharType="begin">
                <w:ffData>
                  <w:name w:val="Check1"/>
                  <w:enabled/>
                  <w:calcOnExit w:val="0"/>
                  <w:checkBox>
                    <w:sizeAuto/>
                    <w:default w:val="0"/>
                  </w:checkBox>
                </w:ffData>
              </w:fldChar>
            </w:r>
            <w:r w:rsidRPr="00167EA4">
              <w:instrText xml:space="preserve"> FORMCHECKBOX </w:instrText>
            </w:r>
            <w:r w:rsidR="00B35776">
              <w:fldChar w:fldCharType="separate"/>
            </w:r>
            <w:r w:rsidRPr="00167EA4">
              <w:fldChar w:fldCharType="end"/>
            </w:r>
            <w:r w:rsidRPr="00167EA4">
              <w:tab/>
            </w:r>
            <w:r w:rsidRPr="00167EA4">
              <w:rPr>
                <w:b/>
                <w:bCs/>
              </w:rPr>
              <w:t>No otorga autoridad</w:t>
            </w:r>
            <w:r w:rsidRPr="00167EA4">
              <w:t xml:space="preserve"> a la Comisión de Estudio 20 para examinar este texto para aprobación (se adjuntan los motivos en que se fundamenta esta opinión y las posibles modificaciones que permitirían que prosiguieran los trabajos)</w:t>
            </w:r>
          </w:p>
        </w:tc>
      </w:tr>
    </w:tbl>
    <w:p w14:paraId="0A6746BC" w14:textId="77777777" w:rsidR="003E737B" w:rsidRPr="00167EA4" w:rsidRDefault="003E737B" w:rsidP="00B34AA0">
      <w:r w:rsidRPr="00167EA4">
        <w:t>Atentamente,</w:t>
      </w:r>
    </w:p>
    <w:p w14:paraId="30FDB2C8" w14:textId="77777777" w:rsidR="003E737B" w:rsidRPr="00167EA4" w:rsidRDefault="003E737B" w:rsidP="003E737B">
      <w:pPr>
        <w:spacing w:before="240"/>
        <w:rPr>
          <w:szCs w:val="24"/>
        </w:rPr>
      </w:pPr>
      <w:r w:rsidRPr="00167EA4">
        <w:t>[Nombre]</w:t>
      </w:r>
    </w:p>
    <w:p w14:paraId="0FC05F0D" w14:textId="77777777" w:rsidR="003E737B" w:rsidRPr="00167EA4" w:rsidRDefault="003E737B" w:rsidP="003E737B">
      <w:pPr>
        <w:spacing w:before="240"/>
        <w:rPr>
          <w:szCs w:val="24"/>
        </w:rPr>
      </w:pPr>
      <w:r w:rsidRPr="00167EA4">
        <w:t>[Cargo oficial/Título]</w:t>
      </w:r>
    </w:p>
    <w:p w14:paraId="620B38A2" w14:textId="77777777" w:rsidR="003E737B" w:rsidRPr="00167EA4" w:rsidRDefault="003E737B" w:rsidP="003E737B">
      <w:pPr>
        <w:spacing w:before="0"/>
        <w:rPr>
          <w:szCs w:val="24"/>
        </w:rPr>
      </w:pPr>
      <w:r w:rsidRPr="00167EA4">
        <w:t>Administración de [Estado Miembro]</w:t>
      </w:r>
    </w:p>
    <w:p w14:paraId="405FC5F5" w14:textId="001C91E4" w:rsidR="00654F58" w:rsidRPr="00167EA4" w:rsidRDefault="003E737B" w:rsidP="00B34AA0">
      <w:pPr>
        <w:spacing w:before="240"/>
        <w:jc w:val="center"/>
      </w:pPr>
      <w:r w:rsidRPr="00167EA4">
        <w:t>______________</w:t>
      </w:r>
    </w:p>
    <w:sectPr w:rsidR="00654F58" w:rsidRPr="00167EA4"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8A2A" w14:textId="77777777" w:rsidR="00906B2A" w:rsidRDefault="00906B2A">
      <w:r>
        <w:separator/>
      </w:r>
    </w:p>
  </w:endnote>
  <w:endnote w:type="continuationSeparator" w:id="0">
    <w:p w14:paraId="6A83E9B8" w14:textId="77777777" w:rsidR="00906B2A" w:rsidRDefault="0090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DC76"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98FB" w14:textId="77777777" w:rsidR="00906B2A" w:rsidRDefault="00906B2A">
      <w:r>
        <w:t>____________________</w:t>
      </w:r>
    </w:p>
  </w:footnote>
  <w:footnote w:type="continuationSeparator" w:id="0">
    <w:p w14:paraId="5662FA18" w14:textId="77777777" w:rsidR="00906B2A" w:rsidRDefault="00906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E941" w14:textId="72A9A411" w:rsidR="006969B4" w:rsidRPr="00303D62" w:rsidRDefault="004039FF">
    <w:pPr>
      <w:pStyle w:val="Header"/>
      <w:rPr>
        <w:sz w:val="18"/>
        <w:szCs w:val="18"/>
      </w:rPr>
    </w:pPr>
    <w:r>
      <w:rPr>
        <w:sz w:val="18"/>
        <w:szCs w:val="18"/>
      </w:rPr>
      <w:t>–</w:t>
    </w:r>
    <w:r w:rsidR="006969B4" w:rsidRPr="00303D62">
      <w:rPr>
        <w:sz w:val="18"/>
        <w:szCs w:val="18"/>
      </w:rPr>
      <w:t xml:space="preserve"> </w:t>
    </w:r>
    <w:r w:rsidR="00B87E9E" w:rsidRPr="00303D62">
      <w:rPr>
        <w:rStyle w:val="PageNumber"/>
        <w:sz w:val="18"/>
        <w:szCs w:val="18"/>
      </w:rPr>
      <w:fldChar w:fldCharType="begin"/>
    </w:r>
    <w:r w:rsidR="006969B4"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006969B4" w:rsidRPr="00303D62">
      <w:rPr>
        <w:rStyle w:val="PageNumber"/>
        <w:sz w:val="18"/>
        <w:szCs w:val="18"/>
      </w:rPr>
      <w:t xml:space="preserve"> </w:t>
    </w: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49D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526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9811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D09B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8E6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F8A9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12F1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A016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A42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F462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401488990">
    <w:abstractNumId w:val="10"/>
  </w:num>
  <w:num w:numId="2" w16cid:durableId="1341152599">
    <w:abstractNumId w:val="13"/>
  </w:num>
  <w:num w:numId="3" w16cid:durableId="1710648631">
    <w:abstractNumId w:val="12"/>
  </w:num>
  <w:num w:numId="4" w16cid:durableId="1451701121">
    <w:abstractNumId w:val="11"/>
  </w:num>
  <w:num w:numId="5" w16cid:durableId="566765710">
    <w:abstractNumId w:val="9"/>
  </w:num>
  <w:num w:numId="6" w16cid:durableId="1375888210">
    <w:abstractNumId w:val="7"/>
  </w:num>
  <w:num w:numId="7" w16cid:durableId="514467638">
    <w:abstractNumId w:val="6"/>
  </w:num>
  <w:num w:numId="8" w16cid:durableId="219022012">
    <w:abstractNumId w:val="5"/>
  </w:num>
  <w:num w:numId="9" w16cid:durableId="459231586">
    <w:abstractNumId w:val="4"/>
  </w:num>
  <w:num w:numId="10" w16cid:durableId="486097866">
    <w:abstractNumId w:val="8"/>
  </w:num>
  <w:num w:numId="11" w16cid:durableId="145703879">
    <w:abstractNumId w:val="3"/>
  </w:num>
  <w:num w:numId="12" w16cid:durableId="1366759703">
    <w:abstractNumId w:val="2"/>
  </w:num>
  <w:num w:numId="13" w16cid:durableId="795100230">
    <w:abstractNumId w:val="1"/>
  </w:num>
  <w:num w:numId="14" w16cid:durableId="153704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2A"/>
    <w:rsid w:val="00002529"/>
    <w:rsid w:val="00085662"/>
    <w:rsid w:val="000C382F"/>
    <w:rsid w:val="001173CC"/>
    <w:rsid w:val="0014464D"/>
    <w:rsid w:val="00167EA4"/>
    <w:rsid w:val="0019684A"/>
    <w:rsid w:val="001A4DCA"/>
    <w:rsid w:val="001A54CC"/>
    <w:rsid w:val="00206B57"/>
    <w:rsid w:val="00257FB4"/>
    <w:rsid w:val="00291F4F"/>
    <w:rsid w:val="002E496E"/>
    <w:rsid w:val="00303D62"/>
    <w:rsid w:val="00335367"/>
    <w:rsid w:val="00370C2D"/>
    <w:rsid w:val="003D1E8D"/>
    <w:rsid w:val="003D673B"/>
    <w:rsid w:val="003E737B"/>
    <w:rsid w:val="003F2855"/>
    <w:rsid w:val="00401C20"/>
    <w:rsid w:val="004039FF"/>
    <w:rsid w:val="004A7957"/>
    <w:rsid w:val="004C4144"/>
    <w:rsid w:val="0055719E"/>
    <w:rsid w:val="005D7189"/>
    <w:rsid w:val="00654F58"/>
    <w:rsid w:val="006969B4"/>
    <w:rsid w:val="006E4F7B"/>
    <w:rsid w:val="00781E2A"/>
    <w:rsid w:val="007933A2"/>
    <w:rsid w:val="007B6316"/>
    <w:rsid w:val="00814503"/>
    <w:rsid w:val="008258C2"/>
    <w:rsid w:val="008505BD"/>
    <w:rsid w:val="00850C78"/>
    <w:rsid w:val="00870B9A"/>
    <w:rsid w:val="00876165"/>
    <w:rsid w:val="00884D12"/>
    <w:rsid w:val="008C17AD"/>
    <w:rsid w:val="008D02CD"/>
    <w:rsid w:val="00906B2A"/>
    <w:rsid w:val="0091370C"/>
    <w:rsid w:val="0095172A"/>
    <w:rsid w:val="009A0BA0"/>
    <w:rsid w:val="00A54E47"/>
    <w:rsid w:val="00A77832"/>
    <w:rsid w:val="00AB6E3A"/>
    <w:rsid w:val="00AB7CBE"/>
    <w:rsid w:val="00AE7093"/>
    <w:rsid w:val="00B34AA0"/>
    <w:rsid w:val="00B35776"/>
    <w:rsid w:val="00B422BC"/>
    <w:rsid w:val="00B43F77"/>
    <w:rsid w:val="00B55A3E"/>
    <w:rsid w:val="00B86CF8"/>
    <w:rsid w:val="00B87E9E"/>
    <w:rsid w:val="00B95F0A"/>
    <w:rsid w:val="00B96180"/>
    <w:rsid w:val="00C116FE"/>
    <w:rsid w:val="00C17AC0"/>
    <w:rsid w:val="00C23315"/>
    <w:rsid w:val="00C34772"/>
    <w:rsid w:val="00C5465A"/>
    <w:rsid w:val="00D54642"/>
    <w:rsid w:val="00D834E7"/>
    <w:rsid w:val="00DD77C9"/>
    <w:rsid w:val="00DF3538"/>
    <w:rsid w:val="00E42DA0"/>
    <w:rsid w:val="00E839B0"/>
    <w:rsid w:val="00E92C09"/>
    <w:rsid w:val="00F14380"/>
    <w:rsid w:val="00F53425"/>
    <w:rsid w:val="00F6461F"/>
    <w:rsid w:val="00F71A83"/>
    <w:rsid w:val="00FC416A"/>
    <w:rsid w:val="00FD2B2D"/>
    <w:rsid w:val="00FD7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8CF86"/>
  <w15:docId w15:val="{E8EE27FE-038A-43F7-94DC-F914BAB4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906B2A"/>
    <w:rPr>
      <w:color w:val="605E5C"/>
      <w:shd w:val="clear" w:color="auto" w:fill="E1DFDD"/>
    </w:rPr>
  </w:style>
  <w:style w:type="table" w:styleId="TableGrid">
    <w:name w:val="Table Grid"/>
    <w:basedOn w:val="TableNormal"/>
    <w:rsid w:val="00A77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E737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02/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ipr/Pages/default.aspx" TargetMode="External"/><Relationship Id="rId5" Type="http://schemas.openxmlformats.org/officeDocument/2006/relationships/webSettings" Target="webSettings.xml"/><Relationship Id="rId15" Type="http://schemas.openxmlformats.org/officeDocument/2006/relationships/hyperlink" Target="tsbdir@itu.int" TargetMode="External"/><Relationship Id="rId10" Type="http://schemas.openxmlformats.org/officeDocument/2006/relationships/hyperlink" Target="https://www.itu.int/md/T22-SG20-COL-0002/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2-SG20-R-0003/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71654-4219-48D1-8D41-72C13A49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126</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7953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14</cp:revision>
  <cp:lastPrinted>2022-09-28T09:26:00Z</cp:lastPrinted>
  <dcterms:created xsi:type="dcterms:W3CDTF">2022-09-19T06:18:00Z</dcterms:created>
  <dcterms:modified xsi:type="dcterms:W3CDTF">2022-09-28T09:27:00Z</dcterms:modified>
</cp:coreProperties>
</file>