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1134"/>
        <w:gridCol w:w="142"/>
        <w:gridCol w:w="3402"/>
        <w:gridCol w:w="3119"/>
        <w:gridCol w:w="1984"/>
      </w:tblGrid>
      <w:tr w:rsidR="00FA46A0" w:rsidRPr="00B60460" w14:paraId="1851D63E" w14:textId="77777777" w:rsidTr="00F020AB">
        <w:trPr>
          <w:trHeight w:val="1282"/>
        </w:trPr>
        <w:tc>
          <w:tcPr>
            <w:tcW w:w="1276" w:type="dxa"/>
            <w:gridSpan w:val="2"/>
            <w:shd w:val="clear" w:color="auto" w:fill="auto"/>
            <w:tcMar>
              <w:left w:w="0" w:type="dxa"/>
              <w:right w:w="0" w:type="dxa"/>
            </w:tcMar>
            <w:vAlign w:val="center"/>
          </w:tcPr>
          <w:p w14:paraId="5729E76F" w14:textId="77777777" w:rsidR="00FA46A0" w:rsidRPr="00E609F7" w:rsidRDefault="009747C5" w:rsidP="00F020AB">
            <w:pPr>
              <w:pStyle w:val="Tabletext"/>
              <w:jc w:val="center"/>
            </w:pPr>
            <w:r w:rsidRPr="00E609F7">
              <w:rPr>
                <w:noProof/>
                <w:lang w:val="en-US" w:eastAsia="zh-CN"/>
              </w:rPr>
              <w:drawing>
                <wp:inline distT="0" distB="0" distL="0" distR="0" wp14:anchorId="664327F1" wp14:editId="396045AF">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DA07B77" w14:textId="77777777" w:rsidR="00FA46A0" w:rsidRPr="00E609F7" w:rsidRDefault="00B61012" w:rsidP="00F020AB">
            <w:pPr>
              <w:spacing w:before="0"/>
              <w:rPr>
                <w:rFonts w:cs="Times New Roman Bold"/>
                <w:b/>
                <w:bCs/>
                <w:smallCaps/>
                <w:sz w:val="26"/>
                <w:szCs w:val="26"/>
              </w:rPr>
            </w:pPr>
            <w:r w:rsidRPr="00E609F7">
              <w:rPr>
                <w:rFonts w:cs="Times New Roman Bold"/>
                <w:b/>
                <w:bCs/>
                <w:smallCaps/>
                <w:sz w:val="36"/>
                <w:szCs w:val="36"/>
              </w:rPr>
              <w:t>International telecommunication union</w:t>
            </w:r>
          </w:p>
          <w:p w14:paraId="10AD84E3" w14:textId="77777777" w:rsidR="00FA46A0" w:rsidRPr="00E609F7" w:rsidRDefault="00B61012" w:rsidP="00F020AB">
            <w:pPr>
              <w:spacing w:before="0"/>
              <w:rPr>
                <w:rFonts w:ascii="Verdana" w:hAnsi="Verdana"/>
                <w:color w:val="FFFFFF"/>
                <w:sz w:val="26"/>
                <w:szCs w:val="26"/>
              </w:rPr>
            </w:pPr>
            <w:r w:rsidRPr="00E609F7">
              <w:rPr>
                <w:rFonts w:cs="Times New Roman Bold"/>
                <w:b/>
                <w:bCs/>
                <w:iCs/>
                <w:smallCaps/>
                <w:sz w:val="28"/>
                <w:szCs w:val="28"/>
              </w:rPr>
              <w:t>Telecommunication Standardization Bureau</w:t>
            </w:r>
          </w:p>
        </w:tc>
        <w:tc>
          <w:tcPr>
            <w:tcW w:w="1984" w:type="dxa"/>
            <w:shd w:val="clear" w:color="auto" w:fill="auto"/>
            <w:vAlign w:val="center"/>
          </w:tcPr>
          <w:p w14:paraId="6BCFA74B" w14:textId="77777777" w:rsidR="00FA46A0" w:rsidRPr="00B60460" w:rsidRDefault="00FA46A0" w:rsidP="00F020AB">
            <w:pPr>
              <w:spacing w:before="0"/>
              <w:jc w:val="right"/>
              <w:rPr>
                <w:rFonts w:ascii="Verdana" w:hAnsi="Verdana"/>
                <w:color w:val="FFFFFF"/>
                <w:sz w:val="26"/>
                <w:szCs w:val="26"/>
                <w:highlight w:val="yellow"/>
              </w:rPr>
            </w:pPr>
          </w:p>
        </w:tc>
      </w:tr>
      <w:tr w:rsidR="00FA46A0" w:rsidRPr="00B60460" w14:paraId="26B97C93" w14:textId="77777777" w:rsidTr="00776EDA">
        <w:trPr>
          <w:cantSplit/>
          <w:trHeight w:val="493"/>
        </w:trPr>
        <w:tc>
          <w:tcPr>
            <w:tcW w:w="4678" w:type="dxa"/>
            <w:gridSpan w:val="3"/>
            <w:vAlign w:val="center"/>
          </w:tcPr>
          <w:p w14:paraId="1694D4E1" w14:textId="77777777" w:rsidR="00FA46A0" w:rsidRPr="00B60460" w:rsidRDefault="00FA46A0" w:rsidP="00F020AB">
            <w:pPr>
              <w:pStyle w:val="Tabletext"/>
              <w:jc w:val="right"/>
              <w:rPr>
                <w:sz w:val="22"/>
                <w:szCs w:val="22"/>
                <w:highlight w:val="yellow"/>
              </w:rPr>
            </w:pPr>
          </w:p>
        </w:tc>
        <w:tc>
          <w:tcPr>
            <w:tcW w:w="5103" w:type="dxa"/>
            <w:gridSpan w:val="2"/>
            <w:vAlign w:val="center"/>
          </w:tcPr>
          <w:p w14:paraId="66B772BC" w14:textId="7B12BC81" w:rsidR="00FA46A0" w:rsidRPr="00B60460" w:rsidRDefault="00B61012" w:rsidP="00776EDA">
            <w:pPr>
              <w:pStyle w:val="Tabletext"/>
              <w:spacing w:before="0" w:after="120"/>
              <w:ind w:left="-108"/>
              <w:rPr>
                <w:sz w:val="22"/>
                <w:szCs w:val="22"/>
                <w:highlight w:val="yellow"/>
              </w:rPr>
            </w:pPr>
            <w:r w:rsidRPr="003212A7">
              <w:rPr>
                <w:sz w:val="22"/>
                <w:szCs w:val="22"/>
              </w:rPr>
              <w:t xml:space="preserve">Geneva, </w:t>
            </w:r>
            <w:r w:rsidR="003212A7" w:rsidRPr="003212A7">
              <w:rPr>
                <w:sz w:val="22"/>
                <w:szCs w:val="22"/>
              </w:rPr>
              <w:t>14 September</w:t>
            </w:r>
            <w:r w:rsidR="00D06A5D" w:rsidRPr="003212A7">
              <w:rPr>
                <w:sz w:val="22"/>
                <w:szCs w:val="22"/>
              </w:rPr>
              <w:t xml:space="preserve"> </w:t>
            </w:r>
            <w:r w:rsidR="00632A08" w:rsidRPr="003212A7">
              <w:rPr>
                <w:sz w:val="22"/>
                <w:szCs w:val="22"/>
              </w:rPr>
              <w:t>202</w:t>
            </w:r>
            <w:r w:rsidR="007F18B4" w:rsidRPr="003212A7">
              <w:rPr>
                <w:sz w:val="22"/>
                <w:szCs w:val="22"/>
              </w:rPr>
              <w:t>2</w:t>
            </w:r>
          </w:p>
        </w:tc>
      </w:tr>
      <w:tr w:rsidR="00F46912" w:rsidRPr="00B60460" w14:paraId="51F4638F" w14:textId="77777777" w:rsidTr="008B1B0E">
        <w:trPr>
          <w:cantSplit/>
          <w:trHeight w:val="283"/>
        </w:trPr>
        <w:tc>
          <w:tcPr>
            <w:tcW w:w="1134" w:type="dxa"/>
          </w:tcPr>
          <w:p w14:paraId="34ECEAEB" w14:textId="77777777" w:rsidR="00F46912" w:rsidRPr="003212A7" w:rsidRDefault="00F46912" w:rsidP="00F020AB">
            <w:pPr>
              <w:pStyle w:val="Tabletext"/>
              <w:ind w:left="-110"/>
              <w:rPr>
                <w:sz w:val="22"/>
                <w:szCs w:val="22"/>
              </w:rPr>
            </w:pPr>
            <w:r w:rsidRPr="003212A7">
              <w:rPr>
                <w:b/>
                <w:sz w:val="22"/>
                <w:szCs w:val="22"/>
              </w:rPr>
              <w:t>Ref:</w:t>
            </w:r>
          </w:p>
        </w:tc>
        <w:tc>
          <w:tcPr>
            <w:tcW w:w="3544" w:type="dxa"/>
            <w:gridSpan w:val="2"/>
          </w:tcPr>
          <w:p w14:paraId="5A0E45A2" w14:textId="3CA2178B" w:rsidR="00F46912" w:rsidRPr="003212A7" w:rsidRDefault="00F46912" w:rsidP="00F020AB">
            <w:pPr>
              <w:pStyle w:val="Tabletext"/>
              <w:rPr>
                <w:b/>
                <w:bCs/>
                <w:sz w:val="22"/>
                <w:szCs w:val="22"/>
              </w:rPr>
            </w:pPr>
            <w:r w:rsidRPr="003212A7">
              <w:rPr>
                <w:b/>
                <w:bCs/>
                <w:sz w:val="22"/>
                <w:szCs w:val="22"/>
              </w:rPr>
              <w:t xml:space="preserve">TSB Circular </w:t>
            </w:r>
            <w:r w:rsidR="003212A7" w:rsidRPr="003212A7">
              <w:rPr>
                <w:b/>
                <w:bCs/>
                <w:sz w:val="22"/>
                <w:szCs w:val="22"/>
              </w:rPr>
              <w:t>37</w:t>
            </w:r>
          </w:p>
          <w:p w14:paraId="7FFD1933" w14:textId="5D8C8165" w:rsidR="00F46912" w:rsidRPr="003212A7" w:rsidRDefault="00F46912" w:rsidP="00F020AB">
            <w:pPr>
              <w:pStyle w:val="Tabletext"/>
              <w:rPr>
                <w:b/>
                <w:bCs/>
                <w:sz w:val="22"/>
                <w:szCs w:val="22"/>
              </w:rPr>
            </w:pPr>
            <w:r w:rsidRPr="003212A7">
              <w:rPr>
                <w:b/>
                <w:bCs/>
                <w:sz w:val="22"/>
                <w:szCs w:val="22"/>
              </w:rPr>
              <w:t>SG20/CB</w:t>
            </w:r>
          </w:p>
        </w:tc>
        <w:tc>
          <w:tcPr>
            <w:tcW w:w="5103" w:type="dxa"/>
            <w:gridSpan w:val="2"/>
            <w:vMerge w:val="restart"/>
          </w:tcPr>
          <w:p w14:paraId="2BBCC5F2" w14:textId="77777777" w:rsidR="00F46912" w:rsidRPr="00B60460" w:rsidRDefault="00F46912" w:rsidP="00F020AB">
            <w:pPr>
              <w:tabs>
                <w:tab w:val="clear" w:pos="794"/>
                <w:tab w:val="clear" w:pos="1191"/>
                <w:tab w:val="clear" w:pos="1588"/>
                <w:tab w:val="clear" w:pos="1985"/>
                <w:tab w:val="left" w:pos="241"/>
              </w:tabs>
              <w:spacing w:before="0"/>
              <w:ind w:left="283" w:hanging="391"/>
              <w:rPr>
                <w:sz w:val="22"/>
                <w:szCs w:val="22"/>
              </w:rPr>
            </w:pPr>
            <w:r w:rsidRPr="00B60460">
              <w:rPr>
                <w:b/>
                <w:sz w:val="22"/>
                <w:szCs w:val="22"/>
              </w:rPr>
              <w:t>To:</w:t>
            </w:r>
          </w:p>
          <w:p w14:paraId="72819B9D" w14:textId="7397B0B2" w:rsidR="00F46912" w:rsidRPr="00B60460" w:rsidRDefault="00F46912" w:rsidP="00776EDA">
            <w:pPr>
              <w:tabs>
                <w:tab w:val="clear" w:pos="794"/>
                <w:tab w:val="clear" w:pos="1191"/>
                <w:tab w:val="clear" w:pos="1588"/>
                <w:tab w:val="clear" w:pos="1985"/>
              </w:tabs>
              <w:spacing w:before="40" w:after="40"/>
              <w:ind w:left="283" w:hanging="391"/>
              <w:rPr>
                <w:sz w:val="22"/>
                <w:szCs w:val="22"/>
              </w:rPr>
            </w:pPr>
            <w:r w:rsidRPr="00B60460">
              <w:rPr>
                <w:sz w:val="22"/>
                <w:szCs w:val="22"/>
              </w:rPr>
              <w:t>-</w:t>
            </w:r>
            <w:r w:rsidRPr="00B60460">
              <w:rPr>
                <w:sz w:val="22"/>
                <w:szCs w:val="22"/>
              </w:rPr>
              <w:tab/>
              <w:t xml:space="preserve">Administrations of Member States of the </w:t>
            </w:r>
            <w:proofErr w:type="gramStart"/>
            <w:r w:rsidRPr="00B60460">
              <w:rPr>
                <w:sz w:val="22"/>
                <w:szCs w:val="22"/>
              </w:rPr>
              <w:t>Union;</w:t>
            </w:r>
            <w:proofErr w:type="gramEnd"/>
          </w:p>
          <w:p w14:paraId="3C9B7DAA" w14:textId="77777777" w:rsidR="00776EDA" w:rsidRPr="00E150D7" w:rsidRDefault="00776EDA" w:rsidP="00776EDA">
            <w:pPr>
              <w:pStyle w:val="Tabletext"/>
              <w:ind w:left="283" w:hanging="391"/>
              <w:rPr>
                <w:sz w:val="22"/>
                <w:szCs w:val="22"/>
              </w:rPr>
            </w:pPr>
            <w:r w:rsidRPr="00E150D7">
              <w:rPr>
                <w:b/>
                <w:sz w:val="22"/>
                <w:szCs w:val="22"/>
              </w:rPr>
              <w:t>Copy to:</w:t>
            </w:r>
          </w:p>
          <w:p w14:paraId="3430C404" w14:textId="77777777" w:rsidR="00776EDA" w:rsidRPr="00E150D7" w:rsidRDefault="00776EDA" w:rsidP="00776EDA">
            <w:pPr>
              <w:pStyle w:val="Tabletext"/>
              <w:ind w:left="283" w:hanging="283"/>
              <w:rPr>
                <w:sz w:val="22"/>
                <w:szCs w:val="22"/>
              </w:rPr>
            </w:pPr>
            <w:r w:rsidRPr="00E150D7">
              <w:rPr>
                <w:sz w:val="22"/>
                <w:szCs w:val="22"/>
              </w:rPr>
              <w:t>-</w:t>
            </w:r>
            <w:r w:rsidRPr="00E150D7">
              <w:rPr>
                <w:sz w:val="22"/>
                <w:szCs w:val="22"/>
              </w:rPr>
              <w:tab/>
              <w:t xml:space="preserve">ITU-T Sector </w:t>
            </w:r>
            <w:proofErr w:type="gramStart"/>
            <w:r w:rsidRPr="00E150D7">
              <w:rPr>
                <w:sz w:val="22"/>
                <w:szCs w:val="22"/>
              </w:rPr>
              <w:t>Members;</w:t>
            </w:r>
            <w:proofErr w:type="gramEnd"/>
          </w:p>
          <w:p w14:paraId="4DDC9E73" w14:textId="77777777" w:rsidR="00776EDA" w:rsidRPr="00E150D7" w:rsidRDefault="00776EDA" w:rsidP="00776EDA">
            <w:pPr>
              <w:pStyle w:val="Tabletext"/>
              <w:ind w:left="283" w:hanging="283"/>
              <w:rPr>
                <w:sz w:val="22"/>
                <w:szCs w:val="22"/>
              </w:rPr>
            </w:pPr>
            <w:r w:rsidRPr="00E150D7">
              <w:rPr>
                <w:sz w:val="22"/>
                <w:szCs w:val="22"/>
              </w:rPr>
              <w:t>-</w:t>
            </w:r>
            <w:r w:rsidRPr="00E150D7">
              <w:rPr>
                <w:sz w:val="22"/>
                <w:szCs w:val="22"/>
              </w:rPr>
              <w:tab/>
              <w:t xml:space="preserve">Associates of ITU-T Study Group </w:t>
            </w:r>
            <w:proofErr w:type="gramStart"/>
            <w:r w:rsidRPr="00E150D7">
              <w:rPr>
                <w:sz w:val="22"/>
                <w:szCs w:val="22"/>
              </w:rPr>
              <w:t>20;</w:t>
            </w:r>
            <w:proofErr w:type="gramEnd"/>
            <w:r w:rsidRPr="00E150D7">
              <w:rPr>
                <w:sz w:val="22"/>
                <w:szCs w:val="22"/>
              </w:rPr>
              <w:t xml:space="preserve"> </w:t>
            </w:r>
          </w:p>
          <w:p w14:paraId="23B7892E" w14:textId="77777777" w:rsidR="00776EDA" w:rsidRPr="00E150D7" w:rsidRDefault="00776EDA" w:rsidP="00776EDA">
            <w:pPr>
              <w:pStyle w:val="Tabletext"/>
              <w:ind w:left="283" w:hanging="283"/>
              <w:rPr>
                <w:sz w:val="22"/>
                <w:szCs w:val="22"/>
              </w:rPr>
            </w:pPr>
            <w:r w:rsidRPr="00E150D7">
              <w:rPr>
                <w:sz w:val="22"/>
                <w:szCs w:val="22"/>
              </w:rPr>
              <w:t>-</w:t>
            </w:r>
            <w:r w:rsidRPr="00E150D7">
              <w:rPr>
                <w:sz w:val="22"/>
                <w:szCs w:val="22"/>
              </w:rPr>
              <w:tab/>
              <w:t xml:space="preserve">ITU </w:t>
            </w:r>
            <w:proofErr w:type="gramStart"/>
            <w:r w:rsidRPr="00E150D7">
              <w:rPr>
                <w:sz w:val="22"/>
                <w:szCs w:val="22"/>
              </w:rPr>
              <w:t>Academia;</w:t>
            </w:r>
            <w:proofErr w:type="gramEnd"/>
          </w:p>
          <w:p w14:paraId="531676A9" w14:textId="77777777" w:rsidR="00776EDA" w:rsidRPr="00E150D7" w:rsidRDefault="00776EDA" w:rsidP="00776EDA">
            <w:pPr>
              <w:pStyle w:val="Tabletext"/>
              <w:ind w:left="283" w:hanging="283"/>
              <w:rPr>
                <w:sz w:val="22"/>
                <w:szCs w:val="22"/>
              </w:rPr>
            </w:pPr>
            <w:r w:rsidRPr="00E150D7">
              <w:rPr>
                <w:sz w:val="22"/>
                <w:szCs w:val="22"/>
              </w:rPr>
              <w:t>-</w:t>
            </w:r>
            <w:r w:rsidRPr="00E150D7">
              <w:rPr>
                <w:sz w:val="22"/>
                <w:szCs w:val="22"/>
              </w:rPr>
              <w:tab/>
              <w:t xml:space="preserve">The Chairman and Vice-Chairmen of ITU-T Study Group </w:t>
            </w:r>
            <w:proofErr w:type="gramStart"/>
            <w:r w:rsidRPr="00E150D7">
              <w:rPr>
                <w:sz w:val="22"/>
                <w:szCs w:val="22"/>
              </w:rPr>
              <w:t>20;</w:t>
            </w:r>
            <w:proofErr w:type="gramEnd"/>
          </w:p>
          <w:p w14:paraId="1FD32024" w14:textId="77777777" w:rsidR="00776EDA" w:rsidRPr="00E150D7" w:rsidRDefault="00776EDA" w:rsidP="00776EDA">
            <w:pPr>
              <w:pStyle w:val="Tabletext"/>
              <w:ind w:left="283" w:hanging="283"/>
              <w:rPr>
                <w:sz w:val="22"/>
                <w:szCs w:val="22"/>
              </w:rPr>
            </w:pPr>
            <w:r w:rsidRPr="00E150D7">
              <w:rPr>
                <w:sz w:val="22"/>
                <w:szCs w:val="22"/>
              </w:rPr>
              <w:t>-</w:t>
            </w:r>
            <w:r w:rsidRPr="00E150D7">
              <w:rPr>
                <w:sz w:val="22"/>
                <w:szCs w:val="22"/>
              </w:rPr>
              <w:tab/>
              <w:t xml:space="preserve">The Director of the Telecommunication Development </w:t>
            </w:r>
            <w:proofErr w:type="gramStart"/>
            <w:r w:rsidRPr="00E150D7">
              <w:rPr>
                <w:sz w:val="22"/>
                <w:szCs w:val="22"/>
              </w:rPr>
              <w:t>Bureau;</w:t>
            </w:r>
            <w:proofErr w:type="gramEnd"/>
          </w:p>
          <w:p w14:paraId="2003EEFF" w14:textId="0184CA64" w:rsidR="00F46912" w:rsidRPr="00B60460" w:rsidRDefault="00776EDA" w:rsidP="00776ED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E150D7">
              <w:rPr>
                <w:sz w:val="22"/>
                <w:szCs w:val="22"/>
              </w:rPr>
              <w:t>-</w:t>
            </w:r>
            <w:r w:rsidRPr="00E150D7">
              <w:rPr>
                <w:sz w:val="22"/>
                <w:szCs w:val="22"/>
              </w:rPr>
              <w:tab/>
              <w:t>The Director of the Radiocommunication Bureau</w:t>
            </w:r>
          </w:p>
        </w:tc>
      </w:tr>
      <w:tr w:rsidR="00F46912" w:rsidRPr="00B60460" w14:paraId="56892459" w14:textId="77777777" w:rsidTr="00F020AB">
        <w:trPr>
          <w:cantSplit/>
          <w:trHeight w:val="221"/>
        </w:trPr>
        <w:tc>
          <w:tcPr>
            <w:tcW w:w="1134" w:type="dxa"/>
          </w:tcPr>
          <w:p w14:paraId="279C4443" w14:textId="77777777" w:rsidR="00F46912" w:rsidRPr="003212A7" w:rsidRDefault="00F46912" w:rsidP="00F020AB">
            <w:pPr>
              <w:pStyle w:val="Tabletext"/>
              <w:ind w:left="-110"/>
              <w:rPr>
                <w:sz w:val="22"/>
                <w:szCs w:val="22"/>
              </w:rPr>
            </w:pPr>
            <w:r w:rsidRPr="003212A7">
              <w:rPr>
                <w:b/>
                <w:sz w:val="22"/>
                <w:szCs w:val="22"/>
              </w:rPr>
              <w:t>Tel:</w:t>
            </w:r>
          </w:p>
        </w:tc>
        <w:tc>
          <w:tcPr>
            <w:tcW w:w="3544" w:type="dxa"/>
            <w:gridSpan w:val="2"/>
          </w:tcPr>
          <w:p w14:paraId="30F3739D" w14:textId="2D2C48BE" w:rsidR="00F46912" w:rsidRPr="003212A7" w:rsidRDefault="00F46912" w:rsidP="00F020AB">
            <w:pPr>
              <w:pStyle w:val="Tabletext"/>
              <w:rPr>
                <w:b/>
                <w:sz w:val="22"/>
                <w:szCs w:val="22"/>
              </w:rPr>
            </w:pPr>
            <w:r w:rsidRPr="003212A7">
              <w:rPr>
                <w:sz w:val="22"/>
                <w:szCs w:val="22"/>
              </w:rPr>
              <w:t>+41 22 730 6301</w:t>
            </w:r>
          </w:p>
        </w:tc>
        <w:tc>
          <w:tcPr>
            <w:tcW w:w="5103" w:type="dxa"/>
            <w:gridSpan w:val="2"/>
            <w:vMerge/>
          </w:tcPr>
          <w:p w14:paraId="06A72D7F" w14:textId="77777777" w:rsidR="00F46912" w:rsidRPr="00B60460" w:rsidRDefault="00F46912" w:rsidP="00F020AB">
            <w:pPr>
              <w:pStyle w:val="Tabletext"/>
              <w:ind w:left="142" w:hanging="391"/>
              <w:rPr>
                <w:sz w:val="22"/>
                <w:szCs w:val="22"/>
              </w:rPr>
            </w:pPr>
          </w:p>
        </w:tc>
      </w:tr>
      <w:tr w:rsidR="00F46912" w:rsidRPr="00B60460" w14:paraId="7799F95C" w14:textId="77777777" w:rsidTr="00776EDA">
        <w:trPr>
          <w:cantSplit/>
          <w:trHeight w:val="2382"/>
        </w:trPr>
        <w:tc>
          <w:tcPr>
            <w:tcW w:w="1134" w:type="dxa"/>
          </w:tcPr>
          <w:p w14:paraId="726EA0EE" w14:textId="77777777" w:rsidR="00F46912" w:rsidRDefault="00F46912" w:rsidP="00F020AB">
            <w:pPr>
              <w:pStyle w:val="Tabletext"/>
              <w:ind w:left="-110"/>
              <w:rPr>
                <w:b/>
                <w:sz w:val="22"/>
                <w:szCs w:val="22"/>
              </w:rPr>
            </w:pPr>
            <w:r w:rsidRPr="003212A7">
              <w:rPr>
                <w:b/>
                <w:sz w:val="22"/>
                <w:szCs w:val="22"/>
              </w:rPr>
              <w:t>Fax:</w:t>
            </w:r>
          </w:p>
          <w:p w14:paraId="6644418C" w14:textId="1920CE1D" w:rsidR="00776EDA" w:rsidRPr="003212A7" w:rsidRDefault="00776EDA" w:rsidP="00F020AB">
            <w:pPr>
              <w:pStyle w:val="Tabletext"/>
              <w:ind w:left="-110"/>
              <w:rPr>
                <w:sz w:val="22"/>
                <w:szCs w:val="22"/>
              </w:rPr>
            </w:pPr>
            <w:r w:rsidRPr="003212A7">
              <w:rPr>
                <w:b/>
                <w:sz w:val="22"/>
                <w:szCs w:val="22"/>
              </w:rPr>
              <w:t>E-mail:</w:t>
            </w:r>
          </w:p>
        </w:tc>
        <w:tc>
          <w:tcPr>
            <w:tcW w:w="3544" w:type="dxa"/>
            <w:gridSpan w:val="2"/>
          </w:tcPr>
          <w:p w14:paraId="2819499B" w14:textId="77777777" w:rsidR="00F46912" w:rsidRDefault="00F46912" w:rsidP="00F020AB">
            <w:pPr>
              <w:pStyle w:val="Tabletext"/>
              <w:rPr>
                <w:sz w:val="22"/>
                <w:szCs w:val="22"/>
              </w:rPr>
            </w:pPr>
            <w:r w:rsidRPr="003212A7">
              <w:rPr>
                <w:sz w:val="22"/>
                <w:szCs w:val="22"/>
              </w:rPr>
              <w:t>+41 22 730 5853</w:t>
            </w:r>
          </w:p>
          <w:p w14:paraId="6393822E" w14:textId="6D297C99" w:rsidR="00776EDA" w:rsidRPr="003212A7" w:rsidRDefault="00776EDA" w:rsidP="00F020AB">
            <w:pPr>
              <w:pStyle w:val="Tabletext"/>
              <w:rPr>
                <w:b/>
                <w:sz w:val="22"/>
                <w:szCs w:val="22"/>
              </w:rPr>
            </w:pPr>
            <w:hyperlink r:id="rId9" w:history="1">
              <w:r w:rsidRPr="003212A7">
                <w:rPr>
                  <w:rStyle w:val="Hyperlink"/>
                  <w:sz w:val="22"/>
                  <w:szCs w:val="22"/>
                </w:rPr>
                <w:t>tsbsg20@itu.int</w:t>
              </w:r>
            </w:hyperlink>
          </w:p>
        </w:tc>
        <w:tc>
          <w:tcPr>
            <w:tcW w:w="5103" w:type="dxa"/>
            <w:gridSpan w:val="2"/>
            <w:vMerge/>
          </w:tcPr>
          <w:p w14:paraId="2CF61540" w14:textId="77777777" w:rsidR="00F46912" w:rsidRPr="00B60460" w:rsidRDefault="00F46912" w:rsidP="00F020AB">
            <w:pPr>
              <w:pStyle w:val="Tabletext"/>
              <w:ind w:left="142" w:hanging="391"/>
              <w:rPr>
                <w:sz w:val="22"/>
                <w:szCs w:val="22"/>
              </w:rPr>
            </w:pPr>
          </w:p>
        </w:tc>
      </w:tr>
      <w:tr w:rsidR="00FA46A0" w:rsidRPr="00E150D7" w14:paraId="5077CF3E" w14:textId="77777777" w:rsidTr="00F020AB">
        <w:trPr>
          <w:cantSplit/>
          <w:trHeight w:val="786"/>
        </w:trPr>
        <w:tc>
          <w:tcPr>
            <w:tcW w:w="1134" w:type="dxa"/>
          </w:tcPr>
          <w:p w14:paraId="5072539B" w14:textId="77777777" w:rsidR="00FA46A0" w:rsidRPr="00E150D7" w:rsidRDefault="00B61012" w:rsidP="00F020AB">
            <w:pPr>
              <w:pStyle w:val="Tabletext"/>
              <w:ind w:left="-110"/>
              <w:rPr>
                <w:rFonts w:cs="Calibri"/>
                <w:sz w:val="22"/>
                <w:szCs w:val="22"/>
              </w:rPr>
            </w:pPr>
            <w:r w:rsidRPr="00E150D7">
              <w:rPr>
                <w:rFonts w:cs="Calibri"/>
                <w:b/>
                <w:sz w:val="22"/>
                <w:szCs w:val="22"/>
              </w:rPr>
              <w:t>Subject:</w:t>
            </w:r>
          </w:p>
        </w:tc>
        <w:tc>
          <w:tcPr>
            <w:tcW w:w="8647" w:type="dxa"/>
            <w:gridSpan w:val="4"/>
          </w:tcPr>
          <w:p w14:paraId="7684B08E" w14:textId="77777777" w:rsidR="00B60460" w:rsidRPr="00E150D7" w:rsidRDefault="00B60460" w:rsidP="00B60460">
            <w:pPr>
              <w:pStyle w:val="Tabletext"/>
              <w:spacing w:before="0" w:after="0"/>
              <w:rPr>
                <w:rFonts w:cs="Calibri"/>
                <w:b/>
                <w:sz w:val="22"/>
                <w:szCs w:val="22"/>
              </w:rPr>
            </w:pPr>
            <w:r w:rsidRPr="00E150D7">
              <w:rPr>
                <w:rFonts w:cs="Calibri"/>
                <w:b/>
                <w:sz w:val="22"/>
                <w:szCs w:val="22"/>
              </w:rPr>
              <w:t xml:space="preserve">Member State consultation on Determined draft new Recommendations </w:t>
            </w:r>
          </w:p>
          <w:p w14:paraId="4CFE3D05" w14:textId="03929E7A" w:rsidR="00FA46A0" w:rsidRPr="00E150D7" w:rsidRDefault="00B60460" w:rsidP="00B60460">
            <w:pPr>
              <w:pStyle w:val="Tabletext"/>
              <w:spacing w:before="0" w:after="0"/>
              <w:rPr>
                <w:rFonts w:cs="Calibri"/>
                <w:b/>
                <w:bCs/>
                <w:sz w:val="22"/>
                <w:szCs w:val="22"/>
              </w:rPr>
            </w:pPr>
            <w:r w:rsidRPr="00E150D7">
              <w:rPr>
                <w:rFonts w:cs="Calibri"/>
                <w:b/>
                <w:sz w:val="22"/>
                <w:szCs w:val="22"/>
              </w:rPr>
              <w:t xml:space="preserve">ITU-T </w:t>
            </w:r>
            <w:bookmarkStart w:id="0" w:name="_Hlk46831557"/>
            <w:r w:rsidRPr="00E150D7">
              <w:rPr>
                <w:rFonts w:cs="Calibri"/>
                <w:b/>
                <w:sz w:val="22"/>
                <w:szCs w:val="22"/>
              </w:rPr>
              <w:t xml:space="preserve">Y.4601 (ex </w:t>
            </w:r>
            <w:proofErr w:type="spellStart"/>
            <w:proofErr w:type="gramStart"/>
            <w:r w:rsidRPr="00E150D7">
              <w:rPr>
                <w:rFonts w:cs="Calibri"/>
                <w:b/>
                <w:sz w:val="22"/>
                <w:szCs w:val="22"/>
              </w:rPr>
              <w:t>Y.dt</w:t>
            </w:r>
            <w:proofErr w:type="gramEnd"/>
            <w:r w:rsidRPr="00E150D7">
              <w:rPr>
                <w:rFonts w:cs="Calibri"/>
                <w:b/>
                <w:sz w:val="22"/>
                <w:szCs w:val="22"/>
              </w:rPr>
              <w:t>-smartfirefighting</w:t>
            </w:r>
            <w:proofErr w:type="spellEnd"/>
            <w:r w:rsidRPr="00E150D7">
              <w:rPr>
                <w:rFonts w:cs="Calibri"/>
                <w:b/>
                <w:sz w:val="22"/>
                <w:szCs w:val="22"/>
              </w:rPr>
              <w:t xml:space="preserve">) and </w:t>
            </w:r>
            <w:bookmarkEnd w:id="0"/>
            <w:r w:rsidRPr="00E150D7">
              <w:rPr>
                <w:rFonts w:cs="Calibri"/>
                <w:b/>
                <w:sz w:val="22"/>
                <w:szCs w:val="22"/>
              </w:rPr>
              <w:t>Y.4500.3 (ex Y.oneM2M.SEC.SOL), proposed for approval at the meeting of ITU-T Study Group 20 (Geneva, 30 January – 10 February 2023)</w:t>
            </w:r>
          </w:p>
        </w:tc>
      </w:tr>
    </w:tbl>
    <w:p w14:paraId="10B264CC" w14:textId="77777777" w:rsidR="00B60460" w:rsidRPr="00E150D7" w:rsidRDefault="00B60460" w:rsidP="00776EDA">
      <w:pPr>
        <w:spacing w:before="200"/>
        <w:rPr>
          <w:rFonts w:cs="Calibri"/>
          <w:sz w:val="22"/>
          <w:szCs w:val="22"/>
        </w:rPr>
      </w:pPr>
      <w:r w:rsidRPr="00E150D7">
        <w:rPr>
          <w:rFonts w:cs="Calibri"/>
          <w:sz w:val="22"/>
          <w:szCs w:val="22"/>
        </w:rPr>
        <w:t>Dear Sir/Madam,</w:t>
      </w:r>
    </w:p>
    <w:p w14:paraId="26D19A56" w14:textId="222CFC7E" w:rsidR="00B60460" w:rsidRPr="00E150D7" w:rsidRDefault="00B60460" w:rsidP="00B60460">
      <w:pPr>
        <w:rPr>
          <w:rFonts w:cs="Calibri"/>
          <w:sz w:val="22"/>
          <w:szCs w:val="22"/>
        </w:rPr>
      </w:pPr>
      <w:r w:rsidRPr="00E150D7">
        <w:rPr>
          <w:rFonts w:cs="Calibri"/>
          <w:sz w:val="22"/>
          <w:szCs w:val="22"/>
        </w:rPr>
        <w:t>1.</w:t>
      </w:r>
      <w:r w:rsidRPr="00E150D7">
        <w:rPr>
          <w:rFonts w:cs="Calibri"/>
          <w:sz w:val="22"/>
          <w:szCs w:val="22"/>
        </w:rPr>
        <w:tab/>
        <w:t>ITU-T Study Group 20 (SG20: Internet of things (IoT) and smart cities and communities (SC&amp;C)) intends to apply the Traditional Approval Procedure as described in Section 9 of WTSA Resolution 1 (Rev.</w:t>
      </w:r>
      <w:r w:rsidR="00776EDA">
        <w:rPr>
          <w:rFonts w:cs="Calibri"/>
          <w:sz w:val="22"/>
          <w:szCs w:val="22"/>
        </w:rPr>
        <w:t> </w:t>
      </w:r>
      <w:r w:rsidR="00D836C0" w:rsidRPr="00E150D7">
        <w:rPr>
          <w:rFonts w:cs="Calibri"/>
          <w:sz w:val="22"/>
          <w:szCs w:val="22"/>
        </w:rPr>
        <w:t>Geneva</w:t>
      </w:r>
      <w:r w:rsidRPr="00E150D7">
        <w:rPr>
          <w:rFonts w:cs="Calibri"/>
          <w:sz w:val="22"/>
          <w:szCs w:val="22"/>
        </w:rPr>
        <w:t>, 20</w:t>
      </w:r>
      <w:r w:rsidR="00D836C0" w:rsidRPr="00E150D7">
        <w:rPr>
          <w:rFonts w:cs="Calibri"/>
          <w:sz w:val="22"/>
          <w:szCs w:val="22"/>
        </w:rPr>
        <w:t>22</w:t>
      </w:r>
      <w:r w:rsidRPr="00E150D7">
        <w:rPr>
          <w:rFonts w:cs="Calibri"/>
          <w:sz w:val="22"/>
          <w:szCs w:val="22"/>
        </w:rPr>
        <w:t xml:space="preserve">) for the approval of the above-mentioned 2 draft Recommendations at its next meeting planned </w:t>
      </w:r>
      <w:r w:rsidR="00C40781" w:rsidRPr="00E150D7">
        <w:rPr>
          <w:rFonts w:cs="Calibri"/>
          <w:sz w:val="22"/>
          <w:szCs w:val="22"/>
        </w:rPr>
        <w:t>from</w:t>
      </w:r>
      <w:r w:rsidRPr="00E150D7">
        <w:rPr>
          <w:rFonts w:cs="Calibri"/>
          <w:sz w:val="22"/>
          <w:szCs w:val="22"/>
        </w:rPr>
        <w:t xml:space="preserve"> </w:t>
      </w:r>
      <w:r w:rsidR="00D836C0" w:rsidRPr="00E150D7">
        <w:rPr>
          <w:rFonts w:cs="Calibri"/>
          <w:sz w:val="22"/>
          <w:szCs w:val="22"/>
        </w:rPr>
        <w:t xml:space="preserve">30 January – 10 February </w:t>
      </w:r>
      <w:r w:rsidR="00D836C0" w:rsidRPr="003212A7">
        <w:rPr>
          <w:rFonts w:cs="Calibri"/>
          <w:sz w:val="22"/>
          <w:szCs w:val="22"/>
        </w:rPr>
        <w:t>2023</w:t>
      </w:r>
      <w:r w:rsidRPr="003212A7">
        <w:rPr>
          <w:rFonts w:cs="Calibri"/>
          <w:sz w:val="22"/>
          <w:szCs w:val="22"/>
        </w:rPr>
        <w:t>. The agenda and all relevant information concerning the ITU</w:t>
      </w:r>
      <w:r w:rsidR="00776EDA">
        <w:rPr>
          <w:rFonts w:cs="Calibri"/>
          <w:sz w:val="22"/>
          <w:szCs w:val="22"/>
        </w:rPr>
        <w:noBreakHyphen/>
      </w:r>
      <w:r w:rsidRPr="003212A7">
        <w:rPr>
          <w:rFonts w:cs="Calibri"/>
          <w:sz w:val="22"/>
          <w:szCs w:val="22"/>
        </w:rPr>
        <w:t>T</w:t>
      </w:r>
      <w:r w:rsidR="00776EDA">
        <w:rPr>
          <w:rFonts w:cs="Calibri"/>
          <w:sz w:val="22"/>
          <w:szCs w:val="22"/>
        </w:rPr>
        <w:t> </w:t>
      </w:r>
      <w:r w:rsidRPr="003212A7">
        <w:rPr>
          <w:rFonts w:cs="Calibri"/>
          <w:sz w:val="22"/>
          <w:szCs w:val="22"/>
        </w:rPr>
        <w:t xml:space="preserve">Study Group 20 meeting will be available in </w:t>
      </w:r>
      <w:hyperlink r:id="rId10" w:history="1">
        <w:r w:rsidRPr="003212A7">
          <w:rPr>
            <w:rStyle w:val="Hyperlink"/>
            <w:rFonts w:cs="Calibri"/>
            <w:sz w:val="22"/>
            <w:szCs w:val="22"/>
          </w:rPr>
          <w:t xml:space="preserve">Collective letter </w:t>
        </w:r>
        <w:r w:rsidR="00D836C0" w:rsidRPr="003212A7">
          <w:rPr>
            <w:rStyle w:val="Hyperlink"/>
            <w:rFonts w:cs="Calibri"/>
            <w:sz w:val="22"/>
            <w:szCs w:val="22"/>
          </w:rPr>
          <w:t>2</w:t>
        </w:r>
        <w:r w:rsidRPr="003212A7">
          <w:rPr>
            <w:rStyle w:val="Hyperlink"/>
            <w:rFonts w:cs="Calibri"/>
            <w:sz w:val="22"/>
            <w:szCs w:val="22"/>
          </w:rPr>
          <w:t>/20</w:t>
        </w:r>
      </w:hyperlink>
      <w:r w:rsidRPr="003212A7">
        <w:rPr>
          <w:rFonts w:cs="Calibri"/>
          <w:sz w:val="22"/>
          <w:szCs w:val="22"/>
        </w:rPr>
        <w:t>.</w:t>
      </w:r>
    </w:p>
    <w:p w14:paraId="521A9FDF" w14:textId="35C5680E" w:rsidR="00B60460" w:rsidRPr="00E150D7" w:rsidRDefault="00B60460" w:rsidP="00B60460">
      <w:pPr>
        <w:rPr>
          <w:rFonts w:cs="Calibri"/>
          <w:sz w:val="22"/>
          <w:szCs w:val="22"/>
        </w:rPr>
      </w:pPr>
      <w:r w:rsidRPr="00E150D7">
        <w:rPr>
          <w:rFonts w:cs="Calibri"/>
          <w:sz w:val="22"/>
          <w:szCs w:val="22"/>
        </w:rPr>
        <w:t>2.</w:t>
      </w:r>
      <w:r w:rsidRPr="00E150D7">
        <w:rPr>
          <w:rFonts w:cs="Calibri"/>
          <w:sz w:val="22"/>
          <w:szCs w:val="22"/>
        </w:rPr>
        <w:tab/>
        <w:t xml:space="preserve">The titles, summaries and locations of the draft new Recommendations </w:t>
      </w:r>
      <w:r w:rsidR="00D836C0" w:rsidRPr="00E150D7">
        <w:rPr>
          <w:rFonts w:cs="Calibri"/>
          <w:sz w:val="22"/>
          <w:szCs w:val="22"/>
        </w:rPr>
        <w:t xml:space="preserve">Y.4601 (ex </w:t>
      </w:r>
      <w:proofErr w:type="spellStart"/>
      <w:proofErr w:type="gramStart"/>
      <w:r w:rsidR="00D836C0" w:rsidRPr="00E150D7">
        <w:rPr>
          <w:rFonts w:cs="Calibri"/>
          <w:sz w:val="22"/>
          <w:szCs w:val="22"/>
        </w:rPr>
        <w:t>Y.dt</w:t>
      </w:r>
      <w:proofErr w:type="gramEnd"/>
      <w:r w:rsidR="00D836C0" w:rsidRPr="00E150D7">
        <w:rPr>
          <w:rFonts w:cs="Calibri"/>
          <w:sz w:val="22"/>
          <w:szCs w:val="22"/>
        </w:rPr>
        <w:t>-smartfirefighting</w:t>
      </w:r>
      <w:proofErr w:type="spellEnd"/>
      <w:r w:rsidR="00D836C0" w:rsidRPr="00E150D7">
        <w:rPr>
          <w:rFonts w:cs="Calibri"/>
          <w:sz w:val="22"/>
          <w:szCs w:val="22"/>
        </w:rPr>
        <w:t>) and Y.4500.3 (ex Y.oneM2M.SEC.SOL)</w:t>
      </w:r>
      <w:r w:rsidRPr="00E150D7">
        <w:rPr>
          <w:rFonts w:cs="Calibri"/>
          <w:sz w:val="22"/>
          <w:szCs w:val="22"/>
        </w:rPr>
        <w:t>, proposed for approval can be found in Annex 1.</w:t>
      </w:r>
    </w:p>
    <w:p w14:paraId="6274048D" w14:textId="79EAAE34" w:rsidR="00B60460" w:rsidRPr="00E150D7" w:rsidRDefault="00B60460" w:rsidP="00B60460">
      <w:pPr>
        <w:rPr>
          <w:rFonts w:cs="Calibri"/>
          <w:sz w:val="22"/>
          <w:szCs w:val="22"/>
        </w:rPr>
      </w:pPr>
      <w:r w:rsidRPr="00E150D7">
        <w:rPr>
          <w:rFonts w:cs="Calibri"/>
          <w:sz w:val="22"/>
          <w:szCs w:val="22"/>
        </w:rPr>
        <w:t>3.</w:t>
      </w:r>
      <w:r w:rsidRPr="00E150D7">
        <w:rPr>
          <w:rFonts w:cs="Calibri"/>
          <w:sz w:val="22"/>
          <w:szCs w:val="22"/>
        </w:rPr>
        <w:tab/>
      </w:r>
      <w:proofErr w:type="gramStart"/>
      <w:r w:rsidRPr="00E150D7">
        <w:rPr>
          <w:rFonts w:cs="Calibri"/>
          <w:sz w:val="22"/>
          <w:szCs w:val="22"/>
        </w:rPr>
        <w:t>This Circular initiates</w:t>
      </w:r>
      <w:proofErr w:type="gramEnd"/>
      <w:r w:rsidRPr="00E150D7">
        <w:rPr>
          <w:rFonts w:cs="Calibri"/>
          <w:sz w:val="22"/>
          <w:szCs w:val="22"/>
        </w:rPr>
        <w:t xml:space="preserve"> the formal consultation with ITU Member States on whether these texts may be considered for approval at the upcoming meeting, in accordance with clause 9.4 of Resolution 1. Member</w:t>
      </w:r>
      <w:r w:rsidR="00776EDA">
        <w:rPr>
          <w:rFonts w:cs="Calibri"/>
          <w:sz w:val="22"/>
          <w:szCs w:val="22"/>
        </w:rPr>
        <w:t> </w:t>
      </w:r>
      <w:r w:rsidRPr="00E150D7">
        <w:rPr>
          <w:rFonts w:cs="Calibri"/>
          <w:sz w:val="22"/>
          <w:szCs w:val="22"/>
        </w:rPr>
        <w:t xml:space="preserve">States are kindly requested to complete and return the form in Annex 2 by 2359 hours UTC on </w:t>
      </w:r>
      <w:r w:rsidR="00D836C0" w:rsidRPr="00E150D7">
        <w:rPr>
          <w:rFonts w:cs="Calibri"/>
          <w:b/>
          <w:bCs/>
          <w:sz w:val="22"/>
          <w:szCs w:val="22"/>
        </w:rPr>
        <w:t>18</w:t>
      </w:r>
      <w:r w:rsidRPr="00E150D7">
        <w:rPr>
          <w:rFonts w:cs="Calibri"/>
          <w:b/>
          <w:bCs/>
          <w:sz w:val="22"/>
          <w:szCs w:val="22"/>
        </w:rPr>
        <w:t> January 202</w:t>
      </w:r>
      <w:r w:rsidR="00D836C0" w:rsidRPr="00E150D7">
        <w:rPr>
          <w:rFonts w:cs="Calibri"/>
          <w:b/>
          <w:bCs/>
          <w:sz w:val="22"/>
          <w:szCs w:val="22"/>
        </w:rPr>
        <w:t>3</w:t>
      </w:r>
      <w:r w:rsidRPr="00E150D7">
        <w:rPr>
          <w:rFonts w:cs="Calibri"/>
          <w:sz w:val="22"/>
          <w:szCs w:val="22"/>
        </w:rPr>
        <w:t>.</w:t>
      </w:r>
    </w:p>
    <w:p w14:paraId="17DF8D8F" w14:textId="77777777" w:rsidR="00B60460" w:rsidRPr="00E150D7" w:rsidRDefault="00B60460" w:rsidP="00B60460">
      <w:pPr>
        <w:rPr>
          <w:rFonts w:cs="Calibri"/>
          <w:sz w:val="22"/>
          <w:szCs w:val="22"/>
        </w:rPr>
      </w:pPr>
      <w:r w:rsidRPr="00E150D7">
        <w:rPr>
          <w:rFonts w:cs="Calibri"/>
          <w:sz w:val="22"/>
          <w:szCs w:val="22"/>
        </w:rPr>
        <w:t>4.</w:t>
      </w:r>
      <w:r w:rsidRPr="00E150D7">
        <w:rPr>
          <w:rFonts w:cs="Calibri"/>
          <w:sz w:val="22"/>
          <w:szCs w:val="22"/>
        </w:rPr>
        <w:tab/>
        <w:t xml:space="preserve">If 70% or more of the replies from Member States support consideration for approval, one Plenary session will be devoted to </w:t>
      </w:r>
      <w:proofErr w:type="gramStart"/>
      <w:r w:rsidRPr="00E150D7">
        <w:rPr>
          <w:rFonts w:cs="Calibri"/>
          <w:sz w:val="22"/>
          <w:szCs w:val="22"/>
        </w:rPr>
        <w:t>apply</w:t>
      </w:r>
      <w:proofErr w:type="gramEnd"/>
      <w:r w:rsidRPr="00E150D7">
        <w:rPr>
          <w:rFonts w:cs="Calibri"/>
          <w:sz w:val="22"/>
          <w:szCs w:val="22"/>
        </w:rPr>
        <w:t xml:space="preserve"> the approval procedure. Member States that do not assign authority to proceed should inform the Director of TSB of the reasons for this opinion and indicate the possible changes that would enable the work to progress.</w:t>
      </w:r>
    </w:p>
    <w:p w14:paraId="764675D9" w14:textId="77777777" w:rsidR="00B60460" w:rsidRPr="00E150D7" w:rsidRDefault="00B60460" w:rsidP="00B60460">
      <w:pPr>
        <w:spacing w:before="100"/>
        <w:rPr>
          <w:rFonts w:cs="Calibri"/>
          <w:sz w:val="22"/>
          <w:szCs w:val="22"/>
        </w:rPr>
      </w:pPr>
      <w:r w:rsidRPr="00E150D7">
        <w:rPr>
          <w:rFonts w:cs="Calibri"/>
          <w:sz w:val="22"/>
          <w:szCs w:val="22"/>
        </w:rPr>
        <w:t xml:space="preserve">TSB NOTE 1– As of the date of this Circular, no IPR statements had been received by TSB regarding any of these draft texts. For up-to-date information, members are invited to consult the IPR database at </w:t>
      </w:r>
      <w:hyperlink r:id="rId11" w:history="1">
        <w:r w:rsidRPr="00E150D7">
          <w:rPr>
            <w:rStyle w:val="Hyperlink"/>
            <w:rFonts w:cs="Calibri"/>
            <w:sz w:val="22"/>
            <w:szCs w:val="22"/>
          </w:rPr>
          <w:t>www.itu.int/ipr/</w:t>
        </w:r>
      </w:hyperlink>
      <w:r w:rsidRPr="00E150D7">
        <w:rPr>
          <w:rFonts w:cs="Calibri"/>
          <w:sz w:val="22"/>
          <w:szCs w:val="22"/>
        </w:rPr>
        <w:t>.</w:t>
      </w:r>
    </w:p>
    <w:p w14:paraId="0823E9F1" w14:textId="0C46A900" w:rsidR="00B60460" w:rsidRPr="00E150D7" w:rsidRDefault="00B60460" w:rsidP="00B60460">
      <w:pPr>
        <w:spacing w:before="100"/>
        <w:rPr>
          <w:rFonts w:cs="Calibri"/>
          <w:sz w:val="22"/>
          <w:szCs w:val="22"/>
        </w:rPr>
      </w:pPr>
      <w:r w:rsidRPr="00E150D7">
        <w:rPr>
          <w:rFonts w:cs="Calibri"/>
          <w:sz w:val="22"/>
          <w:szCs w:val="22"/>
        </w:rPr>
        <w:t xml:space="preserve">TSB NOTE 2 – </w:t>
      </w:r>
      <w:r w:rsidR="00C40781" w:rsidRPr="00E150D7">
        <w:rPr>
          <w:rFonts w:cs="Calibri"/>
          <w:sz w:val="22"/>
          <w:szCs w:val="22"/>
        </w:rPr>
        <w:t xml:space="preserve">An </w:t>
      </w:r>
      <w:r w:rsidRPr="00E150D7">
        <w:rPr>
          <w:rFonts w:cs="Calibri"/>
          <w:sz w:val="22"/>
          <w:szCs w:val="22"/>
        </w:rPr>
        <w:t>ITU-T A.5 justification document has been prepared for</w:t>
      </w:r>
      <w:r w:rsidR="00C40781" w:rsidRPr="00E150D7">
        <w:rPr>
          <w:rFonts w:cs="Calibri"/>
          <w:sz w:val="22"/>
          <w:szCs w:val="22"/>
        </w:rPr>
        <w:t xml:space="preserve"> the</w:t>
      </w:r>
      <w:r w:rsidRPr="00E150D7">
        <w:rPr>
          <w:rFonts w:cs="Calibri"/>
          <w:sz w:val="22"/>
          <w:szCs w:val="22"/>
        </w:rPr>
        <w:t xml:space="preserve"> determined draft </w:t>
      </w:r>
      <w:r w:rsidR="00C40781" w:rsidRPr="00E150D7">
        <w:rPr>
          <w:rFonts w:cs="Calibri"/>
          <w:sz w:val="22"/>
          <w:szCs w:val="22"/>
        </w:rPr>
        <w:t>Recommendation ITU-T Y.4500.3 (ex Y.oneM2M.SEC.SOL)</w:t>
      </w:r>
      <w:r w:rsidRPr="00E150D7">
        <w:rPr>
          <w:rFonts w:cs="Calibri"/>
          <w:sz w:val="22"/>
          <w:szCs w:val="22"/>
        </w:rPr>
        <w:t>.</w:t>
      </w:r>
    </w:p>
    <w:p w14:paraId="3C1D2EDD" w14:textId="174873FB" w:rsidR="00B60460" w:rsidRPr="00E150D7" w:rsidRDefault="00B60460" w:rsidP="00776EDA">
      <w:pPr>
        <w:pStyle w:val="Tabletext"/>
        <w:spacing w:before="120"/>
        <w:rPr>
          <w:rFonts w:cs="Calibri"/>
          <w:sz w:val="22"/>
          <w:szCs w:val="22"/>
        </w:rPr>
      </w:pPr>
      <w:r w:rsidRPr="00E150D7">
        <w:rPr>
          <w:rFonts w:cs="Calibri"/>
          <w:sz w:val="22"/>
          <w:szCs w:val="22"/>
        </w:rPr>
        <w:t>Yours faithfully</w:t>
      </w:r>
    </w:p>
    <w:p w14:paraId="7723D1F0" w14:textId="519633AF" w:rsidR="00B60460" w:rsidRPr="00E150D7" w:rsidRDefault="000F4CAB" w:rsidP="00776EDA">
      <w:pPr>
        <w:pStyle w:val="Tabletext"/>
        <w:spacing w:before="960"/>
        <w:rPr>
          <w:rFonts w:cs="Calibri"/>
          <w:sz w:val="22"/>
          <w:szCs w:val="22"/>
        </w:rPr>
      </w:pPr>
      <w:r>
        <w:rPr>
          <w:rFonts w:cs="Calibri"/>
          <w:noProof/>
          <w:sz w:val="22"/>
          <w:szCs w:val="22"/>
        </w:rPr>
        <w:drawing>
          <wp:anchor distT="0" distB="0" distL="114300" distR="114300" simplePos="0" relativeHeight="251658240" behindDoc="1" locked="0" layoutInCell="1" allowOverlap="1" wp14:anchorId="6D9893C1" wp14:editId="5771EB46">
            <wp:simplePos x="0" y="0"/>
            <wp:positionH relativeFrom="column">
              <wp:posOffset>1128</wp:posOffset>
            </wp:positionH>
            <wp:positionV relativeFrom="paragraph">
              <wp:posOffset>115570</wp:posOffset>
            </wp:positionV>
            <wp:extent cx="717550" cy="303103"/>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717550" cy="303103"/>
                    </a:xfrm>
                    <a:prstGeom prst="rect">
                      <a:avLst/>
                    </a:prstGeom>
                  </pic:spPr>
                </pic:pic>
              </a:graphicData>
            </a:graphic>
            <wp14:sizeRelH relativeFrom="margin">
              <wp14:pctWidth>0</wp14:pctWidth>
            </wp14:sizeRelH>
            <wp14:sizeRelV relativeFrom="margin">
              <wp14:pctHeight>0</wp14:pctHeight>
            </wp14:sizeRelV>
          </wp:anchor>
        </w:drawing>
      </w:r>
      <w:r w:rsidR="00B60460" w:rsidRPr="00E150D7">
        <w:rPr>
          <w:rFonts w:cs="Calibri"/>
          <w:sz w:val="22"/>
          <w:szCs w:val="22"/>
        </w:rPr>
        <w:t>Chaesub Lee</w:t>
      </w:r>
      <w:r w:rsidR="00B60460" w:rsidRPr="00E150D7">
        <w:rPr>
          <w:rFonts w:cs="Calibri"/>
          <w:sz w:val="22"/>
          <w:szCs w:val="22"/>
        </w:rPr>
        <w:br/>
        <w:t>Director of the Telecommunication</w:t>
      </w:r>
      <w:r w:rsidR="00B60460" w:rsidRPr="00E150D7">
        <w:rPr>
          <w:rFonts w:cs="Calibri"/>
          <w:sz w:val="22"/>
          <w:szCs w:val="22"/>
        </w:rPr>
        <w:br/>
        <w:t>Standardization Bureau</w:t>
      </w:r>
    </w:p>
    <w:p w14:paraId="31653AC6" w14:textId="6F2DE15C" w:rsidR="002D69A3" w:rsidRPr="00E150D7" w:rsidRDefault="00B60460" w:rsidP="00776EDA">
      <w:pPr>
        <w:rPr>
          <w:rFonts w:cs="Calibri"/>
          <w:bCs/>
          <w:sz w:val="22"/>
          <w:szCs w:val="22"/>
        </w:rPr>
      </w:pPr>
      <w:r w:rsidRPr="00E150D7">
        <w:rPr>
          <w:rFonts w:cs="Calibri"/>
          <w:b/>
          <w:sz w:val="22"/>
          <w:szCs w:val="22"/>
        </w:rPr>
        <w:t xml:space="preserve">Annexes: </w:t>
      </w:r>
      <w:r w:rsidRPr="00E150D7">
        <w:rPr>
          <w:rFonts w:cs="Calibri"/>
          <w:bCs/>
          <w:sz w:val="22"/>
          <w:szCs w:val="22"/>
        </w:rPr>
        <w:t>2</w:t>
      </w:r>
    </w:p>
    <w:p w14:paraId="28506383" w14:textId="77777777" w:rsidR="00B60460" w:rsidRPr="00B60460" w:rsidRDefault="00B60460" w:rsidP="00B60460">
      <w:pPr>
        <w:keepNext/>
        <w:keepLines/>
        <w:spacing w:before="240" w:after="280"/>
        <w:jc w:val="center"/>
        <w:rPr>
          <w:rFonts w:eastAsia="Times New Roman"/>
          <w:b/>
          <w:sz w:val="28"/>
        </w:rPr>
      </w:pPr>
      <w:r w:rsidRPr="00B60460">
        <w:rPr>
          <w:rFonts w:eastAsia="Times New Roman"/>
          <w:b/>
          <w:sz w:val="28"/>
        </w:rPr>
        <w:lastRenderedPageBreak/>
        <w:t>Annex 1</w:t>
      </w:r>
    </w:p>
    <w:p w14:paraId="2F066E02" w14:textId="2558291B" w:rsidR="00B60460" w:rsidRPr="00B60460" w:rsidRDefault="00B60460" w:rsidP="00B60460">
      <w:pPr>
        <w:keepNext/>
        <w:keepLines/>
        <w:spacing w:before="240" w:after="280"/>
        <w:jc w:val="center"/>
        <w:rPr>
          <w:rFonts w:eastAsia="Times New Roman"/>
          <w:b/>
          <w:sz w:val="28"/>
        </w:rPr>
      </w:pPr>
      <w:r w:rsidRPr="00B60460">
        <w:rPr>
          <w:rFonts w:eastAsia="Times New Roman"/>
          <w:b/>
          <w:sz w:val="28"/>
        </w:rPr>
        <w:t xml:space="preserve">Summary and location of Determined draft new Recommendations </w:t>
      </w:r>
      <w:r w:rsidR="00E609F7" w:rsidRPr="00E609F7">
        <w:rPr>
          <w:rFonts w:eastAsia="Times New Roman"/>
          <w:b/>
          <w:sz w:val="28"/>
        </w:rPr>
        <w:t xml:space="preserve">ITU-T Y.4601 (ex </w:t>
      </w:r>
      <w:proofErr w:type="spellStart"/>
      <w:proofErr w:type="gramStart"/>
      <w:r w:rsidR="00E609F7" w:rsidRPr="00E609F7">
        <w:rPr>
          <w:rFonts w:eastAsia="Times New Roman"/>
          <w:b/>
          <w:sz w:val="28"/>
        </w:rPr>
        <w:t>Y.dt</w:t>
      </w:r>
      <w:proofErr w:type="gramEnd"/>
      <w:r w:rsidR="00E609F7" w:rsidRPr="00E609F7">
        <w:rPr>
          <w:rFonts w:eastAsia="Times New Roman"/>
          <w:b/>
          <w:sz w:val="28"/>
        </w:rPr>
        <w:t>-smartfirefighting</w:t>
      </w:r>
      <w:proofErr w:type="spellEnd"/>
      <w:r w:rsidR="00E609F7" w:rsidRPr="00E609F7">
        <w:rPr>
          <w:rFonts w:eastAsia="Times New Roman"/>
          <w:b/>
          <w:sz w:val="28"/>
        </w:rPr>
        <w:t>) and Y.4500.3 (ex Y.oneM2M.SEC.SOL)</w:t>
      </w:r>
    </w:p>
    <w:p w14:paraId="24B71F44" w14:textId="04D7B2D9" w:rsidR="00B60460" w:rsidRPr="00B60460" w:rsidRDefault="00B60460" w:rsidP="00B60460">
      <w:pPr>
        <w:keepNext/>
        <w:keepLines/>
        <w:spacing w:before="280"/>
        <w:ind w:left="1134" w:hanging="1134"/>
        <w:outlineLvl w:val="0"/>
        <w:rPr>
          <w:rFonts w:eastAsia="Times New Roman" w:cs="Calibri"/>
          <w:b/>
          <w:sz w:val="28"/>
        </w:rPr>
      </w:pPr>
      <w:r w:rsidRPr="00B60460">
        <w:rPr>
          <w:rFonts w:eastAsia="Times New Roman" w:cs="Calibri"/>
          <w:b/>
          <w:sz w:val="28"/>
        </w:rPr>
        <w:t>1</w:t>
      </w:r>
      <w:r w:rsidRPr="00B60460">
        <w:rPr>
          <w:rFonts w:eastAsia="Times New Roman" w:cs="Calibri"/>
          <w:b/>
          <w:sz w:val="28"/>
        </w:rPr>
        <w:tab/>
        <w:t xml:space="preserve">Draft new Recommendation ITU-T </w:t>
      </w:r>
      <w:r w:rsidR="00E609F7" w:rsidRPr="00E609F7">
        <w:rPr>
          <w:rFonts w:eastAsia="Times New Roman"/>
          <w:b/>
          <w:sz w:val="28"/>
        </w:rPr>
        <w:t xml:space="preserve">Y.4601 (ex </w:t>
      </w:r>
      <w:proofErr w:type="spellStart"/>
      <w:proofErr w:type="gramStart"/>
      <w:r w:rsidR="00E609F7" w:rsidRPr="00E609F7">
        <w:rPr>
          <w:rFonts w:eastAsia="Times New Roman"/>
          <w:b/>
          <w:sz w:val="28"/>
        </w:rPr>
        <w:t>Y.dt</w:t>
      </w:r>
      <w:proofErr w:type="gramEnd"/>
      <w:r w:rsidR="00E609F7" w:rsidRPr="00E609F7">
        <w:rPr>
          <w:rFonts w:eastAsia="Times New Roman"/>
          <w:b/>
          <w:sz w:val="28"/>
        </w:rPr>
        <w:t>-smartfirefighting</w:t>
      </w:r>
      <w:proofErr w:type="spellEnd"/>
      <w:r w:rsidR="00E609F7" w:rsidRPr="00E609F7">
        <w:rPr>
          <w:rFonts w:eastAsia="Times New Roman"/>
          <w:b/>
          <w:sz w:val="28"/>
        </w:rPr>
        <w:t>)</w:t>
      </w:r>
      <w:r w:rsidRPr="00B60460">
        <w:rPr>
          <w:rFonts w:eastAsia="Times New Roman" w:cs="Calibri"/>
          <w:b/>
          <w:sz w:val="28"/>
        </w:rPr>
        <w:t xml:space="preserve">: </w:t>
      </w:r>
      <w:r w:rsidRPr="00956917">
        <w:rPr>
          <w:rFonts w:eastAsia="Times New Roman" w:cs="Calibri"/>
          <w:b/>
          <w:sz w:val="28"/>
        </w:rPr>
        <w:t>[</w:t>
      </w:r>
      <w:hyperlink r:id="rId13" w:history="1">
        <w:r w:rsidR="00E609F7" w:rsidRPr="00956917">
          <w:rPr>
            <w:rStyle w:val="Hyperlink"/>
            <w:rFonts w:eastAsia="Times New Roman" w:cs="Calibri"/>
            <w:b/>
            <w:sz w:val="28"/>
          </w:rPr>
          <w:t>R2</w:t>
        </w:r>
      </w:hyperlink>
      <w:r w:rsidRPr="00956917">
        <w:rPr>
          <w:rFonts w:eastAsia="Times New Roman" w:cs="Calibri"/>
          <w:b/>
          <w:sz w:val="28"/>
        </w:rPr>
        <w:t>]</w:t>
      </w:r>
    </w:p>
    <w:p w14:paraId="4DD81536" w14:textId="77777777" w:rsidR="00956917" w:rsidRPr="00956917" w:rsidRDefault="00956917" w:rsidP="00B60460">
      <w:pPr>
        <w:keepNext/>
        <w:keepLines/>
        <w:ind w:left="1134" w:hanging="1134"/>
        <w:outlineLvl w:val="1"/>
        <w:rPr>
          <w:rFonts w:eastAsia="Times New Roman" w:cs="Calibri"/>
          <w:b/>
          <w:szCs w:val="24"/>
          <w:lang w:val="en-US"/>
        </w:rPr>
      </w:pPr>
      <w:r w:rsidRPr="00956917">
        <w:rPr>
          <w:rFonts w:eastAsia="Times New Roman" w:cs="Calibri"/>
          <w:b/>
          <w:szCs w:val="24"/>
          <w:lang w:val="en-US"/>
        </w:rPr>
        <w:t>Requirements and capability framework of a digital twin for smart firefighting</w:t>
      </w:r>
    </w:p>
    <w:p w14:paraId="00C6EBCA" w14:textId="7D98112E" w:rsidR="00B60460" w:rsidRPr="00956917" w:rsidRDefault="00B60460" w:rsidP="00B60460">
      <w:pPr>
        <w:keepNext/>
        <w:keepLines/>
        <w:ind w:left="1134" w:hanging="1134"/>
        <w:outlineLvl w:val="1"/>
        <w:rPr>
          <w:rFonts w:eastAsia="Times New Roman" w:cs="Calibri"/>
          <w:b/>
          <w:szCs w:val="24"/>
        </w:rPr>
      </w:pPr>
      <w:r w:rsidRPr="00956917">
        <w:rPr>
          <w:rFonts w:eastAsia="Times New Roman" w:cs="Calibri"/>
          <w:b/>
          <w:szCs w:val="24"/>
        </w:rPr>
        <w:t>Summary</w:t>
      </w:r>
    </w:p>
    <w:p w14:paraId="7C34468E" w14:textId="77777777" w:rsidR="00956917" w:rsidRPr="00956917" w:rsidRDefault="00956917" w:rsidP="00956917">
      <w:pPr>
        <w:rPr>
          <w:rFonts w:eastAsia="DengXian" w:cs="Calibri"/>
          <w:szCs w:val="24"/>
          <w:lang w:val="en-US" w:eastAsia="zh-CN"/>
        </w:rPr>
      </w:pPr>
      <w:bookmarkStart w:id="1" w:name="_Hlk53129002"/>
      <w:r w:rsidRPr="00956917">
        <w:rPr>
          <w:rFonts w:eastAsia="DengXian" w:cs="Calibri"/>
          <w:szCs w:val="24"/>
          <w:lang w:val="en-US" w:eastAsia="zh-CN"/>
        </w:rPr>
        <w:t>Draft Recommendation ITU-T Y.4601 specifies the requirements and capability framework of a digital twin for smart firefighting.</w:t>
      </w:r>
    </w:p>
    <w:p w14:paraId="7C83A42D" w14:textId="77777777" w:rsidR="00956917" w:rsidRPr="00956917" w:rsidRDefault="00956917" w:rsidP="00956917">
      <w:pPr>
        <w:rPr>
          <w:rFonts w:eastAsia="DengXian" w:cs="Calibri"/>
          <w:szCs w:val="24"/>
          <w:lang w:val="en-US" w:eastAsia="zh-CN"/>
        </w:rPr>
      </w:pPr>
      <w:r w:rsidRPr="00956917">
        <w:rPr>
          <w:rFonts w:eastAsia="DengXian" w:cs="Calibri"/>
          <w:szCs w:val="24"/>
          <w:lang w:val="en-US" w:eastAsia="zh-CN"/>
        </w:rPr>
        <w:t xml:space="preserve">A digital twin is a digital representation of an object of interest and may require different capabilities according to the specific domain of application such as synchronization between a physical thing and its digital representation, and real-time support (see </w:t>
      </w:r>
      <w:r w:rsidRPr="00956917">
        <w:rPr>
          <w:rFonts w:eastAsia="DengXian" w:cs="Calibri"/>
          <w:iCs/>
          <w:szCs w:val="24"/>
        </w:rPr>
        <w:t>Recommendation ITU</w:t>
      </w:r>
      <w:r w:rsidRPr="00956917">
        <w:rPr>
          <w:rFonts w:eastAsia="DengXian" w:cs="Calibri"/>
          <w:iCs/>
          <w:szCs w:val="24"/>
          <w:lang w:eastAsia="zh-CN"/>
        </w:rPr>
        <w:t>-T</w:t>
      </w:r>
      <w:r w:rsidRPr="00956917">
        <w:rPr>
          <w:rFonts w:eastAsia="DengXian" w:cs="Calibri"/>
          <w:iCs/>
          <w:szCs w:val="24"/>
        </w:rPr>
        <w:t xml:space="preserve"> Y.4600)</w:t>
      </w:r>
      <w:r w:rsidRPr="00956917">
        <w:rPr>
          <w:rFonts w:eastAsia="DengXian" w:cs="Calibri"/>
          <w:szCs w:val="24"/>
          <w:lang w:val="en-US" w:eastAsia="zh-CN"/>
        </w:rPr>
        <w:t>.</w:t>
      </w:r>
    </w:p>
    <w:p w14:paraId="613E5672" w14:textId="77777777" w:rsidR="00956917" w:rsidRPr="00956917" w:rsidRDefault="00956917" w:rsidP="00956917">
      <w:pPr>
        <w:rPr>
          <w:rFonts w:eastAsia="DengXian" w:cs="Calibri"/>
          <w:szCs w:val="24"/>
          <w:lang w:val="en-US" w:eastAsia="zh-CN"/>
        </w:rPr>
      </w:pPr>
      <w:r w:rsidRPr="00956917">
        <w:rPr>
          <w:rFonts w:eastAsia="DengXian" w:cs="Calibri"/>
          <w:szCs w:val="24"/>
          <w:lang w:val="en-US" w:eastAsia="zh-CN"/>
        </w:rPr>
        <w:t xml:space="preserve">Through the </w:t>
      </w:r>
      <w:r w:rsidRPr="00956917">
        <w:rPr>
          <w:rFonts w:cs="Calibri"/>
          <w:szCs w:val="24"/>
        </w:rPr>
        <w:t>Internet of things</w:t>
      </w:r>
      <w:r w:rsidRPr="00956917">
        <w:rPr>
          <w:rFonts w:eastAsia="DengXian" w:cs="Calibri"/>
          <w:szCs w:val="24"/>
          <w:lang w:val="en-US" w:eastAsia="zh-CN"/>
        </w:rPr>
        <w:t xml:space="preserve"> (IoT) technology deployment and the information integration process, a digital twin can provide high fidelity digital representation of a fire scene, enable dynamic convergence between the physical entity and digital entity, achieve comprehensive understanding and control of the past, present and future of the fire scene. The current state of the art for firefighting lacks comprehensive dynamic sensing capability and prediction capability. It cannot provide delayed information, and adequate visibility of the interaction between personnel and a fire scene. </w:t>
      </w:r>
    </w:p>
    <w:p w14:paraId="6AA94E78" w14:textId="43847E47" w:rsidR="00956917" w:rsidRPr="00956917" w:rsidRDefault="00956917" w:rsidP="00956917">
      <w:pPr>
        <w:rPr>
          <w:rFonts w:eastAsia="DengXian" w:cs="Calibri"/>
          <w:szCs w:val="24"/>
          <w:lang w:val="en-US" w:eastAsia="zh-CN"/>
        </w:rPr>
      </w:pPr>
      <w:r w:rsidRPr="00956917">
        <w:rPr>
          <w:rFonts w:eastAsia="DengXian" w:cs="Calibri"/>
          <w:szCs w:val="24"/>
          <w:lang w:val="en-US" w:eastAsia="zh-CN"/>
        </w:rPr>
        <w:t xml:space="preserve">Through the deployment of gateways, sensors, high quality networks, multi-physics simulations, dynamic </w:t>
      </w:r>
      <w:proofErr w:type="gramStart"/>
      <w:r w:rsidRPr="00956917">
        <w:rPr>
          <w:rFonts w:eastAsia="DengXian" w:cs="Calibri"/>
          <w:szCs w:val="24"/>
          <w:lang w:val="en-US" w:eastAsia="zh-CN"/>
        </w:rPr>
        <w:t>analysis</w:t>
      </w:r>
      <w:proofErr w:type="gramEnd"/>
      <w:r w:rsidRPr="00956917">
        <w:rPr>
          <w:rFonts w:eastAsia="DengXian" w:cs="Calibri"/>
          <w:szCs w:val="24"/>
          <w:lang w:val="en-US" w:eastAsia="zh-CN"/>
        </w:rPr>
        <w:t xml:space="preserve"> and predictions and </w:t>
      </w:r>
      <w:r w:rsidRPr="00956917">
        <w:rPr>
          <w:rFonts w:eastAsia="DengXian" w:cs="Calibri"/>
          <w:szCs w:val="24"/>
          <w:lang w:eastAsia="zh-CN"/>
        </w:rPr>
        <w:t>three dimensional (</w:t>
      </w:r>
      <w:r w:rsidRPr="00956917">
        <w:rPr>
          <w:rFonts w:eastAsia="DengXian" w:cs="Calibri"/>
          <w:szCs w:val="24"/>
          <w:lang w:val="en-US" w:eastAsia="zh-CN"/>
        </w:rPr>
        <w:t xml:space="preserve">3D) visualizations, the smart firefighting digital twin enables intelligent services such as personnel tracking, hazard tracking, fire scene dynamic analysis, rescue strategy optimization, pre-simulation, historical scene reconstruction, etc. These intelligent services can help to improve decision-making processes and reduce casualties. </w:t>
      </w:r>
      <w:bookmarkEnd w:id="1"/>
    </w:p>
    <w:p w14:paraId="3DCB5757" w14:textId="60BE4D3E" w:rsidR="00B60460" w:rsidRPr="00956917" w:rsidRDefault="00B60460" w:rsidP="00B60460">
      <w:pPr>
        <w:keepNext/>
        <w:keepLines/>
        <w:spacing w:before="280"/>
        <w:ind w:left="1134" w:hanging="1134"/>
        <w:outlineLvl w:val="0"/>
        <w:rPr>
          <w:rFonts w:eastAsia="Times New Roman" w:cs="Calibri"/>
          <w:b/>
          <w:sz w:val="28"/>
          <w:highlight w:val="yellow"/>
          <w:lang w:val="fr-CH"/>
        </w:rPr>
      </w:pPr>
      <w:r w:rsidRPr="00956917">
        <w:rPr>
          <w:rFonts w:eastAsia="Times New Roman" w:cs="Calibri"/>
          <w:b/>
          <w:sz w:val="28"/>
          <w:lang w:val="fr-CH"/>
        </w:rPr>
        <w:t>2</w:t>
      </w:r>
      <w:r w:rsidRPr="00956917">
        <w:rPr>
          <w:rFonts w:eastAsia="Times New Roman" w:cs="Calibri"/>
          <w:b/>
          <w:sz w:val="28"/>
          <w:lang w:val="fr-CH"/>
        </w:rPr>
        <w:tab/>
        <w:t xml:space="preserve">Draft new </w:t>
      </w:r>
      <w:proofErr w:type="spellStart"/>
      <w:r w:rsidRPr="00956917">
        <w:rPr>
          <w:rFonts w:eastAsia="Times New Roman" w:cs="Calibri"/>
          <w:b/>
          <w:sz w:val="28"/>
          <w:lang w:val="fr-CH"/>
        </w:rPr>
        <w:t>Recommendation</w:t>
      </w:r>
      <w:proofErr w:type="spellEnd"/>
      <w:r w:rsidRPr="00956917">
        <w:rPr>
          <w:rFonts w:eastAsia="Times New Roman" w:cs="Calibri"/>
          <w:b/>
          <w:sz w:val="28"/>
          <w:lang w:val="fr-CH"/>
        </w:rPr>
        <w:t xml:space="preserve"> ITU-T </w:t>
      </w:r>
      <w:r w:rsidR="00E609F7" w:rsidRPr="00956917">
        <w:rPr>
          <w:rFonts w:eastAsia="Times New Roman"/>
          <w:b/>
          <w:sz w:val="28"/>
          <w:lang w:val="fr-CH"/>
        </w:rPr>
        <w:t>Y.4500.3 (ex Y.oneM2M.SEC.SOL)</w:t>
      </w:r>
      <w:r w:rsidR="00E609F7" w:rsidRPr="00956917">
        <w:rPr>
          <w:rFonts w:eastAsia="Times New Roman" w:cs="Calibri"/>
          <w:b/>
          <w:sz w:val="28"/>
          <w:lang w:val="fr-CH"/>
        </w:rPr>
        <w:t xml:space="preserve"> </w:t>
      </w:r>
      <w:r w:rsidRPr="00956917">
        <w:rPr>
          <w:rFonts w:eastAsia="Times New Roman" w:cs="Calibri"/>
          <w:b/>
          <w:sz w:val="28"/>
          <w:lang w:val="fr-CH"/>
        </w:rPr>
        <w:t>[</w:t>
      </w:r>
      <w:hyperlink r:id="rId14" w:history="1">
        <w:r w:rsidRPr="00956917">
          <w:rPr>
            <w:rStyle w:val="Hyperlink"/>
            <w:rFonts w:eastAsia="Times New Roman" w:cs="Calibri"/>
            <w:b/>
            <w:sz w:val="28"/>
            <w:lang w:val="fr-CH"/>
          </w:rPr>
          <w:t>R</w:t>
        </w:r>
        <w:r w:rsidR="00E609F7" w:rsidRPr="00956917">
          <w:rPr>
            <w:rStyle w:val="Hyperlink"/>
            <w:rFonts w:eastAsia="Times New Roman" w:cs="Calibri"/>
            <w:b/>
            <w:sz w:val="28"/>
            <w:lang w:val="fr-CH"/>
          </w:rPr>
          <w:t>3</w:t>
        </w:r>
      </w:hyperlink>
      <w:r w:rsidRPr="00956917">
        <w:rPr>
          <w:rFonts w:eastAsia="Times New Roman" w:cs="Calibri"/>
          <w:b/>
          <w:sz w:val="28"/>
          <w:lang w:val="fr-CH"/>
        </w:rPr>
        <w:t>]</w:t>
      </w:r>
    </w:p>
    <w:p w14:paraId="277D0E9D" w14:textId="311DEB63" w:rsidR="00E609F7" w:rsidRPr="00E609F7" w:rsidRDefault="00956917" w:rsidP="00B60460">
      <w:pPr>
        <w:keepNext/>
        <w:keepLines/>
        <w:ind w:left="1134" w:hanging="1134"/>
        <w:outlineLvl w:val="1"/>
        <w:rPr>
          <w:rFonts w:eastAsia="Times New Roman" w:cs="Calibri"/>
          <w:b/>
          <w:bCs/>
          <w:highlight w:val="yellow"/>
        </w:rPr>
      </w:pPr>
      <w:r w:rsidRPr="00956917">
        <w:rPr>
          <w:rFonts w:eastAsia="Times New Roman" w:cs="Calibri"/>
          <w:b/>
          <w:bCs/>
        </w:rPr>
        <w:t>oneM2M – Security solutions</w:t>
      </w:r>
    </w:p>
    <w:p w14:paraId="568FDECD" w14:textId="65E54460" w:rsidR="00B60460" w:rsidRPr="00956917" w:rsidRDefault="00B60460" w:rsidP="00B60460">
      <w:pPr>
        <w:keepNext/>
        <w:keepLines/>
        <w:ind w:left="1134" w:hanging="1134"/>
        <w:outlineLvl w:val="1"/>
        <w:rPr>
          <w:rFonts w:eastAsia="Times New Roman" w:cs="Calibri"/>
          <w:b/>
        </w:rPr>
      </w:pPr>
      <w:r w:rsidRPr="00956917">
        <w:rPr>
          <w:rFonts w:eastAsia="Times New Roman" w:cs="Calibri"/>
          <w:b/>
        </w:rPr>
        <w:t>Summary</w:t>
      </w:r>
    </w:p>
    <w:p w14:paraId="0342CF6B" w14:textId="4219F6AD" w:rsidR="00956917" w:rsidRDefault="00956917" w:rsidP="00956917">
      <w:r>
        <w:t>Draft Recommendation ITU-T Y.4500.3 provides specifications for machine to machine (M2M) security and privacy protection.</w:t>
      </w:r>
    </w:p>
    <w:p w14:paraId="34A8EE5D" w14:textId="77777777" w:rsidR="00B60460" w:rsidRPr="00B60460" w:rsidRDefault="00B60460" w:rsidP="00B60460">
      <w:pPr>
        <w:keepNext/>
        <w:keepLines/>
        <w:spacing w:after="280"/>
        <w:jc w:val="center"/>
        <w:rPr>
          <w:rFonts w:eastAsia="Times New Roman"/>
          <w:b/>
          <w:sz w:val="28"/>
        </w:rPr>
      </w:pPr>
      <w:r w:rsidRPr="00B60460">
        <w:rPr>
          <w:rFonts w:eastAsia="Times New Roman"/>
          <w:b/>
          <w:sz w:val="28"/>
          <w:highlight w:val="yellow"/>
        </w:rPr>
        <w:br w:type="page"/>
      </w:r>
      <w:r w:rsidRPr="00B60460">
        <w:rPr>
          <w:rFonts w:eastAsia="Times New Roman"/>
          <w:b/>
          <w:sz w:val="28"/>
        </w:rPr>
        <w:lastRenderedPageBreak/>
        <w:t>Annex 2</w:t>
      </w:r>
    </w:p>
    <w:p w14:paraId="4FCD2C38" w14:textId="606C773B" w:rsidR="00B60460" w:rsidRPr="00B60460" w:rsidRDefault="00B60460" w:rsidP="00B60460">
      <w:pPr>
        <w:keepNext/>
        <w:keepLines/>
        <w:spacing w:before="240" w:after="280"/>
        <w:jc w:val="center"/>
        <w:rPr>
          <w:rFonts w:eastAsia="Times New Roman"/>
          <w:b/>
          <w:sz w:val="28"/>
        </w:rPr>
      </w:pPr>
      <w:r w:rsidRPr="00B60460">
        <w:rPr>
          <w:rFonts w:eastAsia="Times New Roman"/>
          <w:b/>
          <w:sz w:val="28"/>
        </w:rPr>
        <w:t xml:space="preserve">Subject: Member State response to </w:t>
      </w:r>
      <w:r w:rsidRPr="00172D0A">
        <w:rPr>
          <w:rFonts w:eastAsia="Times New Roman"/>
          <w:b/>
          <w:sz w:val="28"/>
        </w:rPr>
        <w:t xml:space="preserve">TSB Circular </w:t>
      </w:r>
      <w:r w:rsidR="00956917" w:rsidRPr="00172D0A">
        <w:rPr>
          <w:rFonts w:eastAsia="Times New Roman"/>
          <w:b/>
          <w:sz w:val="28"/>
        </w:rPr>
        <w:t>37</w:t>
      </w:r>
      <w:r w:rsidRPr="00172D0A">
        <w:rPr>
          <w:rFonts w:eastAsia="Times New Roman"/>
          <w:b/>
          <w:sz w:val="28"/>
        </w:rPr>
        <w:t>:</w:t>
      </w:r>
      <w:r w:rsidRPr="00172D0A">
        <w:rPr>
          <w:rFonts w:eastAsia="Times New Roman"/>
          <w:b/>
          <w:sz w:val="28"/>
        </w:rPr>
        <w:br/>
        <w:t xml:space="preserve">Consultation on Determined draft new Recommendations </w:t>
      </w:r>
      <w:r w:rsidR="00256582" w:rsidRPr="00172D0A">
        <w:rPr>
          <w:rFonts w:eastAsia="Times New Roman"/>
          <w:b/>
          <w:sz w:val="28"/>
        </w:rPr>
        <w:t xml:space="preserve">ITU-T Y.4601 (ex </w:t>
      </w:r>
      <w:proofErr w:type="spellStart"/>
      <w:proofErr w:type="gramStart"/>
      <w:r w:rsidR="00256582" w:rsidRPr="00172D0A">
        <w:rPr>
          <w:rFonts w:eastAsia="Times New Roman"/>
          <w:b/>
          <w:sz w:val="28"/>
        </w:rPr>
        <w:t>Y.dt</w:t>
      </w:r>
      <w:proofErr w:type="gramEnd"/>
      <w:r w:rsidR="00256582" w:rsidRPr="00172D0A">
        <w:rPr>
          <w:rFonts w:eastAsia="Times New Roman"/>
          <w:b/>
          <w:sz w:val="28"/>
        </w:rPr>
        <w:t>-smartfirefighting</w:t>
      </w:r>
      <w:proofErr w:type="spellEnd"/>
      <w:r w:rsidR="00256582" w:rsidRPr="00172D0A">
        <w:rPr>
          <w:rFonts w:eastAsia="Times New Roman"/>
          <w:b/>
          <w:sz w:val="28"/>
        </w:rPr>
        <w:t>) and Y.4500.3 (ex Y.oneM2M.SEC.SOL)</w:t>
      </w:r>
    </w:p>
    <w:tbl>
      <w:tblPr>
        <w:tblW w:w="9957" w:type="dxa"/>
        <w:tblInd w:w="-176" w:type="dxa"/>
        <w:tblLayout w:type="fixed"/>
        <w:tblLook w:val="04A0" w:firstRow="1" w:lastRow="0" w:firstColumn="1" w:lastColumn="0" w:noHBand="0" w:noVBand="1"/>
      </w:tblPr>
      <w:tblGrid>
        <w:gridCol w:w="1005"/>
        <w:gridCol w:w="4558"/>
        <w:gridCol w:w="992"/>
        <w:gridCol w:w="3402"/>
      </w:tblGrid>
      <w:tr w:rsidR="00B60460" w:rsidRPr="00B60460" w14:paraId="6FE50E3D" w14:textId="77777777" w:rsidTr="004A76B1">
        <w:tc>
          <w:tcPr>
            <w:tcW w:w="1005" w:type="dxa"/>
            <w:shd w:val="clear" w:color="auto" w:fill="auto"/>
          </w:tcPr>
          <w:p w14:paraId="0D26304C" w14:textId="77777777" w:rsidR="00B60460" w:rsidRPr="00B60460" w:rsidRDefault="00B60460" w:rsidP="00B60460">
            <w:pPr>
              <w:jc w:val="right"/>
              <w:rPr>
                <w:rFonts w:eastAsia="Times New Roman"/>
                <w:szCs w:val="24"/>
              </w:rPr>
            </w:pPr>
            <w:r w:rsidRPr="00B60460">
              <w:rPr>
                <w:rFonts w:eastAsia="Times New Roman"/>
                <w:b/>
                <w:bCs/>
                <w:szCs w:val="24"/>
              </w:rPr>
              <w:t>To</w:t>
            </w:r>
            <w:r w:rsidRPr="00B60460">
              <w:rPr>
                <w:rFonts w:eastAsia="Times New Roman"/>
                <w:szCs w:val="24"/>
              </w:rPr>
              <w:t>:</w:t>
            </w:r>
          </w:p>
        </w:tc>
        <w:tc>
          <w:tcPr>
            <w:tcW w:w="4558" w:type="dxa"/>
            <w:tcBorders>
              <w:right w:val="single" w:sz="8" w:space="0" w:color="auto"/>
            </w:tcBorders>
            <w:shd w:val="clear" w:color="auto" w:fill="auto"/>
          </w:tcPr>
          <w:p w14:paraId="0D177FD2" w14:textId="77777777" w:rsidR="00B60460" w:rsidRPr="00B60460" w:rsidRDefault="00B60460" w:rsidP="00B60460">
            <w:pPr>
              <w:rPr>
                <w:rFonts w:eastAsia="Times New Roman"/>
                <w:szCs w:val="24"/>
              </w:rPr>
            </w:pPr>
            <w:r w:rsidRPr="00B60460">
              <w:rPr>
                <w:rFonts w:eastAsia="Times New Roman"/>
                <w:szCs w:val="24"/>
              </w:rPr>
              <w:t xml:space="preserve">Director of the </w:t>
            </w:r>
            <w:r w:rsidRPr="00B60460">
              <w:rPr>
                <w:rFonts w:eastAsia="Times New Roman"/>
                <w:szCs w:val="24"/>
              </w:rPr>
              <w:br/>
              <w:t>Telecommunication Standardization Bureau,</w:t>
            </w:r>
          </w:p>
          <w:p w14:paraId="598F5535" w14:textId="77777777" w:rsidR="00B60460" w:rsidRPr="00B60460" w:rsidRDefault="00B60460" w:rsidP="00B60460">
            <w:pPr>
              <w:spacing w:before="0"/>
              <w:rPr>
                <w:rFonts w:eastAsia="Times New Roman"/>
                <w:szCs w:val="24"/>
                <w:lang w:val="fr-CH"/>
              </w:rPr>
            </w:pPr>
            <w:r w:rsidRPr="00B60460">
              <w:rPr>
                <w:rFonts w:eastAsia="Times New Roman"/>
                <w:szCs w:val="24"/>
                <w:lang w:val="fr-CH"/>
              </w:rPr>
              <w:t xml:space="preserve">International </w:t>
            </w:r>
            <w:proofErr w:type="spellStart"/>
            <w:r w:rsidRPr="00B60460">
              <w:rPr>
                <w:rFonts w:eastAsia="Times New Roman"/>
                <w:szCs w:val="24"/>
                <w:lang w:val="fr-CH"/>
              </w:rPr>
              <w:t>Telecommunication</w:t>
            </w:r>
            <w:proofErr w:type="spellEnd"/>
            <w:r w:rsidRPr="00B60460">
              <w:rPr>
                <w:rFonts w:eastAsia="Times New Roman"/>
                <w:szCs w:val="24"/>
                <w:lang w:val="fr-CH"/>
              </w:rPr>
              <w:t xml:space="preserve"> Union</w:t>
            </w:r>
          </w:p>
          <w:p w14:paraId="6AC4BBC0" w14:textId="77777777" w:rsidR="00B60460" w:rsidRPr="00B60460" w:rsidRDefault="00B60460" w:rsidP="00B60460">
            <w:pPr>
              <w:spacing w:before="0"/>
              <w:rPr>
                <w:rFonts w:eastAsia="Times New Roman"/>
                <w:szCs w:val="24"/>
                <w:lang w:val="fr-CH"/>
              </w:rPr>
            </w:pPr>
            <w:r w:rsidRPr="00B60460">
              <w:rPr>
                <w:rFonts w:eastAsia="Times New Roman"/>
                <w:szCs w:val="24"/>
                <w:lang w:val="fr-CH"/>
              </w:rPr>
              <w:t>Place des Nations</w:t>
            </w:r>
          </w:p>
          <w:p w14:paraId="1863AB5D" w14:textId="77777777" w:rsidR="00B60460" w:rsidRPr="00B60460" w:rsidRDefault="00B60460" w:rsidP="00B60460">
            <w:pPr>
              <w:spacing w:before="0"/>
              <w:rPr>
                <w:rFonts w:eastAsia="Times New Roman"/>
                <w:szCs w:val="24"/>
              </w:rPr>
            </w:pPr>
            <w:r w:rsidRPr="00B60460">
              <w:rPr>
                <w:rFonts w:eastAsia="Times New Roman"/>
                <w:szCs w:val="24"/>
              </w:rPr>
              <w:t>CH 1211 Geneva 20, Switzerland</w:t>
            </w:r>
          </w:p>
        </w:tc>
        <w:tc>
          <w:tcPr>
            <w:tcW w:w="992" w:type="dxa"/>
            <w:tcBorders>
              <w:left w:val="single" w:sz="8" w:space="0" w:color="auto"/>
            </w:tcBorders>
            <w:shd w:val="clear" w:color="auto" w:fill="auto"/>
          </w:tcPr>
          <w:p w14:paraId="42B1D6F1" w14:textId="77777777" w:rsidR="00B60460" w:rsidRPr="00B60460" w:rsidRDefault="00B60460" w:rsidP="00B60460">
            <w:pPr>
              <w:jc w:val="right"/>
              <w:rPr>
                <w:rFonts w:eastAsia="Times New Roman"/>
                <w:szCs w:val="24"/>
              </w:rPr>
            </w:pPr>
            <w:r w:rsidRPr="00B60460">
              <w:rPr>
                <w:rFonts w:eastAsia="Times New Roman"/>
                <w:b/>
                <w:bCs/>
                <w:szCs w:val="24"/>
              </w:rPr>
              <w:t>From</w:t>
            </w:r>
            <w:r w:rsidRPr="00B60460">
              <w:rPr>
                <w:rFonts w:eastAsia="Times New Roman"/>
                <w:szCs w:val="24"/>
              </w:rPr>
              <w:t>:</w:t>
            </w:r>
          </w:p>
        </w:tc>
        <w:tc>
          <w:tcPr>
            <w:tcW w:w="3402" w:type="dxa"/>
            <w:shd w:val="clear" w:color="auto" w:fill="auto"/>
          </w:tcPr>
          <w:p w14:paraId="3B8FB251" w14:textId="77777777" w:rsidR="00B60460" w:rsidRPr="00B60460" w:rsidRDefault="00B60460" w:rsidP="00B60460">
            <w:pPr>
              <w:rPr>
                <w:rFonts w:eastAsia="Times New Roman"/>
                <w:szCs w:val="24"/>
              </w:rPr>
            </w:pPr>
            <w:r w:rsidRPr="00B60460">
              <w:rPr>
                <w:rFonts w:eastAsia="Times New Roman"/>
                <w:szCs w:val="24"/>
              </w:rPr>
              <w:t>[Name]</w:t>
            </w:r>
          </w:p>
          <w:p w14:paraId="12B8B44E" w14:textId="77777777" w:rsidR="00B60460" w:rsidRPr="00B60460" w:rsidRDefault="00B60460" w:rsidP="00B60460">
            <w:pPr>
              <w:spacing w:before="0"/>
              <w:rPr>
                <w:rFonts w:eastAsia="Times New Roman"/>
                <w:szCs w:val="24"/>
              </w:rPr>
            </w:pPr>
            <w:r w:rsidRPr="00B60460">
              <w:rPr>
                <w:rFonts w:eastAsia="Times New Roman"/>
                <w:szCs w:val="24"/>
              </w:rPr>
              <w:t>[Official role/title]</w:t>
            </w:r>
          </w:p>
          <w:p w14:paraId="52E9D6DF" w14:textId="77777777" w:rsidR="00B60460" w:rsidRPr="00B60460" w:rsidRDefault="00B60460" w:rsidP="00B60460">
            <w:pPr>
              <w:spacing w:before="0"/>
              <w:rPr>
                <w:rFonts w:eastAsia="Times New Roman"/>
                <w:szCs w:val="24"/>
              </w:rPr>
            </w:pPr>
            <w:r w:rsidRPr="00B60460">
              <w:rPr>
                <w:rFonts w:eastAsia="Times New Roman"/>
                <w:szCs w:val="24"/>
              </w:rPr>
              <w:t>[Address]</w:t>
            </w:r>
          </w:p>
        </w:tc>
      </w:tr>
      <w:tr w:rsidR="00B60460" w:rsidRPr="00B60460" w14:paraId="5BE1C14F" w14:textId="77777777" w:rsidTr="004A76B1">
        <w:tc>
          <w:tcPr>
            <w:tcW w:w="1005" w:type="dxa"/>
            <w:shd w:val="clear" w:color="auto" w:fill="auto"/>
          </w:tcPr>
          <w:p w14:paraId="41602336" w14:textId="77777777" w:rsidR="00B60460" w:rsidRPr="00B60460" w:rsidRDefault="00B60460" w:rsidP="00B60460">
            <w:pPr>
              <w:spacing w:before="0"/>
              <w:jc w:val="right"/>
              <w:rPr>
                <w:rFonts w:eastAsia="Times New Roman"/>
                <w:szCs w:val="24"/>
              </w:rPr>
            </w:pPr>
            <w:r w:rsidRPr="00B60460">
              <w:rPr>
                <w:rFonts w:eastAsia="Times New Roman"/>
                <w:b/>
                <w:bCs/>
                <w:szCs w:val="24"/>
              </w:rPr>
              <w:t>Fax</w:t>
            </w:r>
            <w:r w:rsidRPr="00B60460">
              <w:rPr>
                <w:rFonts w:eastAsia="Times New Roman"/>
                <w:szCs w:val="24"/>
              </w:rPr>
              <w:t>:</w:t>
            </w:r>
          </w:p>
          <w:p w14:paraId="20339B92" w14:textId="77777777" w:rsidR="00B60460" w:rsidRPr="00B60460" w:rsidRDefault="00B60460" w:rsidP="00B60460">
            <w:pPr>
              <w:spacing w:before="0"/>
              <w:jc w:val="right"/>
              <w:rPr>
                <w:rFonts w:eastAsia="Times New Roman"/>
                <w:szCs w:val="24"/>
              </w:rPr>
            </w:pPr>
            <w:r w:rsidRPr="00B60460">
              <w:rPr>
                <w:rFonts w:eastAsia="Times New Roman"/>
                <w:b/>
                <w:bCs/>
                <w:szCs w:val="24"/>
              </w:rPr>
              <w:t>E-mail</w:t>
            </w:r>
            <w:r w:rsidRPr="00B60460">
              <w:rPr>
                <w:rFonts w:eastAsia="Times New Roman"/>
                <w:szCs w:val="24"/>
              </w:rPr>
              <w:t>:</w:t>
            </w:r>
          </w:p>
        </w:tc>
        <w:tc>
          <w:tcPr>
            <w:tcW w:w="4558" w:type="dxa"/>
            <w:tcBorders>
              <w:right w:val="single" w:sz="8" w:space="0" w:color="auto"/>
            </w:tcBorders>
            <w:shd w:val="clear" w:color="auto" w:fill="auto"/>
          </w:tcPr>
          <w:p w14:paraId="76E3F86B" w14:textId="77777777" w:rsidR="00B60460" w:rsidRPr="00B60460" w:rsidRDefault="00B60460" w:rsidP="00B60460">
            <w:pPr>
              <w:spacing w:before="0"/>
              <w:rPr>
                <w:rFonts w:eastAsia="Times New Roman"/>
                <w:szCs w:val="24"/>
              </w:rPr>
            </w:pPr>
            <w:r w:rsidRPr="00B60460">
              <w:rPr>
                <w:rFonts w:eastAsia="Times New Roman"/>
                <w:szCs w:val="24"/>
              </w:rPr>
              <w:t>+41-22-730-5853</w:t>
            </w:r>
          </w:p>
          <w:p w14:paraId="22BE0C8C" w14:textId="6357D75B" w:rsidR="00B60460" w:rsidRPr="00B60460" w:rsidRDefault="000F4CAB" w:rsidP="00B60460">
            <w:pPr>
              <w:spacing w:before="0"/>
              <w:rPr>
                <w:rFonts w:eastAsia="Times New Roman"/>
                <w:szCs w:val="24"/>
              </w:rPr>
            </w:pPr>
            <w:hyperlink r:id="rId15" w:history="1">
              <w:r w:rsidR="00E609F7" w:rsidRPr="00B60460">
                <w:rPr>
                  <w:rStyle w:val="Hyperlink"/>
                  <w:rFonts w:eastAsia="Times New Roman"/>
                  <w:szCs w:val="24"/>
                </w:rPr>
                <w:t>tsbdir@itu.int</w:t>
              </w:r>
            </w:hyperlink>
            <w:r w:rsidR="00B60460" w:rsidRPr="00B60460">
              <w:rPr>
                <w:rFonts w:eastAsia="Times New Roman"/>
                <w:szCs w:val="24"/>
              </w:rPr>
              <w:t xml:space="preserve"> </w:t>
            </w:r>
          </w:p>
        </w:tc>
        <w:tc>
          <w:tcPr>
            <w:tcW w:w="992" w:type="dxa"/>
            <w:tcBorders>
              <w:left w:val="single" w:sz="8" w:space="0" w:color="auto"/>
            </w:tcBorders>
            <w:shd w:val="clear" w:color="auto" w:fill="auto"/>
          </w:tcPr>
          <w:p w14:paraId="6FF40B15" w14:textId="77777777" w:rsidR="00B60460" w:rsidRPr="00B60460" w:rsidRDefault="00B60460" w:rsidP="00B60460">
            <w:pPr>
              <w:spacing w:before="0"/>
              <w:jc w:val="right"/>
              <w:rPr>
                <w:rFonts w:eastAsia="Times New Roman"/>
                <w:szCs w:val="24"/>
              </w:rPr>
            </w:pPr>
            <w:r w:rsidRPr="00B60460">
              <w:rPr>
                <w:rFonts w:eastAsia="Times New Roman"/>
                <w:b/>
                <w:bCs/>
                <w:szCs w:val="24"/>
              </w:rPr>
              <w:t>Fax</w:t>
            </w:r>
            <w:r w:rsidRPr="00B60460">
              <w:rPr>
                <w:rFonts w:eastAsia="Times New Roman"/>
                <w:szCs w:val="24"/>
              </w:rPr>
              <w:t>:</w:t>
            </w:r>
          </w:p>
          <w:p w14:paraId="005A15A0" w14:textId="77777777" w:rsidR="00B60460" w:rsidRPr="00B60460" w:rsidRDefault="00B60460" w:rsidP="00B60460">
            <w:pPr>
              <w:spacing w:before="0"/>
              <w:jc w:val="right"/>
              <w:rPr>
                <w:rFonts w:eastAsia="Times New Roman"/>
                <w:szCs w:val="24"/>
              </w:rPr>
            </w:pPr>
            <w:r w:rsidRPr="00B60460">
              <w:rPr>
                <w:rFonts w:eastAsia="Times New Roman"/>
                <w:b/>
                <w:bCs/>
                <w:szCs w:val="24"/>
              </w:rPr>
              <w:t>E-mail</w:t>
            </w:r>
            <w:r w:rsidRPr="00B60460">
              <w:rPr>
                <w:rFonts w:eastAsia="Times New Roman"/>
                <w:szCs w:val="24"/>
              </w:rPr>
              <w:t>:</w:t>
            </w:r>
          </w:p>
        </w:tc>
        <w:tc>
          <w:tcPr>
            <w:tcW w:w="3402" w:type="dxa"/>
            <w:shd w:val="clear" w:color="auto" w:fill="auto"/>
          </w:tcPr>
          <w:p w14:paraId="1AFC4B4E" w14:textId="77777777" w:rsidR="00B60460" w:rsidRPr="00B60460" w:rsidRDefault="00B60460" w:rsidP="00B60460">
            <w:pPr>
              <w:spacing w:before="0"/>
              <w:rPr>
                <w:rFonts w:eastAsia="Times New Roman"/>
                <w:szCs w:val="24"/>
              </w:rPr>
            </w:pPr>
          </w:p>
        </w:tc>
      </w:tr>
      <w:tr w:rsidR="00B60460" w:rsidRPr="00B60460" w14:paraId="2D693535" w14:textId="77777777" w:rsidTr="004A76B1">
        <w:tc>
          <w:tcPr>
            <w:tcW w:w="1005" w:type="dxa"/>
            <w:shd w:val="clear" w:color="auto" w:fill="auto"/>
          </w:tcPr>
          <w:p w14:paraId="7EC1D0FB" w14:textId="77777777" w:rsidR="00B60460" w:rsidRPr="00B60460" w:rsidRDefault="00B60460" w:rsidP="00B60460">
            <w:pPr>
              <w:spacing w:before="0"/>
              <w:jc w:val="right"/>
              <w:rPr>
                <w:rFonts w:eastAsia="Times New Roman"/>
                <w:szCs w:val="24"/>
              </w:rPr>
            </w:pPr>
          </w:p>
        </w:tc>
        <w:tc>
          <w:tcPr>
            <w:tcW w:w="4558" w:type="dxa"/>
            <w:tcBorders>
              <w:right w:val="single" w:sz="8" w:space="0" w:color="auto"/>
            </w:tcBorders>
            <w:shd w:val="clear" w:color="auto" w:fill="auto"/>
          </w:tcPr>
          <w:p w14:paraId="6C7B32DA" w14:textId="77777777" w:rsidR="00B60460" w:rsidRPr="00B60460" w:rsidRDefault="00B60460" w:rsidP="00B60460">
            <w:pPr>
              <w:spacing w:before="0"/>
              <w:rPr>
                <w:rFonts w:eastAsia="Times New Roman"/>
                <w:szCs w:val="24"/>
              </w:rPr>
            </w:pPr>
          </w:p>
        </w:tc>
        <w:tc>
          <w:tcPr>
            <w:tcW w:w="992" w:type="dxa"/>
            <w:tcBorders>
              <w:left w:val="single" w:sz="8" w:space="0" w:color="auto"/>
            </w:tcBorders>
            <w:shd w:val="clear" w:color="auto" w:fill="auto"/>
          </w:tcPr>
          <w:p w14:paraId="4D5AD732" w14:textId="77777777" w:rsidR="00B60460" w:rsidRPr="00B60460" w:rsidRDefault="00B60460" w:rsidP="00B60460">
            <w:pPr>
              <w:spacing w:before="0"/>
              <w:jc w:val="right"/>
              <w:rPr>
                <w:rFonts w:eastAsia="Times New Roman"/>
                <w:szCs w:val="24"/>
              </w:rPr>
            </w:pPr>
            <w:r w:rsidRPr="00B60460">
              <w:rPr>
                <w:rFonts w:eastAsia="Times New Roman"/>
                <w:b/>
                <w:bCs/>
                <w:szCs w:val="24"/>
              </w:rPr>
              <w:t>Date</w:t>
            </w:r>
            <w:r w:rsidRPr="00B60460">
              <w:rPr>
                <w:rFonts w:eastAsia="Times New Roman"/>
                <w:szCs w:val="24"/>
              </w:rPr>
              <w:t>:</w:t>
            </w:r>
          </w:p>
        </w:tc>
        <w:tc>
          <w:tcPr>
            <w:tcW w:w="3402" w:type="dxa"/>
            <w:shd w:val="clear" w:color="auto" w:fill="auto"/>
          </w:tcPr>
          <w:p w14:paraId="30FE78B3" w14:textId="77777777" w:rsidR="00B60460" w:rsidRPr="00B60460" w:rsidRDefault="00B60460" w:rsidP="00B60460">
            <w:pPr>
              <w:spacing w:before="0"/>
              <w:rPr>
                <w:rFonts w:eastAsia="Times New Roman"/>
                <w:szCs w:val="24"/>
              </w:rPr>
            </w:pPr>
            <w:r w:rsidRPr="00B60460">
              <w:rPr>
                <w:rFonts w:eastAsia="Times New Roman"/>
                <w:szCs w:val="24"/>
              </w:rPr>
              <w:t>[Place,] [Date]</w:t>
            </w:r>
          </w:p>
        </w:tc>
      </w:tr>
    </w:tbl>
    <w:p w14:paraId="382B055A" w14:textId="77777777" w:rsidR="00B60460" w:rsidRPr="00B60460" w:rsidRDefault="00B60460" w:rsidP="00B60460">
      <w:pPr>
        <w:spacing w:before="360"/>
        <w:rPr>
          <w:rFonts w:eastAsia="Times New Roman"/>
          <w:szCs w:val="24"/>
        </w:rPr>
      </w:pPr>
      <w:r w:rsidRPr="00B60460">
        <w:rPr>
          <w:rFonts w:eastAsia="Times New Roman"/>
          <w:szCs w:val="24"/>
        </w:rPr>
        <w:t>Dear Sir/Madam,</w:t>
      </w:r>
    </w:p>
    <w:p w14:paraId="65791207" w14:textId="614F61D9" w:rsidR="00B60460" w:rsidRPr="00B60460" w:rsidRDefault="00B60460" w:rsidP="00B60460">
      <w:pPr>
        <w:rPr>
          <w:rFonts w:eastAsia="Times New Roman"/>
          <w:szCs w:val="24"/>
        </w:rPr>
      </w:pPr>
      <w:r w:rsidRPr="00B60460">
        <w:rPr>
          <w:rFonts w:eastAsia="Times New Roman"/>
          <w:szCs w:val="24"/>
        </w:rPr>
        <w:t xml:space="preserve">With respect to the Member State consultation on the Determined draft texts listed in TSB Circular </w:t>
      </w:r>
      <w:r w:rsidR="00172D0A">
        <w:rPr>
          <w:rFonts w:eastAsia="Times New Roman"/>
          <w:szCs w:val="24"/>
        </w:rPr>
        <w:t>37</w:t>
      </w:r>
      <w:r w:rsidRPr="00B60460">
        <w:rPr>
          <w:rFonts w:eastAsia="Times New Roman"/>
          <w:szCs w:val="24"/>
        </w:rPr>
        <w:t>, I 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B60460" w:rsidRPr="00B60460" w14:paraId="47CB1F3B" w14:textId="77777777" w:rsidTr="004A76B1">
        <w:trPr>
          <w:tblHeader/>
        </w:trPr>
        <w:tc>
          <w:tcPr>
            <w:tcW w:w="2085" w:type="dxa"/>
            <w:shd w:val="clear" w:color="auto" w:fill="auto"/>
            <w:vAlign w:val="center"/>
          </w:tcPr>
          <w:p w14:paraId="70B5898E" w14:textId="77777777" w:rsidR="00B60460" w:rsidRPr="00B60460" w:rsidRDefault="00B60460" w:rsidP="00B60460">
            <w:pPr>
              <w:spacing w:after="120"/>
              <w:jc w:val="center"/>
              <w:rPr>
                <w:rFonts w:eastAsia="Times New Roman"/>
                <w:b/>
                <w:bCs/>
                <w:szCs w:val="24"/>
                <w:highlight w:val="yellow"/>
                <w:lang w:val="en-US"/>
              </w:rPr>
            </w:pPr>
          </w:p>
        </w:tc>
        <w:tc>
          <w:tcPr>
            <w:tcW w:w="7634" w:type="dxa"/>
            <w:shd w:val="clear" w:color="auto" w:fill="auto"/>
            <w:vAlign w:val="center"/>
          </w:tcPr>
          <w:p w14:paraId="7F6B05D1" w14:textId="77777777" w:rsidR="00B60460" w:rsidRPr="00B60460" w:rsidRDefault="00B60460" w:rsidP="00B60460">
            <w:pPr>
              <w:tabs>
                <w:tab w:val="clear" w:pos="794"/>
                <w:tab w:val="clear" w:pos="1191"/>
                <w:tab w:val="clear" w:pos="1588"/>
                <w:tab w:val="clear" w:pos="1985"/>
              </w:tabs>
              <w:spacing w:after="120"/>
              <w:ind w:left="939" w:hanging="459"/>
              <w:jc w:val="center"/>
              <w:rPr>
                <w:rFonts w:eastAsia="Times New Roman"/>
                <w:b/>
                <w:bCs/>
                <w:szCs w:val="24"/>
              </w:rPr>
            </w:pPr>
            <w:r w:rsidRPr="00B60460">
              <w:rPr>
                <w:rFonts w:eastAsia="Times New Roman"/>
                <w:b/>
                <w:bCs/>
                <w:szCs w:val="24"/>
              </w:rPr>
              <w:t>Select one of the two boxes</w:t>
            </w:r>
          </w:p>
        </w:tc>
      </w:tr>
      <w:tr w:rsidR="00B60460" w:rsidRPr="00B60460" w14:paraId="1580F6CB" w14:textId="77777777" w:rsidTr="004A76B1">
        <w:trPr>
          <w:trHeight w:val="748"/>
        </w:trPr>
        <w:tc>
          <w:tcPr>
            <w:tcW w:w="2085" w:type="dxa"/>
            <w:vMerge w:val="restart"/>
            <w:shd w:val="clear" w:color="auto" w:fill="auto"/>
            <w:vAlign w:val="center"/>
          </w:tcPr>
          <w:p w14:paraId="567A0175" w14:textId="23C959A1" w:rsidR="00B60460" w:rsidRPr="00B60460" w:rsidRDefault="00B60460" w:rsidP="00B60460">
            <w:pPr>
              <w:spacing w:before="60" w:after="60"/>
              <w:jc w:val="center"/>
              <w:rPr>
                <w:rFonts w:eastAsia="Times New Roman"/>
                <w:b/>
                <w:bCs/>
                <w:szCs w:val="24"/>
                <w:highlight w:val="yellow"/>
              </w:rPr>
            </w:pPr>
            <w:r w:rsidRPr="00B60460">
              <w:rPr>
                <w:rFonts w:eastAsia="Times New Roman"/>
                <w:b/>
                <w:bCs/>
                <w:szCs w:val="24"/>
              </w:rPr>
              <w:t xml:space="preserve">Draft new Recommendation ITU-T </w:t>
            </w:r>
            <w:r w:rsidR="00256582" w:rsidRPr="00256582">
              <w:rPr>
                <w:rFonts w:eastAsia="Times New Roman"/>
                <w:b/>
                <w:bCs/>
                <w:szCs w:val="24"/>
              </w:rPr>
              <w:t xml:space="preserve">Y.4601 (ex </w:t>
            </w:r>
            <w:proofErr w:type="spellStart"/>
            <w:proofErr w:type="gramStart"/>
            <w:r w:rsidR="00256582" w:rsidRPr="00256582">
              <w:rPr>
                <w:rFonts w:eastAsia="Times New Roman"/>
                <w:b/>
                <w:bCs/>
                <w:szCs w:val="24"/>
              </w:rPr>
              <w:t>Y.dt</w:t>
            </w:r>
            <w:proofErr w:type="gramEnd"/>
            <w:r w:rsidR="00256582" w:rsidRPr="00256582">
              <w:rPr>
                <w:rFonts w:eastAsia="Times New Roman"/>
                <w:b/>
                <w:bCs/>
                <w:szCs w:val="24"/>
              </w:rPr>
              <w:t>-smartfirefighting</w:t>
            </w:r>
            <w:proofErr w:type="spellEnd"/>
            <w:r w:rsidR="00256582" w:rsidRPr="00256582">
              <w:rPr>
                <w:rFonts w:eastAsia="Times New Roman"/>
                <w:b/>
                <w:bCs/>
                <w:szCs w:val="24"/>
              </w:rPr>
              <w:t>)</w:t>
            </w:r>
          </w:p>
        </w:tc>
        <w:tc>
          <w:tcPr>
            <w:tcW w:w="7634" w:type="dxa"/>
            <w:shd w:val="clear" w:color="auto" w:fill="auto"/>
            <w:vAlign w:val="center"/>
          </w:tcPr>
          <w:p w14:paraId="2196DC58" w14:textId="77777777" w:rsidR="00B60460" w:rsidRPr="00B60460" w:rsidRDefault="00B60460" w:rsidP="00B60460">
            <w:pPr>
              <w:tabs>
                <w:tab w:val="clear" w:pos="794"/>
                <w:tab w:val="clear" w:pos="1191"/>
                <w:tab w:val="clear" w:pos="1588"/>
                <w:tab w:val="clear" w:pos="1985"/>
              </w:tabs>
              <w:spacing w:before="60" w:after="60"/>
              <w:ind w:left="459" w:hanging="459"/>
              <w:rPr>
                <w:rFonts w:eastAsia="Times New Roman"/>
                <w:szCs w:val="24"/>
              </w:rPr>
            </w:pPr>
            <w:r w:rsidRPr="00B60460">
              <w:rPr>
                <w:rFonts w:eastAsia="Times New Roman"/>
                <w:sz w:val="22"/>
                <w:szCs w:val="22"/>
              </w:rPr>
              <w:fldChar w:fldCharType="begin">
                <w:ffData>
                  <w:name w:val="Check1"/>
                  <w:enabled/>
                  <w:calcOnExit w:val="0"/>
                  <w:checkBox>
                    <w:sizeAuto/>
                    <w:default w:val="0"/>
                  </w:checkBox>
                </w:ffData>
              </w:fldChar>
            </w:r>
            <w:r w:rsidRPr="00B60460">
              <w:rPr>
                <w:rFonts w:eastAsia="Times New Roman"/>
                <w:sz w:val="22"/>
                <w:szCs w:val="22"/>
              </w:rPr>
              <w:instrText xml:space="preserve"> FORMCHECKBOX </w:instrText>
            </w:r>
            <w:r w:rsidR="000F4CAB">
              <w:rPr>
                <w:rFonts w:eastAsia="Times New Roman"/>
                <w:sz w:val="22"/>
                <w:szCs w:val="22"/>
              </w:rPr>
            </w:r>
            <w:r w:rsidR="000F4CAB">
              <w:rPr>
                <w:rFonts w:eastAsia="Times New Roman"/>
                <w:sz w:val="22"/>
                <w:szCs w:val="22"/>
              </w:rPr>
              <w:fldChar w:fldCharType="separate"/>
            </w:r>
            <w:r w:rsidRPr="00B60460">
              <w:rPr>
                <w:rFonts w:eastAsia="Times New Roman"/>
                <w:sz w:val="22"/>
                <w:szCs w:val="22"/>
              </w:rPr>
              <w:fldChar w:fldCharType="end"/>
            </w:r>
            <w:r w:rsidRPr="00B60460">
              <w:rPr>
                <w:rFonts w:eastAsia="Times New Roman"/>
                <w:sz w:val="20"/>
              </w:rPr>
              <w:tab/>
            </w:r>
            <w:r w:rsidRPr="00B60460">
              <w:rPr>
                <w:rFonts w:eastAsia="Times New Roman"/>
                <w:b/>
                <w:bCs/>
                <w:szCs w:val="24"/>
              </w:rPr>
              <w:t>assigns authority</w:t>
            </w:r>
            <w:r w:rsidRPr="00B60460">
              <w:rPr>
                <w:rFonts w:eastAsia="Times New Roman"/>
                <w:szCs w:val="24"/>
              </w:rPr>
              <w:t xml:space="preserve"> to Study Group 20 to consider this text for approval (in which case, select one of the two options </w:t>
            </w:r>
            <w:r w:rsidRPr="00B60460">
              <w:rPr>
                <w:rFonts w:eastAsia="Times New Roman"/>
                <w:sz w:val="20"/>
              </w:rPr>
              <w:t>⃝</w:t>
            </w:r>
            <w:r w:rsidRPr="00B60460">
              <w:rPr>
                <w:rFonts w:eastAsia="Times New Roman"/>
                <w:szCs w:val="24"/>
              </w:rPr>
              <w:t>):</w:t>
            </w:r>
          </w:p>
          <w:p w14:paraId="338FD298" w14:textId="77777777" w:rsidR="00B60460" w:rsidRPr="00B60460" w:rsidRDefault="00B60460" w:rsidP="00B60460">
            <w:pPr>
              <w:tabs>
                <w:tab w:val="clear" w:pos="794"/>
                <w:tab w:val="clear" w:pos="1191"/>
                <w:tab w:val="clear" w:pos="1588"/>
                <w:tab w:val="clear" w:pos="1985"/>
              </w:tabs>
              <w:spacing w:before="60" w:after="60"/>
              <w:ind w:left="939" w:hanging="459"/>
              <w:rPr>
                <w:rFonts w:eastAsia="Times New Roman"/>
                <w:szCs w:val="24"/>
              </w:rPr>
            </w:pPr>
            <w:r w:rsidRPr="00B60460">
              <w:rPr>
                <w:rFonts w:eastAsia="Times New Roman"/>
                <w:sz w:val="20"/>
              </w:rPr>
              <w:t>⃝</w:t>
            </w:r>
            <w:r w:rsidRPr="00B60460">
              <w:rPr>
                <w:rFonts w:eastAsia="Times New Roman"/>
                <w:sz w:val="20"/>
              </w:rPr>
              <w:tab/>
            </w:r>
            <w:r w:rsidRPr="00B60460">
              <w:rPr>
                <w:rFonts w:eastAsia="Times New Roman"/>
                <w:szCs w:val="24"/>
              </w:rPr>
              <w:t>No comments or suggested changes</w:t>
            </w:r>
          </w:p>
          <w:p w14:paraId="2F8ED4A8" w14:textId="77777777" w:rsidR="00B60460" w:rsidRPr="00B60460" w:rsidRDefault="00B60460" w:rsidP="00B60460">
            <w:pPr>
              <w:tabs>
                <w:tab w:val="clear" w:pos="794"/>
                <w:tab w:val="clear" w:pos="1191"/>
                <w:tab w:val="clear" w:pos="1588"/>
                <w:tab w:val="clear" w:pos="1985"/>
              </w:tabs>
              <w:spacing w:before="60" w:after="60"/>
              <w:ind w:left="939" w:hanging="459"/>
              <w:rPr>
                <w:rFonts w:eastAsia="Times New Roman"/>
                <w:szCs w:val="24"/>
              </w:rPr>
            </w:pPr>
            <w:r w:rsidRPr="00B60460">
              <w:rPr>
                <w:rFonts w:eastAsia="Times New Roman"/>
                <w:sz w:val="20"/>
              </w:rPr>
              <w:t>⃝</w:t>
            </w:r>
            <w:r w:rsidRPr="00B60460">
              <w:rPr>
                <w:rFonts w:eastAsia="Times New Roman"/>
                <w:sz w:val="20"/>
              </w:rPr>
              <w:tab/>
            </w:r>
            <w:r w:rsidRPr="00B60460">
              <w:rPr>
                <w:rFonts w:eastAsia="Times New Roman"/>
                <w:szCs w:val="24"/>
              </w:rPr>
              <w:t>Comments and suggested changes are attached</w:t>
            </w:r>
          </w:p>
        </w:tc>
      </w:tr>
      <w:tr w:rsidR="00B60460" w:rsidRPr="00B60460" w14:paraId="0819B39E" w14:textId="77777777" w:rsidTr="004A76B1">
        <w:trPr>
          <w:trHeight w:val="747"/>
        </w:trPr>
        <w:tc>
          <w:tcPr>
            <w:tcW w:w="2085" w:type="dxa"/>
            <w:vMerge/>
            <w:shd w:val="clear" w:color="auto" w:fill="auto"/>
            <w:vAlign w:val="center"/>
          </w:tcPr>
          <w:p w14:paraId="0F888159" w14:textId="77777777" w:rsidR="00B60460" w:rsidRPr="00B60460" w:rsidRDefault="00B60460" w:rsidP="00B60460">
            <w:pPr>
              <w:spacing w:before="60" w:after="60"/>
              <w:jc w:val="center"/>
              <w:rPr>
                <w:rFonts w:eastAsia="Times New Roman"/>
                <w:b/>
                <w:bCs/>
                <w:szCs w:val="24"/>
                <w:highlight w:val="yellow"/>
                <w:lang w:val="en-US"/>
              </w:rPr>
            </w:pPr>
          </w:p>
        </w:tc>
        <w:tc>
          <w:tcPr>
            <w:tcW w:w="7634" w:type="dxa"/>
            <w:shd w:val="clear" w:color="auto" w:fill="auto"/>
            <w:vAlign w:val="center"/>
          </w:tcPr>
          <w:p w14:paraId="02D6DE45" w14:textId="77777777" w:rsidR="00B60460" w:rsidRPr="00B60460" w:rsidRDefault="00B60460" w:rsidP="00B60460">
            <w:pPr>
              <w:tabs>
                <w:tab w:val="clear" w:pos="794"/>
                <w:tab w:val="clear" w:pos="1191"/>
                <w:tab w:val="clear" w:pos="1588"/>
                <w:tab w:val="clear" w:pos="1985"/>
                <w:tab w:val="left" w:pos="250"/>
              </w:tabs>
              <w:spacing w:before="60" w:after="60"/>
              <w:ind w:left="459" w:hanging="459"/>
              <w:rPr>
                <w:rFonts w:eastAsia="Times New Roman"/>
                <w:sz w:val="20"/>
              </w:rPr>
            </w:pPr>
            <w:r w:rsidRPr="00B60460">
              <w:rPr>
                <w:rFonts w:eastAsia="Times New Roman"/>
                <w:sz w:val="22"/>
                <w:szCs w:val="22"/>
              </w:rPr>
              <w:fldChar w:fldCharType="begin">
                <w:ffData>
                  <w:name w:val="Check1"/>
                  <w:enabled/>
                  <w:calcOnExit w:val="0"/>
                  <w:checkBox>
                    <w:sizeAuto/>
                    <w:default w:val="0"/>
                  </w:checkBox>
                </w:ffData>
              </w:fldChar>
            </w:r>
            <w:r w:rsidRPr="00B60460">
              <w:rPr>
                <w:rFonts w:eastAsia="Times New Roman"/>
                <w:sz w:val="22"/>
                <w:szCs w:val="22"/>
              </w:rPr>
              <w:instrText xml:space="preserve"> FORMCHECKBOX </w:instrText>
            </w:r>
            <w:r w:rsidR="000F4CAB">
              <w:rPr>
                <w:rFonts w:eastAsia="Times New Roman"/>
                <w:sz w:val="22"/>
                <w:szCs w:val="22"/>
              </w:rPr>
            </w:r>
            <w:r w:rsidR="000F4CAB">
              <w:rPr>
                <w:rFonts w:eastAsia="Times New Roman"/>
                <w:sz w:val="22"/>
                <w:szCs w:val="22"/>
              </w:rPr>
              <w:fldChar w:fldCharType="separate"/>
            </w:r>
            <w:r w:rsidRPr="00B60460">
              <w:rPr>
                <w:rFonts w:eastAsia="Times New Roman"/>
                <w:sz w:val="22"/>
                <w:szCs w:val="22"/>
              </w:rPr>
              <w:fldChar w:fldCharType="end"/>
            </w:r>
            <w:r w:rsidRPr="00B60460">
              <w:rPr>
                <w:rFonts w:eastAsia="Times New Roman"/>
                <w:sz w:val="22"/>
                <w:szCs w:val="22"/>
              </w:rPr>
              <w:tab/>
            </w:r>
            <w:r w:rsidRPr="00B60460">
              <w:rPr>
                <w:rFonts w:eastAsia="Times New Roman"/>
                <w:b/>
                <w:bCs/>
                <w:szCs w:val="24"/>
              </w:rPr>
              <w:t>does not assign authority</w:t>
            </w:r>
            <w:r w:rsidRPr="00B60460">
              <w:rPr>
                <w:rFonts w:eastAsia="Times New Roman"/>
                <w:szCs w:val="24"/>
              </w:rPr>
              <w:t xml:space="preserve"> to Study Group 20 to consider this text for approval (</w:t>
            </w:r>
            <w:r w:rsidRPr="00B60460">
              <w:rPr>
                <w:rFonts w:eastAsia="Times New Roman"/>
                <w:szCs w:val="22"/>
              </w:rPr>
              <w:t>reasons for this opinion and an outline of possible changes that would enable the work to progress are attached)</w:t>
            </w:r>
          </w:p>
        </w:tc>
      </w:tr>
      <w:tr w:rsidR="00B60460" w:rsidRPr="00B60460" w14:paraId="17656D5F" w14:textId="77777777" w:rsidTr="004A76B1">
        <w:trPr>
          <w:trHeight w:val="748"/>
        </w:trPr>
        <w:tc>
          <w:tcPr>
            <w:tcW w:w="2085" w:type="dxa"/>
            <w:vMerge w:val="restart"/>
            <w:shd w:val="clear" w:color="auto" w:fill="auto"/>
            <w:vAlign w:val="center"/>
          </w:tcPr>
          <w:p w14:paraId="5D0C70DE" w14:textId="5EF3F568" w:rsidR="00B60460" w:rsidRPr="00B60460" w:rsidRDefault="00B60460" w:rsidP="00B60460">
            <w:pPr>
              <w:spacing w:before="60" w:after="60"/>
              <w:jc w:val="center"/>
              <w:rPr>
                <w:rFonts w:eastAsia="Times New Roman"/>
                <w:b/>
                <w:bCs/>
                <w:szCs w:val="24"/>
                <w:highlight w:val="yellow"/>
                <w:lang w:val="fr-CH"/>
              </w:rPr>
            </w:pPr>
            <w:r w:rsidRPr="00B60460">
              <w:rPr>
                <w:rFonts w:eastAsia="Times New Roman"/>
                <w:b/>
                <w:bCs/>
                <w:szCs w:val="24"/>
                <w:lang w:val="fr-FR"/>
              </w:rPr>
              <w:t xml:space="preserve">Draft new </w:t>
            </w:r>
            <w:proofErr w:type="spellStart"/>
            <w:r w:rsidRPr="00B60460">
              <w:rPr>
                <w:rFonts w:eastAsia="Times New Roman"/>
                <w:b/>
                <w:bCs/>
                <w:szCs w:val="24"/>
                <w:lang w:val="fr-FR"/>
              </w:rPr>
              <w:t>Recommendation</w:t>
            </w:r>
            <w:proofErr w:type="spellEnd"/>
            <w:r w:rsidRPr="00B60460">
              <w:rPr>
                <w:rFonts w:eastAsia="Times New Roman"/>
                <w:b/>
                <w:bCs/>
                <w:szCs w:val="24"/>
                <w:lang w:val="fr-FR"/>
              </w:rPr>
              <w:t xml:space="preserve"> ITU-T </w:t>
            </w:r>
            <w:r w:rsidR="00256582" w:rsidRPr="00256582">
              <w:rPr>
                <w:rFonts w:eastAsia="Times New Roman"/>
                <w:b/>
                <w:bCs/>
                <w:szCs w:val="24"/>
                <w:lang w:val="fr-CH"/>
              </w:rPr>
              <w:t>Y.4500.3 (ex Y.oneM2M.SEC.SOL)</w:t>
            </w:r>
          </w:p>
        </w:tc>
        <w:tc>
          <w:tcPr>
            <w:tcW w:w="7634" w:type="dxa"/>
            <w:shd w:val="clear" w:color="auto" w:fill="auto"/>
            <w:vAlign w:val="center"/>
          </w:tcPr>
          <w:p w14:paraId="4152D586" w14:textId="77777777" w:rsidR="00B60460" w:rsidRPr="00B60460" w:rsidRDefault="00B60460" w:rsidP="00B60460">
            <w:pPr>
              <w:tabs>
                <w:tab w:val="clear" w:pos="794"/>
                <w:tab w:val="clear" w:pos="1191"/>
                <w:tab w:val="clear" w:pos="1588"/>
                <w:tab w:val="clear" w:pos="1985"/>
              </w:tabs>
              <w:spacing w:before="60" w:after="60"/>
              <w:ind w:left="459" w:hanging="459"/>
              <w:rPr>
                <w:rFonts w:eastAsia="Times New Roman"/>
                <w:szCs w:val="24"/>
              </w:rPr>
            </w:pPr>
            <w:r w:rsidRPr="00B60460">
              <w:rPr>
                <w:rFonts w:eastAsia="Times New Roman"/>
                <w:sz w:val="22"/>
                <w:szCs w:val="22"/>
              </w:rPr>
              <w:fldChar w:fldCharType="begin">
                <w:ffData>
                  <w:name w:val="Check1"/>
                  <w:enabled/>
                  <w:calcOnExit w:val="0"/>
                  <w:checkBox>
                    <w:sizeAuto/>
                    <w:default w:val="0"/>
                  </w:checkBox>
                </w:ffData>
              </w:fldChar>
            </w:r>
            <w:r w:rsidRPr="00B60460">
              <w:rPr>
                <w:rFonts w:eastAsia="Times New Roman"/>
                <w:sz w:val="22"/>
                <w:szCs w:val="22"/>
              </w:rPr>
              <w:instrText xml:space="preserve"> FORMCHECKBOX </w:instrText>
            </w:r>
            <w:r w:rsidR="000F4CAB">
              <w:rPr>
                <w:rFonts w:eastAsia="Times New Roman"/>
                <w:sz w:val="22"/>
                <w:szCs w:val="22"/>
              </w:rPr>
            </w:r>
            <w:r w:rsidR="000F4CAB">
              <w:rPr>
                <w:rFonts w:eastAsia="Times New Roman"/>
                <w:sz w:val="22"/>
                <w:szCs w:val="22"/>
              </w:rPr>
              <w:fldChar w:fldCharType="separate"/>
            </w:r>
            <w:r w:rsidRPr="00B60460">
              <w:rPr>
                <w:rFonts w:eastAsia="Times New Roman"/>
                <w:sz w:val="22"/>
                <w:szCs w:val="22"/>
              </w:rPr>
              <w:fldChar w:fldCharType="end"/>
            </w:r>
            <w:r w:rsidRPr="00B60460">
              <w:rPr>
                <w:rFonts w:eastAsia="Times New Roman"/>
                <w:sz w:val="20"/>
              </w:rPr>
              <w:tab/>
            </w:r>
            <w:r w:rsidRPr="00B60460">
              <w:rPr>
                <w:rFonts w:eastAsia="Times New Roman"/>
                <w:b/>
                <w:bCs/>
                <w:szCs w:val="24"/>
              </w:rPr>
              <w:t>assigns authority</w:t>
            </w:r>
            <w:r w:rsidRPr="00B60460">
              <w:rPr>
                <w:rFonts w:eastAsia="Times New Roman"/>
                <w:szCs w:val="24"/>
              </w:rPr>
              <w:t xml:space="preserve"> to Study Group 20 to consider this text for approval (in which case, select one of the two options </w:t>
            </w:r>
            <w:r w:rsidRPr="00B60460">
              <w:rPr>
                <w:rFonts w:eastAsia="Times New Roman"/>
                <w:sz w:val="20"/>
              </w:rPr>
              <w:t>⃝</w:t>
            </w:r>
            <w:r w:rsidRPr="00B60460">
              <w:rPr>
                <w:rFonts w:eastAsia="Times New Roman"/>
                <w:szCs w:val="24"/>
              </w:rPr>
              <w:t>):</w:t>
            </w:r>
          </w:p>
          <w:p w14:paraId="21D63AEA" w14:textId="77777777" w:rsidR="00B60460" w:rsidRPr="00B60460" w:rsidRDefault="00B60460" w:rsidP="00B60460">
            <w:pPr>
              <w:tabs>
                <w:tab w:val="clear" w:pos="794"/>
                <w:tab w:val="clear" w:pos="1191"/>
                <w:tab w:val="clear" w:pos="1588"/>
                <w:tab w:val="clear" w:pos="1985"/>
              </w:tabs>
              <w:spacing w:before="60" w:after="60"/>
              <w:ind w:left="939" w:hanging="459"/>
              <w:rPr>
                <w:rFonts w:eastAsia="Times New Roman"/>
                <w:szCs w:val="24"/>
              </w:rPr>
            </w:pPr>
            <w:r w:rsidRPr="00B60460">
              <w:rPr>
                <w:rFonts w:eastAsia="Times New Roman"/>
                <w:sz w:val="20"/>
              </w:rPr>
              <w:t>⃝</w:t>
            </w:r>
            <w:r w:rsidRPr="00B60460">
              <w:rPr>
                <w:rFonts w:eastAsia="Times New Roman"/>
                <w:sz w:val="20"/>
              </w:rPr>
              <w:tab/>
            </w:r>
            <w:r w:rsidRPr="00B60460">
              <w:rPr>
                <w:rFonts w:eastAsia="Times New Roman"/>
                <w:szCs w:val="24"/>
              </w:rPr>
              <w:t>No comments or suggested changes</w:t>
            </w:r>
          </w:p>
          <w:p w14:paraId="329EF68E" w14:textId="77777777" w:rsidR="00B60460" w:rsidRPr="00B60460" w:rsidRDefault="00B60460" w:rsidP="00B60460">
            <w:pPr>
              <w:tabs>
                <w:tab w:val="clear" w:pos="794"/>
                <w:tab w:val="clear" w:pos="1191"/>
                <w:tab w:val="clear" w:pos="1588"/>
                <w:tab w:val="clear" w:pos="1985"/>
              </w:tabs>
              <w:spacing w:before="60" w:after="60"/>
              <w:ind w:left="939" w:hanging="459"/>
              <w:rPr>
                <w:rFonts w:eastAsia="Times New Roman"/>
                <w:szCs w:val="24"/>
              </w:rPr>
            </w:pPr>
            <w:r w:rsidRPr="00B60460">
              <w:rPr>
                <w:rFonts w:eastAsia="Times New Roman"/>
                <w:sz w:val="20"/>
              </w:rPr>
              <w:t>⃝</w:t>
            </w:r>
            <w:r w:rsidRPr="00B60460">
              <w:rPr>
                <w:rFonts w:eastAsia="Times New Roman"/>
                <w:sz w:val="20"/>
              </w:rPr>
              <w:tab/>
            </w:r>
            <w:r w:rsidRPr="00B60460">
              <w:rPr>
                <w:rFonts w:eastAsia="Times New Roman"/>
                <w:szCs w:val="24"/>
              </w:rPr>
              <w:t>Comments and suggested changes are attached</w:t>
            </w:r>
          </w:p>
        </w:tc>
      </w:tr>
      <w:tr w:rsidR="00B60460" w:rsidRPr="00B60460" w14:paraId="1EB55FDD" w14:textId="77777777" w:rsidTr="004A76B1">
        <w:trPr>
          <w:trHeight w:val="747"/>
        </w:trPr>
        <w:tc>
          <w:tcPr>
            <w:tcW w:w="2085" w:type="dxa"/>
            <w:vMerge/>
            <w:shd w:val="clear" w:color="auto" w:fill="auto"/>
            <w:vAlign w:val="center"/>
          </w:tcPr>
          <w:p w14:paraId="29218970" w14:textId="77777777" w:rsidR="00B60460" w:rsidRPr="00B60460" w:rsidRDefault="00B60460" w:rsidP="00B60460">
            <w:pPr>
              <w:spacing w:before="60" w:after="60"/>
              <w:jc w:val="center"/>
              <w:rPr>
                <w:rFonts w:eastAsia="Times New Roman"/>
                <w:b/>
                <w:bCs/>
                <w:szCs w:val="24"/>
                <w:highlight w:val="yellow"/>
                <w:lang w:val="en-US"/>
              </w:rPr>
            </w:pPr>
          </w:p>
        </w:tc>
        <w:tc>
          <w:tcPr>
            <w:tcW w:w="7634" w:type="dxa"/>
            <w:shd w:val="clear" w:color="auto" w:fill="auto"/>
            <w:vAlign w:val="center"/>
          </w:tcPr>
          <w:p w14:paraId="06A262CF" w14:textId="77777777" w:rsidR="00B60460" w:rsidRPr="00B60460" w:rsidRDefault="00B60460" w:rsidP="00B60460">
            <w:pPr>
              <w:tabs>
                <w:tab w:val="clear" w:pos="794"/>
                <w:tab w:val="clear" w:pos="1191"/>
                <w:tab w:val="clear" w:pos="1588"/>
                <w:tab w:val="clear" w:pos="1985"/>
                <w:tab w:val="left" w:pos="250"/>
              </w:tabs>
              <w:spacing w:before="60" w:after="60"/>
              <w:ind w:left="459" w:hanging="459"/>
              <w:rPr>
                <w:rFonts w:eastAsia="Times New Roman"/>
                <w:sz w:val="20"/>
              </w:rPr>
            </w:pPr>
            <w:r w:rsidRPr="00B60460">
              <w:rPr>
                <w:rFonts w:eastAsia="Times New Roman"/>
                <w:sz w:val="22"/>
                <w:szCs w:val="22"/>
              </w:rPr>
              <w:fldChar w:fldCharType="begin">
                <w:ffData>
                  <w:name w:val="Check1"/>
                  <w:enabled/>
                  <w:calcOnExit w:val="0"/>
                  <w:checkBox>
                    <w:sizeAuto/>
                    <w:default w:val="0"/>
                  </w:checkBox>
                </w:ffData>
              </w:fldChar>
            </w:r>
            <w:r w:rsidRPr="00B60460">
              <w:rPr>
                <w:rFonts w:eastAsia="Times New Roman"/>
                <w:sz w:val="22"/>
                <w:szCs w:val="22"/>
              </w:rPr>
              <w:instrText xml:space="preserve"> FORMCHECKBOX </w:instrText>
            </w:r>
            <w:r w:rsidR="000F4CAB">
              <w:rPr>
                <w:rFonts w:eastAsia="Times New Roman"/>
                <w:sz w:val="22"/>
                <w:szCs w:val="22"/>
              </w:rPr>
            </w:r>
            <w:r w:rsidR="000F4CAB">
              <w:rPr>
                <w:rFonts w:eastAsia="Times New Roman"/>
                <w:sz w:val="22"/>
                <w:szCs w:val="22"/>
              </w:rPr>
              <w:fldChar w:fldCharType="separate"/>
            </w:r>
            <w:r w:rsidRPr="00B60460">
              <w:rPr>
                <w:rFonts w:eastAsia="Times New Roman"/>
                <w:sz w:val="22"/>
                <w:szCs w:val="22"/>
              </w:rPr>
              <w:fldChar w:fldCharType="end"/>
            </w:r>
            <w:r w:rsidRPr="00B60460">
              <w:rPr>
                <w:rFonts w:eastAsia="Times New Roman"/>
                <w:sz w:val="22"/>
                <w:szCs w:val="22"/>
              </w:rPr>
              <w:tab/>
            </w:r>
            <w:r w:rsidRPr="00B60460">
              <w:rPr>
                <w:rFonts w:eastAsia="Times New Roman"/>
                <w:b/>
                <w:bCs/>
                <w:szCs w:val="24"/>
              </w:rPr>
              <w:t>does not assign authority</w:t>
            </w:r>
            <w:r w:rsidRPr="00B60460">
              <w:rPr>
                <w:rFonts w:eastAsia="Times New Roman"/>
                <w:szCs w:val="24"/>
              </w:rPr>
              <w:t xml:space="preserve"> to Study Group 20 to consider this text for approval (</w:t>
            </w:r>
            <w:r w:rsidRPr="00B60460">
              <w:rPr>
                <w:rFonts w:eastAsia="Times New Roman"/>
                <w:szCs w:val="22"/>
              </w:rPr>
              <w:t>reasons for this opinion and an outline of possible changes that would enable the work to progress are attached)</w:t>
            </w:r>
          </w:p>
        </w:tc>
      </w:tr>
    </w:tbl>
    <w:p w14:paraId="2F2B71C2" w14:textId="77777777" w:rsidR="00B60460" w:rsidRPr="00B60460" w:rsidRDefault="00B60460" w:rsidP="00B60460">
      <w:pPr>
        <w:rPr>
          <w:rFonts w:eastAsia="Times New Roman"/>
        </w:rPr>
      </w:pPr>
    </w:p>
    <w:p w14:paraId="30B7FC77" w14:textId="77777777" w:rsidR="00B60460" w:rsidRPr="00B60460" w:rsidRDefault="00B60460" w:rsidP="00B60460">
      <w:pPr>
        <w:spacing w:before="0"/>
        <w:rPr>
          <w:rFonts w:eastAsia="Times New Roman"/>
        </w:rPr>
      </w:pPr>
      <w:r w:rsidRPr="00B60460">
        <w:rPr>
          <w:rFonts w:eastAsia="Times New Roman"/>
        </w:rPr>
        <w:t>Yours faithfully,</w:t>
      </w:r>
    </w:p>
    <w:p w14:paraId="1D5D24AB" w14:textId="77777777" w:rsidR="00B60460" w:rsidRPr="00B60460" w:rsidRDefault="00B60460" w:rsidP="00B60460">
      <w:pPr>
        <w:rPr>
          <w:rFonts w:eastAsia="Times New Roman"/>
        </w:rPr>
      </w:pPr>
    </w:p>
    <w:p w14:paraId="195479E2" w14:textId="77777777" w:rsidR="00B60460" w:rsidRPr="00B60460" w:rsidRDefault="00B60460" w:rsidP="00B60460">
      <w:pPr>
        <w:rPr>
          <w:rFonts w:eastAsia="Times New Roman"/>
          <w:szCs w:val="24"/>
        </w:rPr>
      </w:pPr>
      <w:r w:rsidRPr="00B60460">
        <w:rPr>
          <w:rFonts w:eastAsia="Times New Roman"/>
          <w:szCs w:val="24"/>
        </w:rPr>
        <w:t>[Name]</w:t>
      </w:r>
    </w:p>
    <w:p w14:paraId="58D48AB2" w14:textId="77777777" w:rsidR="00B60460" w:rsidRPr="00B60460" w:rsidRDefault="00B60460" w:rsidP="00B60460">
      <w:pPr>
        <w:rPr>
          <w:rFonts w:eastAsia="Times New Roman"/>
          <w:szCs w:val="24"/>
        </w:rPr>
      </w:pPr>
      <w:r w:rsidRPr="00B60460">
        <w:rPr>
          <w:rFonts w:eastAsia="Times New Roman"/>
          <w:szCs w:val="24"/>
        </w:rPr>
        <w:t>[Official role/title]</w:t>
      </w:r>
    </w:p>
    <w:p w14:paraId="6CD9C652" w14:textId="77777777" w:rsidR="00B60460" w:rsidRPr="00B60460" w:rsidRDefault="00B60460" w:rsidP="00B60460">
      <w:pPr>
        <w:rPr>
          <w:rFonts w:eastAsia="Times New Roman"/>
          <w:szCs w:val="24"/>
        </w:rPr>
      </w:pPr>
      <w:r w:rsidRPr="00B60460">
        <w:rPr>
          <w:rFonts w:eastAsia="Times New Roman"/>
          <w:szCs w:val="24"/>
        </w:rPr>
        <w:t>Administration of [Member State]</w:t>
      </w:r>
    </w:p>
    <w:p w14:paraId="799A3B0F" w14:textId="77777777" w:rsidR="00B60460" w:rsidRPr="00B60460" w:rsidRDefault="00B60460" w:rsidP="00B60460">
      <w:pPr>
        <w:jc w:val="center"/>
        <w:rPr>
          <w:rFonts w:eastAsia="Times New Roman"/>
        </w:rPr>
      </w:pPr>
      <w:r w:rsidRPr="00B60460">
        <w:rPr>
          <w:rFonts w:eastAsia="Times New Roman"/>
        </w:rPr>
        <w:t>___________</w:t>
      </w:r>
    </w:p>
    <w:p w14:paraId="4EE98D43" w14:textId="77777777" w:rsidR="00B60460" w:rsidRPr="00042225" w:rsidRDefault="00B60460" w:rsidP="00B60460">
      <w:pPr>
        <w:spacing w:before="240"/>
        <w:rPr>
          <w:rFonts w:cs="Calibri"/>
          <w:sz w:val="22"/>
          <w:szCs w:val="22"/>
        </w:rPr>
      </w:pPr>
    </w:p>
    <w:sectPr w:rsidR="00B60460" w:rsidRPr="00042225" w:rsidSect="00FA46A0">
      <w:headerReference w:type="defaul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6B0D" w14:textId="77777777" w:rsidR="003C7446" w:rsidRDefault="003C7446">
      <w:r>
        <w:separator/>
      </w:r>
    </w:p>
  </w:endnote>
  <w:endnote w:type="continuationSeparator" w:id="0">
    <w:p w14:paraId="390380D9" w14:textId="77777777" w:rsidR="003C7446" w:rsidRDefault="003C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BDE8" w14:textId="57B2D251" w:rsidR="00FA46A0" w:rsidRPr="001F1202" w:rsidRDefault="001F1202" w:rsidP="001F120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CBD1" w14:textId="77777777" w:rsidR="003C7446" w:rsidRDefault="003C7446">
      <w:r>
        <w:t>____________________</w:t>
      </w:r>
    </w:p>
  </w:footnote>
  <w:footnote w:type="continuationSeparator" w:id="0">
    <w:p w14:paraId="217AB9B7" w14:textId="77777777" w:rsidR="003C7446" w:rsidRDefault="003C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13BF" w14:textId="2FB72278"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3212A7" w:rsidRPr="003212A7">
      <w:rPr>
        <w:noProof/>
      </w:rPr>
      <w:t>TSB Circular 37</w:t>
    </w:r>
  </w:p>
  <w:p w14:paraId="07F5543E"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415DB4"/>
    <w:multiLevelType w:val="hybridMultilevel"/>
    <w:tmpl w:val="FD623A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6174BD"/>
    <w:multiLevelType w:val="hybridMultilevel"/>
    <w:tmpl w:val="AAD2C5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972807">
    <w:abstractNumId w:val="9"/>
  </w:num>
  <w:num w:numId="2" w16cid:durableId="1151946096">
    <w:abstractNumId w:val="7"/>
  </w:num>
  <w:num w:numId="3" w16cid:durableId="1161114181">
    <w:abstractNumId w:val="6"/>
  </w:num>
  <w:num w:numId="4" w16cid:durableId="1680883768">
    <w:abstractNumId w:val="5"/>
  </w:num>
  <w:num w:numId="5" w16cid:durableId="560822676">
    <w:abstractNumId w:val="4"/>
  </w:num>
  <w:num w:numId="6" w16cid:durableId="1006789791">
    <w:abstractNumId w:val="8"/>
  </w:num>
  <w:num w:numId="7" w16cid:durableId="1045180611">
    <w:abstractNumId w:val="3"/>
  </w:num>
  <w:num w:numId="8" w16cid:durableId="38361560">
    <w:abstractNumId w:val="2"/>
  </w:num>
  <w:num w:numId="9" w16cid:durableId="1573587868">
    <w:abstractNumId w:val="1"/>
  </w:num>
  <w:num w:numId="10" w16cid:durableId="2141730466">
    <w:abstractNumId w:val="0"/>
  </w:num>
  <w:num w:numId="11" w16cid:durableId="1577783453">
    <w:abstractNumId w:val="11"/>
  </w:num>
  <w:num w:numId="12" w16cid:durableId="789200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zQ0Mjc3MjI1NjdV0lEKTi0uzszPAykwrAUAAiEb9CwAAAA="/>
  </w:docVars>
  <w:rsids>
    <w:rsidRoot w:val="002A7B41"/>
    <w:rsid w:val="00012BB7"/>
    <w:rsid w:val="00022E6B"/>
    <w:rsid w:val="0002793D"/>
    <w:rsid w:val="00042225"/>
    <w:rsid w:val="00052293"/>
    <w:rsid w:val="00060B63"/>
    <w:rsid w:val="00061C09"/>
    <w:rsid w:val="00063A32"/>
    <w:rsid w:val="00082D5E"/>
    <w:rsid w:val="0008374E"/>
    <w:rsid w:val="00086F4E"/>
    <w:rsid w:val="000A2044"/>
    <w:rsid w:val="000B15C8"/>
    <w:rsid w:val="000F4CAB"/>
    <w:rsid w:val="001018E1"/>
    <w:rsid w:val="00112F37"/>
    <w:rsid w:val="001440D7"/>
    <w:rsid w:val="0015654A"/>
    <w:rsid w:val="00156D55"/>
    <w:rsid w:val="00172D0A"/>
    <w:rsid w:val="001A34EC"/>
    <w:rsid w:val="001C580D"/>
    <w:rsid w:val="001C6A78"/>
    <w:rsid w:val="001F1202"/>
    <w:rsid w:val="001F5F48"/>
    <w:rsid w:val="00204C6F"/>
    <w:rsid w:val="00213252"/>
    <w:rsid w:val="00230AEA"/>
    <w:rsid w:val="00232F01"/>
    <w:rsid w:val="00236CF5"/>
    <w:rsid w:val="00237686"/>
    <w:rsid w:val="00246730"/>
    <w:rsid w:val="00256582"/>
    <w:rsid w:val="00262C6E"/>
    <w:rsid w:val="00280863"/>
    <w:rsid w:val="002A7B41"/>
    <w:rsid w:val="002D65F7"/>
    <w:rsid w:val="002D69A3"/>
    <w:rsid w:val="002E064A"/>
    <w:rsid w:val="00302517"/>
    <w:rsid w:val="0031216D"/>
    <w:rsid w:val="003212A7"/>
    <w:rsid w:val="00324EAC"/>
    <w:rsid w:val="003504F4"/>
    <w:rsid w:val="00352722"/>
    <w:rsid w:val="00352AC7"/>
    <w:rsid w:val="00356B73"/>
    <w:rsid w:val="003746A5"/>
    <w:rsid w:val="0039147E"/>
    <w:rsid w:val="003B4ECB"/>
    <w:rsid w:val="003C20A2"/>
    <w:rsid w:val="003C3E2D"/>
    <w:rsid w:val="003C7446"/>
    <w:rsid w:val="003D4690"/>
    <w:rsid w:val="003E62FA"/>
    <w:rsid w:val="003F0E6C"/>
    <w:rsid w:val="0040760F"/>
    <w:rsid w:val="00413868"/>
    <w:rsid w:val="004220C1"/>
    <w:rsid w:val="004245E2"/>
    <w:rsid w:val="0043409A"/>
    <w:rsid w:val="00437A87"/>
    <w:rsid w:val="00442FAB"/>
    <w:rsid w:val="00453CEA"/>
    <w:rsid w:val="00477CBA"/>
    <w:rsid w:val="00487330"/>
    <w:rsid w:val="00497010"/>
    <w:rsid w:val="004A5C4E"/>
    <w:rsid w:val="004B1816"/>
    <w:rsid w:val="004E2EF1"/>
    <w:rsid w:val="004F0197"/>
    <w:rsid w:val="00500E42"/>
    <w:rsid w:val="00503ADB"/>
    <w:rsid w:val="005056AB"/>
    <w:rsid w:val="00531E25"/>
    <w:rsid w:val="00554B6D"/>
    <w:rsid w:val="00565F4C"/>
    <w:rsid w:val="0058276E"/>
    <w:rsid w:val="00587ED5"/>
    <w:rsid w:val="0059480C"/>
    <w:rsid w:val="005C0870"/>
    <w:rsid w:val="005E003C"/>
    <w:rsid w:val="00601EE8"/>
    <w:rsid w:val="00632A08"/>
    <w:rsid w:val="00635976"/>
    <w:rsid w:val="00645E21"/>
    <w:rsid w:val="00656B29"/>
    <w:rsid w:val="00656CEC"/>
    <w:rsid w:val="00677B26"/>
    <w:rsid w:val="006832B3"/>
    <w:rsid w:val="006A35BC"/>
    <w:rsid w:val="006B047C"/>
    <w:rsid w:val="006B49C0"/>
    <w:rsid w:val="006B7EC1"/>
    <w:rsid w:val="006C3DC8"/>
    <w:rsid w:val="006C66E3"/>
    <w:rsid w:val="006D403A"/>
    <w:rsid w:val="006E7AE7"/>
    <w:rsid w:val="00702700"/>
    <w:rsid w:val="0070602B"/>
    <w:rsid w:val="00730A58"/>
    <w:rsid w:val="0075209E"/>
    <w:rsid w:val="00764DE9"/>
    <w:rsid w:val="00773AF9"/>
    <w:rsid w:val="00776EDA"/>
    <w:rsid w:val="0079763E"/>
    <w:rsid w:val="007A2FD8"/>
    <w:rsid w:val="007A65E8"/>
    <w:rsid w:val="007F18B4"/>
    <w:rsid w:val="00842AEC"/>
    <w:rsid w:val="008467E5"/>
    <w:rsid w:val="00847FA5"/>
    <w:rsid w:val="00881924"/>
    <w:rsid w:val="008B1B0E"/>
    <w:rsid w:val="008D07B3"/>
    <w:rsid w:val="008E4D37"/>
    <w:rsid w:val="008E68C3"/>
    <w:rsid w:val="00905D31"/>
    <w:rsid w:val="0092266A"/>
    <w:rsid w:val="0092612D"/>
    <w:rsid w:val="00956917"/>
    <w:rsid w:val="00956FE8"/>
    <w:rsid w:val="00963900"/>
    <w:rsid w:val="009747C5"/>
    <w:rsid w:val="009B2EB5"/>
    <w:rsid w:val="00A12F30"/>
    <w:rsid w:val="00A34E28"/>
    <w:rsid w:val="00A72C30"/>
    <w:rsid w:val="00AB2B12"/>
    <w:rsid w:val="00AE1576"/>
    <w:rsid w:val="00AE2E13"/>
    <w:rsid w:val="00AF2981"/>
    <w:rsid w:val="00B07F9F"/>
    <w:rsid w:val="00B126CE"/>
    <w:rsid w:val="00B2488F"/>
    <w:rsid w:val="00B40730"/>
    <w:rsid w:val="00B4669D"/>
    <w:rsid w:val="00B60460"/>
    <w:rsid w:val="00B61012"/>
    <w:rsid w:val="00B625DD"/>
    <w:rsid w:val="00B62712"/>
    <w:rsid w:val="00B770C6"/>
    <w:rsid w:val="00BA17E8"/>
    <w:rsid w:val="00BA5FF8"/>
    <w:rsid w:val="00BC1CCB"/>
    <w:rsid w:val="00C05DB8"/>
    <w:rsid w:val="00C32848"/>
    <w:rsid w:val="00C40781"/>
    <w:rsid w:val="00C85F0F"/>
    <w:rsid w:val="00C95BF6"/>
    <w:rsid w:val="00CE4985"/>
    <w:rsid w:val="00D06A5D"/>
    <w:rsid w:val="00D072E7"/>
    <w:rsid w:val="00D32B6E"/>
    <w:rsid w:val="00D4441B"/>
    <w:rsid w:val="00D62702"/>
    <w:rsid w:val="00D67E11"/>
    <w:rsid w:val="00D836C0"/>
    <w:rsid w:val="00DB32A3"/>
    <w:rsid w:val="00DC5F6F"/>
    <w:rsid w:val="00DE1B74"/>
    <w:rsid w:val="00E150D7"/>
    <w:rsid w:val="00E156A1"/>
    <w:rsid w:val="00E26ACA"/>
    <w:rsid w:val="00E54AFA"/>
    <w:rsid w:val="00E609F7"/>
    <w:rsid w:val="00E83BB1"/>
    <w:rsid w:val="00EA2114"/>
    <w:rsid w:val="00EB318B"/>
    <w:rsid w:val="00EC15F4"/>
    <w:rsid w:val="00F020AB"/>
    <w:rsid w:val="00F07730"/>
    <w:rsid w:val="00F22314"/>
    <w:rsid w:val="00F2238A"/>
    <w:rsid w:val="00F2359E"/>
    <w:rsid w:val="00F243C2"/>
    <w:rsid w:val="00F458DE"/>
    <w:rsid w:val="00F46912"/>
    <w:rsid w:val="00F61EF1"/>
    <w:rsid w:val="00F626A1"/>
    <w:rsid w:val="00F6776B"/>
    <w:rsid w:val="00F879E6"/>
    <w:rsid w:val="00F96E12"/>
    <w:rsid w:val="00FA46A0"/>
    <w:rsid w:val="00FA589C"/>
    <w:rsid w:val="00FB2124"/>
    <w:rsid w:val="00FC1C19"/>
    <w:rsid w:val="00FF4E07"/>
    <w:rsid w:val="00FF5729"/>
    <w:rsid w:val="00FF7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227533"/>
  <w15:docId w15:val="{8341CA60-67F6-4030-B2D6-0B116AB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2A7B41"/>
    <w:rPr>
      <w:color w:val="605E5C"/>
      <w:shd w:val="clear" w:color="auto" w:fill="E1DFDD"/>
    </w:rPr>
  </w:style>
  <w:style w:type="paragraph" w:styleId="ListParagraph">
    <w:name w:val="List Paragraph"/>
    <w:basedOn w:val="Normal"/>
    <w:qFormat/>
    <w:rsid w:val="002D69A3"/>
    <w:pPr>
      <w:ind w:left="720"/>
      <w:contextualSpacing/>
    </w:pPr>
  </w:style>
  <w:style w:type="paragraph" w:styleId="Revision">
    <w:name w:val="Revision"/>
    <w:hidden/>
    <w:semiHidden/>
    <w:rsid w:val="00764DE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874">
      <w:bodyDiv w:val="1"/>
      <w:marLeft w:val="0"/>
      <w:marRight w:val="0"/>
      <w:marTop w:val="0"/>
      <w:marBottom w:val="0"/>
      <w:divBdr>
        <w:top w:val="none" w:sz="0" w:space="0" w:color="auto"/>
        <w:left w:val="none" w:sz="0" w:space="0" w:color="auto"/>
        <w:bottom w:val="none" w:sz="0" w:space="0" w:color="auto"/>
        <w:right w:val="none" w:sz="0" w:space="0" w:color="auto"/>
      </w:divBdr>
    </w:div>
    <w:div w:id="23805873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28869171">
      <w:bodyDiv w:val="1"/>
      <w:marLeft w:val="0"/>
      <w:marRight w:val="0"/>
      <w:marTop w:val="0"/>
      <w:marBottom w:val="0"/>
      <w:divBdr>
        <w:top w:val="none" w:sz="0" w:space="0" w:color="auto"/>
        <w:left w:val="none" w:sz="0" w:space="0" w:color="auto"/>
        <w:bottom w:val="none" w:sz="0" w:space="0" w:color="auto"/>
        <w:right w:val="none" w:sz="0" w:space="0" w:color="auto"/>
      </w:divBdr>
    </w:div>
    <w:div w:id="1226843764">
      <w:bodyDiv w:val="1"/>
      <w:marLeft w:val="0"/>
      <w:marRight w:val="0"/>
      <w:marTop w:val="0"/>
      <w:marBottom w:val="0"/>
      <w:divBdr>
        <w:top w:val="none" w:sz="0" w:space="0" w:color="auto"/>
        <w:left w:val="none" w:sz="0" w:space="0" w:color="auto"/>
        <w:bottom w:val="none" w:sz="0" w:space="0" w:color="auto"/>
        <w:right w:val="none" w:sz="0" w:space="0" w:color="auto"/>
      </w:divBdr>
    </w:div>
    <w:div w:id="1436628643">
      <w:bodyDiv w:val="1"/>
      <w:marLeft w:val="0"/>
      <w:marRight w:val="0"/>
      <w:marTop w:val="0"/>
      <w:marBottom w:val="0"/>
      <w:divBdr>
        <w:top w:val="none" w:sz="0" w:space="0" w:color="auto"/>
        <w:left w:val="none" w:sz="0" w:space="0" w:color="auto"/>
        <w:bottom w:val="none" w:sz="0" w:space="0" w:color="auto"/>
        <w:right w:val="none" w:sz="0" w:space="0" w:color="auto"/>
      </w:divBdr>
    </w:div>
    <w:div w:id="1618247648">
      <w:bodyDiv w:val="1"/>
      <w:marLeft w:val="0"/>
      <w:marRight w:val="0"/>
      <w:marTop w:val="0"/>
      <w:marBottom w:val="0"/>
      <w:divBdr>
        <w:top w:val="none" w:sz="0" w:space="0" w:color="auto"/>
        <w:left w:val="none" w:sz="0" w:space="0" w:color="auto"/>
        <w:bottom w:val="none" w:sz="0" w:space="0" w:color="auto"/>
        <w:right w:val="none" w:sz="0" w:space="0" w:color="auto"/>
      </w:divBdr>
    </w:div>
    <w:div w:id="1848592252">
      <w:bodyDiv w:val="1"/>
      <w:marLeft w:val="0"/>
      <w:marRight w:val="0"/>
      <w:marTop w:val="0"/>
      <w:marBottom w:val="0"/>
      <w:divBdr>
        <w:top w:val="none" w:sz="0" w:space="0" w:color="auto"/>
        <w:left w:val="none" w:sz="0" w:space="0" w:color="auto"/>
        <w:bottom w:val="none" w:sz="0" w:space="0" w:color="auto"/>
        <w:right w:val="none" w:sz="0" w:space="0" w:color="auto"/>
      </w:divBdr>
    </w:div>
    <w:div w:id="1919899855">
      <w:bodyDiv w:val="1"/>
      <w:marLeft w:val="0"/>
      <w:marRight w:val="0"/>
      <w:marTop w:val="0"/>
      <w:marBottom w:val="0"/>
      <w:divBdr>
        <w:top w:val="none" w:sz="0" w:space="0" w:color="auto"/>
        <w:left w:val="none" w:sz="0" w:space="0" w:color="auto"/>
        <w:bottom w:val="none" w:sz="0" w:space="0" w:color="auto"/>
        <w:right w:val="none" w:sz="0" w:space="0" w:color="auto"/>
      </w:divBdr>
    </w:div>
    <w:div w:id="20738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20-R-000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hyperlink" Target="mailto:tsbdir@itu.int" TargetMode="External"/><Relationship Id="rId10" Type="http://schemas.openxmlformats.org/officeDocument/2006/relationships/hyperlink" Target="https://www.itu.int/md/meetingdoc.asp?lang=en&amp;parent=T22-SG20-COL-00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md/T22-SG20-R-0003/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C997D-A29C-4087-9C8C-8F733593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32</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tsb circular xxx - tap.docx  For: _x000d_Document date: _x000d_Saved by ITU51014379 at 10:23:03 on 14.09.2022</dc:description>
  <cp:lastModifiedBy>Braud, Olivia</cp:lastModifiedBy>
  <cp:revision>14</cp:revision>
  <cp:lastPrinted>2022-09-14T12:16:00Z</cp:lastPrinted>
  <dcterms:created xsi:type="dcterms:W3CDTF">2022-08-04T08:51:00Z</dcterms:created>
  <dcterms:modified xsi:type="dcterms:W3CDTF">2022-09-14T12:16:00Z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xxx - tap.docx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