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268"/>
        <w:gridCol w:w="142"/>
        <w:gridCol w:w="3467"/>
        <w:gridCol w:w="5329"/>
      </w:tblGrid>
      <w:tr w:rsidR="007B6316" w14:paraId="116EEF26" w14:textId="77777777" w:rsidTr="00E515EF">
        <w:trPr>
          <w:cantSplit/>
          <w:trHeight w:val="340"/>
        </w:trPr>
        <w:tc>
          <w:tcPr>
            <w:tcW w:w="1410" w:type="dxa"/>
            <w:gridSpan w:val="2"/>
          </w:tcPr>
          <w:p w14:paraId="0CF203AD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65B722D" wp14:editId="5D3812D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B83A8DD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4F1F5C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181D818B" w14:textId="77777777" w:rsidTr="006B2CBA">
        <w:trPr>
          <w:cantSplit/>
          <w:trHeight w:val="340"/>
        </w:trPr>
        <w:tc>
          <w:tcPr>
            <w:tcW w:w="1268" w:type="dxa"/>
          </w:tcPr>
          <w:p w14:paraId="67D93116" w14:textId="77777777" w:rsidR="007B6316" w:rsidRPr="00E515EF" w:rsidRDefault="007B6316" w:rsidP="00E515EF">
            <w:pPr>
              <w:tabs>
                <w:tab w:val="left" w:pos="4111"/>
              </w:tabs>
              <w:spacing w:after="40"/>
            </w:pPr>
          </w:p>
        </w:tc>
        <w:tc>
          <w:tcPr>
            <w:tcW w:w="3609" w:type="dxa"/>
            <w:gridSpan w:val="2"/>
          </w:tcPr>
          <w:p w14:paraId="123D003F" w14:textId="77777777" w:rsidR="007B6316" w:rsidRPr="00E515EF" w:rsidRDefault="007B6316" w:rsidP="00E50CB7">
            <w:pPr>
              <w:tabs>
                <w:tab w:val="left" w:pos="4111"/>
              </w:tabs>
              <w:spacing w:after="40"/>
            </w:pPr>
          </w:p>
        </w:tc>
        <w:tc>
          <w:tcPr>
            <w:tcW w:w="5329" w:type="dxa"/>
          </w:tcPr>
          <w:p w14:paraId="493F2FE7" w14:textId="20CCFDE9" w:rsidR="007B6316" w:rsidRDefault="00BD0391" w:rsidP="003E7238">
            <w:pPr>
              <w:tabs>
                <w:tab w:val="left" w:pos="4111"/>
              </w:tabs>
              <w:spacing w:after="120"/>
            </w:pPr>
            <w:r w:rsidRPr="00E515EF">
              <w:t>Ginebra, 29 de julio de 2022</w:t>
            </w:r>
          </w:p>
        </w:tc>
      </w:tr>
      <w:tr w:rsidR="007B6316" w14:paraId="54A937A6" w14:textId="77777777" w:rsidTr="006B2CBA">
        <w:trPr>
          <w:cantSplit/>
          <w:trHeight w:val="340"/>
        </w:trPr>
        <w:tc>
          <w:tcPr>
            <w:tcW w:w="1268" w:type="dxa"/>
          </w:tcPr>
          <w:p w14:paraId="6960D8A4" w14:textId="4083FCD5" w:rsidR="007B6316" w:rsidRPr="00E515EF" w:rsidRDefault="007B6316" w:rsidP="00E515EF">
            <w:pPr>
              <w:tabs>
                <w:tab w:val="left" w:pos="4111"/>
              </w:tabs>
              <w:spacing w:before="40" w:after="40"/>
            </w:pPr>
            <w:r w:rsidRPr="00E515EF">
              <w:t>Ref.:</w:t>
            </w:r>
          </w:p>
        </w:tc>
        <w:tc>
          <w:tcPr>
            <w:tcW w:w="3609" w:type="dxa"/>
            <w:gridSpan w:val="2"/>
          </w:tcPr>
          <w:p w14:paraId="4363F873" w14:textId="79BEFC8E" w:rsidR="007B6316" w:rsidRPr="00E515EF" w:rsidRDefault="007B6316" w:rsidP="00EF2EC6">
            <w:pPr>
              <w:tabs>
                <w:tab w:val="left" w:pos="4111"/>
              </w:tabs>
              <w:spacing w:before="40"/>
              <w:rPr>
                <w:b/>
                <w:bCs/>
              </w:rPr>
            </w:pPr>
            <w:r w:rsidRPr="00E515EF">
              <w:rPr>
                <w:b/>
                <w:bCs/>
              </w:rPr>
              <w:t xml:space="preserve">Circular TSB </w:t>
            </w:r>
            <w:r w:rsidR="00BD0391" w:rsidRPr="00E515EF">
              <w:rPr>
                <w:b/>
                <w:bCs/>
              </w:rPr>
              <w:t>32</w:t>
            </w:r>
          </w:p>
          <w:p w14:paraId="2B55BD1E" w14:textId="4EE326D3" w:rsidR="007B6316" w:rsidRDefault="00BD0391" w:rsidP="00EF2EC6">
            <w:pPr>
              <w:tabs>
                <w:tab w:val="left" w:pos="4111"/>
              </w:tabs>
              <w:spacing w:before="0" w:after="40"/>
            </w:pPr>
            <w:r w:rsidRPr="00BD0391">
              <w:t>SG13/TK</w:t>
            </w:r>
          </w:p>
        </w:tc>
        <w:tc>
          <w:tcPr>
            <w:tcW w:w="5329" w:type="dxa"/>
            <w:vMerge w:val="restart"/>
          </w:tcPr>
          <w:p w14:paraId="20D4DE89" w14:textId="77777777" w:rsidR="00BD0391" w:rsidRPr="00E515EF" w:rsidRDefault="00BD0391" w:rsidP="00E515EF">
            <w:pPr>
              <w:tabs>
                <w:tab w:val="left" w:pos="4111"/>
              </w:tabs>
              <w:spacing w:before="40" w:after="40"/>
              <w:rPr>
                <w:b/>
                <w:bCs/>
              </w:rPr>
            </w:pPr>
            <w:bookmarkStart w:id="0" w:name="Addressee_S"/>
            <w:bookmarkEnd w:id="0"/>
            <w:r w:rsidRPr="00E515EF">
              <w:rPr>
                <w:b/>
                <w:bCs/>
              </w:rPr>
              <w:t>A:</w:t>
            </w:r>
          </w:p>
          <w:p w14:paraId="1344E245" w14:textId="6EECFF14" w:rsidR="007B6316" w:rsidRDefault="00BD0391" w:rsidP="00E5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>las Administraciones de los Estados Miembros de</w:t>
            </w:r>
            <w:r w:rsidR="00E515EF">
              <w:t> </w:t>
            </w:r>
            <w:r>
              <w:t>la Unión</w:t>
            </w:r>
          </w:p>
        </w:tc>
      </w:tr>
      <w:tr w:rsidR="007B6316" w14:paraId="45359846" w14:textId="77777777" w:rsidTr="006B2CBA">
        <w:trPr>
          <w:cantSplit/>
        </w:trPr>
        <w:tc>
          <w:tcPr>
            <w:tcW w:w="1268" w:type="dxa"/>
          </w:tcPr>
          <w:p w14:paraId="7AC8B930" w14:textId="77777777" w:rsidR="007B6316" w:rsidRPr="00E515EF" w:rsidRDefault="007B6316" w:rsidP="00E515EF">
            <w:pPr>
              <w:tabs>
                <w:tab w:val="left" w:pos="4111"/>
              </w:tabs>
              <w:spacing w:before="40" w:after="40"/>
            </w:pPr>
            <w:r w:rsidRPr="00E515EF">
              <w:t>Tel.:</w:t>
            </w:r>
          </w:p>
        </w:tc>
        <w:tc>
          <w:tcPr>
            <w:tcW w:w="3609" w:type="dxa"/>
            <w:gridSpan w:val="2"/>
          </w:tcPr>
          <w:p w14:paraId="01755722" w14:textId="3221E416" w:rsidR="007B6316" w:rsidRPr="00E515EF" w:rsidRDefault="00BD0391" w:rsidP="00E515EF">
            <w:pPr>
              <w:tabs>
                <w:tab w:val="left" w:pos="4111"/>
              </w:tabs>
              <w:spacing w:before="40" w:after="40"/>
            </w:pPr>
            <w:r w:rsidRPr="00BD0391">
              <w:t>+41 22 730 5126</w:t>
            </w:r>
          </w:p>
        </w:tc>
        <w:tc>
          <w:tcPr>
            <w:tcW w:w="5329" w:type="dxa"/>
            <w:vMerge/>
          </w:tcPr>
          <w:p w14:paraId="0D9C6E06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22813A5C" w14:textId="77777777" w:rsidTr="006B2CBA">
        <w:trPr>
          <w:cantSplit/>
        </w:trPr>
        <w:tc>
          <w:tcPr>
            <w:tcW w:w="1268" w:type="dxa"/>
          </w:tcPr>
          <w:p w14:paraId="341F8E55" w14:textId="77777777" w:rsidR="007B6316" w:rsidRPr="00E515EF" w:rsidRDefault="007B6316" w:rsidP="00E515EF">
            <w:pPr>
              <w:tabs>
                <w:tab w:val="left" w:pos="4111"/>
              </w:tabs>
              <w:spacing w:before="40" w:after="40"/>
            </w:pPr>
            <w:r w:rsidRPr="00E515EF">
              <w:t>Fax:</w:t>
            </w:r>
          </w:p>
        </w:tc>
        <w:tc>
          <w:tcPr>
            <w:tcW w:w="3609" w:type="dxa"/>
            <w:gridSpan w:val="2"/>
          </w:tcPr>
          <w:p w14:paraId="39A42D65" w14:textId="448E0656" w:rsidR="007B6316" w:rsidRPr="00E515EF" w:rsidRDefault="00BD0391" w:rsidP="00E515EF">
            <w:pPr>
              <w:tabs>
                <w:tab w:val="left" w:pos="4111"/>
              </w:tabs>
              <w:spacing w:before="40" w:after="40"/>
            </w:pPr>
            <w:r w:rsidRPr="00BD0391">
              <w:t>+41 22 730 5853</w:t>
            </w:r>
          </w:p>
        </w:tc>
        <w:tc>
          <w:tcPr>
            <w:tcW w:w="5329" w:type="dxa"/>
            <w:vMerge/>
          </w:tcPr>
          <w:p w14:paraId="6A6E3F59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059A47EA" w14:textId="77777777" w:rsidTr="006B2CBA">
        <w:trPr>
          <w:cantSplit/>
        </w:trPr>
        <w:tc>
          <w:tcPr>
            <w:tcW w:w="1268" w:type="dxa"/>
          </w:tcPr>
          <w:p w14:paraId="52A8AD05" w14:textId="77777777" w:rsidR="00C34772" w:rsidRPr="00E515EF" w:rsidRDefault="00C34772" w:rsidP="00E515EF">
            <w:pPr>
              <w:tabs>
                <w:tab w:val="left" w:pos="4111"/>
              </w:tabs>
              <w:spacing w:before="40" w:after="40"/>
            </w:pPr>
            <w:r w:rsidRPr="00E515EF">
              <w:t>Correo-e:</w:t>
            </w:r>
          </w:p>
        </w:tc>
        <w:tc>
          <w:tcPr>
            <w:tcW w:w="3609" w:type="dxa"/>
            <w:gridSpan w:val="2"/>
          </w:tcPr>
          <w:p w14:paraId="2C026B3D" w14:textId="6099412F" w:rsidR="00C34772" w:rsidRDefault="00942C36" w:rsidP="00E515EF">
            <w:pPr>
              <w:tabs>
                <w:tab w:val="left" w:pos="4111"/>
              </w:tabs>
              <w:spacing w:before="40" w:after="40"/>
            </w:pPr>
            <w:hyperlink r:id="rId9" w:history="1">
              <w:r w:rsidR="00E515EF" w:rsidRPr="008736AA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329" w:type="dxa"/>
          </w:tcPr>
          <w:p w14:paraId="73D8D581" w14:textId="77777777" w:rsidR="00C34772" w:rsidRPr="00E515EF" w:rsidRDefault="00C34772" w:rsidP="00E515EF">
            <w:pPr>
              <w:tabs>
                <w:tab w:val="left" w:pos="4111"/>
              </w:tabs>
              <w:spacing w:before="40" w:after="40"/>
              <w:rPr>
                <w:b/>
                <w:bCs/>
              </w:rPr>
            </w:pPr>
            <w:r w:rsidRPr="00E515EF">
              <w:rPr>
                <w:b/>
                <w:bCs/>
              </w:rPr>
              <w:t>Copia:</w:t>
            </w:r>
          </w:p>
          <w:p w14:paraId="6C282AF1" w14:textId="77777777" w:rsidR="00BD0391" w:rsidRDefault="00BD0391" w:rsidP="00E5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>a los Miembros de Sector del UIT-T;</w:t>
            </w:r>
          </w:p>
          <w:p w14:paraId="5C04508B" w14:textId="6687F1C6" w:rsidR="00BD0391" w:rsidRDefault="00BD0391" w:rsidP="00E5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>a los Asociados de la Comisión de Estudio 13 del</w:t>
            </w:r>
            <w:r w:rsidR="00E515EF">
              <w:t> </w:t>
            </w:r>
            <w:r>
              <w:t>UIT-T;</w:t>
            </w:r>
          </w:p>
          <w:p w14:paraId="2C92BB0A" w14:textId="77777777" w:rsidR="00BD0391" w:rsidRDefault="00BD0391" w:rsidP="00E5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>a las Instituciones Académicas de la UIT;</w:t>
            </w:r>
          </w:p>
          <w:p w14:paraId="67A14935" w14:textId="77685133" w:rsidR="00BD0391" w:rsidRDefault="00BD0391" w:rsidP="00E5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>al Presidente y a los Vicepresidentes</w:t>
            </w:r>
            <w:r w:rsidR="00E515EF">
              <w:t xml:space="preserve"> </w:t>
            </w:r>
            <w:r>
              <w:t>de la Comisión de Estudio 13 del UIT-T;</w:t>
            </w:r>
          </w:p>
          <w:p w14:paraId="70D148AC" w14:textId="33CC5AAB" w:rsidR="00BD0391" w:rsidRDefault="00BD0391" w:rsidP="00E5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>a la Directora de la Oficina de Desarrollo</w:t>
            </w:r>
            <w:r w:rsidR="00E515EF">
              <w:t xml:space="preserve"> </w:t>
            </w:r>
            <w:r>
              <w:t>de las Telecomunicaciones;</w:t>
            </w:r>
          </w:p>
          <w:p w14:paraId="79B73C89" w14:textId="27DDD2BE" w:rsidR="00C34772" w:rsidRDefault="00BD0391" w:rsidP="00E5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7B6316" w14:paraId="2F94CA9A" w14:textId="77777777" w:rsidTr="006B2CBA">
        <w:trPr>
          <w:cantSplit/>
        </w:trPr>
        <w:tc>
          <w:tcPr>
            <w:tcW w:w="1268" w:type="dxa"/>
          </w:tcPr>
          <w:p w14:paraId="0AC57E1B" w14:textId="77777777" w:rsidR="007B6316" w:rsidRPr="00E515EF" w:rsidRDefault="007B6316" w:rsidP="00E515EF">
            <w:pPr>
              <w:tabs>
                <w:tab w:val="left" w:pos="4111"/>
              </w:tabs>
              <w:spacing w:after="40"/>
              <w:rPr>
                <w:b/>
                <w:bCs/>
              </w:rPr>
            </w:pPr>
            <w:r w:rsidRPr="00E515EF">
              <w:rPr>
                <w:b/>
                <w:bCs/>
              </w:rPr>
              <w:t>Asunto:</w:t>
            </w:r>
          </w:p>
        </w:tc>
        <w:tc>
          <w:tcPr>
            <w:tcW w:w="8938" w:type="dxa"/>
            <w:gridSpan w:val="3"/>
          </w:tcPr>
          <w:p w14:paraId="558377B9" w14:textId="3F76EB7A" w:rsidR="007B6316" w:rsidRPr="00E515EF" w:rsidRDefault="00BD0391" w:rsidP="00E515EF">
            <w:pPr>
              <w:tabs>
                <w:tab w:val="left" w:pos="4111"/>
              </w:tabs>
              <w:spacing w:after="40"/>
              <w:rPr>
                <w:b/>
                <w:bCs/>
              </w:rPr>
            </w:pPr>
            <w:r w:rsidRPr="00E515EF">
              <w:rPr>
                <w:b/>
                <w:bCs/>
              </w:rPr>
              <w:t>Propuesta de supresión de la Recomendación UIT-T I.373</w:t>
            </w:r>
            <w:r w:rsidR="00AE6292">
              <w:rPr>
                <w:b/>
                <w:bCs/>
              </w:rPr>
              <w:t xml:space="preserve"> acordada por la CE 13 del UIT</w:t>
            </w:r>
            <w:r w:rsidR="00AE6292">
              <w:rPr>
                <w:b/>
                <w:bCs/>
              </w:rPr>
              <w:noBreakHyphen/>
              <w:t>T</w:t>
            </w:r>
            <w:r w:rsidRPr="00E515EF">
              <w:rPr>
                <w:b/>
                <w:bCs/>
              </w:rPr>
              <w:t xml:space="preserve"> en su reunión del 4 al 15 de julio de 2022</w:t>
            </w:r>
          </w:p>
        </w:tc>
      </w:tr>
    </w:tbl>
    <w:p w14:paraId="7A2D39FA" w14:textId="77777777" w:rsidR="00C34772" w:rsidRDefault="00C34772" w:rsidP="00E515EF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5A1682C2" w14:textId="1C142194" w:rsidR="00BD0391" w:rsidRPr="00BD0391" w:rsidRDefault="00BD0391" w:rsidP="00BD0391">
      <w:r w:rsidRPr="00BD0391">
        <w:t>1</w:t>
      </w:r>
      <w:r w:rsidRPr="00BD0391">
        <w:tab/>
        <w:t>A petición del Presidente de la Comisión de Estudio 13 del UIT</w:t>
      </w:r>
      <w:r w:rsidRPr="00BD0391">
        <w:noBreakHyphen/>
        <w:t>T (</w:t>
      </w:r>
      <w:r w:rsidRPr="00BD0391">
        <w:rPr>
          <w:i/>
          <w:iCs/>
        </w:rPr>
        <w:t>Redes futuras y tecnologías de red incipientes</w:t>
      </w:r>
      <w:r w:rsidRPr="00BD0391">
        <w:t xml:space="preserve">), tengo el honor de informarle que esta Comisión de Estudio, en su reunión del </w:t>
      </w:r>
      <w:r w:rsidR="00B97647">
        <w:t>4</w:t>
      </w:r>
      <w:r w:rsidRPr="00BD0391">
        <w:t xml:space="preserve"> al </w:t>
      </w:r>
      <w:r w:rsidR="00B97647">
        <w:t>15</w:t>
      </w:r>
      <w:r w:rsidRPr="00BD0391">
        <w:t xml:space="preserve"> de </w:t>
      </w:r>
      <w:r w:rsidR="00B97647">
        <w:t>julio</w:t>
      </w:r>
      <w:r w:rsidRPr="00BD0391">
        <w:t xml:space="preserve"> de 2022, acordó suprimir la Recomendación UIT-T arriba mencionada, de acuerdo con las disposiciones de la Resolución 1 (Rev. Ginebra, 2022) de la AMNT, Sección 9, § 9.8.2. No hubo objeciones a este acuerdo por los Estados Miembros y Miembros de Sector que participaron en la reunión.</w:t>
      </w:r>
    </w:p>
    <w:p w14:paraId="2CA325B8" w14:textId="77777777" w:rsidR="00BD0391" w:rsidRPr="00BD0391" w:rsidRDefault="00BD0391" w:rsidP="00BD0391">
      <w:r w:rsidRPr="00BD0391">
        <w:t>2</w:t>
      </w:r>
      <w:r w:rsidRPr="00BD0391">
        <w:tab/>
        <w:t xml:space="preserve">En el </w:t>
      </w:r>
      <w:r w:rsidRPr="00BD0391">
        <w:rPr>
          <w:b/>
          <w:bCs/>
        </w:rPr>
        <w:t>Anexo 1</w:t>
      </w:r>
      <w:r w:rsidRPr="00BD0391">
        <w:t xml:space="preserve"> se facilita información sobre este acuerdo, incluido un resumen explicativo acerca de los motivos de la supresión.</w:t>
      </w:r>
    </w:p>
    <w:p w14:paraId="09EAC423" w14:textId="39179BAA" w:rsidR="00BD0391" w:rsidRPr="00BD0391" w:rsidRDefault="00BD0391" w:rsidP="00BD0391">
      <w:r w:rsidRPr="00BD0391">
        <w:t>3</w:t>
      </w:r>
      <w:r w:rsidRPr="00BD0391">
        <w:tab/>
        <w:t xml:space="preserve">Teniendo en cuenta las disposiciones de la Resolución 1, Sección 9, le agradecería que me comunicase antes de las 24.00 horas UTC del </w:t>
      </w:r>
      <w:r w:rsidRPr="00BD0391">
        <w:rPr>
          <w:b/>
          <w:bCs/>
        </w:rPr>
        <w:t>29 de octubre de 2022</w:t>
      </w:r>
      <w:r w:rsidRPr="00BD0391">
        <w:t xml:space="preserve"> si su Administración/organización aprueba o rechaza dicha supresión.</w:t>
      </w:r>
    </w:p>
    <w:p w14:paraId="0E732059" w14:textId="33D0B9B3" w:rsidR="00BD0391" w:rsidRDefault="00BD0391" w:rsidP="00BD0391">
      <w:r w:rsidRPr="00BD0391">
        <w:t>Si algunos Estados Miembros o Miembros de Sector consideran que no debe aceptarse la supresión, deberán comunicar los motivos de su oposición, tras lo cual el asunto volverá a la Comisión de Estudio.</w:t>
      </w:r>
    </w:p>
    <w:p w14:paraId="6970C6BD" w14:textId="26854223" w:rsidR="006D6DCA" w:rsidRDefault="006D6DCA" w:rsidP="00BD0391"/>
    <w:p w14:paraId="61470DC2" w14:textId="7DE7AB88" w:rsidR="006D6DCA" w:rsidRDefault="006D6DCA" w:rsidP="00BD0391"/>
    <w:p w14:paraId="3BAC7B5D" w14:textId="63057B78" w:rsidR="006D6DCA" w:rsidRDefault="006D6DCA" w:rsidP="00BD0391"/>
    <w:p w14:paraId="645E9EE1" w14:textId="1D021A59" w:rsidR="006D6DCA" w:rsidRDefault="006D6DCA" w:rsidP="00BD0391"/>
    <w:p w14:paraId="74B97E6D" w14:textId="77777777" w:rsidR="006D6DCA" w:rsidRPr="00BD0391" w:rsidRDefault="006D6DCA" w:rsidP="00BD0391"/>
    <w:p w14:paraId="34162954" w14:textId="71ACC18F" w:rsidR="007B6316" w:rsidRDefault="00BD0391" w:rsidP="00E515EF">
      <w:pPr>
        <w:keepNext/>
        <w:keepLines/>
      </w:pPr>
      <w:r w:rsidRPr="00BD0391">
        <w:t>4</w:t>
      </w:r>
      <w:r w:rsidRPr="00BD0391">
        <w:tab/>
        <w:t xml:space="preserve">Tras cumplirse el plazo citado el </w:t>
      </w:r>
      <w:r w:rsidRPr="00BD0391">
        <w:rPr>
          <w:b/>
          <w:bCs/>
        </w:rPr>
        <w:t>29 de octubre de 2022</w:t>
      </w:r>
      <w:r w:rsidRPr="00BD0391">
        <w:t>, el Director de la TSB notificará el resultado de la consulta en una Circular. Esta información también se publicará en el Boletín de Explotación de la UIT.</w:t>
      </w:r>
    </w:p>
    <w:p w14:paraId="0E538765" w14:textId="77777777" w:rsidR="007B6316" w:rsidRPr="00081FE5" w:rsidRDefault="007B6316" w:rsidP="00E515EF">
      <w:pPr>
        <w:keepNext/>
        <w:keepLines/>
      </w:pPr>
      <w:r w:rsidRPr="00081FE5">
        <w:t>Atentamente,</w:t>
      </w:r>
    </w:p>
    <w:p w14:paraId="357DEA4F" w14:textId="77777777" w:rsidR="007B6316" w:rsidRPr="006B2CBA" w:rsidRDefault="007B6316" w:rsidP="00E515EF">
      <w:pPr>
        <w:spacing w:before="480" w:after="480"/>
        <w:rPr>
          <w:i/>
          <w:iCs/>
          <w:sz w:val="28"/>
          <w:szCs w:val="22"/>
        </w:rPr>
      </w:pPr>
      <w:r w:rsidRPr="006B2CBA">
        <w:rPr>
          <w:i/>
          <w:iCs/>
        </w:rPr>
        <w:t>(firmado)</w:t>
      </w:r>
    </w:p>
    <w:p w14:paraId="3A92B084" w14:textId="77777777" w:rsidR="007B6316" w:rsidRPr="00081FE5" w:rsidRDefault="007B6316" w:rsidP="00E515EF">
      <w:r w:rsidRPr="00081FE5">
        <w:t>Chaesub Lee</w:t>
      </w:r>
      <w:r w:rsidRPr="00081FE5">
        <w:br/>
        <w:t xml:space="preserve">Director de la Oficina de </w:t>
      </w:r>
      <w:r w:rsidRPr="00081FE5">
        <w:br/>
        <w:t>Normalización de las Telecomunicaciones</w:t>
      </w:r>
    </w:p>
    <w:p w14:paraId="288A8D4C" w14:textId="3D4A5E73" w:rsidR="00401C20" w:rsidRDefault="00BD0391" w:rsidP="006B2CBA">
      <w:pPr>
        <w:spacing w:before="720"/>
        <w:rPr>
          <w:lang w:val="es-ES"/>
        </w:rPr>
      </w:pPr>
      <w:r w:rsidRPr="006B2CBA">
        <w:rPr>
          <w:b/>
          <w:bCs/>
          <w:lang w:val="es-ES"/>
        </w:rPr>
        <w:t>Anexo</w:t>
      </w:r>
      <w:r w:rsidRPr="00BD0391">
        <w:rPr>
          <w:lang w:val="es-ES"/>
        </w:rPr>
        <w:t>: 1</w:t>
      </w:r>
    </w:p>
    <w:p w14:paraId="69163223" w14:textId="138E4E78" w:rsidR="00BD0391" w:rsidRDefault="00BD03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678A6C3C" w14:textId="77777777" w:rsidR="00942C36" w:rsidRDefault="00942C36" w:rsidP="006B2CBA">
      <w:pPr>
        <w:pStyle w:val="AnnexNotitle"/>
      </w:pPr>
    </w:p>
    <w:p w14:paraId="29DD11F5" w14:textId="42F90D92" w:rsidR="00BD0391" w:rsidRPr="00BD0391" w:rsidRDefault="00BD0391" w:rsidP="006B2CBA">
      <w:pPr>
        <w:pStyle w:val="AnnexNotitle"/>
      </w:pPr>
      <w:r w:rsidRPr="00BD0391">
        <w:t>Anexo 1</w:t>
      </w:r>
      <w:r w:rsidR="00E50CB7">
        <w:br/>
      </w:r>
      <w:r w:rsidRPr="00BD0391">
        <w:br/>
        <w:t>Recomendación cuya supresión se ha propuesto: UIT-T I.373</w:t>
      </w:r>
    </w:p>
    <w:p w14:paraId="2106BF92" w14:textId="5B6A2E06" w:rsidR="00BD0391" w:rsidRPr="00BD0391" w:rsidRDefault="00BD0391" w:rsidP="006B2CBA">
      <w:pPr>
        <w:pStyle w:val="Headingb0"/>
      </w:pPr>
      <w:r w:rsidRPr="00BD0391">
        <w:t xml:space="preserve">Recomendación UIT-T </w:t>
      </w:r>
      <w:hyperlink r:id="rId10" w:history="1">
        <w:r w:rsidRPr="006B2CBA">
          <w:rPr>
            <w:rStyle w:val="Hyperlink"/>
          </w:rPr>
          <w:t>I.373</w:t>
        </w:r>
      </w:hyperlink>
      <w:r w:rsidRPr="00BD0391">
        <w:t>, Capacidades de red para la telecomunicación personal universal</w:t>
      </w:r>
    </w:p>
    <w:p w14:paraId="1AEFF62B" w14:textId="49DC319A" w:rsidR="00BD0391" w:rsidRPr="00BD0391" w:rsidRDefault="00BD0391" w:rsidP="006B2CBA">
      <w:pPr>
        <w:pStyle w:val="Headingb0"/>
      </w:pPr>
      <w:r w:rsidRPr="00BD0391">
        <w:t>Fecha de aprobación:</w:t>
      </w:r>
      <w:r w:rsidR="006B2CBA">
        <w:t xml:space="preserve"> </w:t>
      </w:r>
      <w:r w:rsidRPr="00BD0391">
        <w:t>marzo de 1993</w:t>
      </w:r>
    </w:p>
    <w:p w14:paraId="02C396F5" w14:textId="67A48CCF" w:rsidR="00BD0391" w:rsidRPr="00BD0391" w:rsidRDefault="00BD0391" w:rsidP="006B2CBA">
      <w:pPr>
        <w:pStyle w:val="Headingi0"/>
      </w:pPr>
      <w:r w:rsidRPr="00BD0391">
        <w:t>Alcance:</w:t>
      </w:r>
    </w:p>
    <w:p w14:paraId="2482E57C" w14:textId="2B706CFA" w:rsidR="00BD0391" w:rsidRPr="00BD0391" w:rsidRDefault="00BD0391" w:rsidP="006B2CBA">
      <w:r w:rsidRPr="00BD0391">
        <w:t xml:space="preserve">La presente Recomendación trata de los requisitos funcionales y arquitecturales de red y especifica las capacidades de red necesarias para sustentar la telecomunicación personal universal (UPT, </w:t>
      </w:r>
      <w:r w:rsidRPr="00B97647">
        <w:rPr>
          <w:i/>
          <w:iCs/>
        </w:rPr>
        <w:t xml:space="preserve">universal personal </w:t>
      </w:r>
      <w:proofErr w:type="spellStart"/>
      <w:r w:rsidRPr="00B97647">
        <w:rPr>
          <w:i/>
          <w:iCs/>
        </w:rPr>
        <w:t>telecommunication</w:t>
      </w:r>
      <w:proofErr w:type="spellEnd"/>
      <w:r w:rsidRPr="00BD0391">
        <w:t xml:space="preserve">), concretamente para la provisión de una amplia gama de servicios a usuarios UPT en un entorno de comunicación </w:t>
      </w:r>
      <w:proofErr w:type="spellStart"/>
      <w:r w:rsidRPr="00BD0391">
        <w:t>multired</w:t>
      </w:r>
      <w:proofErr w:type="spellEnd"/>
      <w:r w:rsidRPr="00BD0391">
        <w:t>.</w:t>
      </w:r>
    </w:p>
    <w:p w14:paraId="4CAA8D88" w14:textId="73F94D4B" w:rsidR="00BD0391" w:rsidRPr="00BD0391" w:rsidRDefault="00BD0391" w:rsidP="006B2CBA">
      <w:r w:rsidRPr="00BD0391">
        <w:t>Debe examinarse esta Recomendación conjuntamente con los siguientes proyectos de Recomendaciones:</w:t>
      </w:r>
    </w:p>
    <w:p w14:paraId="46046FD3" w14:textId="7E279FA2" w:rsidR="00BD0391" w:rsidRPr="00BD0391" w:rsidRDefault="00BD0391" w:rsidP="006B2CBA">
      <w:pPr>
        <w:pStyle w:val="enumlev1"/>
      </w:pPr>
      <w:r w:rsidRPr="00BD0391">
        <w:t>a)</w:t>
      </w:r>
      <w:r w:rsidR="006B2CBA">
        <w:tab/>
      </w:r>
      <w:r w:rsidRPr="00BD0391">
        <w:t>I.114 (Vocabulario de UPT);</w:t>
      </w:r>
    </w:p>
    <w:p w14:paraId="3342CE31" w14:textId="6B2D34AA" w:rsidR="00BD0391" w:rsidRPr="00BD0391" w:rsidRDefault="00BD0391" w:rsidP="006B2CBA">
      <w:pPr>
        <w:pStyle w:val="enumlev1"/>
      </w:pPr>
      <w:r w:rsidRPr="00BD0391">
        <w:t>b)</w:t>
      </w:r>
      <w:r w:rsidR="006B2CBA">
        <w:tab/>
      </w:r>
      <w:r w:rsidRPr="00BD0391">
        <w:t>I.312 (Principios de la arquitectura de la red inteligente);</w:t>
      </w:r>
    </w:p>
    <w:p w14:paraId="24ECEDCB" w14:textId="7BBC4975" w:rsidR="00BD0391" w:rsidRPr="00BD0391" w:rsidRDefault="00BD0391" w:rsidP="006B2CBA">
      <w:pPr>
        <w:pStyle w:val="enumlev1"/>
      </w:pPr>
      <w:r w:rsidRPr="00BD0391">
        <w:t>c)</w:t>
      </w:r>
      <w:r w:rsidR="006B2CBA">
        <w:tab/>
      </w:r>
      <w:r w:rsidRPr="00BD0391">
        <w:t>I.328 (Red inteligente – Arquitectura del plano de servicio);</w:t>
      </w:r>
    </w:p>
    <w:p w14:paraId="306B3CDE" w14:textId="1EC4B816" w:rsidR="00BD0391" w:rsidRPr="00BD0391" w:rsidRDefault="00BD0391" w:rsidP="006B2CBA">
      <w:pPr>
        <w:pStyle w:val="enumlev1"/>
      </w:pPr>
      <w:r w:rsidRPr="00BD0391">
        <w:t>d)</w:t>
      </w:r>
      <w:r w:rsidR="006B2CBA">
        <w:tab/>
      </w:r>
      <w:r w:rsidRPr="00BD0391">
        <w:t>I.329 (Red Inteligente – Arquitectura del plano funcional global);</w:t>
      </w:r>
    </w:p>
    <w:p w14:paraId="1D0AEC5D" w14:textId="7C069469" w:rsidR="00BD0391" w:rsidRPr="00BD0391" w:rsidRDefault="00BD0391" w:rsidP="006B2CBA">
      <w:pPr>
        <w:pStyle w:val="enumlev1"/>
      </w:pPr>
      <w:r w:rsidRPr="00BD0391">
        <w:t>e)</w:t>
      </w:r>
      <w:r w:rsidR="006B2CBA">
        <w:tab/>
      </w:r>
      <w:r w:rsidRPr="00BD0391">
        <w:t>F.850 (Principios de la telecomunicación personal universal – UPT);</w:t>
      </w:r>
    </w:p>
    <w:p w14:paraId="471A6BD9" w14:textId="605C6E07" w:rsidR="00BD0391" w:rsidRPr="00BD0391" w:rsidRDefault="00BD0391" w:rsidP="006B2CBA">
      <w:pPr>
        <w:pStyle w:val="enumlev1"/>
      </w:pPr>
      <w:r w:rsidRPr="00BD0391">
        <w:t>f)</w:t>
      </w:r>
      <w:r w:rsidR="006B2CBA">
        <w:tab/>
      </w:r>
      <w:r w:rsidRPr="00BD0391">
        <w:t>E.168 (Aplicación del plan de numeración de la Recomendación E.164 a la UPT).</w:t>
      </w:r>
    </w:p>
    <w:p w14:paraId="54614250" w14:textId="77777777" w:rsidR="00BD0391" w:rsidRPr="00BD0391" w:rsidRDefault="00BD0391" w:rsidP="006B2CBA">
      <w:pPr>
        <w:pStyle w:val="Headingi0"/>
      </w:pPr>
      <w:r w:rsidRPr="00BD0391">
        <w:t>Motivos para suprimir la Recomendación arriba indicada:</w:t>
      </w:r>
    </w:p>
    <w:p w14:paraId="3239DFE3" w14:textId="59145ED0" w:rsidR="00BD0391" w:rsidRPr="00BD0391" w:rsidRDefault="00BD0391" w:rsidP="006B2CBA">
      <w:r w:rsidRPr="00BD0391">
        <w:t>Cuando se aprobó esta Recomendación, el concepto de telecomunicaciones personales universales utilizaba una tecnología y unos conceptos de servicio específicos. Desde 1993, la tecnología ha evolucionad</w:t>
      </w:r>
      <w:r w:rsidR="00B97647">
        <w:t>o</w:t>
      </w:r>
      <w:r w:rsidRPr="00BD0391">
        <w:t xml:space="preserve"> y los servicios especificados en la familia de Recomendaciones sobre</w:t>
      </w:r>
      <w:r w:rsidR="00B97647">
        <w:t> </w:t>
      </w:r>
      <w:r w:rsidRPr="00BD0391">
        <w:t>UPT ya no se ofrecen. Así, esta Recomendación ha quedado obsoleta.</w:t>
      </w:r>
    </w:p>
    <w:p w14:paraId="714EE5B9" w14:textId="6733BCAF" w:rsidR="00BD0391" w:rsidRPr="00BD0391" w:rsidRDefault="00BD0391" w:rsidP="006B2CBA">
      <w:r w:rsidRPr="00BD0391">
        <w:t>Habida cuenta de este razonamiento, la CE</w:t>
      </w:r>
      <w:r w:rsidR="006B2CBA">
        <w:t> </w:t>
      </w:r>
      <w:r w:rsidRPr="00BD0391">
        <w:t>13 ha recomendado al Director de la TSB que inicie el procedimiento para suprimir la Recomendación UIT-T I.373.</w:t>
      </w:r>
    </w:p>
    <w:p w14:paraId="5A6E27ED" w14:textId="77777777" w:rsidR="00BD0391" w:rsidRPr="00AE6292" w:rsidRDefault="00BD0391" w:rsidP="00411C49">
      <w:pPr>
        <w:pStyle w:val="Reasons"/>
        <w:rPr>
          <w:lang w:val="es-ES"/>
        </w:rPr>
      </w:pPr>
    </w:p>
    <w:p w14:paraId="4EFE87BD" w14:textId="77777777" w:rsidR="00BD0391" w:rsidRDefault="00BD0391">
      <w:pPr>
        <w:jc w:val="center"/>
      </w:pPr>
      <w:r>
        <w:t>______________</w:t>
      </w:r>
    </w:p>
    <w:sectPr w:rsidR="00BD0391" w:rsidSect="00B87E9E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E138" w14:textId="77777777" w:rsidR="00BD0391" w:rsidRDefault="00BD0391">
      <w:r>
        <w:separator/>
      </w:r>
    </w:p>
  </w:endnote>
  <w:endnote w:type="continuationSeparator" w:id="0">
    <w:p w14:paraId="035BEBBC" w14:textId="77777777" w:rsidR="00BD0391" w:rsidRDefault="00BD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174D" w14:textId="2885C5F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E515EF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884B" w14:textId="77777777" w:rsidR="00BD0391" w:rsidRDefault="00BD0391">
      <w:r>
        <w:t>____________________</w:t>
      </w:r>
    </w:p>
  </w:footnote>
  <w:footnote w:type="continuationSeparator" w:id="0">
    <w:p w14:paraId="616A2BCD" w14:textId="77777777" w:rsidR="00BD0391" w:rsidRDefault="00BD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F122" w14:textId="0FDF87FC" w:rsidR="00E50CB7" w:rsidRPr="00303D62" w:rsidRDefault="006969B4" w:rsidP="00E50CB7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E50CB7">
      <w:rPr>
        <w:rStyle w:val="PageNumber"/>
        <w:sz w:val="18"/>
        <w:szCs w:val="18"/>
      </w:rPr>
      <w:br/>
    </w:r>
    <w:r w:rsidR="00E50CB7" w:rsidRPr="00E50CB7">
      <w:rPr>
        <w:sz w:val="18"/>
        <w:szCs w:val="18"/>
      </w:rPr>
      <w:t>Circular TSB 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547377310">
    <w:abstractNumId w:val="0"/>
  </w:num>
  <w:num w:numId="2" w16cid:durableId="1763140017">
    <w:abstractNumId w:val="3"/>
  </w:num>
  <w:num w:numId="3" w16cid:durableId="1341469781">
    <w:abstractNumId w:val="2"/>
  </w:num>
  <w:num w:numId="4" w16cid:durableId="16621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91"/>
    <w:rsid w:val="00002529"/>
    <w:rsid w:val="00085662"/>
    <w:rsid w:val="000C382F"/>
    <w:rsid w:val="001173CC"/>
    <w:rsid w:val="0014464D"/>
    <w:rsid w:val="001A54CC"/>
    <w:rsid w:val="001F4A1B"/>
    <w:rsid w:val="00257FB4"/>
    <w:rsid w:val="002E496E"/>
    <w:rsid w:val="00303D62"/>
    <w:rsid w:val="00335367"/>
    <w:rsid w:val="00370C2D"/>
    <w:rsid w:val="003D1E8D"/>
    <w:rsid w:val="003D673B"/>
    <w:rsid w:val="003E7238"/>
    <w:rsid w:val="003F2855"/>
    <w:rsid w:val="00401C20"/>
    <w:rsid w:val="00423434"/>
    <w:rsid w:val="004A7957"/>
    <w:rsid w:val="004C4144"/>
    <w:rsid w:val="0055719E"/>
    <w:rsid w:val="006969B4"/>
    <w:rsid w:val="006B2CBA"/>
    <w:rsid w:val="006D6DCA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42C36"/>
    <w:rsid w:val="0095172A"/>
    <w:rsid w:val="009A0BA0"/>
    <w:rsid w:val="00A54E47"/>
    <w:rsid w:val="00AB6E3A"/>
    <w:rsid w:val="00AE6292"/>
    <w:rsid w:val="00AE7093"/>
    <w:rsid w:val="00B422BC"/>
    <w:rsid w:val="00B43F77"/>
    <w:rsid w:val="00B55A3E"/>
    <w:rsid w:val="00B87E9E"/>
    <w:rsid w:val="00B95F0A"/>
    <w:rsid w:val="00B96180"/>
    <w:rsid w:val="00B97647"/>
    <w:rsid w:val="00BD0391"/>
    <w:rsid w:val="00C116FE"/>
    <w:rsid w:val="00C17AC0"/>
    <w:rsid w:val="00C34772"/>
    <w:rsid w:val="00C5465A"/>
    <w:rsid w:val="00CE4622"/>
    <w:rsid w:val="00D54642"/>
    <w:rsid w:val="00D834E7"/>
    <w:rsid w:val="00DD77C9"/>
    <w:rsid w:val="00DF3538"/>
    <w:rsid w:val="00E50CB7"/>
    <w:rsid w:val="00E515EF"/>
    <w:rsid w:val="00E839B0"/>
    <w:rsid w:val="00E92C09"/>
    <w:rsid w:val="00EF2EC6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2D48C"/>
  <w15:docId w15:val="{9074316E-5CAC-43FF-99D5-F40F7CF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BD03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rec/T-REC-I.373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</TotalTime>
  <Pages>3</Pages>
  <Words>588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3886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Mairéad Maguire</cp:lastModifiedBy>
  <cp:revision>4</cp:revision>
  <cp:lastPrinted>2011-04-15T08:24:00Z</cp:lastPrinted>
  <dcterms:created xsi:type="dcterms:W3CDTF">2022-08-11T10:01:00Z</dcterms:created>
  <dcterms:modified xsi:type="dcterms:W3CDTF">2022-08-11T10:01:00Z</dcterms:modified>
</cp:coreProperties>
</file>