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C71470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77777777" w:rsidR="00297434" w:rsidRPr="001D098C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D098C">
              <w:rPr>
                <w:noProof/>
                <w:lang w:val="ru-RU"/>
              </w:rPr>
              <w:drawing>
                <wp:inline distT="0" distB="0" distL="0" distR="0" wp14:anchorId="4D649A3C" wp14:editId="277DD7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1D098C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D098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1D098C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D098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1D098C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1C46E871" w:rsidR="001629DC" w:rsidRPr="001D098C" w:rsidRDefault="001629DC" w:rsidP="001D098C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  <w:rPr>
          <w:lang w:val="ru-RU"/>
        </w:rPr>
      </w:pPr>
      <w:r w:rsidRPr="001D098C">
        <w:rPr>
          <w:lang w:val="ru-RU"/>
        </w:rPr>
        <w:tab/>
        <w:t>Женева,</w:t>
      </w:r>
      <w:r w:rsidR="00B54B88" w:rsidRPr="001D098C">
        <w:rPr>
          <w:lang w:val="ru-RU"/>
        </w:rPr>
        <w:t xml:space="preserve"> </w:t>
      </w:r>
      <w:r w:rsidR="00922AE4" w:rsidRPr="001D098C">
        <w:rPr>
          <w:lang w:val="ru-RU"/>
        </w:rPr>
        <w:t>2</w:t>
      </w:r>
      <w:r w:rsidR="008E04E4" w:rsidRPr="001D098C">
        <w:rPr>
          <w:lang w:val="ru-RU"/>
        </w:rPr>
        <w:t>0</w:t>
      </w:r>
      <w:r w:rsidR="007C327C" w:rsidRPr="001D098C">
        <w:rPr>
          <w:lang w:val="ru-RU"/>
        </w:rPr>
        <w:t xml:space="preserve"> </w:t>
      </w:r>
      <w:r w:rsidR="00922AE4" w:rsidRPr="001D098C">
        <w:rPr>
          <w:lang w:val="ru-RU"/>
        </w:rPr>
        <w:t>июля</w:t>
      </w:r>
      <w:r w:rsidR="00A32FD5" w:rsidRPr="001D098C">
        <w:rPr>
          <w:lang w:val="ru-RU"/>
        </w:rPr>
        <w:t xml:space="preserve"> 20</w:t>
      </w:r>
      <w:r w:rsidR="002B68F8" w:rsidRPr="001D098C">
        <w:rPr>
          <w:lang w:val="ru-RU"/>
        </w:rPr>
        <w:t>2</w:t>
      </w:r>
      <w:r w:rsidR="008E04E4" w:rsidRPr="001D098C">
        <w:rPr>
          <w:lang w:val="ru-RU"/>
        </w:rPr>
        <w:t>2</w:t>
      </w:r>
      <w:r w:rsidR="007D4F1A" w:rsidRPr="001D098C">
        <w:rPr>
          <w:lang w:val="ru-RU"/>
        </w:rPr>
        <w:t> </w:t>
      </w:r>
      <w:r w:rsidR="00A32FD5" w:rsidRPr="001D098C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526"/>
        <w:gridCol w:w="10"/>
      </w:tblGrid>
      <w:tr w:rsidR="00430D5C" w:rsidRPr="00C71470" w14:paraId="6BAAD120" w14:textId="77777777" w:rsidTr="00686D44">
        <w:trPr>
          <w:gridAfter w:val="1"/>
          <w:wAfter w:w="10" w:type="dxa"/>
          <w:cantSplit/>
          <w:trHeight w:val="526"/>
        </w:trPr>
        <w:tc>
          <w:tcPr>
            <w:tcW w:w="1418" w:type="dxa"/>
          </w:tcPr>
          <w:p w14:paraId="5EBD6A34" w14:textId="77777777" w:rsidR="00430D5C" w:rsidRPr="001D098C" w:rsidRDefault="00430D5C" w:rsidP="00867192">
            <w:pPr>
              <w:spacing w:before="0"/>
              <w:rPr>
                <w:lang w:val="ru-RU"/>
              </w:rPr>
            </w:pPr>
            <w:proofErr w:type="spellStart"/>
            <w:r w:rsidRPr="001D098C">
              <w:rPr>
                <w:lang w:val="ru-RU"/>
              </w:rPr>
              <w:t>Осн</w:t>
            </w:r>
            <w:proofErr w:type="spellEnd"/>
            <w:r w:rsidRPr="001D098C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193CC5EA" w14:textId="77777777" w:rsidR="00FE5304" w:rsidRPr="001D098C" w:rsidRDefault="00430D5C" w:rsidP="00922AE4">
            <w:pPr>
              <w:spacing w:before="0"/>
              <w:rPr>
                <w:b/>
                <w:bCs/>
                <w:lang w:val="ru-RU"/>
              </w:rPr>
            </w:pPr>
            <w:r w:rsidRPr="001D098C">
              <w:rPr>
                <w:b/>
                <w:bCs/>
                <w:lang w:val="ru-RU"/>
              </w:rPr>
              <w:t xml:space="preserve">Циркуляр </w:t>
            </w:r>
            <w:r w:rsidR="00922AE4" w:rsidRPr="001D098C">
              <w:rPr>
                <w:b/>
                <w:bCs/>
                <w:lang w:val="ru-RU"/>
              </w:rPr>
              <w:t>3</w:t>
            </w:r>
            <w:r w:rsidR="008E04E4" w:rsidRPr="001D098C">
              <w:rPr>
                <w:b/>
                <w:bCs/>
                <w:lang w:val="ru-RU"/>
              </w:rPr>
              <w:t>0</w:t>
            </w:r>
            <w:r w:rsidRPr="001D098C">
              <w:rPr>
                <w:b/>
                <w:bCs/>
                <w:lang w:val="ru-RU"/>
              </w:rPr>
              <w:t xml:space="preserve"> БСЭ</w:t>
            </w:r>
          </w:p>
          <w:p w14:paraId="23A029BB" w14:textId="4B814E71" w:rsidR="00430D5C" w:rsidRPr="001D098C" w:rsidRDefault="00430D5C" w:rsidP="00922AE4">
            <w:pPr>
              <w:spacing w:before="0"/>
              <w:rPr>
                <w:lang w:val="ru-RU"/>
              </w:rPr>
            </w:pPr>
            <w:r w:rsidRPr="001D098C">
              <w:rPr>
                <w:lang w:val="ru-RU"/>
              </w:rPr>
              <w:t>SG</w:t>
            </w:r>
            <w:r w:rsidR="00922AE4" w:rsidRPr="001D098C">
              <w:rPr>
                <w:lang w:val="ru-RU"/>
              </w:rPr>
              <w:t>11</w:t>
            </w:r>
            <w:r w:rsidRPr="001D098C">
              <w:rPr>
                <w:lang w:val="ru-RU"/>
              </w:rPr>
              <w:t>/</w:t>
            </w:r>
            <w:r w:rsidR="00922AE4" w:rsidRPr="001D098C">
              <w:rPr>
                <w:lang w:val="ru-RU"/>
              </w:rPr>
              <w:t>DA</w:t>
            </w:r>
          </w:p>
        </w:tc>
        <w:tc>
          <w:tcPr>
            <w:tcW w:w="4526" w:type="dxa"/>
            <w:vMerge w:val="restart"/>
          </w:tcPr>
          <w:p w14:paraId="526DA06E" w14:textId="77777777" w:rsidR="00430D5C" w:rsidRPr="001D098C" w:rsidRDefault="00430D5C" w:rsidP="00237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D098C">
              <w:rPr>
                <w:b/>
                <w:bCs/>
                <w:lang w:val="ru-RU"/>
              </w:rPr>
              <w:t>Кому</w:t>
            </w:r>
            <w:r w:rsidRPr="001D098C">
              <w:rPr>
                <w:lang w:val="ru-RU"/>
              </w:rPr>
              <w:t>:</w:t>
            </w:r>
          </w:p>
          <w:p w14:paraId="6069D1D5" w14:textId="36AA952B" w:rsidR="00430D5C" w:rsidRPr="001D098C" w:rsidRDefault="00430D5C" w:rsidP="00BF20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D098C">
              <w:rPr>
                <w:lang w:val="ru-RU"/>
              </w:rPr>
              <w:t>–</w:t>
            </w:r>
            <w:r w:rsidRPr="001D098C">
              <w:rPr>
                <w:lang w:val="ru-RU"/>
              </w:rPr>
              <w:tab/>
              <w:t>Администрациям Государств – Членов Союза</w:t>
            </w:r>
          </w:p>
          <w:p w14:paraId="56A3C2B3" w14:textId="77777777" w:rsidR="00430D5C" w:rsidRPr="001D098C" w:rsidRDefault="00430D5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D098C">
              <w:rPr>
                <w:b/>
                <w:bCs/>
                <w:lang w:val="ru-RU"/>
              </w:rPr>
              <w:t>Копии</w:t>
            </w:r>
            <w:r w:rsidRPr="001D098C">
              <w:rPr>
                <w:lang w:val="ru-RU"/>
              </w:rPr>
              <w:t>:</w:t>
            </w:r>
          </w:p>
          <w:p w14:paraId="63714390" w14:textId="77777777" w:rsidR="00430D5C" w:rsidRPr="001D098C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D098C">
              <w:rPr>
                <w:lang w:val="ru-RU"/>
              </w:rPr>
              <w:t>–</w:t>
            </w:r>
            <w:r w:rsidRPr="001D098C">
              <w:rPr>
                <w:lang w:val="ru-RU"/>
              </w:rPr>
              <w:tab/>
              <w:t>Членам Сектора МСЭ-Т</w:t>
            </w:r>
          </w:p>
          <w:p w14:paraId="0B39D2CB" w14:textId="6B8A1FE9" w:rsidR="00430D5C" w:rsidRPr="001D098C" w:rsidRDefault="00430D5C" w:rsidP="006404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D098C">
              <w:rPr>
                <w:lang w:val="ru-RU"/>
              </w:rPr>
              <w:t>–</w:t>
            </w:r>
            <w:r w:rsidRPr="001D098C">
              <w:rPr>
                <w:lang w:val="ru-RU"/>
              </w:rPr>
              <w:tab/>
              <w:t xml:space="preserve">Ассоциированным членам, участвующим в работе </w:t>
            </w:r>
            <w:r w:rsidR="00922AE4" w:rsidRPr="001D098C">
              <w:rPr>
                <w:lang w:val="ru-RU"/>
              </w:rPr>
              <w:t>11</w:t>
            </w:r>
            <w:r w:rsidRPr="001D098C">
              <w:rPr>
                <w:lang w:val="ru-RU"/>
              </w:rPr>
              <w:t>-й Исследовательской комиссии МСЭ-Т</w:t>
            </w:r>
          </w:p>
          <w:p w14:paraId="4458634D" w14:textId="77777777" w:rsidR="00430D5C" w:rsidRPr="001D098C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D098C">
              <w:rPr>
                <w:lang w:val="ru-RU"/>
              </w:rPr>
              <w:t>–</w:t>
            </w:r>
            <w:r w:rsidRPr="001D098C">
              <w:rPr>
                <w:lang w:val="ru-RU"/>
              </w:rPr>
              <w:tab/>
              <w:t>Академическим организациям − Членам МСЭ</w:t>
            </w:r>
          </w:p>
          <w:p w14:paraId="0DE66B99" w14:textId="16F4DDAE" w:rsidR="00430D5C" w:rsidRPr="001D098C" w:rsidRDefault="00430D5C" w:rsidP="00096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D098C">
              <w:rPr>
                <w:lang w:val="ru-RU"/>
              </w:rPr>
              <w:t>–</w:t>
            </w:r>
            <w:r w:rsidRPr="001D098C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922AE4" w:rsidRPr="001D098C">
              <w:rPr>
                <w:lang w:val="ru-RU"/>
              </w:rPr>
              <w:t>11</w:t>
            </w:r>
            <w:r w:rsidRPr="001D098C">
              <w:rPr>
                <w:lang w:val="ru-RU"/>
              </w:rPr>
              <w:t>-й Исследовательской комиссии МСЭ-Т</w:t>
            </w:r>
          </w:p>
          <w:p w14:paraId="5BBA9244" w14:textId="77777777" w:rsidR="00430D5C" w:rsidRPr="001D098C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D098C">
              <w:rPr>
                <w:lang w:val="ru-RU"/>
              </w:rPr>
              <w:t>–</w:t>
            </w:r>
            <w:r w:rsidRPr="001D098C">
              <w:rPr>
                <w:lang w:val="ru-RU"/>
              </w:rPr>
              <w:tab/>
              <w:t>Директору Бюро развития электросвязи</w:t>
            </w:r>
          </w:p>
          <w:p w14:paraId="5A9D9D5D" w14:textId="1F8A11B2" w:rsidR="00430D5C" w:rsidRPr="001D098C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D098C">
              <w:rPr>
                <w:lang w:val="ru-RU"/>
              </w:rPr>
              <w:t>–</w:t>
            </w:r>
            <w:r w:rsidRPr="001D098C">
              <w:rPr>
                <w:lang w:val="ru-RU"/>
              </w:rPr>
              <w:tab/>
              <w:t>Директору Бюро радиосвязи</w:t>
            </w:r>
          </w:p>
        </w:tc>
      </w:tr>
      <w:tr w:rsidR="00430D5C" w:rsidRPr="001D098C" w14:paraId="3D84A3BA" w14:textId="77777777" w:rsidTr="00237055">
        <w:trPr>
          <w:gridAfter w:val="1"/>
          <w:wAfter w:w="10" w:type="dxa"/>
          <w:cantSplit/>
          <w:trHeight w:val="261"/>
        </w:trPr>
        <w:tc>
          <w:tcPr>
            <w:tcW w:w="1418" w:type="dxa"/>
          </w:tcPr>
          <w:p w14:paraId="13259863" w14:textId="77777777" w:rsidR="00430D5C" w:rsidRPr="001D098C" w:rsidRDefault="00430D5C" w:rsidP="00867192">
            <w:pPr>
              <w:spacing w:before="0"/>
              <w:rPr>
                <w:lang w:val="ru-RU"/>
              </w:rPr>
            </w:pPr>
            <w:r w:rsidRPr="001D098C">
              <w:rPr>
                <w:lang w:val="ru-RU"/>
              </w:rPr>
              <w:t>Тел.:</w:t>
            </w:r>
          </w:p>
        </w:tc>
        <w:tc>
          <w:tcPr>
            <w:tcW w:w="3827" w:type="dxa"/>
          </w:tcPr>
          <w:p w14:paraId="2453C6D6" w14:textId="5C2E65B7" w:rsidR="00430D5C" w:rsidRPr="001D098C" w:rsidRDefault="00430D5C" w:rsidP="00922AE4">
            <w:pPr>
              <w:spacing w:before="0"/>
              <w:rPr>
                <w:b/>
                <w:bCs/>
                <w:lang w:val="ru-RU"/>
              </w:rPr>
            </w:pPr>
            <w:r w:rsidRPr="001D098C">
              <w:rPr>
                <w:lang w:val="ru-RU"/>
              </w:rPr>
              <w:t>+41 22 730 5</w:t>
            </w:r>
            <w:r w:rsidR="00922AE4" w:rsidRPr="001D098C">
              <w:rPr>
                <w:lang w:val="ru-RU"/>
              </w:rPr>
              <w:t>780</w:t>
            </w:r>
          </w:p>
        </w:tc>
        <w:tc>
          <w:tcPr>
            <w:tcW w:w="4526" w:type="dxa"/>
            <w:vMerge/>
          </w:tcPr>
          <w:p w14:paraId="3CFFD469" w14:textId="25343F36" w:rsidR="00430D5C" w:rsidRPr="001D098C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1D098C" w14:paraId="6EB7C766" w14:textId="77777777" w:rsidTr="00237055">
        <w:trPr>
          <w:gridAfter w:val="1"/>
          <w:wAfter w:w="10" w:type="dxa"/>
          <w:cantSplit/>
          <w:trHeight w:val="70"/>
        </w:trPr>
        <w:tc>
          <w:tcPr>
            <w:tcW w:w="1418" w:type="dxa"/>
          </w:tcPr>
          <w:p w14:paraId="2489D969" w14:textId="77777777" w:rsidR="00430D5C" w:rsidRPr="001D098C" w:rsidRDefault="00430D5C" w:rsidP="00867192">
            <w:pPr>
              <w:spacing w:before="0"/>
              <w:rPr>
                <w:lang w:val="ru-RU"/>
              </w:rPr>
            </w:pPr>
            <w:r w:rsidRPr="001D098C">
              <w:rPr>
                <w:lang w:val="ru-RU"/>
              </w:rPr>
              <w:t>Факс:</w:t>
            </w:r>
          </w:p>
        </w:tc>
        <w:tc>
          <w:tcPr>
            <w:tcW w:w="3827" w:type="dxa"/>
          </w:tcPr>
          <w:p w14:paraId="57664585" w14:textId="77777777" w:rsidR="00430D5C" w:rsidRPr="001D098C" w:rsidRDefault="00430D5C" w:rsidP="007C327C">
            <w:pPr>
              <w:spacing w:before="0"/>
              <w:rPr>
                <w:b/>
                <w:bCs/>
                <w:lang w:val="ru-RU"/>
              </w:rPr>
            </w:pPr>
            <w:r w:rsidRPr="001D098C">
              <w:rPr>
                <w:lang w:val="ru-RU"/>
              </w:rPr>
              <w:t>+41 22 730 5853</w:t>
            </w:r>
          </w:p>
        </w:tc>
        <w:tc>
          <w:tcPr>
            <w:tcW w:w="4526" w:type="dxa"/>
            <w:vMerge/>
          </w:tcPr>
          <w:p w14:paraId="0985D7E3" w14:textId="36339AFC" w:rsidR="00430D5C" w:rsidRPr="001D098C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1D098C" w14:paraId="1104DB86" w14:textId="77777777" w:rsidTr="00BF7905">
        <w:trPr>
          <w:gridAfter w:val="1"/>
          <w:wAfter w:w="10" w:type="dxa"/>
          <w:cantSplit/>
          <w:trHeight w:val="2940"/>
        </w:trPr>
        <w:tc>
          <w:tcPr>
            <w:tcW w:w="1418" w:type="dxa"/>
          </w:tcPr>
          <w:p w14:paraId="1B698D24" w14:textId="77777777" w:rsidR="00430D5C" w:rsidRPr="001D098C" w:rsidRDefault="00430D5C" w:rsidP="00686D44">
            <w:pPr>
              <w:spacing w:before="0"/>
              <w:rPr>
                <w:lang w:val="ru-RU"/>
              </w:rPr>
            </w:pPr>
            <w:r w:rsidRPr="001D098C">
              <w:rPr>
                <w:lang w:val="ru-RU"/>
              </w:rPr>
              <w:t>Эл. почта:</w:t>
            </w:r>
          </w:p>
        </w:tc>
        <w:tc>
          <w:tcPr>
            <w:tcW w:w="3827" w:type="dxa"/>
          </w:tcPr>
          <w:p w14:paraId="3B5865EF" w14:textId="40249C3C" w:rsidR="00430D5C" w:rsidRPr="001D098C" w:rsidRDefault="006950D0" w:rsidP="00686D44">
            <w:pPr>
              <w:spacing w:before="0"/>
              <w:rPr>
                <w:lang w:val="ru-RU"/>
              </w:rPr>
            </w:pPr>
            <w:hyperlink r:id="rId9" w:history="1">
              <w:r w:rsidR="00922AE4" w:rsidRPr="001D098C">
                <w:rPr>
                  <w:rStyle w:val="Hyperlink"/>
                  <w:lang w:val="ru-RU"/>
                </w:rPr>
                <w:t>tsbsg11@itu.int</w:t>
              </w:r>
            </w:hyperlink>
          </w:p>
        </w:tc>
        <w:tc>
          <w:tcPr>
            <w:tcW w:w="4526" w:type="dxa"/>
            <w:vMerge/>
          </w:tcPr>
          <w:p w14:paraId="3F072AE1" w14:textId="69FC8D1B" w:rsidR="00430D5C" w:rsidRPr="001D098C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C71470" w14:paraId="212632FD" w14:textId="77777777" w:rsidTr="00686D44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026658BC" w14:textId="77777777" w:rsidR="001629DC" w:rsidRPr="001D098C" w:rsidRDefault="001629DC" w:rsidP="00B1302A">
            <w:pPr>
              <w:spacing w:before="240" w:after="120"/>
              <w:ind w:left="-107"/>
              <w:rPr>
                <w:b/>
                <w:bCs/>
                <w:lang w:val="ru-RU"/>
              </w:rPr>
            </w:pPr>
            <w:r w:rsidRPr="001D098C">
              <w:rPr>
                <w:b/>
                <w:bCs/>
                <w:lang w:val="ru-RU"/>
              </w:rPr>
              <w:t>Предмет</w:t>
            </w:r>
            <w:r w:rsidRPr="001D098C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2B66C87D" w14:textId="3D811172" w:rsidR="001629DC" w:rsidRPr="001D098C" w:rsidRDefault="0009650F" w:rsidP="001D09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ind w:left="-106" w:right="89"/>
              <w:rPr>
                <w:lang w:val="ru-RU"/>
              </w:rPr>
            </w:pPr>
            <w:r w:rsidRPr="001D098C">
              <w:rPr>
                <w:b/>
                <w:lang w:val="ru-RU"/>
              </w:rPr>
              <w:t>Предлагаемое аннулирование Рекомендаци</w:t>
            </w:r>
            <w:r w:rsidR="008E04E4" w:rsidRPr="001D098C">
              <w:rPr>
                <w:b/>
                <w:lang w:val="ru-RU"/>
              </w:rPr>
              <w:t>й</w:t>
            </w:r>
            <w:r w:rsidRPr="001D098C">
              <w:rPr>
                <w:b/>
                <w:lang w:val="ru-RU"/>
              </w:rPr>
              <w:t xml:space="preserve"> МСЭ-Т </w:t>
            </w:r>
            <w:r w:rsidR="006E1CD1" w:rsidRPr="001D098C">
              <w:rPr>
                <w:b/>
                <w:lang w:val="ru-RU"/>
              </w:rPr>
              <w:t>Q.1521, Q.1531, Q.1541, Q.1542</w:t>
            </w:r>
            <w:r w:rsidR="008E04E4" w:rsidRPr="001D098C">
              <w:rPr>
                <w:b/>
                <w:bCs/>
                <w:lang w:val="ru-RU"/>
              </w:rPr>
              <w:t xml:space="preserve"> и </w:t>
            </w:r>
            <w:r w:rsidR="006E1CD1" w:rsidRPr="001D098C">
              <w:rPr>
                <w:b/>
                <w:bCs/>
                <w:lang w:val="ru-RU"/>
              </w:rPr>
              <w:t>Q.1551</w:t>
            </w:r>
            <w:r w:rsidRPr="001D098C">
              <w:rPr>
                <w:b/>
                <w:lang w:val="ru-RU"/>
              </w:rPr>
              <w:t>, согласованное на</w:t>
            </w:r>
            <w:r w:rsidR="00BF7905" w:rsidRPr="001D098C">
              <w:rPr>
                <w:b/>
                <w:lang w:val="ru-RU"/>
              </w:rPr>
              <w:t> </w:t>
            </w:r>
            <w:r w:rsidRPr="001D098C">
              <w:rPr>
                <w:b/>
                <w:lang w:val="ru-RU"/>
              </w:rPr>
              <w:t xml:space="preserve">собрании </w:t>
            </w:r>
            <w:r w:rsidR="002B68F8" w:rsidRPr="001D098C">
              <w:rPr>
                <w:b/>
                <w:lang w:val="ru-RU"/>
              </w:rPr>
              <w:t>ИК</w:t>
            </w:r>
            <w:r w:rsidR="006E1CD1" w:rsidRPr="001D098C">
              <w:rPr>
                <w:b/>
                <w:lang w:val="ru-RU"/>
              </w:rPr>
              <w:t>11</w:t>
            </w:r>
            <w:r w:rsidR="00BF7905" w:rsidRPr="001D098C">
              <w:rPr>
                <w:b/>
                <w:lang w:val="ru-RU"/>
              </w:rPr>
              <w:t xml:space="preserve"> </w:t>
            </w:r>
            <w:r w:rsidR="002B68F8" w:rsidRPr="001D098C">
              <w:rPr>
                <w:b/>
                <w:lang w:val="ru-RU"/>
              </w:rPr>
              <w:t>МСЭ</w:t>
            </w:r>
            <w:r w:rsidR="002B68F8" w:rsidRPr="001D098C">
              <w:rPr>
                <w:b/>
                <w:lang w:val="ru-RU"/>
              </w:rPr>
              <w:noBreakHyphen/>
              <w:t xml:space="preserve">Т </w:t>
            </w:r>
            <w:proofErr w:type="gramStart"/>
            <w:r w:rsidR="008E04E4" w:rsidRPr="001D098C">
              <w:rPr>
                <w:b/>
                <w:lang w:val="ru-RU"/>
              </w:rPr>
              <w:t>6−</w:t>
            </w:r>
            <w:r w:rsidR="006E1CD1" w:rsidRPr="001D098C">
              <w:rPr>
                <w:b/>
                <w:lang w:val="ru-RU"/>
              </w:rPr>
              <w:t>15</w:t>
            </w:r>
            <w:proofErr w:type="gramEnd"/>
            <w:r w:rsidRPr="001D098C">
              <w:rPr>
                <w:b/>
                <w:lang w:val="ru-RU"/>
              </w:rPr>
              <w:t xml:space="preserve"> </w:t>
            </w:r>
            <w:r w:rsidR="006E1CD1" w:rsidRPr="001D098C">
              <w:rPr>
                <w:b/>
                <w:lang w:val="ru-RU"/>
              </w:rPr>
              <w:t>июля</w:t>
            </w:r>
            <w:r w:rsidRPr="001D098C">
              <w:rPr>
                <w:b/>
                <w:lang w:val="ru-RU"/>
              </w:rPr>
              <w:t xml:space="preserve"> 20</w:t>
            </w:r>
            <w:r w:rsidR="002B68F8" w:rsidRPr="001D098C">
              <w:rPr>
                <w:b/>
                <w:lang w:val="ru-RU"/>
              </w:rPr>
              <w:t>2</w:t>
            </w:r>
            <w:r w:rsidR="008E04E4" w:rsidRPr="001D098C">
              <w:rPr>
                <w:b/>
                <w:lang w:val="ru-RU"/>
              </w:rPr>
              <w:t>2</w:t>
            </w:r>
            <w:r w:rsidRPr="001D098C">
              <w:rPr>
                <w:b/>
                <w:lang w:val="ru-RU"/>
              </w:rPr>
              <w:t xml:space="preserve"> года</w:t>
            </w:r>
          </w:p>
        </w:tc>
      </w:tr>
    </w:tbl>
    <w:p w14:paraId="517EDAA4" w14:textId="77777777" w:rsidR="007D1544" w:rsidRPr="001D098C" w:rsidRDefault="007D1544" w:rsidP="001D098C">
      <w:pPr>
        <w:pStyle w:val="Normalaftertitle"/>
        <w:spacing w:before="480"/>
        <w:rPr>
          <w:lang w:val="ru-RU"/>
        </w:rPr>
      </w:pPr>
      <w:r w:rsidRPr="001D098C">
        <w:rPr>
          <w:lang w:val="ru-RU"/>
        </w:rPr>
        <w:t>Уважаемая госпожа,</w:t>
      </w:r>
      <w:r w:rsidRPr="001D098C">
        <w:rPr>
          <w:lang w:val="ru-RU"/>
        </w:rPr>
        <w:br/>
        <w:t>уважаемый господин,</w:t>
      </w:r>
    </w:p>
    <w:p w14:paraId="0A96B167" w14:textId="78390CA2" w:rsidR="0077286C" w:rsidRPr="001D098C" w:rsidRDefault="007D1544" w:rsidP="00FE5304">
      <w:pPr>
        <w:jc w:val="both"/>
        <w:rPr>
          <w:spacing w:val="-2"/>
          <w:szCs w:val="22"/>
          <w:lang w:val="ru-RU"/>
        </w:rPr>
      </w:pPr>
      <w:r w:rsidRPr="001D098C">
        <w:rPr>
          <w:lang w:val="ru-RU"/>
        </w:rPr>
        <w:t>1</w:t>
      </w:r>
      <w:r w:rsidRPr="001D098C">
        <w:rPr>
          <w:lang w:val="ru-RU"/>
        </w:rPr>
        <w:tab/>
      </w:r>
      <w:r w:rsidR="0009650F" w:rsidRPr="001D098C">
        <w:rPr>
          <w:lang w:val="ru-RU"/>
        </w:rPr>
        <w:t xml:space="preserve">По просьбе </w:t>
      </w:r>
      <w:r w:rsidR="00430D5C" w:rsidRPr="001D098C">
        <w:rPr>
          <w:lang w:val="ru-RU"/>
        </w:rPr>
        <w:t xml:space="preserve">Председателя </w:t>
      </w:r>
      <w:r w:rsidR="006E1CD1" w:rsidRPr="001D098C">
        <w:rPr>
          <w:lang w:val="ru-RU"/>
        </w:rPr>
        <w:t>11</w:t>
      </w:r>
      <w:r w:rsidR="0009650F" w:rsidRPr="001D098C">
        <w:rPr>
          <w:lang w:val="ru-RU"/>
        </w:rPr>
        <w:t xml:space="preserve">-й Исследовательской комиссии </w:t>
      </w:r>
      <w:r w:rsidR="00F52977" w:rsidRPr="001D098C">
        <w:rPr>
          <w:spacing w:val="-2"/>
          <w:szCs w:val="22"/>
          <w:lang w:val="ru-RU"/>
        </w:rPr>
        <w:t>МСЭ</w:t>
      </w:r>
      <w:r w:rsidR="00F52977" w:rsidRPr="001D098C">
        <w:rPr>
          <w:spacing w:val="-2"/>
          <w:szCs w:val="22"/>
          <w:lang w:val="ru-RU"/>
        </w:rPr>
        <w:noBreakHyphen/>
        <w:t>Т</w:t>
      </w:r>
      <w:r w:rsidR="0077286C" w:rsidRPr="001D098C">
        <w:rPr>
          <w:spacing w:val="-2"/>
          <w:szCs w:val="22"/>
          <w:lang w:val="ru-RU"/>
        </w:rPr>
        <w:t xml:space="preserve"> (</w:t>
      </w:r>
      <w:r w:rsidR="006E1CD1" w:rsidRPr="001D098C">
        <w:rPr>
          <w:i/>
          <w:iCs/>
          <w:color w:val="000000"/>
          <w:lang w:val="ru-RU"/>
        </w:rPr>
        <w:t>Требования к сигнализации, протоколы, спецификации тестирования и борьба с контрафактными устройствами электросвязи/ИКТ</w:t>
      </w:r>
      <w:r w:rsidR="0077286C" w:rsidRPr="001D098C">
        <w:rPr>
          <w:spacing w:val="-2"/>
          <w:szCs w:val="22"/>
          <w:lang w:val="ru-RU"/>
        </w:rPr>
        <w:t xml:space="preserve">) </w:t>
      </w:r>
      <w:r w:rsidR="0009650F" w:rsidRPr="001D098C">
        <w:rPr>
          <w:spacing w:val="-2"/>
          <w:szCs w:val="22"/>
          <w:lang w:val="ru-RU"/>
        </w:rPr>
        <w:t>имею честь сообщить вам, что</w:t>
      </w:r>
      <w:r w:rsidR="009D2E7D" w:rsidRPr="001D098C">
        <w:rPr>
          <w:spacing w:val="-2"/>
          <w:szCs w:val="22"/>
          <w:lang w:val="ru-RU"/>
        </w:rPr>
        <w:t xml:space="preserve"> </w:t>
      </w:r>
      <w:r w:rsidR="0009650F" w:rsidRPr="001D098C">
        <w:rPr>
          <w:spacing w:val="-2"/>
          <w:szCs w:val="22"/>
          <w:lang w:val="ru-RU"/>
        </w:rPr>
        <w:t xml:space="preserve">указанная Исследовательская комиссия на своем собрании, которое состоялось </w:t>
      </w:r>
      <w:r w:rsidR="009726D8" w:rsidRPr="001D098C">
        <w:rPr>
          <w:spacing w:val="-2"/>
          <w:szCs w:val="22"/>
          <w:lang w:val="ru-RU"/>
        </w:rPr>
        <w:t>6</w:t>
      </w:r>
      <w:r w:rsidR="002B68F8" w:rsidRPr="001D098C">
        <w:rPr>
          <w:spacing w:val="-2"/>
          <w:szCs w:val="22"/>
          <w:lang w:val="ru-RU"/>
        </w:rPr>
        <w:t>–</w:t>
      </w:r>
      <w:r w:rsidR="006E1CD1" w:rsidRPr="001D098C">
        <w:rPr>
          <w:spacing w:val="-2"/>
          <w:szCs w:val="22"/>
          <w:lang w:val="ru-RU"/>
        </w:rPr>
        <w:t>15</w:t>
      </w:r>
      <w:r w:rsidR="002B68F8" w:rsidRPr="001D098C">
        <w:rPr>
          <w:spacing w:val="-2"/>
          <w:szCs w:val="22"/>
          <w:lang w:val="ru-RU"/>
        </w:rPr>
        <w:t xml:space="preserve"> </w:t>
      </w:r>
      <w:r w:rsidR="006E1CD1" w:rsidRPr="001D098C">
        <w:rPr>
          <w:spacing w:val="-2"/>
          <w:szCs w:val="22"/>
          <w:lang w:val="ru-RU"/>
        </w:rPr>
        <w:t xml:space="preserve">июля </w:t>
      </w:r>
      <w:r w:rsidR="002B68F8" w:rsidRPr="001D098C">
        <w:rPr>
          <w:spacing w:val="-2"/>
          <w:szCs w:val="22"/>
          <w:lang w:val="ru-RU"/>
        </w:rPr>
        <w:t>202</w:t>
      </w:r>
      <w:r w:rsidR="009726D8" w:rsidRPr="001D098C">
        <w:rPr>
          <w:spacing w:val="-2"/>
          <w:szCs w:val="22"/>
          <w:lang w:val="ru-RU"/>
        </w:rPr>
        <w:t>2</w:t>
      </w:r>
      <w:r w:rsidR="002B68F8" w:rsidRPr="001D098C">
        <w:rPr>
          <w:spacing w:val="-2"/>
          <w:szCs w:val="22"/>
          <w:lang w:val="ru-RU"/>
        </w:rPr>
        <w:t xml:space="preserve"> года</w:t>
      </w:r>
      <w:r w:rsidR="0009650F" w:rsidRPr="001D098C">
        <w:rPr>
          <w:spacing w:val="-2"/>
          <w:szCs w:val="22"/>
          <w:lang w:val="ru-RU"/>
        </w:rPr>
        <w:t xml:space="preserve">, </w:t>
      </w:r>
      <w:r w:rsidR="009D2E7D" w:rsidRPr="001D098C">
        <w:rPr>
          <w:spacing w:val="-2"/>
          <w:szCs w:val="22"/>
          <w:lang w:val="ru-RU"/>
        </w:rPr>
        <w:t>приняла решение</w:t>
      </w:r>
      <w:r w:rsidR="0009650F" w:rsidRPr="001D098C">
        <w:rPr>
          <w:spacing w:val="-2"/>
          <w:szCs w:val="22"/>
          <w:lang w:val="ru-RU"/>
        </w:rPr>
        <w:t xml:space="preserve"> </w:t>
      </w:r>
      <w:r w:rsidR="0049095E" w:rsidRPr="001D098C">
        <w:rPr>
          <w:spacing w:val="-2"/>
          <w:szCs w:val="22"/>
          <w:lang w:val="ru-RU"/>
        </w:rPr>
        <w:t>инициировать аннулирование вышеуказанных</w:t>
      </w:r>
      <w:r w:rsidR="009726D8" w:rsidRPr="001D098C">
        <w:rPr>
          <w:spacing w:val="-2"/>
          <w:szCs w:val="22"/>
          <w:lang w:val="ru-RU"/>
        </w:rPr>
        <w:t xml:space="preserve"> </w:t>
      </w:r>
      <w:r w:rsidR="0049095E" w:rsidRPr="001D098C">
        <w:rPr>
          <w:spacing w:val="-2"/>
          <w:szCs w:val="22"/>
          <w:lang w:val="ru-RU"/>
        </w:rPr>
        <w:t xml:space="preserve">Рекомендаций </w:t>
      </w:r>
      <w:r w:rsidR="009726D8" w:rsidRPr="001D098C">
        <w:rPr>
          <w:spacing w:val="-2"/>
          <w:szCs w:val="22"/>
          <w:lang w:val="ru-RU"/>
        </w:rPr>
        <w:t xml:space="preserve">МСЭ-Т </w:t>
      </w:r>
      <w:r w:rsidR="0009650F" w:rsidRPr="001D098C">
        <w:rPr>
          <w:spacing w:val="-2"/>
          <w:szCs w:val="22"/>
          <w:lang w:val="ru-RU"/>
        </w:rPr>
        <w:t>в соответствии с положениями п.</w:t>
      </w:r>
      <w:r w:rsidR="009D2E7D" w:rsidRPr="001D098C">
        <w:rPr>
          <w:spacing w:val="-2"/>
          <w:szCs w:val="22"/>
          <w:lang w:val="ru-RU"/>
        </w:rPr>
        <w:t> </w:t>
      </w:r>
      <w:r w:rsidR="0009650F" w:rsidRPr="001D098C">
        <w:rPr>
          <w:spacing w:val="-2"/>
          <w:szCs w:val="22"/>
          <w:lang w:val="ru-RU"/>
        </w:rPr>
        <w:t>9.8.2 раздела</w:t>
      </w:r>
      <w:r w:rsidR="009D2E7D" w:rsidRPr="001D098C">
        <w:rPr>
          <w:spacing w:val="-2"/>
          <w:szCs w:val="22"/>
          <w:lang w:val="ru-RU"/>
        </w:rPr>
        <w:t> </w:t>
      </w:r>
      <w:r w:rsidR="0009650F" w:rsidRPr="001D098C">
        <w:rPr>
          <w:spacing w:val="-2"/>
          <w:szCs w:val="22"/>
          <w:lang w:val="ru-RU"/>
        </w:rPr>
        <w:t>9 Резолюции</w:t>
      </w:r>
      <w:r w:rsidR="009D2E7D" w:rsidRPr="001D098C">
        <w:rPr>
          <w:spacing w:val="-2"/>
          <w:szCs w:val="22"/>
          <w:lang w:val="ru-RU"/>
        </w:rPr>
        <w:t> </w:t>
      </w:r>
      <w:r w:rsidR="0009650F" w:rsidRPr="001D098C">
        <w:rPr>
          <w:spacing w:val="-2"/>
          <w:szCs w:val="22"/>
          <w:lang w:val="ru-RU"/>
        </w:rPr>
        <w:t xml:space="preserve">1 (Пересм. </w:t>
      </w:r>
      <w:r w:rsidR="009726D8" w:rsidRPr="001D098C">
        <w:rPr>
          <w:spacing w:val="-2"/>
          <w:szCs w:val="22"/>
          <w:lang w:val="ru-RU"/>
        </w:rPr>
        <w:t>Женева</w:t>
      </w:r>
      <w:r w:rsidR="0009650F" w:rsidRPr="001D098C">
        <w:rPr>
          <w:spacing w:val="-2"/>
          <w:szCs w:val="22"/>
          <w:lang w:val="ru-RU"/>
        </w:rPr>
        <w:t>, 20</w:t>
      </w:r>
      <w:r w:rsidR="009726D8" w:rsidRPr="001D098C">
        <w:rPr>
          <w:spacing w:val="-2"/>
          <w:szCs w:val="22"/>
          <w:lang w:val="ru-RU"/>
        </w:rPr>
        <w:t>22</w:t>
      </w:r>
      <w:r w:rsidR="0009650F" w:rsidRPr="001D098C">
        <w:rPr>
          <w:spacing w:val="-2"/>
          <w:szCs w:val="22"/>
          <w:lang w:val="ru-RU"/>
        </w:rPr>
        <w:t xml:space="preserve"> г.) ВАСЭ. </w:t>
      </w:r>
      <w:r w:rsidR="00736BCB" w:rsidRPr="001D098C">
        <w:rPr>
          <w:spacing w:val="-2"/>
          <w:szCs w:val="22"/>
          <w:lang w:val="ru-RU"/>
        </w:rPr>
        <w:t xml:space="preserve">Со стороны участвовавших в собрании Государств-Членов и Членов Сектора возражений против этого решения не </w:t>
      </w:r>
      <w:r w:rsidR="00011D10" w:rsidRPr="001D098C">
        <w:rPr>
          <w:spacing w:val="-2"/>
          <w:szCs w:val="22"/>
          <w:lang w:val="ru-RU"/>
        </w:rPr>
        <w:t>поступило</w:t>
      </w:r>
      <w:r w:rsidR="0009650F" w:rsidRPr="001D098C">
        <w:rPr>
          <w:spacing w:val="-2"/>
          <w:szCs w:val="22"/>
          <w:lang w:val="ru-RU"/>
        </w:rPr>
        <w:t>.</w:t>
      </w:r>
    </w:p>
    <w:p w14:paraId="52207E81" w14:textId="52A3BD95" w:rsidR="0009650F" w:rsidRPr="001D098C" w:rsidRDefault="0009650F" w:rsidP="00FE5304">
      <w:pPr>
        <w:jc w:val="both"/>
        <w:rPr>
          <w:bCs/>
          <w:szCs w:val="22"/>
          <w:lang w:val="ru-RU"/>
        </w:rPr>
      </w:pPr>
      <w:r w:rsidRPr="001D098C">
        <w:rPr>
          <w:bCs/>
          <w:szCs w:val="22"/>
          <w:lang w:val="ru-RU"/>
        </w:rPr>
        <w:t>2</w:t>
      </w:r>
      <w:r w:rsidRPr="001D098C">
        <w:rPr>
          <w:bCs/>
          <w:szCs w:val="22"/>
          <w:lang w:val="ru-RU"/>
        </w:rPr>
        <w:tab/>
        <w:t xml:space="preserve">В </w:t>
      </w:r>
      <w:r w:rsidRPr="001D098C">
        <w:rPr>
          <w:b/>
          <w:szCs w:val="22"/>
          <w:lang w:val="ru-RU"/>
        </w:rPr>
        <w:t>Приложении 1</w:t>
      </w:r>
      <w:r w:rsidRPr="001D098C">
        <w:rPr>
          <w:bCs/>
          <w:szCs w:val="22"/>
          <w:lang w:val="ru-RU"/>
        </w:rPr>
        <w:t xml:space="preserve"> </w:t>
      </w:r>
      <w:r w:rsidR="00011D10" w:rsidRPr="001D098C">
        <w:rPr>
          <w:bCs/>
          <w:szCs w:val="22"/>
          <w:lang w:val="ru-RU"/>
        </w:rPr>
        <w:t>приведена</w:t>
      </w:r>
      <w:r w:rsidRPr="001D098C">
        <w:rPr>
          <w:bCs/>
          <w:szCs w:val="22"/>
          <w:lang w:val="ru-RU"/>
        </w:rPr>
        <w:t xml:space="preserve"> информация о данно</w:t>
      </w:r>
      <w:r w:rsidR="008121CB" w:rsidRPr="001D098C">
        <w:rPr>
          <w:bCs/>
          <w:szCs w:val="22"/>
          <w:lang w:val="ru-RU"/>
        </w:rPr>
        <w:t>м соглашении</w:t>
      </w:r>
      <w:r w:rsidRPr="001D098C">
        <w:rPr>
          <w:bCs/>
          <w:szCs w:val="22"/>
          <w:lang w:val="ru-RU"/>
        </w:rPr>
        <w:t>, включая краткое объяснение причин аннулирования.</w:t>
      </w:r>
    </w:p>
    <w:p w14:paraId="43A1FCA5" w14:textId="76B8D4D4" w:rsidR="0009650F" w:rsidRPr="001D098C" w:rsidRDefault="0009650F" w:rsidP="00FE5304">
      <w:pPr>
        <w:jc w:val="both"/>
        <w:rPr>
          <w:bCs/>
          <w:szCs w:val="22"/>
          <w:lang w:val="ru-RU"/>
        </w:rPr>
      </w:pPr>
      <w:r w:rsidRPr="001D098C">
        <w:rPr>
          <w:bCs/>
          <w:szCs w:val="22"/>
          <w:lang w:val="ru-RU"/>
        </w:rPr>
        <w:t>3</w:t>
      </w:r>
      <w:r w:rsidRPr="001D098C">
        <w:rPr>
          <w:bCs/>
          <w:szCs w:val="22"/>
          <w:lang w:val="ru-RU"/>
        </w:rPr>
        <w:tab/>
        <w:t xml:space="preserve">Учитывая положения раздела 9 Резолюции 1, </w:t>
      </w:r>
      <w:r w:rsidR="00C805D6" w:rsidRPr="001D098C">
        <w:rPr>
          <w:bCs/>
          <w:szCs w:val="22"/>
          <w:lang w:val="ru-RU"/>
        </w:rPr>
        <w:t>буду</w:t>
      </w:r>
      <w:r w:rsidRPr="001D098C">
        <w:rPr>
          <w:bCs/>
          <w:szCs w:val="22"/>
          <w:lang w:val="ru-RU"/>
        </w:rPr>
        <w:t xml:space="preserve"> благодар</w:t>
      </w:r>
      <w:r w:rsidR="00C805D6" w:rsidRPr="001D098C">
        <w:rPr>
          <w:bCs/>
          <w:szCs w:val="22"/>
          <w:lang w:val="ru-RU"/>
        </w:rPr>
        <w:t>ен</w:t>
      </w:r>
      <w:r w:rsidRPr="001D098C">
        <w:rPr>
          <w:bCs/>
          <w:szCs w:val="22"/>
          <w:lang w:val="ru-RU"/>
        </w:rPr>
        <w:t xml:space="preserve"> ва</w:t>
      </w:r>
      <w:r w:rsidR="00C805D6" w:rsidRPr="001D098C">
        <w:rPr>
          <w:bCs/>
          <w:szCs w:val="22"/>
          <w:lang w:val="ru-RU"/>
        </w:rPr>
        <w:t>м</w:t>
      </w:r>
      <w:r w:rsidRPr="001D098C">
        <w:rPr>
          <w:bCs/>
          <w:szCs w:val="22"/>
          <w:lang w:val="ru-RU"/>
        </w:rPr>
        <w:t xml:space="preserve"> за </w:t>
      </w:r>
      <w:r w:rsidR="00011D10" w:rsidRPr="001D098C">
        <w:rPr>
          <w:bCs/>
          <w:szCs w:val="22"/>
          <w:lang w:val="ru-RU"/>
        </w:rPr>
        <w:t>сообщение</w:t>
      </w:r>
      <w:r w:rsidRPr="001D098C">
        <w:rPr>
          <w:bCs/>
          <w:szCs w:val="22"/>
          <w:lang w:val="ru-RU"/>
        </w:rPr>
        <w:t xml:space="preserve"> о том, одобряет </w:t>
      </w:r>
      <w:r w:rsidR="00011D10" w:rsidRPr="001D098C">
        <w:rPr>
          <w:bCs/>
          <w:szCs w:val="22"/>
          <w:lang w:val="ru-RU"/>
        </w:rPr>
        <w:t>или отклоняет</w:t>
      </w:r>
      <w:r w:rsidRPr="001D098C">
        <w:rPr>
          <w:bCs/>
          <w:szCs w:val="22"/>
          <w:lang w:val="ru-RU"/>
        </w:rPr>
        <w:t xml:space="preserve"> ваша администрация/организация аннулирование эт</w:t>
      </w:r>
      <w:r w:rsidR="00707691" w:rsidRPr="001D098C">
        <w:rPr>
          <w:bCs/>
          <w:szCs w:val="22"/>
          <w:lang w:val="ru-RU"/>
        </w:rPr>
        <w:t>их</w:t>
      </w:r>
      <w:r w:rsidRPr="001D098C">
        <w:rPr>
          <w:bCs/>
          <w:szCs w:val="22"/>
          <w:lang w:val="ru-RU"/>
        </w:rPr>
        <w:t xml:space="preserve"> Рекомендаци</w:t>
      </w:r>
      <w:r w:rsidR="00707691" w:rsidRPr="001D098C">
        <w:rPr>
          <w:bCs/>
          <w:szCs w:val="22"/>
          <w:lang w:val="ru-RU"/>
        </w:rPr>
        <w:t>й</w:t>
      </w:r>
      <w:r w:rsidRPr="001D098C">
        <w:rPr>
          <w:bCs/>
          <w:szCs w:val="22"/>
          <w:lang w:val="ru-RU"/>
        </w:rPr>
        <w:t>, направленн</w:t>
      </w:r>
      <w:r w:rsidR="00011D10" w:rsidRPr="001D098C">
        <w:rPr>
          <w:bCs/>
          <w:szCs w:val="22"/>
          <w:lang w:val="ru-RU"/>
        </w:rPr>
        <w:t>ое</w:t>
      </w:r>
      <w:r w:rsidRPr="001D098C">
        <w:rPr>
          <w:bCs/>
          <w:szCs w:val="22"/>
          <w:lang w:val="ru-RU"/>
        </w:rPr>
        <w:t xml:space="preserve"> в мой адрес до 24</w:t>
      </w:r>
      <w:r w:rsidR="002B68F8" w:rsidRPr="001D098C">
        <w:rPr>
          <w:bCs/>
          <w:szCs w:val="22"/>
          <w:lang w:val="ru-RU"/>
        </w:rPr>
        <w:t xml:space="preserve"> час. </w:t>
      </w:r>
      <w:r w:rsidRPr="001D098C">
        <w:rPr>
          <w:bCs/>
          <w:szCs w:val="22"/>
          <w:lang w:val="ru-RU"/>
        </w:rPr>
        <w:t>00</w:t>
      </w:r>
      <w:r w:rsidR="002B68F8" w:rsidRPr="001D098C">
        <w:rPr>
          <w:bCs/>
          <w:szCs w:val="22"/>
          <w:lang w:val="ru-RU"/>
        </w:rPr>
        <w:t xml:space="preserve"> мин.</w:t>
      </w:r>
      <w:r w:rsidRPr="001D098C">
        <w:rPr>
          <w:bCs/>
          <w:szCs w:val="22"/>
          <w:lang w:val="ru-RU"/>
        </w:rPr>
        <w:t xml:space="preserve"> UTC </w:t>
      </w:r>
      <w:r w:rsidR="006E1CD1" w:rsidRPr="001D098C">
        <w:rPr>
          <w:b/>
          <w:bCs/>
          <w:szCs w:val="22"/>
          <w:lang w:val="ru-RU"/>
        </w:rPr>
        <w:t>2</w:t>
      </w:r>
      <w:r w:rsidR="006A1F01" w:rsidRPr="001D098C">
        <w:rPr>
          <w:b/>
          <w:szCs w:val="22"/>
          <w:lang w:val="ru-RU"/>
        </w:rPr>
        <w:t>0</w:t>
      </w:r>
      <w:r w:rsidRPr="001D098C">
        <w:rPr>
          <w:b/>
          <w:szCs w:val="22"/>
          <w:lang w:val="ru-RU"/>
        </w:rPr>
        <w:t xml:space="preserve"> </w:t>
      </w:r>
      <w:r w:rsidR="006E1CD1" w:rsidRPr="001D098C">
        <w:rPr>
          <w:b/>
          <w:szCs w:val="22"/>
          <w:lang w:val="ru-RU"/>
        </w:rPr>
        <w:t>октября</w:t>
      </w:r>
      <w:r w:rsidRPr="001D098C">
        <w:rPr>
          <w:b/>
          <w:szCs w:val="22"/>
          <w:lang w:val="ru-RU"/>
        </w:rPr>
        <w:t xml:space="preserve"> 20</w:t>
      </w:r>
      <w:r w:rsidR="002B68F8" w:rsidRPr="001D098C">
        <w:rPr>
          <w:b/>
          <w:szCs w:val="22"/>
          <w:lang w:val="ru-RU"/>
        </w:rPr>
        <w:t>22</w:t>
      </w:r>
      <w:r w:rsidRPr="001D098C">
        <w:rPr>
          <w:b/>
          <w:szCs w:val="22"/>
          <w:lang w:val="ru-RU"/>
        </w:rPr>
        <w:t xml:space="preserve"> года</w:t>
      </w:r>
      <w:r w:rsidRPr="001D098C">
        <w:rPr>
          <w:bCs/>
          <w:szCs w:val="22"/>
          <w:lang w:val="ru-RU"/>
        </w:rPr>
        <w:t>.</w:t>
      </w:r>
    </w:p>
    <w:p w14:paraId="3866215B" w14:textId="131ECDCF" w:rsidR="0077286C" w:rsidRPr="001D098C" w:rsidRDefault="0009650F" w:rsidP="00FE5304">
      <w:pPr>
        <w:jc w:val="both"/>
        <w:rPr>
          <w:bCs/>
          <w:szCs w:val="22"/>
          <w:lang w:val="ru-RU"/>
        </w:rPr>
      </w:pPr>
      <w:r w:rsidRPr="001D098C">
        <w:rPr>
          <w:bCs/>
          <w:szCs w:val="22"/>
          <w:lang w:val="ru-RU"/>
        </w:rPr>
        <w:t>Если какие-либо Государства-Члены или Члены Сектора сочтут, что давать согласие на</w:t>
      </w:r>
      <w:r w:rsidR="00640418" w:rsidRPr="001D098C">
        <w:rPr>
          <w:bCs/>
          <w:szCs w:val="22"/>
          <w:lang w:val="ru-RU"/>
        </w:rPr>
        <w:t> </w:t>
      </w:r>
      <w:r w:rsidRPr="001D098C">
        <w:rPr>
          <w:bCs/>
          <w:szCs w:val="22"/>
          <w:lang w:val="ru-RU"/>
        </w:rPr>
        <w:t>аннулирование этой Рекомендации не следует, им необходимо сообщить о причинах такого не</w:t>
      </w:r>
      <w:r w:rsidR="008121CB" w:rsidRPr="001D098C">
        <w:rPr>
          <w:bCs/>
          <w:szCs w:val="22"/>
          <w:lang w:val="ru-RU"/>
        </w:rPr>
        <w:t>согласия</w:t>
      </w:r>
      <w:r w:rsidRPr="001D098C">
        <w:rPr>
          <w:bCs/>
          <w:szCs w:val="22"/>
          <w:lang w:val="ru-RU"/>
        </w:rPr>
        <w:t>, и данный вопрос будет вновь передан в указанную Исследовательскую комиссию.</w:t>
      </w:r>
    </w:p>
    <w:p w14:paraId="2D78D89C" w14:textId="017FDBAC" w:rsidR="0077286C" w:rsidRPr="001D098C" w:rsidRDefault="0077286C" w:rsidP="001D098C">
      <w:pPr>
        <w:pageBreakBefore/>
        <w:jc w:val="both"/>
        <w:rPr>
          <w:szCs w:val="22"/>
          <w:lang w:val="ru-RU"/>
        </w:rPr>
      </w:pPr>
      <w:r w:rsidRPr="001D098C">
        <w:rPr>
          <w:bCs/>
          <w:lang w:val="ru-RU"/>
        </w:rPr>
        <w:lastRenderedPageBreak/>
        <w:t>4</w:t>
      </w:r>
      <w:r w:rsidRPr="001D098C">
        <w:rPr>
          <w:lang w:val="ru-RU"/>
        </w:rPr>
        <w:tab/>
      </w:r>
      <w:r w:rsidR="00640418" w:rsidRPr="001D098C">
        <w:rPr>
          <w:lang w:val="ru-RU"/>
        </w:rPr>
        <w:t>По</w:t>
      </w:r>
      <w:r w:rsidR="00011D10" w:rsidRPr="001D098C">
        <w:rPr>
          <w:lang w:val="ru-RU"/>
        </w:rPr>
        <w:t xml:space="preserve"> истечении</w:t>
      </w:r>
      <w:r w:rsidR="00640418" w:rsidRPr="001D098C">
        <w:rPr>
          <w:lang w:val="ru-RU"/>
        </w:rPr>
        <w:t xml:space="preserve"> указанного выше предельного срока – </w:t>
      </w:r>
      <w:r w:rsidR="00853A51" w:rsidRPr="001D098C">
        <w:rPr>
          <w:b/>
          <w:szCs w:val="22"/>
          <w:lang w:val="ru-RU"/>
        </w:rPr>
        <w:t>2</w:t>
      </w:r>
      <w:r w:rsidR="006A1F01" w:rsidRPr="001D098C">
        <w:rPr>
          <w:b/>
          <w:szCs w:val="22"/>
          <w:lang w:val="ru-RU"/>
        </w:rPr>
        <w:t>0</w:t>
      </w:r>
      <w:r w:rsidR="002B68F8" w:rsidRPr="001D098C">
        <w:rPr>
          <w:b/>
          <w:szCs w:val="22"/>
          <w:lang w:val="ru-RU"/>
        </w:rPr>
        <w:t xml:space="preserve"> </w:t>
      </w:r>
      <w:r w:rsidR="00853A51" w:rsidRPr="001D098C">
        <w:rPr>
          <w:b/>
          <w:szCs w:val="22"/>
          <w:lang w:val="ru-RU"/>
        </w:rPr>
        <w:t>октября</w:t>
      </w:r>
      <w:r w:rsidR="002B68F8" w:rsidRPr="001D098C">
        <w:rPr>
          <w:b/>
          <w:szCs w:val="22"/>
          <w:lang w:val="ru-RU"/>
        </w:rPr>
        <w:t xml:space="preserve"> 2022 года</w:t>
      </w:r>
      <w:r w:rsidR="002B68F8" w:rsidRPr="001D098C">
        <w:rPr>
          <w:lang w:val="ru-RU"/>
        </w:rPr>
        <w:t xml:space="preserve"> </w:t>
      </w:r>
      <w:r w:rsidR="00640418" w:rsidRPr="001D098C">
        <w:rPr>
          <w:lang w:val="ru-RU"/>
        </w:rPr>
        <w:t>– Директор БСЭ в циркуляре уведомит о результатах проведенн</w:t>
      </w:r>
      <w:r w:rsidR="008121CB" w:rsidRPr="001D098C">
        <w:rPr>
          <w:lang w:val="ru-RU"/>
        </w:rPr>
        <w:t>ых</w:t>
      </w:r>
      <w:r w:rsidR="00640418" w:rsidRPr="001D098C">
        <w:rPr>
          <w:lang w:val="ru-RU"/>
        </w:rPr>
        <w:t xml:space="preserve"> консультаци</w:t>
      </w:r>
      <w:r w:rsidR="008121CB" w:rsidRPr="001D098C">
        <w:rPr>
          <w:lang w:val="ru-RU"/>
        </w:rPr>
        <w:t>й</w:t>
      </w:r>
      <w:r w:rsidR="00640418" w:rsidRPr="001D098C">
        <w:rPr>
          <w:lang w:val="ru-RU"/>
        </w:rPr>
        <w:t xml:space="preserve">. Эта информация будет также опубликована в </w:t>
      </w:r>
      <w:r w:rsidR="00C805D6" w:rsidRPr="001D098C">
        <w:rPr>
          <w:lang w:val="ru-RU"/>
        </w:rPr>
        <w:t>Оперативном</w:t>
      </w:r>
      <w:r w:rsidR="00640418" w:rsidRPr="001D098C">
        <w:rPr>
          <w:lang w:val="ru-RU"/>
        </w:rPr>
        <w:t xml:space="preserve"> бюллетене МСЭ.</w:t>
      </w:r>
    </w:p>
    <w:p w14:paraId="101AAEC5" w14:textId="32BAC6D1" w:rsidR="006D34FD" w:rsidRPr="001D098C" w:rsidRDefault="006D34FD" w:rsidP="000708F5">
      <w:pPr>
        <w:rPr>
          <w:lang w:val="ru-RU"/>
        </w:rPr>
      </w:pPr>
      <w:r w:rsidRPr="001D098C">
        <w:rPr>
          <w:lang w:val="ru-RU"/>
        </w:rPr>
        <w:t>С уважением,</w:t>
      </w:r>
    </w:p>
    <w:p w14:paraId="3A222099" w14:textId="426A0B87" w:rsidR="00FE5304" w:rsidRPr="001D098C" w:rsidRDefault="006950D0" w:rsidP="00C71470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4CC7F11F" wp14:editId="238091E8">
            <wp:simplePos x="0" y="0"/>
            <wp:positionH relativeFrom="column">
              <wp:posOffset>3810</wp:posOffset>
            </wp:positionH>
            <wp:positionV relativeFrom="paragraph">
              <wp:posOffset>132080</wp:posOffset>
            </wp:positionV>
            <wp:extent cx="746039" cy="40005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18" cy="402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144CE" w:rsidRPr="001D098C">
        <w:rPr>
          <w:lang w:val="ru-RU"/>
        </w:rPr>
        <w:t>Чхе</w:t>
      </w:r>
      <w:proofErr w:type="spellEnd"/>
      <w:r w:rsidR="002144CE" w:rsidRPr="001D098C">
        <w:rPr>
          <w:lang w:val="ru-RU"/>
        </w:rPr>
        <w:t xml:space="preserve"> </w:t>
      </w:r>
      <w:proofErr w:type="spellStart"/>
      <w:r w:rsidR="002144CE" w:rsidRPr="001D098C">
        <w:rPr>
          <w:lang w:val="ru-RU"/>
        </w:rPr>
        <w:t>Суб</w:t>
      </w:r>
      <w:proofErr w:type="spellEnd"/>
      <w:r w:rsidR="002144CE" w:rsidRPr="001D098C">
        <w:rPr>
          <w:lang w:val="ru-RU"/>
        </w:rPr>
        <w:t xml:space="preserve"> Ли</w:t>
      </w:r>
      <w:r w:rsidR="002144CE" w:rsidRPr="001D098C">
        <w:rPr>
          <w:lang w:val="ru-RU"/>
        </w:rPr>
        <w:br/>
        <w:t>Директор Бюро</w:t>
      </w:r>
      <w:r w:rsidR="002144CE" w:rsidRPr="001D098C">
        <w:rPr>
          <w:lang w:val="ru-RU"/>
        </w:rPr>
        <w:br/>
        <w:t>стандартизации электросвязи</w:t>
      </w:r>
    </w:p>
    <w:p w14:paraId="73877034" w14:textId="64873DD4" w:rsidR="00474DB7" w:rsidRPr="001D098C" w:rsidRDefault="00474DB7" w:rsidP="00474DB7">
      <w:pPr>
        <w:spacing w:before="1440"/>
        <w:rPr>
          <w:lang w:val="ru-RU"/>
        </w:rPr>
      </w:pPr>
      <w:r w:rsidRPr="001D098C">
        <w:rPr>
          <w:b/>
          <w:bCs/>
          <w:lang w:val="ru-RU"/>
        </w:rPr>
        <w:t>Приложени</w:t>
      </w:r>
      <w:r w:rsidR="00707691" w:rsidRPr="001D098C">
        <w:rPr>
          <w:b/>
          <w:bCs/>
          <w:lang w:val="ru-RU"/>
        </w:rPr>
        <w:t>е</w:t>
      </w:r>
      <w:r w:rsidRPr="001D098C">
        <w:rPr>
          <w:lang w:val="ru-RU"/>
        </w:rPr>
        <w:t xml:space="preserve">: </w:t>
      </w:r>
      <w:r w:rsidR="006623C2" w:rsidRPr="001D098C">
        <w:rPr>
          <w:lang w:val="ru-RU"/>
        </w:rPr>
        <w:t>1</w:t>
      </w:r>
    </w:p>
    <w:p w14:paraId="66C643BC" w14:textId="50DD2AA9" w:rsidR="008B5CD0" w:rsidRPr="001D098C" w:rsidRDefault="008B5CD0" w:rsidP="00B727F2">
      <w:pPr>
        <w:rPr>
          <w:lang w:val="ru-RU"/>
        </w:rPr>
      </w:pPr>
      <w:r w:rsidRPr="001D098C">
        <w:rPr>
          <w:lang w:val="ru-RU"/>
        </w:rPr>
        <w:br w:type="page"/>
      </w:r>
    </w:p>
    <w:p w14:paraId="12090BAA" w14:textId="4591F1D4" w:rsidR="006623C2" w:rsidRPr="001D098C" w:rsidRDefault="006623C2" w:rsidP="00B727F2">
      <w:pPr>
        <w:pStyle w:val="AnnexNo"/>
        <w:rPr>
          <w:lang w:val="ru-RU"/>
        </w:rPr>
      </w:pPr>
      <w:r w:rsidRPr="001D098C">
        <w:rPr>
          <w:lang w:val="ru-RU"/>
        </w:rPr>
        <w:lastRenderedPageBreak/>
        <w:t>Приложение 1</w:t>
      </w:r>
    </w:p>
    <w:p w14:paraId="41FD661E" w14:textId="76444AD5" w:rsidR="006623C2" w:rsidRPr="001D098C" w:rsidRDefault="002C1908" w:rsidP="00B727F2">
      <w:pPr>
        <w:pStyle w:val="Annextitle0"/>
        <w:rPr>
          <w:lang w:val="ru-RU"/>
        </w:rPr>
      </w:pPr>
      <w:r w:rsidRPr="001D098C">
        <w:rPr>
          <w:lang w:val="ru-RU"/>
        </w:rPr>
        <w:t>Рекомендации</w:t>
      </w:r>
      <w:r w:rsidR="008121CB" w:rsidRPr="001D098C">
        <w:rPr>
          <w:lang w:val="ru-RU"/>
        </w:rPr>
        <w:t>, предлагаемые для аннулирования</w:t>
      </w:r>
      <w:r w:rsidR="006623C2" w:rsidRPr="001D098C">
        <w:rPr>
          <w:lang w:val="ru-RU"/>
        </w:rPr>
        <w:t xml:space="preserve">: </w:t>
      </w:r>
      <w:r w:rsidR="00011D10" w:rsidRPr="001D098C">
        <w:rPr>
          <w:lang w:val="ru-RU"/>
        </w:rPr>
        <w:br/>
      </w:r>
      <w:r w:rsidR="00853A51" w:rsidRPr="001D098C">
        <w:rPr>
          <w:bCs/>
          <w:lang w:val="ru-RU"/>
        </w:rPr>
        <w:t>Q.1521, Q.1531, Q.1541, Q.1542</w:t>
      </w:r>
      <w:r w:rsidR="006623C2" w:rsidRPr="001D098C">
        <w:rPr>
          <w:lang w:val="ru-RU"/>
        </w:rPr>
        <w:t xml:space="preserve"> </w:t>
      </w:r>
      <w:r w:rsidR="008121CB" w:rsidRPr="001D098C">
        <w:rPr>
          <w:lang w:val="ru-RU"/>
        </w:rPr>
        <w:t>и</w:t>
      </w:r>
      <w:r w:rsidR="006623C2" w:rsidRPr="001D098C">
        <w:rPr>
          <w:lang w:val="ru-RU"/>
        </w:rPr>
        <w:t xml:space="preserve"> </w:t>
      </w:r>
      <w:r w:rsidR="00853A51" w:rsidRPr="001D098C">
        <w:rPr>
          <w:bCs/>
          <w:lang w:val="ru-RU"/>
        </w:rPr>
        <w:t>Q.1551</w:t>
      </w:r>
    </w:p>
    <w:p w14:paraId="314362FE" w14:textId="296EF514" w:rsidR="006623C2" w:rsidRPr="001D098C" w:rsidRDefault="006623C2" w:rsidP="002144CE">
      <w:pPr>
        <w:pStyle w:val="Headingb"/>
        <w:jc w:val="both"/>
        <w:rPr>
          <w:lang w:val="ru-RU"/>
        </w:rPr>
      </w:pPr>
      <w:r w:rsidRPr="001D098C">
        <w:rPr>
          <w:lang w:val="ru-RU"/>
        </w:rPr>
        <w:t xml:space="preserve">Рекомендация МСЭ-T </w:t>
      </w:r>
      <w:r w:rsidR="00853A51" w:rsidRPr="001D098C">
        <w:rPr>
          <w:bCs/>
          <w:lang w:val="ru-RU"/>
        </w:rPr>
        <w:t>Q.1521</w:t>
      </w:r>
      <w:r w:rsidR="001D6206" w:rsidRPr="001D098C">
        <w:rPr>
          <w:bCs/>
          <w:lang w:val="ru-RU"/>
        </w:rPr>
        <w:t xml:space="preserve"> </w:t>
      </w:r>
      <w:r w:rsidR="001D6206" w:rsidRPr="001D098C">
        <w:rPr>
          <w:b w:val="0"/>
          <w:lang w:val="ru-RU"/>
        </w:rPr>
        <w:t>"</w:t>
      </w:r>
      <w:r w:rsidR="001D6206" w:rsidRPr="001D098C">
        <w:rPr>
          <w:bCs/>
          <w:lang w:val="ru-RU"/>
        </w:rPr>
        <w:t xml:space="preserve">Требования к базовым сетям и протоколам сигнализации для поддержки </w:t>
      </w:r>
      <w:r w:rsidR="00853A51" w:rsidRPr="001D098C">
        <w:rPr>
          <w:bCs/>
          <w:lang w:val="ru-RU"/>
        </w:rPr>
        <w:t>UPT</w:t>
      </w:r>
      <w:r w:rsidR="00AD301B" w:rsidRPr="001D098C">
        <w:rPr>
          <w:b w:val="0"/>
          <w:lang w:val="ru-RU"/>
        </w:rPr>
        <w:t>"</w:t>
      </w:r>
    </w:p>
    <w:p w14:paraId="013978CD" w14:textId="42A4CB09" w:rsidR="006623C2" w:rsidRPr="001D098C" w:rsidRDefault="003B149F" w:rsidP="00B727F2">
      <w:pPr>
        <w:pStyle w:val="Headingb"/>
        <w:rPr>
          <w:lang w:val="ru-RU"/>
        </w:rPr>
      </w:pPr>
      <w:r w:rsidRPr="001D098C">
        <w:rPr>
          <w:lang w:val="ru-RU"/>
        </w:rPr>
        <w:t>Дата утверждения</w:t>
      </w:r>
      <w:r w:rsidR="006623C2" w:rsidRPr="001D098C">
        <w:rPr>
          <w:lang w:val="ru-RU"/>
        </w:rPr>
        <w:t>:</w:t>
      </w:r>
      <w:r w:rsidR="00320BC3" w:rsidRPr="001D098C">
        <w:rPr>
          <w:lang w:val="ru-RU"/>
        </w:rPr>
        <w:t xml:space="preserve"> </w:t>
      </w:r>
      <w:r w:rsidR="00853A51" w:rsidRPr="001D098C">
        <w:rPr>
          <w:lang w:val="ru-RU"/>
        </w:rPr>
        <w:t>июнь</w:t>
      </w:r>
      <w:r w:rsidR="006623C2" w:rsidRPr="001D098C">
        <w:rPr>
          <w:lang w:val="ru-RU"/>
        </w:rPr>
        <w:t xml:space="preserve"> 200</w:t>
      </w:r>
      <w:r w:rsidR="00853A51" w:rsidRPr="001D098C">
        <w:rPr>
          <w:lang w:val="ru-RU"/>
        </w:rPr>
        <w:t>0</w:t>
      </w:r>
      <w:r w:rsidR="002C1908" w:rsidRPr="001D098C">
        <w:rPr>
          <w:lang w:val="ru-RU"/>
        </w:rPr>
        <w:t> года</w:t>
      </w:r>
    </w:p>
    <w:p w14:paraId="14DC11BD" w14:textId="57D34800" w:rsidR="006623C2" w:rsidRPr="001D098C" w:rsidRDefault="003E3A15" w:rsidP="00320BC3">
      <w:pPr>
        <w:pStyle w:val="Headingb"/>
        <w:rPr>
          <w:b w:val="0"/>
          <w:bCs/>
          <w:i/>
          <w:iCs/>
          <w:lang w:val="ru-RU"/>
        </w:rPr>
      </w:pPr>
      <w:r w:rsidRPr="001D098C">
        <w:rPr>
          <w:b w:val="0"/>
          <w:bCs/>
          <w:i/>
          <w:iCs/>
          <w:lang w:val="ru-RU"/>
        </w:rPr>
        <w:t>Сфера применения</w:t>
      </w:r>
    </w:p>
    <w:p w14:paraId="6DB5FC2C" w14:textId="0E0B4023" w:rsidR="00853A51" w:rsidRPr="001D098C" w:rsidRDefault="001D6206" w:rsidP="002144CE">
      <w:pPr>
        <w:jc w:val="both"/>
        <w:rPr>
          <w:lang w:val="ru-RU"/>
        </w:rPr>
      </w:pPr>
      <w:r w:rsidRPr="001D098C">
        <w:rPr>
          <w:lang w:val="ru-RU"/>
        </w:rPr>
        <w:t xml:space="preserve">UPT – это </w:t>
      </w:r>
      <w:r w:rsidR="001D1190" w:rsidRPr="001D098C">
        <w:rPr>
          <w:lang w:val="ru-RU"/>
        </w:rPr>
        <w:t>служба</w:t>
      </w:r>
      <w:r w:rsidRPr="001D098C">
        <w:rPr>
          <w:lang w:val="ru-RU"/>
        </w:rPr>
        <w:t xml:space="preserve"> </w:t>
      </w:r>
      <w:r w:rsidR="00B61A8D" w:rsidRPr="001D098C">
        <w:rPr>
          <w:lang w:val="ru-RU"/>
        </w:rPr>
        <w:t xml:space="preserve">универсальной персональной </w:t>
      </w:r>
      <w:r w:rsidRPr="001D098C">
        <w:rPr>
          <w:lang w:val="ru-RU"/>
        </w:rPr>
        <w:t xml:space="preserve">электросвязи, </w:t>
      </w:r>
      <w:r w:rsidR="00B61A8D" w:rsidRPr="001D098C">
        <w:rPr>
          <w:lang w:val="ru-RU"/>
        </w:rPr>
        <w:t>когда</w:t>
      </w:r>
      <w:r w:rsidRPr="001D098C">
        <w:rPr>
          <w:lang w:val="ru-RU"/>
        </w:rPr>
        <w:t xml:space="preserve"> абонент/пользователь может зарегистрироваться на терминале </w:t>
      </w:r>
      <w:r w:rsidR="00B61A8D" w:rsidRPr="001D098C">
        <w:rPr>
          <w:lang w:val="ru-RU"/>
        </w:rPr>
        <w:t>в</w:t>
      </w:r>
      <w:r w:rsidRPr="001D098C">
        <w:rPr>
          <w:lang w:val="ru-RU"/>
        </w:rPr>
        <w:t xml:space="preserve"> любой подключенной сети и</w:t>
      </w:r>
      <w:r w:rsidR="00B61A8D" w:rsidRPr="001D098C">
        <w:rPr>
          <w:lang w:val="ru-RU"/>
        </w:rPr>
        <w:t xml:space="preserve"> получать </w:t>
      </w:r>
      <w:r w:rsidR="001D1190" w:rsidRPr="001D098C">
        <w:rPr>
          <w:lang w:val="ru-RU"/>
        </w:rPr>
        <w:t>службу</w:t>
      </w:r>
      <w:r w:rsidR="00B61A8D" w:rsidRPr="001D098C">
        <w:rPr>
          <w:lang w:val="ru-RU"/>
        </w:rPr>
        <w:t xml:space="preserve"> UPT в местоположении</w:t>
      </w:r>
      <w:r w:rsidRPr="001D098C">
        <w:rPr>
          <w:lang w:val="ru-RU"/>
        </w:rPr>
        <w:t xml:space="preserve"> этого терминала. </w:t>
      </w:r>
      <w:r w:rsidRPr="001D098C">
        <w:rPr>
          <w:color w:val="333333"/>
          <w:sz w:val="21"/>
          <w:szCs w:val="21"/>
          <w:shd w:val="clear" w:color="auto" w:fill="FFFFFF"/>
          <w:lang w:val="ru-RU"/>
        </w:rPr>
        <w:t>Это относится к</w:t>
      </w:r>
      <w:r w:rsidR="00FA5D8E" w:rsidRPr="001D098C">
        <w:rPr>
          <w:color w:val="333333"/>
          <w:sz w:val="21"/>
          <w:szCs w:val="21"/>
          <w:shd w:val="clear" w:color="auto" w:fill="FFFFFF"/>
          <w:lang w:val="ru-RU"/>
        </w:rPr>
        <w:t>ак к</w:t>
      </w:r>
      <w:r w:rsidRPr="001D098C">
        <w:rPr>
          <w:color w:val="333333"/>
          <w:sz w:val="21"/>
          <w:szCs w:val="21"/>
          <w:shd w:val="clear" w:color="auto" w:fill="FFFFFF"/>
          <w:lang w:val="ru-RU"/>
        </w:rPr>
        <w:t xml:space="preserve"> терминалам фиксированн</w:t>
      </w:r>
      <w:r w:rsidR="00FA5D8E" w:rsidRPr="001D098C">
        <w:rPr>
          <w:color w:val="333333"/>
          <w:sz w:val="21"/>
          <w:szCs w:val="21"/>
          <w:shd w:val="clear" w:color="auto" w:fill="FFFFFF"/>
          <w:lang w:val="ru-RU"/>
        </w:rPr>
        <w:t>ой</w:t>
      </w:r>
      <w:r w:rsidRPr="001D098C">
        <w:rPr>
          <w:color w:val="333333"/>
          <w:sz w:val="21"/>
          <w:szCs w:val="21"/>
          <w:shd w:val="clear" w:color="auto" w:fill="FFFFFF"/>
          <w:lang w:val="ru-RU"/>
        </w:rPr>
        <w:t xml:space="preserve"> (проводн</w:t>
      </w:r>
      <w:r w:rsidR="00FA5D8E" w:rsidRPr="001D098C">
        <w:rPr>
          <w:color w:val="333333"/>
          <w:sz w:val="21"/>
          <w:szCs w:val="21"/>
          <w:shd w:val="clear" w:color="auto" w:fill="FFFFFF"/>
          <w:lang w:val="ru-RU"/>
        </w:rPr>
        <w:t>ой</w:t>
      </w:r>
      <w:r w:rsidRPr="001D098C">
        <w:rPr>
          <w:color w:val="333333"/>
          <w:sz w:val="21"/>
          <w:szCs w:val="21"/>
          <w:shd w:val="clear" w:color="auto" w:fill="FFFFFF"/>
          <w:lang w:val="ru-RU"/>
        </w:rPr>
        <w:t>)</w:t>
      </w:r>
      <w:r w:rsidR="00FA5D8E" w:rsidRPr="001D098C">
        <w:rPr>
          <w:color w:val="333333"/>
          <w:sz w:val="21"/>
          <w:szCs w:val="21"/>
          <w:shd w:val="clear" w:color="auto" w:fill="FFFFFF"/>
          <w:lang w:val="ru-RU"/>
        </w:rPr>
        <w:t xml:space="preserve"> связи</w:t>
      </w:r>
      <w:r w:rsidRPr="001D098C">
        <w:rPr>
          <w:color w:val="333333"/>
          <w:sz w:val="21"/>
          <w:szCs w:val="21"/>
          <w:shd w:val="clear" w:color="auto" w:fill="FFFFFF"/>
          <w:lang w:val="ru-RU"/>
        </w:rPr>
        <w:t xml:space="preserve">, так и к </w:t>
      </w:r>
      <w:r w:rsidR="00FA5D8E" w:rsidRPr="001D098C">
        <w:rPr>
          <w:color w:val="333333"/>
          <w:sz w:val="21"/>
          <w:szCs w:val="21"/>
          <w:shd w:val="clear" w:color="auto" w:fill="FFFFFF"/>
          <w:lang w:val="ru-RU"/>
        </w:rPr>
        <w:t xml:space="preserve">терминалам </w:t>
      </w:r>
      <w:r w:rsidRPr="001D098C">
        <w:rPr>
          <w:color w:val="333333"/>
          <w:sz w:val="21"/>
          <w:szCs w:val="21"/>
          <w:shd w:val="clear" w:color="auto" w:fill="FFFFFF"/>
          <w:lang w:val="ru-RU"/>
        </w:rPr>
        <w:t>подвижной (беспроводн</w:t>
      </w:r>
      <w:r w:rsidR="00FA5D8E" w:rsidRPr="001D098C">
        <w:rPr>
          <w:color w:val="333333"/>
          <w:sz w:val="21"/>
          <w:szCs w:val="21"/>
          <w:shd w:val="clear" w:color="auto" w:fill="FFFFFF"/>
          <w:lang w:val="ru-RU"/>
        </w:rPr>
        <w:t>ой</w:t>
      </w:r>
      <w:r w:rsidRPr="001D098C">
        <w:rPr>
          <w:color w:val="333333"/>
          <w:sz w:val="21"/>
          <w:szCs w:val="21"/>
          <w:shd w:val="clear" w:color="auto" w:fill="FFFFFF"/>
          <w:lang w:val="ru-RU"/>
        </w:rPr>
        <w:t>)</w:t>
      </w:r>
      <w:r w:rsidR="00FA5D8E" w:rsidRPr="001D098C">
        <w:rPr>
          <w:color w:val="333333"/>
          <w:sz w:val="21"/>
          <w:szCs w:val="21"/>
          <w:shd w:val="clear" w:color="auto" w:fill="FFFFFF"/>
          <w:lang w:val="ru-RU"/>
        </w:rPr>
        <w:t xml:space="preserve"> связи,</w:t>
      </w:r>
      <w:r w:rsidRPr="001D098C">
        <w:rPr>
          <w:color w:val="333333"/>
          <w:sz w:val="21"/>
          <w:szCs w:val="21"/>
          <w:shd w:val="clear" w:color="auto" w:fill="FFFFFF"/>
          <w:lang w:val="ru-RU"/>
        </w:rPr>
        <w:t xml:space="preserve"> и не зависит от типа сети, обслуживающей терминал, например КТСОП, ЦСИС, PLMN. Далее в </w:t>
      </w:r>
      <w:r w:rsidR="00FA5D8E" w:rsidRPr="001D098C">
        <w:rPr>
          <w:color w:val="333333"/>
          <w:sz w:val="21"/>
          <w:szCs w:val="21"/>
          <w:shd w:val="clear" w:color="auto" w:fill="FFFFFF"/>
          <w:lang w:val="ru-RU"/>
        </w:rPr>
        <w:t>настоящей</w:t>
      </w:r>
      <w:r w:rsidRPr="001D098C">
        <w:rPr>
          <w:color w:val="333333"/>
          <w:sz w:val="21"/>
          <w:szCs w:val="21"/>
          <w:shd w:val="clear" w:color="auto" w:fill="FFFFFF"/>
          <w:lang w:val="ru-RU"/>
        </w:rPr>
        <w:t xml:space="preserve"> Рекомендации сеть PLMN </w:t>
      </w:r>
      <w:r w:rsidR="00FA5D8E" w:rsidRPr="001D098C">
        <w:rPr>
          <w:color w:val="333333"/>
          <w:sz w:val="21"/>
          <w:szCs w:val="21"/>
          <w:shd w:val="clear" w:color="auto" w:fill="FFFFFF"/>
          <w:lang w:val="ru-RU"/>
        </w:rPr>
        <w:t>следует</w:t>
      </w:r>
      <w:r w:rsidRPr="001D098C">
        <w:rPr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="00FA5D8E" w:rsidRPr="001D098C">
        <w:rPr>
          <w:color w:val="333333"/>
          <w:sz w:val="21"/>
          <w:szCs w:val="21"/>
          <w:shd w:val="clear" w:color="auto" w:fill="FFFFFF"/>
          <w:lang w:val="ru-RU"/>
        </w:rPr>
        <w:t>трактовать</w:t>
      </w:r>
      <w:r w:rsidRPr="001D098C">
        <w:rPr>
          <w:color w:val="333333"/>
          <w:sz w:val="21"/>
          <w:szCs w:val="21"/>
          <w:shd w:val="clear" w:color="auto" w:fill="FFFFFF"/>
          <w:lang w:val="ru-RU"/>
        </w:rPr>
        <w:t xml:space="preserve"> в широком смысле (включая IMT-2000).</w:t>
      </w:r>
    </w:p>
    <w:p w14:paraId="799805B0" w14:textId="24C8EBBB" w:rsidR="00853A51" w:rsidRPr="001D098C" w:rsidRDefault="001D6206" w:rsidP="002144CE">
      <w:pPr>
        <w:jc w:val="both"/>
        <w:rPr>
          <w:lang w:val="ru-RU"/>
        </w:rPr>
      </w:pPr>
      <w:r w:rsidRPr="001D098C">
        <w:rPr>
          <w:lang w:val="ru-RU"/>
        </w:rPr>
        <w:t xml:space="preserve">Настоящая Рекомендация предназначена для </w:t>
      </w:r>
      <w:r w:rsidR="00FA5D8E" w:rsidRPr="001D098C">
        <w:rPr>
          <w:lang w:val="ru-RU"/>
        </w:rPr>
        <w:t>представления</w:t>
      </w:r>
      <w:r w:rsidRPr="001D098C">
        <w:rPr>
          <w:lang w:val="ru-RU"/>
        </w:rPr>
        <w:t xml:space="preserve"> требований к протоколам, КТСОП, ЦСИС и</w:t>
      </w:r>
      <w:r w:rsidR="00FA5D8E" w:rsidRPr="001D098C">
        <w:rPr>
          <w:lang w:val="ru-RU"/>
        </w:rPr>
        <w:t> </w:t>
      </w:r>
      <w:r w:rsidRPr="001D098C">
        <w:rPr>
          <w:lang w:val="ru-RU"/>
        </w:rPr>
        <w:t>т.</w:t>
      </w:r>
      <w:r w:rsidR="00FA5D8E" w:rsidRPr="001D098C">
        <w:rPr>
          <w:lang w:val="ru-RU"/>
        </w:rPr>
        <w:t> </w:t>
      </w:r>
      <w:r w:rsidRPr="001D098C">
        <w:rPr>
          <w:lang w:val="ru-RU"/>
        </w:rPr>
        <w:t>д.</w:t>
      </w:r>
      <w:r w:rsidR="00FA5D8E" w:rsidRPr="001D098C">
        <w:rPr>
          <w:lang w:val="ru-RU"/>
        </w:rPr>
        <w:t>,</w:t>
      </w:r>
      <w:r w:rsidRPr="001D098C">
        <w:rPr>
          <w:lang w:val="ru-RU"/>
        </w:rPr>
        <w:t xml:space="preserve"> для</w:t>
      </w:r>
      <w:r w:rsidR="00FA5D8E" w:rsidRPr="001D098C">
        <w:rPr>
          <w:lang w:val="ru-RU"/>
        </w:rPr>
        <w:t xml:space="preserve"> </w:t>
      </w:r>
      <w:r w:rsidRPr="001D098C">
        <w:rPr>
          <w:lang w:val="ru-RU"/>
        </w:rPr>
        <w:t>обеспеч</w:t>
      </w:r>
      <w:r w:rsidR="008A2B67" w:rsidRPr="001D098C">
        <w:rPr>
          <w:lang w:val="ru-RU"/>
        </w:rPr>
        <w:t>ения</w:t>
      </w:r>
      <w:r w:rsidRPr="001D098C">
        <w:rPr>
          <w:lang w:val="ru-RU"/>
        </w:rPr>
        <w:t xml:space="preserve"> </w:t>
      </w:r>
      <w:r w:rsidR="00FA5D8E" w:rsidRPr="001D098C">
        <w:rPr>
          <w:lang w:val="ru-RU"/>
        </w:rPr>
        <w:t>надлежащ</w:t>
      </w:r>
      <w:r w:rsidR="008A2B67" w:rsidRPr="001D098C">
        <w:rPr>
          <w:lang w:val="ru-RU"/>
        </w:rPr>
        <w:t>ей</w:t>
      </w:r>
      <w:r w:rsidRPr="001D098C">
        <w:rPr>
          <w:lang w:val="ru-RU"/>
        </w:rPr>
        <w:t xml:space="preserve"> сквозн</w:t>
      </w:r>
      <w:r w:rsidR="008A2B67" w:rsidRPr="001D098C">
        <w:rPr>
          <w:lang w:val="ru-RU"/>
        </w:rPr>
        <w:t>ой</w:t>
      </w:r>
      <w:r w:rsidRPr="001D098C">
        <w:rPr>
          <w:lang w:val="ru-RU"/>
        </w:rPr>
        <w:t xml:space="preserve"> поддержк</w:t>
      </w:r>
      <w:r w:rsidR="008A2B67" w:rsidRPr="001D098C">
        <w:rPr>
          <w:lang w:val="ru-RU"/>
        </w:rPr>
        <w:t>и</w:t>
      </w:r>
      <w:r w:rsidRPr="001D098C">
        <w:rPr>
          <w:lang w:val="ru-RU"/>
        </w:rPr>
        <w:t xml:space="preserve"> </w:t>
      </w:r>
      <w:r w:rsidR="001D1190" w:rsidRPr="001D098C">
        <w:rPr>
          <w:lang w:val="ru-RU"/>
        </w:rPr>
        <w:t>службы</w:t>
      </w:r>
      <w:r w:rsidRPr="001D098C">
        <w:rPr>
          <w:lang w:val="ru-RU"/>
        </w:rPr>
        <w:t xml:space="preserve"> UPT. В случае, если поддержка </w:t>
      </w:r>
      <w:r w:rsidR="001D1190" w:rsidRPr="001D098C">
        <w:rPr>
          <w:lang w:val="ru-RU"/>
        </w:rPr>
        <w:t>службы</w:t>
      </w:r>
      <w:r w:rsidRPr="001D098C">
        <w:rPr>
          <w:lang w:val="ru-RU"/>
        </w:rPr>
        <w:t xml:space="preserve"> UPT</w:t>
      </w:r>
      <w:r w:rsidR="008A2B67" w:rsidRPr="001D098C">
        <w:rPr>
          <w:lang w:val="ru-RU"/>
        </w:rPr>
        <w:t>, предоставляемой</w:t>
      </w:r>
      <w:r w:rsidRPr="001D098C">
        <w:rPr>
          <w:lang w:val="ru-RU"/>
        </w:rPr>
        <w:t xml:space="preserve"> пользовател</w:t>
      </w:r>
      <w:r w:rsidR="008A2B67" w:rsidRPr="001D098C">
        <w:rPr>
          <w:lang w:val="ru-RU"/>
        </w:rPr>
        <w:t>ю,</w:t>
      </w:r>
      <w:r w:rsidRPr="001D098C">
        <w:rPr>
          <w:lang w:val="ru-RU"/>
        </w:rPr>
        <w:t xml:space="preserve"> </w:t>
      </w:r>
      <w:r w:rsidR="008A2B67" w:rsidRPr="001D098C">
        <w:rPr>
          <w:lang w:val="ru-RU"/>
        </w:rPr>
        <w:t>включает</w:t>
      </w:r>
      <w:r w:rsidRPr="001D098C">
        <w:rPr>
          <w:lang w:val="ru-RU"/>
        </w:rPr>
        <w:t xml:space="preserve"> нескольких поставщиков услуг или операторов, предполагается, что между несколькими поставщиками существуют соответствующие </w:t>
      </w:r>
      <w:r w:rsidR="00FA5D8E" w:rsidRPr="001D098C">
        <w:rPr>
          <w:lang w:val="ru-RU"/>
        </w:rPr>
        <w:t xml:space="preserve">коммерческие схемы сотрудничества </w:t>
      </w:r>
      <w:r w:rsidRPr="001D098C">
        <w:rPr>
          <w:lang w:val="ru-RU"/>
        </w:rPr>
        <w:t>для выполнения данных требований (</w:t>
      </w:r>
      <w:r w:rsidR="008A2B67" w:rsidRPr="001D098C">
        <w:rPr>
          <w:lang w:val="ru-RU"/>
        </w:rPr>
        <w:t>в рамках либо единой</w:t>
      </w:r>
      <w:r w:rsidR="001D1190" w:rsidRPr="001D098C">
        <w:rPr>
          <w:lang w:val="ru-RU"/>
        </w:rPr>
        <w:t>,</w:t>
      </w:r>
      <w:r w:rsidR="008A2B67" w:rsidRPr="001D098C">
        <w:rPr>
          <w:lang w:val="ru-RU"/>
        </w:rPr>
        <w:t xml:space="preserve"> либо иной политики</w:t>
      </w:r>
      <w:r w:rsidRPr="001D098C">
        <w:rPr>
          <w:lang w:val="ru-RU"/>
        </w:rPr>
        <w:t>).</w:t>
      </w:r>
    </w:p>
    <w:p w14:paraId="581F2BBE" w14:textId="549CD7BB" w:rsidR="00853A51" w:rsidRPr="001D098C" w:rsidRDefault="001D6206" w:rsidP="002144CE">
      <w:pPr>
        <w:jc w:val="both"/>
        <w:rPr>
          <w:lang w:val="ru-RU"/>
        </w:rPr>
      </w:pPr>
      <w:r w:rsidRPr="001D098C">
        <w:rPr>
          <w:lang w:val="ru-RU"/>
        </w:rPr>
        <w:t>В настоящей Рекомендации определ</w:t>
      </w:r>
      <w:r w:rsidR="008A2B67" w:rsidRPr="001D098C">
        <w:rPr>
          <w:lang w:val="ru-RU"/>
        </w:rPr>
        <w:t>ены</w:t>
      </w:r>
      <w:r w:rsidRPr="001D098C">
        <w:rPr>
          <w:lang w:val="ru-RU"/>
        </w:rPr>
        <w:t xml:space="preserve"> требования, которые должны применяться к базовым сетям и протоколам</w:t>
      </w:r>
      <w:r w:rsidR="008A2B67" w:rsidRPr="001D098C">
        <w:rPr>
          <w:lang w:val="ru-RU"/>
        </w:rPr>
        <w:t>,</w:t>
      </w:r>
      <w:r w:rsidRPr="001D098C">
        <w:rPr>
          <w:lang w:val="ru-RU"/>
        </w:rPr>
        <w:t xml:space="preserve"> для того чтобы обеспечить </w:t>
      </w:r>
      <w:r w:rsidR="008A2B67" w:rsidRPr="001D098C">
        <w:rPr>
          <w:lang w:val="ru-RU"/>
        </w:rPr>
        <w:t>надлежащую</w:t>
      </w:r>
      <w:r w:rsidRPr="001D098C">
        <w:rPr>
          <w:lang w:val="ru-RU"/>
        </w:rPr>
        <w:t xml:space="preserve"> реализацию </w:t>
      </w:r>
      <w:r w:rsidR="001D1190" w:rsidRPr="001D098C">
        <w:rPr>
          <w:lang w:val="ru-RU"/>
        </w:rPr>
        <w:t>службы</w:t>
      </w:r>
      <w:r w:rsidRPr="001D098C">
        <w:rPr>
          <w:lang w:val="ru-RU"/>
        </w:rPr>
        <w:t xml:space="preserve"> UPT. </w:t>
      </w:r>
      <w:r w:rsidR="008A2B67" w:rsidRPr="001D098C">
        <w:rPr>
          <w:lang w:val="ru-RU"/>
        </w:rPr>
        <w:t xml:space="preserve">В основном </w:t>
      </w:r>
      <w:r w:rsidRPr="001D098C">
        <w:rPr>
          <w:lang w:val="ru-RU"/>
        </w:rPr>
        <w:t>определ</w:t>
      </w:r>
      <w:r w:rsidR="008A2B67" w:rsidRPr="001D098C">
        <w:rPr>
          <w:lang w:val="ru-RU"/>
        </w:rPr>
        <w:t>ены</w:t>
      </w:r>
      <w:r w:rsidRPr="001D098C">
        <w:rPr>
          <w:lang w:val="ru-RU"/>
        </w:rPr>
        <w:t xml:space="preserve"> </w:t>
      </w:r>
      <w:r w:rsidR="004C4CDF" w:rsidRPr="001D098C">
        <w:rPr>
          <w:lang w:val="ru-RU"/>
        </w:rPr>
        <w:t>вопросы</w:t>
      </w:r>
      <w:r w:rsidR="008A2B67" w:rsidRPr="001D098C">
        <w:rPr>
          <w:lang w:val="ru-RU"/>
        </w:rPr>
        <w:t xml:space="preserve">, </w:t>
      </w:r>
      <w:r w:rsidR="004C4CDF" w:rsidRPr="001D098C">
        <w:rPr>
          <w:lang w:val="ru-RU"/>
        </w:rPr>
        <w:t>подлежащие</w:t>
      </w:r>
      <w:r w:rsidR="008A2B67" w:rsidRPr="001D098C">
        <w:rPr>
          <w:lang w:val="ru-RU"/>
        </w:rPr>
        <w:t xml:space="preserve"> разрешен</w:t>
      </w:r>
      <w:r w:rsidR="004C4CDF" w:rsidRPr="001D098C">
        <w:rPr>
          <w:lang w:val="ru-RU"/>
        </w:rPr>
        <w:t>ию</w:t>
      </w:r>
      <w:r w:rsidR="008A2B67" w:rsidRPr="001D098C">
        <w:rPr>
          <w:lang w:val="ru-RU"/>
        </w:rPr>
        <w:t xml:space="preserve"> для обеспечения </w:t>
      </w:r>
      <w:r w:rsidR="005C6F95" w:rsidRPr="001D098C">
        <w:rPr>
          <w:lang w:val="ru-RU"/>
        </w:rPr>
        <w:t>эффективного</w:t>
      </w:r>
      <w:r w:rsidR="008A2B67" w:rsidRPr="001D098C">
        <w:rPr>
          <w:lang w:val="ru-RU"/>
        </w:rPr>
        <w:t xml:space="preserve"> взаимодействия между </w:t>
      </w:r>
      <w:r w:rsidR="005B0D40" w:rsidRPr="001D098C">
        <w:rPr>
          <w:lang w:val="ru-RU"/>
        </w:rPr>
        <w:t>службами</w:t>
      </w:r>
      <w:r w:rsidR="008A2B67" w:rsidRPr="001D098C">
        <w:rPr>
          <w:lang w:val="ru-RU"/>
        </w:rPr>
        <w:t xml:space="preserve">, на которые подписан пользователь UPT, и </w:t>
      </w:r>
      <w:r w:rsidR="005B0D40" w:rsidRPr="001D098C">
        <w:rPr>
          <w:lang w:val="ru-RU"/>
        </w:rPr>
        <w:t>службами</w:t>
      </w:r>
      <w:r w:rsidR="008A2B67" w:rsidRPr="001D098C">
        <w:rPr>
          <w:lang w:val="ru-RU"/>
        </w:rPr>
        <w:t>,</w:t>
      </w:r>
      <w:r w:rsidR="00772E48" w:rsidRPr="001D098C">
        <w:rPr>
          <w:lang w:val="ru-RU"/>
        </w:rPr>
        <w:t xml:space="preserve"> которые</w:t>
      </w:r>
      <w:r w:rsidR="008A2B67" w:rsidRPr="001D098C">
        <w:rPr>
          <w:lang w:val="ru-RU"/>
        </w:rPr>
        <w:t xml:space="preserve"> </w:t>
      </w:r>
      <w:r w:rsidR="00772E48" w:rsidRPr="001D098C">
        <w:rPr>
          <w:lang w:val="ru-RU"/>
        </w:rPr>
        <w:t>закрепляются</w:t>
      </w:r>
      <w:r w:rsidR="008A2B67" w:rsidRPr="001D098C">
        <w:rPr>
          <w:lang w:val="ru-RU"/>
        </w:rPr>
        <w:t xml:space="preserve"> </w:t>
      </w:r>
      <w:r w:rsidR="00772E48" w:rsidRPr="001D098C">
        <w:rPr>
          <w:lang w:val="ru-RU"/>
        </w:rPr>
        <w:t xml:space="preserve">за </w:t>
      </w:r>
      <w:r w:rsidR="008A2B67" w:rsidRPr="001D098C">
        <w:rPr>
          <w:lang w:val="ru-RU"/>
        </w:rPr>
        <w:t>владельц</w:t>
      </w:r>
      <w:r w:rsidR="00772E48" w:rsidRPr="001D098C">
        <w:rPr>
          <w:lang w:val="ru-RU"/>
        </w:rPr>
        <w:t>ем</w:t>
      </w:r>
      <w:r w:rsidR="008A2B67" w:rsidRPr="001D098C">
        <w:rPr>
          <w:lang w:val="ru-RU"/>
        </w:rPr>
        <w:t xml:space="preserve"> линии при вызове </w:t>
      </w:r>
      <w:r w:rsidR="005B0D40" w:rsidRPr="001D098C">
        <w:rPr>
          <w:lang w:val="ru-RU"/>
        </w:rPr>
        <w:t>службы</w:t>
      </w:r>
      <w:r w:rsidR="008A2B67" w:rsidRPr="001D098C">
        <w:rPr>
          <w:lang w:val="ru-RU"/>
        </w:rPr>
        <w:t xml:space="preserve"> UPT</w:t>
      </w:r>
      <w:r w:rsidRPr="001D098C">
        <w:rPr>
          <w:lang w:val="ru-RU"/>
        </w:rPr>
        <w:t>.</w:t>
      </w:r>
    </w:p>
    <w:p w14:paraId="59A13B27" w14:textId="2C39D866" w:rsidR="006623C2" w:rsidRPr="001D098C" w:rsidRDefault="00772E48" w:rsidP="002144CE">
      <w:pPr>
        <w:jc w:val="both"/>
        <w:rPr>
          <w:lang w:val="ru-RU"/>
        </w:rPr>
      </w:pPr>
      <w:r w:rsidRPr="001D098C">
        <w:rPr>
          <w:lang w:val="ru-RU"/>
        </w:rPr>
        <w:t xml:space="preserve">В настоящей Рекомендации рассматриваются функциональные возможности набора </w:t>
      </w:r>
      <w:r w:rsidR="005B0D40" w:rsidRPr="001D098C">
        <w:rPr>
          <w:lang w:val="ru-RU"/>
        </w:rPr>
        <w:t>служб</w:t>
      </w:r>
      <w:r w:rsidR="001D1190" w:rsidRPr="001D098C">
        <w:rPr>
          <w:lang w:val="ru-RU"/>
        </w:rPr>
        <w:t xml:space="preserve"> 1 </w:t>
      </w:r>
      <w:r w:rsidRPr="001D098C">
        <w:rPr>
          <w:lang w:val="ru-RU"/>
        </w:rPr>
        <w:t>UPT, а</w:t>
      </w:r>
      <w:r w:rsidR="005C6F95" w:rsidRPr="001D098C">
        <w:rPr>
          <w:lang w:val="ru-RU"/>
        </w:rPr>
        <w:t> </w:t>
      </w:r>
      <w:r w:rsidRPr="001D098C">
        <w:rPr>
          <w:lang w:val="ru-RU"/>
        </w:rPr>
        <w:t>также CS-1 и CS-2 применительно к этапу 2.</w:t>
      </w:r>
    </w:p>
    <w:p w14:paraId="1967350E" w14:textId="4990E4BF" w:rsidR="006623C2" w:rsidRPr="001D098C" w:rsidRDefault="002C1908" w:rsidP="00E63A9D">
      <w:pPr>
        <w:pStyle w:val="Headingb"/>
        <w:spacing w:before="240"/>
        <w:rPr>
          <w:lang w:val="ru-RU"/>
        </w:rPr>
      </w:pPr>
      <w:r w:rsidRPr="001D098C">
        <w:rPr>
          <w:lang w:val="ru-RU"/>
        </w:rPr>
        <w:t xml:space="preserve">Рекомендация МСЭ-T </w:t>
      </w:r>
      <w:r w:rsidR="00853A51" w:rsidRPr="001D098C">
        <w:rPr>
          <w:bCs/>
          <w:lang w:val="ru-RU"/>
        </w:rPr>
        <w:t xml:space="preserve">Q.1531 </w:t>
      </w:r>
      <w:r w:rsidR="005B0D40" w:rsidRPr="001D098C">
        <w:rPr>
          <w:b w:val="0"/>
          <w:lang w:val="ru-RU"/>
        </w:rPr>
        <w:t>"</w:t>
      </w:r>
      <w:r w:rsidR="005B0D40" w:rsidRPr="001D098C">
        <w:rPr>
          <w:bCs/>
          <w:lang w:val="ru-RU"/>
        </w:rPr>
        <w:t xml:space="preserve">Требования безопасности </w:t>
      </w:r>
      <w:r w:rsidR="00853A51" w:rsidRPr="001D098C">
        <w:rPr>
          <w:bCs/>
          <w:lang w:val="ru-RU"/>
        </w:rPr>
        <w:t xml:space="preserve">UPT </w:t>
      </w:r>
      <w:r w:rsidR="005B0D40" w:rsidRPr="001D098C">
        <w:rPr>
          <w:bCs/>
          <w:lang w:val="ru-RU"/>
        </w:rPr>
        <w:t>для набора служб </w:t>
      </w:r>
      <w:r w:rsidR="00853A51" w:rsidRPr="001D098C">
        <w:rPr>
          <w:bCs/>
          <w:lang w:val="ru-RU"/>
        </w:rPr>
        <w:t>1</w:t>
      </w:r>
      <w:r w:rsidR="005B0D40" w:rsidRPr="001D098C">
        <w:rPr>
          <w:b w:val="0"/>
          <w:lang w:val="ru-RU"/>
        </w:rPr>
        <w:t>"</w:t>
      </w:r>
    </w:p>
    <w:p w14:paraId="276B08D8" w14:textId="6FE5EB5D" w:rsidR="006623C2" w:rsidRPr="001D098C" w:rsidRDefault="003B149F" w:rsidP="00B727F2">
      <w:pPr>
        <w:pStyle w:val="Headingb"/>
        <w:rPr>
          <w:lang w:val="ru-RU"/>
        </w:rPr>
      </w:pPr>
      <w:r w:rsidRPr="001D098C">
        <w:rPr>
          <w:lang w:val="ru-RU"/>
        </w:rPr>
        <w:t>Дата утверждения</w:t>
      </w:r>
      <w:r w:rsidR="006623C2" w:rsidRPr="001D098C">
        <w:rPr>
          <w:lang w:val="ru-RU"/>
        </w:rPr>
        <w:t>:</w:t>
      </w:r>
      <w:r w:rsidR="00320BC3" w:rsidRPr="001D098C">
        <w:rPr>
          <w:lang w:val="ru-RU"/>
        </w:rPr>
        <w:t xml:space="preserve"> </w:t>
      </w:r>
      <w:r w:rsidR="00853A51" w:rsidRPr="001D098C">
        <w:rPr>
          <w:lang w:val="ru-RU"/>
        </w:rPr>
        <w:t>июнь</w:t>
      </w:r>
      <w:r w:rsidR="006623C2" w:rsidRPr="001D098C">
        <w:rPr>
          <w:lang w:val="ru-RU"/>
        </w:rPr>
        <w:t xml:space="preserve"> 200</w:t>
      </w:r>
      <w:r w:rsidR="00853A51" w:rsidRPr="001D098C">
        <w:rPr>
          <w:lang w:val="ru-RU"/>
        </w:rPr>
        <w:t>0</w:t>
      </w:r>
      <w:r w:rsidR="002C1908" w:rsidRPr="001D098C">
        <w:rPr>
          <w:lang w:val="ru-RU"/>
        </w:rPr>
        <w:t> года</w:t>
      </w:r>
    </w:p>
    <w:p w14:paraId="503F0722" w14:textId="65219BE7" w:rsidR="006623C2" w:rsidRPr="001D098C" w:rsidRDefault="003E3A15" w:rsidP="00853A51">
      <w:pPr>
        <w:pStyle w:val="Headingb"/>
        <w:tabs>
          <w:tab w:val="clear" w:pos="2127"/>
          <w:tab w:val="clear" w:pos="2410"/>
          <w:tab w:val="clear" w:pos="2921"/>
          <w:tab w:val="clear" w:pos="3261"/>
          <w:tab w:val="left" w:pos="1440"/>
        </w:tabs>
        <w:rPr>
          <w:lang w:val="ru-RU"/>
        </w:rPr>
      </w:pPr>
      <w:r w:rsidRPr="001D098C">
        <w:rPr>
          <w:b w:val="0"/>
          <w:bCs/>
          <w:i/>
          <w:iCs/>
          <w:lang w:val="ru-RU"/>
        </w:rPr>
        <w:t>Сфера применения</w:t>
      </w:r>
    </w:p>
    <w:p w14:paraId="1D0173D4" w14:textId="4D925EB0" w:rsidR="006623C2" w:rsidRPr="001D098C" w:rsidRDefault="005B0D40" w:rsidP="002144CE">
      <w:pPr>
        <w:jc w:val="both"/>
        <w:rPr>
          <w:lang w:val="ru-RU"/>
        </w:rPr>
      </w:pPr>
      <w:r w:rsidRPr="001D098C">
        <w:rPr>
          <w:lang w:val="ru-RU"/>
        </w:rPr>
        <w:t>В настоящей Рекомендации МСЭ-Т описаны требования безопасности</w:t>
      </w:r>
      <w:r w:rsidR="00853A51" w:rsidRPr="001D098C">
        <w:rPr>
          <w:lang w:val="ru-RU"/>
        </w:rPr>
        <w:t xml:space="preserve"> UPT</w:t>
      </w:r>
      <w:r w:rsidRPr="001D098C">
        <w:rPr>
          <w:lang w:val="ru-RU"/>
        </w:rPr>
        <w:t xml:space="preserve"> как для связи между пользователем и сетью, так и для межсетевого </w:t>
      </w:r>
      <w:r w:rsidR="00871F45" w:rsidRPr="001D098C">
        <w:rPr>
          <w:lang w:val="ru-RU"/>
        </w:rPr>
        <w:t>взаимодействия</w:t>
      </w:r>
      <w:r w:rsidRPr="001D098C">
        <w:rPr>
          <w:lang w:val="ru-RU"/>
        </w:rPr>
        <w:t xml:space="preserve">, применимые к набору </w:t>
      </w:r>
      <w:r w:rsidR="00871F45" w:rsidRPr="001D098C">
        <w:rPr>
          <w:lang w:val="ru-RU"/>
        </w:rPr>
        <w:t>служб 1</w:t>
      </w:r>
      <w:r w:rsidRPr="001D098C">
        <w:rPr>
          <w:lang w:val="ru-RU"/>
        </w:rPr>
        <w:t xml:space="preserve"> UPT </w:t>
      </w:r>
      <w:r w:rsidR="00375DB9" w:rsidRPr="001D098C">
        <w:rPr>
          <w:lang w:val="ru-RU"/>
        </w:rPr>
        <w:t xml:space="preserve">согласно </w:t>
      </w:r>
      <w:r w:rsidRPr="001D098C">
        <w:rPr>
          <w:lang w:val="ru-RU"/>
        </w:rPr>
        <w:t>определен</w:t>
      </w:r>
      <w:r w:rsidR="00375DB9" w:rsidRPr="001D098C">
        <w:rPr>
          <w:lang w:val="ru-RU"/>
        </w:rPr>
        <w:t>ию</w:t>
      </w:r>
      <w:r w:rsidRPr="001D098C">
        <w:rPr>
          <w:lang w:val="ru-RU"/>
        </w:rPr>
        <w:t xml:space="preserve"> в Рекомендации F.851. </w:t>
      </w:r>
      <w:r w:rsidR="00871F45" w:rsidRPr="001D098C">
        <w:rPr>
          <w:lang w:val="ru-RU"/>
        </w:rPr>
        <w:t>Обычно существует два метода доступа пользовател</w:t>
      </w:r>
      <w:r w:rsidR="002429ED" w:rsidRPr="001D098C">
        <w:rPr>
          <w:lang w:val="ru-RU"/>
        </w:rPr>
        <w:t>я</w:t>
      </w:r>
      <w:r w:rsidR="00871F45" w:rsidRPr="001D098C">
        <w:rPr>
          <w:lang w:val="ru-RU"/>
        </w:rPr>
        <w:t xml:space="preserve"> к UPT. Один из них представляет собой внутриполосный доступ </w:t>
      </w:r>
      <w:r w:rsidR="00375DB9" w:rsidRPr="001D098C">
        <w:rPr>
          <w:lang w:val="ru-RU"/>
        </w:rPr>
        <w:t xml:space="preserve">пользователя </w:t>
      </w:r>
      <w:r w:rsidR="00871F45" w:rsidRPr="001D098C">
        <w:rPr>
          <w:lang w:val="ru-RU"/>
        </w:rPr>
        <w:t>на основе DTMF, другой</w:t>
      </w:r>
      <w:r w:rsidR="00375DB9" w:rsidRPr="001D098C">
        <w:rPr>
          <w:lang w:val="ru-RU"/>
        </w:rPr>
        <w:t> </w:t>
      </w:r>
      <w:r w:rsidR="00871F45" w:rsidRPr="001D098C">
        <w:rPr>
          <w:lang w:val="ru-RU"/>
        </w:rPr>
        <w:t>— внеполосный доступ пользовател</w:t>
      </w:r>
      <w:r w:rsidR="00375DB9" w:rsidRPr="001D098C">
        <w:rPr>
          <w:lang w:val="ru-RU"/>
        </w:rPr>
        <w:t>я, например сигнализация на основе</w:t>
      </w:r>
      <w:r w:rsidR="00853A51" w:rsidRPr="001D098C">
        <w:rPr>
          <w:lang w:val="ru-RU"/>
        </w:rPr>
        <w:t xml:space="preserve"> DSS1. </w:t>
      </w:r>
      <w:r w:rsidR="005C6F95" w:rsidRPr="001D098C">
        <w:rPr>
          <w:lang w:val="ru-RU"/>
        </w:rPr>
        <w:t>Рассматриваемые</w:t>
      </w:r>
      <w:r w:rsidR="00375DB9" w:rsidRPr="001D098C">
        <w:rPr>
          <w:lang w:val="ru-RU"/>
        </w:rPr>
        <w:t xml:space="preserve"> требования зависят от использования указанных методов</w:t>
      </w:r>
      <w:r w:rsidR="00853A51" w:rsidRPr="001D098C">
        <w:rPr>
          <w:lang w:val="ru-RU"/>
        </w:rPr>
        <w:t xml:space="preserve">. Настоящая Рекомендация охватывает все аспекты безопасности </w:t>
      </w:r>
      <w:r w:rsidR="00375DB9" w:rsidRPr="001D098C">
        <w:rPr>
          <w:lang w:val="ru-RU"/>
        </w:rPr>
        <w:t>UPT</w:t>
      </w:r>
      <w:r w:rsidR="00853A51" w:rsidRPr="001D098C">
        <w:rPr>
          <w:lang w:val="ru-RU"/>
        </w:rPr>
        <w:t xml:space="preserve"> с использованием доступ</w:t>
      </w:r>
      <w:r w:rsidR="00375DB9" w:rsidRPr="001D098C">
        <w:rPr>
          <w:lang w:val="ru-RU"/>
        </w:rPr>
        <w:t>а на основе</w:t>
      </w:r>
      <w:r w:rsidR="00853A51" w:rsidRPr="001D098C">
        <w:rPr>
          <w:lang w:val="ru-RU"/>
        </w:rPr>
        <w:t xml:space="preserve"> DTMF и </w:t>
      </w:r>
      <w:r w:rsidR="00375DB9" w:rsidRPr="001D098C">
        <w:rPr>
          <w:lang w:val="ru-RU"/>
        </w:rPr>
        <w:t xml:space="preserve">внеполосного доступа </w:t>
      </w:r>
      <w:r w:rsidR="00853A51" w:rsidRPr="001D098C">
        <w:rPr>
          <w:lang w:val="ru-RU"/>
        </w:rPr>
        <w:t>на основе DSS1.</w:t>
      </w:r>
    </w:p>
    <w:p w14:paraId="5BC542A3" w14:textId="3BBDC9E4" w:rsidR="006623C2" w:rsidRPr="001D098C" w:rsidRDefault="002C1908" w:rsidP="002144CE">
      <w:pPr>
        <w:pStyle w:val="Headingb"/>
        <w:spacing w:before="240"/>
        <w:jc w:val="both"/>
        <w:rPr>
          <w:lang w:val="ru-RU"/>
        </w:rPr>
      </w:pPr>
      <w:r w:rsidRPr="001D098C">
        <w:rPr>
          <w:lang w:val="ru-RU"/>
        </w:rPr>
        <w:lastRenderedPageBreak/>
        <w:t xml:space="preserve">Рекомендация МСЭ-T </w:t>
      </w:r>
      <w:r w:rsidR="00853A51" w:rsidRPr="001D098C">
        <w:rPr>
          <w:bCs/>
          <w:lang w:val="ru-RU"/>
        </w:rPr>
        <w:t xml:space="preserve">Q.1541 </w:t>
      </w:r>
      <w:r w:rsidR="005527E7" w:rsidRPr="001D098C">
        <w:rPr>
          <w:b w:val="0"/>
          <w:lang w:val="ru-RU"/>
        </w:rPr>
        <w:t>"</w:t>
      </w:r>
      <w:r w:rsidR="00557C09" w:rsidRPr="001D098C">
        <w:rPr>
          <w:bCs/>
          <w:lang w:val="ru-RU"/>
        </w:rPr>
        <w:t xml:space="preserve">Этап 2 </w:t>
      </w:r>
      <w:r w:rsidR="00853A51" w:rsidRPr="001D098C">
        <w:rPr>
          <w:bCs/>
          <w:lang w:val="ru-RU"/>
        </w:rPr>
        <w:t xml:space="preserve">UPT </w:t>
      </w:r>
      <w:r w:rsidR="00557C09" w:rsidRPr="001D098C">
        <w:rPr>
          <w:bCs/>
          <w:lang w:val="ru-RU"/>
        </w:rPr>
        <w:t>для набора служб 1 в</w:t>
      </w:r>
      <w:r w:rsidR="00853A51" w:rsidRPr="001D098C">
        <w:rPr>
          <w:bCs/>
          <w:lang w:val="ru-RU"/>
        </w:rPr>
        <w:t xml:space="preserve"> IN CS-1 – </w:t>
      </w:r>
      <w:r w:rsidR="00557C09" w:rsidRPr="001D098C">
        <w:rPr>
          <w:bCs/>
          <w:lang w:val="ru-RU"/>
        </w:rPr>
        <w:t>Процедуры универсальной персональной электросвязи</w:t>
      </w:r>
      <w:r w:rsidR="00853A51" w:rsidRPr="001D098C">
        <w:rPr>
          <w:bCs/>
          <w:lang w:val="ru-RU"/>
        </w:rPr>
        <w:t xml:space="preserve">: </w:t>
      </w:r>
      <w:r w:rsidR="008B01F5" w:rsidRPr="001D098C">
        <w:rPr>
          <w:bCs/>
          <w:lang w:val="ru-RU"/>
        </w:rPr>
        <w:t>функциональное моделирование и информационные потоки</w:t>
      </w:r>
      <w:r w:rsidR="008B01F5" w:rsidRPr="001D098C">
        <w:rPr>
          <w:b w:val="0"/>
          <w:lang w:val="ru-RU"/>
        </w:rPr>
        <w:t>"</w:t>
      </w:r>
    </w:p>
    <w:p w14:paraId="399A5104" w14:textId="3957D5F1" w:rsidR="006623C2" w:rsidRPr="001D098C" w:rsidRDefault="003B149F" w:rsidP="00B727F2">
      <w:pPr>
        <w:pStyle w:val="Headingb"/>
        <w:rPr>
          <w:lang w:val="ru-RU"/>
        </w:rPr>
      </w:pPr>
      <w:r w:rsidRPr="001D098C">
        <w:rPr>
          <w:lang w:val="ru-RU"/>
        </w:rPr>
        <w:t>Дата утверждения</w:t>
      </w:r>
      <w:r w:rsidR="006623C2" w:rsidRPr="001D098C">
        <w:rPr>
          <w:lang w:val="ru-RU"/>
        </w:rPr>
        <w:t>:</w:t>
      </w:r>
      <w:r w:rsidR="00320BC3" w:rsidRPr="001D098C">
        <w:rPr>
          <w:lang w:val="ru-RU"/>
        </w:rPr>
        <w:t xml:space="preserve"> </w:t>
      </w:r>
      <w:r w:rsidR="00853A51" w:rsidRPr="001D098C">
        <w:rPr>
          <w:lang w:val="ru-RU"/>
        </w:rPr>
        <w:t>май</w:t>
      </w:r>
      <w:r w:rsidR="006623C2" w:rsidRPr="001D098C">
        <w:rPr>
          <w:lang w:val="ru-RU"/>
        </w:rPr>
        <w:t xml:space="preserve"> 199</w:t>
      </w:r>
      <w:r w:rsidR="00853A51" w:rsidRPr="001D098C">
        <w:rPr>
          <w:lang w:val="ru-RU"/>
        </w:rPr>
        <w:t>8</w:t>
      </w:r>
      <w:r w:rsidR="002C1908" w:rsidRPr="001D098C">
        <w:rPr>
          <w:lang w:val="ru-RU"/>
        </w:rPr>
        <w:t> года</w:t>
      </w:r>
    </w:p>
    <w:p w14:paraId="7022CC35" w14:textId="66286384" w:rsidR="006623C2" w:rsidRPr="001D098C" w:rsidRDefault="003E3A15" w:rsidP="00320BC3">
      <w:pPr>
        <w:pStyle w:val="Headingb"/>
        <w:rPr>
          <w:lang w:val="ru-RU"/>
        </w:rPr>
      </w:pPr>
      <w:r w:rsidRPr="001D098C">
        <w:rPr>
          <w:b w:val="0"/>
          <w:bCs/>
          <w:i/>
          <w:iCs/>
          <w:lang w:val="ru-RU"/>
        </w:rPr>
        <w:t>Сфера применения</w:t>
      </w:r>
    </w:p>
    <w:p w14:paraId="2839167F" w14:textId="3D1E1AA6" w:rsidR="003E3A15" w:rsidRPr="001D098C" w:rsidRDefault="003E3A15" w:rsidP="002144CE">
      <w:pPr>
        <w:jc w:val="both"/>
        <w:rPr>
          <w:lang w:val="ru-RU"/>
        </w:rPr>
      </w:pPr>
      <w:r w:rsidRPr="001D098C">
        <w:rPr>
          <w:lang w:val="ru-RU"/>
        </w:rPr>
        <w:t xml:space="preserve">В настоящей Рекомендации определен "Набор возможностей 1" интеллектуальной сети (IN CS-1), соответствующий этапу 2 описания универсальной персональной электросвязи (UPT). Это не является </w:t>
      </w:r>
      <w:r w:rsidR="00A80E0E" w:rsidRPr="001D098C">
        <w:rPr>
          <w:lang w:val="ru-RU"/>
        </w:rPr>
        <w:t xml:space="preserve">в каком бы то ни было аспекте </w:t>
      </w:r>
      <w:r w:rsidRPr="001D098C">
        <w:rPr>
          <w:lang w:val="ru-RU"/>
        </w:rPr>
        <w:t xml:space="preserve">описанием </w:t>
      </w:r>
      <w:r w:rsidR="00A80E0E" w:rsidRPr="001D098C">
        <w:rPr>
          <w:lang w:val="ru-RU"/>
        </w:rPr>
        <w:t xml:space="preserve">на основе </w:t>
      </w:r>
      <w:r w:rsidRPr="001D098C">
        <w:rPr>
          <w:lang w:val="ru-RU"/>
        </w:rPr>
        <w:t xml:space="preserve">реализации или технологии. </w:t>
      </w:r>
      <w:r w:rsidR="005937CF" w:rsidRPr="001D098C">
        <w:rPr>
          <w:lang w:val="ru-RU"/>
        </w:rPr>
        <w:t>В н</w:t>
      </w:r>
      <w:r w:rsidR="00A80E0E" w:rsidRPr="001D098C">
        <w:rPr>
          <w:lang w:val="ru-RU"/>
        </w:rPr>
        <w:t>астоящ</w:t>
      </w:r>
      <w:r w:rsidR="005937CF" w:rsidRPr="001D098C">
        <w:rPr>
          <w:lang w:val="ru-RU"/>
        </w:rPr>
        <w:t>ей</w:t>
      </w:r>
      <w:r w:rsidR="00A80E0E" w:rsidRPr="001D098C">
        <w:rPr>
          <w:lang w:val="ru-RU"/>
        </w:rPr>
        <w:t xml:space="preserve"> Рекомендаци</w:t>
      </w:r>
      <w:r w:rsidR="005937CF" w:rsidRPr="001D098C">
        <w:rPr>
          <w:lang w:val="ru-RU"/>
        </w:rPr>
        <w:t>и</w:t>
      </w:r>
      <w:r w:rsidRPr="001D098C">
        <w:rPr>
          <w:lang w:val="ru-RU"/>
        </w:rPr>
        <w:t xml:space="preserve"> определ</w:t>
      </w:r>
      <w:r w:rsidR="005937CF" w:rsidRPr="001D098C">
        <w:rPr>
          <w:lang w:val="ru-RU"/>
        </w:rPr>
        <w:t>ены</w:t>
      </w:r>
      <w:r w:rsidRPr="001D098C">
        <w:rPr>
          <w:lang w:val="ru-RU"/>
        </w:rPr>
        <w:t xml:space="preserve"> функциональные возможности и информационные потоки, необходимые для поддержки </w:t>
      </w:r>
      <w:r w:rsidR="00A80E0E" w:rsidRPr="001D098C">
        <w:rPr>
          <w:lang w:val="ru-RU"/>
        </w:rPr>
        <w:t>служб</w:t>
      </w:r>
      <w:r w:rsidR="00A64AF5" w:rsidRPr="001D098C">
        <w:rPr>
          <w:lang w:val="ru-RU"/>
        </w:rPr>
        <w:t>ы</w:t>
      </w:r>
      <w:r w:rsidRPr="001D098C">
        <w:rPr>
          <w:lang w:val="ru-RU"/>
        </w:rPr>
        <w:t xml:space="preserve"> набора </w:t>
      </w:r>
      <w:r w:rsidR="00A80E0E" w:rsidRPr="001D098C">
        <w:rPr>
          <w:lang w:val="ru-RU"/>
        </w:rPr>
        <w:t>служб 1</w:t>
      </w:r>
      <w:r w:rsidRPr="001D098C">
        <w:rPr>
          <w:lang w:val="ru-RU"/>
        </w:rPr>
        <w:t xml:space="preserve"> UPT </w:t>
      </w:r>
      <w:r w:rsidR="00A80E0E" w:rsidRPr="001D098C">
        <w:rPr>
          <w:lang w:val="ru-RU"/>
        </w:rPr>
        <w:t>в</w:t>
      </w:r>
      <w:r w:rsidRPr="001D098C">
        <w:rPr>
          <w:lang w:val="ru-RU"/>
        </w:rPr>
        <w:t xml:space="preserve"> IN</w:t>
      </w:r>
      <w:r w:rsidR="00A80E0E" w:rsidRPr="001D098C">
        <w:rPr>
          <w:lang w:val="ru-RU"/>
        </w:rPr>
        <w:t> </w:t>
      </w:r>
      <w:r w:rsidRPr="001D098C">
        <w:rPr>
          <w:lang w:val="ru-RU"/>
        </w:rPr>
        <w:t xml:space="preserve">CS-1, начальной фазы внедрения UPT, как определено в Рекомендациях F.850 и F.851. </w:t>
      </w:r>
      <w:r w:rsidR="00A80E0E" w:rsidRPr="001D098C">
        <w:rPr>
          <w:lang w:val="ru-RU"/>
        </w:rPr>
        <w:t xml:space="preserve">В </w:t>
      </w:r>
      <w:r w:rsidRPr="001D098C">
        <w:rPr>
          <w:lang w:val="ru-RU"/>
        </w:rPr>
        <w:t>Рекомендаци</w:t>
      </w:r>
      <w:r w:rsidR="00A80E0E" w:rsidRPr="001D098C">
        <w:rPr>
          <w:lang w:val="ru-RU"/>
        </w:rPr>
        <w:t>и</w:t>
      </w:r>
      <w:r w:rsidRPr="001D098C">
        <w:rPr>
          <w:lang w:val="ru-RU"/>
        </w:rPr>
        <w:t xml:space="preserve"> F.851 функциональные возможности </w:t>
      </w:r>
      <w:r w:rsidR="00A80E0E" w:rsidRPr="001D098C">
        <w:rPr>
          <w:lang w:val="ru-RU"/>
        </w:rPr>
        <w:t xml:space="preserve">подразделяются </w:t>
      </w:r>
      <w:r w:rsidRPr="001D098C">
        <w:rPr>
          <w:lang w:val="ru-RU"/>
        </w:rPr>
        <w:t xml:space="preserve">на основные и дополнительные. Не все функции Рекомендации F.851 могут поддерживаться существующими сетями. </w:t>
      </w:r>
      <w:r w:rsidR="00A80E0E" w:rsidRPr="001D098C">
        <w:rPr>
          <w:lang w:val="ru-RU"/>
        </w:rPr>
        <w:t>В н</w:t>
      </w:r>
      <w:r w:rsidRPr="001D098C">
        <w:rPr>
          <w:lang w:val="ru-RU"/>
        </w:rPr>
        <w:t>астоящ</w:t>
      </w:r>
      <w:r w:rsidR="00A80E0E" w:rsidRPr="001D098C">
        <w:rPr>
          <w:lang w:val="ru-RU"/>
        </w:rPr>
        <w:t>ую</w:t>
      </w:r>
      <w:r w:rsidRPr="001D098C">
        <w:rPr>
          <w:lang w:val="ru-RU"/>
        </w:rPr>
        <w:t xml:space="preserve"> Рекомендация включ</w:t>
      </w:r>
      <w:r w:rsidR="00A95ACF" w:rsidRPr="001D098C">
        <w:rPr>
          <w:lang w:val="ru-RU"/>
        </w:rPr>
        <w:t>ены</w:t>
      </w:r>
      <w:r w:rsidRPr="001D098C">
        <w:rPr>
          <w:lang w:val="ru-RU"/>
        </w:rPr>
        <w:t xml:space="preserve"> только те </w:t>
      </w:r>
      <w:r w:rsidR="00A95ACF" w:rsidRPr="001D098C">
        <w:rPr>
          <w:lang w:val="ru-RU"/>
        </w:rPr>
        <w:t>функциональные возможности служб</w:t>
      </w:r>
      <w:r w:rsidRPr="001D098C">
        <w:rPr>
          <w:lang w:val="ru-RU"/>
        </w:rPr>
        <w:t xml:space="preserve">, которые достижимы с помощью </w:t>
      </w:r>
      <w:r w:rsidR="00A95ACF" w:rsidRPr="001D098C">
        <w:rPr>
          <w:lang w:val="ru-RU"/>
        </w:rPr>
        <w:t>действующих</w:t>
      </w:r>
      <w:r w:rsidRPr="001D098C">
        <w:rPr>
          <w:lang w:val="ru-RU"/>
        </w:rPr>
        <w:t xml:space="preserve"> Рекомендаций МСЭ-Т по сигнализации. Сети,</w:t>
      </w:r>
      <w:r w:rsidR="00A95ACF" w:rsidRPr="001D098C">
        <w:rPr>
          <w:lang w:val="ru-RU"/>
        </w:rPr>
        <w:t xml:space="preserve"> </w:t>
      </w:r>
      <w:r w:rsidRPr="001D098C">
        <w:rPr>
          <w:lang w:val="ru-RU"/>
        </w:rPr>
        <w:t>не поддерживаю</w:t>
      </w:r>
      <w:r w:rsidR="005C6F95" w:rsidRPr="001D098C">
        <w:rPr>
          <w:lang w:val="ru-RU"/>
        </w:rPr>
        <w:t>щие</w:t>
      </w:r>
      <w:r w:rsidRPr="001D098C">
        <w:rPr>
          <w:lang w:val="ru-RU"/>
        </w:rPr>
        <w:t xml:space="preserve"> существующие Рекомендации МСЭ-Т по сигнализации, </w:t>
      </w:r>
      <w:r w:rsidR="00A95ACF" w:rsidRPr="001D098C">
        <w:rPr>
          <w:lang w:val="ru-RU"/>
        </w:rPr>
        <w:t>не с</w:t>
      </w:r>
      <w:r w:rsidRPr="001D098C">
        <w:rPr>
          <w:lang w:val="ru-RU"/>
        </w:rPr>
        <w:t>могут обеспечить все функци</w:t>
      </w:r>
      <w:r w:rsidR="00A95ACF" w:rsidRPr="001D098C">
        <w:rPr>
          <w:lang w:val="ru-RU"/>
        </w:rPr>
        <w:t>ональные возможности</w:t>
      </w:r>
      <w:r w:rsidRPr="001D098C">
        <w:rPr>
          <w:lang w:val="ru-RU"/>
        </w:rPr>
        <w:t>, описанные в настоящей Рекомендации.</w:t>
      </w:r>
    </w:p>
    <w:p w14:paraId="7091D742" w14:textId="18C03A82" w:rsidR="00853A51" w:rsidRPr="001D098C" w:rsidRDefault="0039544E" w:rsidP="002144CE">
      <w:pPr>
        <w:jc w:val="both"/>
        <w:rPr>
          <w:lang w:val="ru-RU"/>
        </w:rPr>
      </w:pPr>
      <w:r w:rsidRPr="001D098C">
        <w:rPr>
          <w:lang w:val="ru-RU"/>
        </w:rPr>
        <w:t xml:space="preserve">Все процедуры </w:t>
      </w:r>
      <w:r w:rsidR="00853A51" w:rsidRPr="001D098C">
        <w:rPr>
          <w:lang w:val="ru-RU"/>
        </w:rPr>
        <w:t>UPT</w:t>
      </w:r>
      <w:r w:rsidRPr="001D098C">
        <w:rPr>
          <w:lang w:val="ru-RU"/>
        </w:rPr>
        <w:t xml:space="preserve">, описанные в настоящей Рекомендации, связаны с вызовом, как этого требуют возможности IN CS-1, и </w:t>
      </w:r>
      <w:r w:rsidR="005C6F95" w:rsidRPr="001D098C">
        <w:rPr>
          <w:lang w:val="ru-RU"/>
        </w:rPr>
        <w:t>задействуются</w:t>
      </w:r>
      <w:r w:rsidRPr="001D098C">
        <w:rPr>
          <w:lang w:val="ru-RU"/>
        </w:rPr>
        <w:t xml:space="preserve"> при прерывании обработки вызова.</w:t>
      </w:r>
      <w:r w:rsidR="00853A51" w:rsidRPr="001D098C">
        <w:rPr>
          <w:lang w:val="ru-RU"/>
        </w:rPr>
        <w:t xml:space="preserve"> </w:t>
      </w:r>
    </w:p>
    <w:p w14:paraId="25FBF3F1" w14:textId="224A48E3" w:rsidR="00853A51" w:rsidRPr="001D098C" w:rsidRDefault="0039544E" w:rsidP="002144CE">
      <w:pPr>
        <w:jc w:val="both"/>
        <w:rPr>
          <w:lang w:val="ru-RU"/>
        </w:rPr>
      </w:pPr>
      <w:r w:rsidRPr="001D098C">
        <w:rPr>
          <w:lang w:val="ru-RU"/>
        </w:rPr>
        <w:t>В настоящей Рекомендации рассматриваются только те отношения, которые связаны с выполнением услуги </w:t>
      </w:r>
      <w:r w:rsidR="00853A51" w:rsidRPr="001D098C">
        <w:rPr>
          <w:lang w:val="ru-RU"/>
        </w:rPr>
        <w:t>IN.</w:t>
      </w:r>
    </w:p>
    <w:p w14:paraId="4DCA2CDB" w14:textId="75FD22CA" w:rsidR="00853A51" w:rsidRPr="001D098C" w:rsidRDefault="0039544E" w:rsidP="002144CE">
      <w:pPr>
        <w:jc w:val="both"/>
        <w:rPr>
          <w:lang w:val="ru-RU"/>
        </w:rPr>
      </w:pPr>
      <w:r w:rsidRPr="001D098C">
        <w:rPr>
          <w:lang w:val="ru-RU"/>
        </w:rPr>
        <w:t>В настоящей Рекомендации не рассматрива</w:t>
      </w:r>
      <w:r w:rsidR="00EA043F" w:rsidRPr="001D098C">
        <w:rPr>
          <w:lang w:val="ru-RU"/>
        </w:rPr>
        <w:t>ю</w:t>
      </w:r>
      <w:r w:rsidRPr="001D098C">
        <w:rPr>
          <w:lang w:val="ru-RU"/>
        </w:rPr>
        <w:t xml:space="preserve">тся </w:t>
      </w:r>
      <w:r w:rsidR="00EA043F" w:rsidRPr="001D098C">
        <w:rPr>
          <w:lang w:val="ru-RU"/>
        </w:rPr>
        <w:t>отношения</w:t>
      </w:r>
      <w:r w:rsidRPr="001D098C">
        <w:rPr>
          <w:lang w:val="ru-RU"/>
        </w:rPr>
        <w:t xml:space="preserve"> между </w:t>
      </w:r>
      <w:r w:rsidR="00EA043F" w:rsidRPr="001D098C">
        <w:rPr>
          <w:lang w:val="ru-RU"/>
        </w:rPr>
        <w:t>службой</w:t>
      </w:r>
      <w:r w:rsidRPr="001D098C">
        <w:rPr>
          <w:lang w:val="ru-RU"/>
        </w:rPr>
        <w:t xml:space="preserve"> UPT и базовым вызовом. Эт</w:t>
      </w:r>
      <w:r w:rsidR="00EA043F" w:rsidRPr="001D098C">
        <w:rPr>
          <w:lang w:val="ru-RU"/>
        </w:rPr>
        <w:t>и отношения</w:t>
      </w:r>
      <w:r w:rsidRPr="001D098C">
        <w:rPr>
          <w:lang w:val="ru-RU"/>
        </w:rPr>
        <w:t xml:space="preserve"> предписан</w:t>
      </w:r>
      <w:r w:rsidR="00EA043F" w:rsidRPr="001D098C">
        <w:rPr>
          <w:lang w:val="ru-RU"/>
        </w:rPr>
        <w:t>ы</w:t>
      </w:r>
      <w:r w:rsidRPr="001D098C">
        <w:rPr>
          <w:lang w:val="ru-RU"/>
        </w:rPr>
        <w:t xml:space="preserve"> для услуг IN CS-1 и описан</w:t>
      </w:r>
      <w:r w:rsidR="00EA043F" w:rsidRPr="001D098C">
        <w:rPr>
          <w:lang w:val="ru-RU"/>
        </w:rPr>
        <w:t>ы</w:t>
      </w:r>
      <w:r w:rsidRPr="001D098C">
        <w:rPr>
          <w:lang w:val="ru-RU"/>
        </w:rPr>
        <w:t xml:space="preserve"> в Рекомендации Q.1214. Следует отметить, что определения CCAF и CCF основаны на соответствующих определениях ISDN Q.71, но </w:t>
      </w:r>
      <w:r w:rsidR="00EA043F" w:rsidRPr="001D098C">
        <w:rPr>
          <w:lang w:val="ru-RU"/>
        </w:rPr>
        <w:t xml:space="preserve">были </w:t>
      </w:r>
      <w:r w:rsidRPr="001D098C">
        <w:rPr>
          <w:lang w:val="ru-RU"/>
        </w:rPr>
        <w:t>изменены для использования в IN. В частности, усовершенствованная модель состояни</w:t>
      </w:r>
      <w:r w:rsidR="00EA043F" w:rsidRPr="001D098C">
        <w:rPr>
          <w:lang w:val="ru-RU"/>
        </w:rPr>
        <w:t>й</w:t>
      </w:r>
      <w:r w:rsidRPr="001D098C">
        <w:rPr>
          <w:lang w:val="ru-RU"/>
        </w:rPr>
        <w:t xml:space="preserve"> </w:t>
      </w:r>
      <w:r w:rsidR="00EA043F" w:rsidRPr="001D098C">
        <w:rPr>
          <w:lang w:val="ru-RU"/>
        </w:rPr>
        <w:t xml:space="preserve">базового </w:t>
      </w:r>
      <w:r w:rsidRPr="001D098C">
        <w:rPr>
          <w:lang w:val="ru-RU"/>
        </w:rPr>
        <w:t xml:space="preserve">вызова IN определяет стандартные точки обнаружения (DP), в которых могут </w:t>
      </w:r>
      <w:r w:rsidR="00EA043F" w:rsidRPr="001D098C">
        <w:rPr>
          <w:lang w:val="ru-RU"/>
        </w:rPr>
        <w:t xml:space="preserve">быть </w:t>
      </w:r>
      <w:r w:rsidRPr="001D098C">
        <w:rPr>
          <w:lang w:val="ru-RU"/>
        </w:rPr>
        <w:t>вызва</w:t>
      </w:r>
      <w:r w:rsidR="00EA043F" w:rsidRPr="001D098C">
        <w:rPr>
          <w:lang w:val="ru-RU"/>
        </w:rPr>
        <w:t>ны</w:t>
      </w:r>
      <w:r w:rsidRPr="001D098C">
        <w:rPr>
          <w:lang w:val="ru-RU"/>
        </w:rPr>
        <w:t xml:space="preserve"> экземпляры логики функции услуги IN. Эти DP соответствуют </w:t>
      </w:r>
      <w:r w:rsidR="00C3322E" w:rsidRPr="001D098C">
        <w:rPr>
          <w:lang w:val="ru-RU"/>
        </w:rPr>
        <w:t>"</w:t>
      </w:r>
      <w:r w:rsidR="00C328FD" w:rsidRPr="001D098C">
        <w:rPr>
          <w:lang w:val="ru-RU"/>
        </w:rPr>
        <w:t>обработчикам</w:t>
      </w:r>
      <w:r w:rsidR="00C3322E" w:rsidRPr="001D098C">
        <w:rPr>
          <w:lang w:val="ru-RU"/>
        </w:rPr>
        <w:t>"</w:t>
      </w:r>
      <w:r w:rsidRPr="001D098C">
        <w:rPr>
          <w:lang w:val="ru-RU"/>
        </w:rPr>
        <w:t xml:space="preserve"> Q.71, где дополнительная услуга ISDN взаимодействует с моделью </w:t>
      </w:r>
      <w:r w:rsidR="00BA3D74" w:rsidRPr="001D098C">
        <w:rPr>
          <w:lang w:val="ru-RU"/>
        </w:rPr>
        <w:t xml:space="preserve">базового </w:t>
      </w:r>
      <w:r w:rsidRPr="001D098C">
        <w:rPr>
          <w:lang w:val="ru-RU"/>
        </w:rPr>
        <w:t xml:space="preserve">вызова Q.71. Моделирование вызова и функциональный объект SSF/CCF подробно описаны в пунктах 3/Q.1214 и 4/Q.1214. В CS-1 функциональный объект SSF/CCF </w:t>
      </w:r>
      <w:r w:rsidR="00C328FD" w:rsidRPr="001D098C">
        <w:rPr>
          <w:lang w:val="ru-RU"/>
        </w:rPr>
        <w:t>рассматривается как единое целое</w:t>
      </w:r>
      <w:r w:rsidRPr="001D098C">
        <w:rPr>
          <w:lang w:val="ru-RU"/>
        </w:rPr>
        <w:t xml:space="preserve">, т. е. интерфейс между CCF и SSF </w:t>
      </w:r>
      <w:r w:rsidR="00FC6CE3" w:rsidRPr="001D098C">
        <w:rPr>
          <w:lang w:val="ru-RU"/>
        </w:rPr>
        <w:t xml:space="preserve">не подлежит стандартизации в рамках </w:t>
      </w:r>
      <w:r w:rsidRPr="001D098C">
        <w:rPr>
          <w:lang w:val="ru-RU"/>
        </w:rPr>
        <w:t>CS-1.</w:t>
      </w:r>
    </w:p>
    <w:p w14:paraId="7CBF911C" w14:textId="485A206A" w:rsidR="00252821" w:rsidRPr="001D098C" w:rsidRDefault="00252821" w:rsidP="002144CE">
      <w:pPr>
        <w:jc w:val="both"/>
        <w:rPr>
          <w:lang w:val="ru-RU"/>
        </w:rPr>
      </w:pPr>
      <w:r w:rsidRPr="001D098C">
        <w:rPr>
          <w:lang w:val="ru-RU"/>
        </w:rPr>
        <w:t xml:space="preserve">Процедуры, функциональные объекты и информационные потоки, описанные в настоящей Рекомендации, относятся к предоставлению услуг </w:t>
      </w:r>
      <w:r w:rsidR="003D4B2E" w:rsidRPr="001D098C">
        <w:rPr>
          <w:lang w:val="ru-RU"/>
        </w:rPr>
        <w:t>через</w:t>
      </w:r>
      <w:r w:rsidRPr="001D098C">
        <w:rPr>
          <w:lang w:val="ru-RU"/>
        </w:rPr>
        <w:t xml:space="preserve"> нескольк</w:t>
      </w:r>
      <w:r w:rsidR="003D4B2E" w:rsidRPr="001D098C">
        <w:rPr>
          <w:lang w:val="ru-RU"/>
        </w:rPr>
        <w:t>о</w:t>
      </w:r>
      <w:r w:rsidRPr="001D098C">
        <w:rPr>
          <w:lang w:val="ru-RU"/>
        </w:rPr>
        <w:t xml:space="preserve"> сет</w:t>
      </w:r>
      <w:r w:rsidR="003D4B2E" w:rsidRPr="001D098C">
        <w:rPr>
          <w:lang w:val="ru-RU"/>
        </w:rPr>
        <w:t>ей</w:t>
      </w:r>
      <w:r w:rsidRPr="001D098C">
        <w:rPr>
          <w:lang w:val="ru-RU"/>
        </w:rPr>
        <w:t xml:space="preserve"> на уровне возможностей интеллектуальной сети CS-1 путем разрешения доступа к базе данных домашнего поставщика услуг пользователя UPT </w:t>
      </w:r>
      <w:r w:rsidR="00CB6913" w:rsidRPr="001D098C">
        <w:rPr>
          <w:lang w:val="ru-RU"/>
        </w:rPr>
        <w:t xml:space="preserve">из исходной сети </w:t>
      </w:r>
      <w:r w:rsidRPr="001D098C">
        <w:rPr>
          <w:lang w:val="ru-RU"/>
        </w:rPr>
        <w:t>через границу сети. В настоящей Рекомендации предполагается, что пользователь UPT является посетителем в исходной сети и</w:t>
      </w:r>
      <w:r w:rsidR="003D4B2E" w:rsidRPr="001D098C">
        <w:rPr>
          <w:lang w:val="ru-RU"/>
        </w:rPr>
        <w:t xml:space="preserve"> что</w:t>
      </w:r>
      <w:r w:rsidRPr="001D098C">
        <w:rPr>
          <w:lang w:val="ru-RU"/>
        </w:rPr>
        <w:t xml:space="preserve"> передача профиля службы UPT из </w:t>
      </w:r>
      <w:r w:rsidR="00931437" w:rsidRPr="001D098C">
        <w:rPr>
          <w:lang w:val="ru-RU"/>
        </w:rPr>
        <w:t xml:space="preserve">базы данных </w:t>
      </w:r>
      <w:r w:rsidRPr="001D098C">
        <w:rPr>
          <w:lang w:val="ru-RU"/>
        </w:rPr>
        <w:t xml:space="preserve">домашней </w:t>
      </w:r>
      <w:r w:rsidR="00931437" w:rsidRPr="001D098C">
        <w:rPr>
          <w:lang w:val="ru-RU"/>
        </w:rPr>
        <w:t xml:space="preserve">сети </w:t>
      </w:r>
      <w:r w:rsidRPr="001D098C">
        <w:rPr>
          <w:lang w:val="ru-RU"/>
        </w:rPr>
        <w:t xml:space="preserve">пользователя UPT в </w:t>
      </w:r>
      <w:r w:rsidR="00931437" w:rsidRPr="001D098C">
        <w:rPr>
          <w:lang w:val="ru-RU"/>
        </w:rPr>
        <w:t xml:space="preserve">базу данных </w:t>
      </w:r>
      <w:r w:rsidRPr="001D098C">
        <w:rPr>
          <w:lang w:val="ru-RU"/>
        </w:rPr>
        <w:t>исходн</w:t>
      </w:r>
      <w:r w:rsidR="00931437" w:rsidRPr="001D098C">
        <w:rPr>
          <w:lang w:val="ru-RU"/>
        </w:rPr>
        <w:t>ой</w:t>
      </w:r>
      <w:r w:rsidRPr="001D098C">
        <w:rPr>
          <w:lang w:val="ru-RU"/>
        </w:rPr>
        <w:t xml:space="preserve"> сет</w:t>
      </w:r>
      <w:r w:rsidR="00931437" w:rsidRPr="001D098C">
        <w:rPr>
          <w:lang w:val="ru-RU"/>
        </w:rPr>
        <w:t>и не обеспечивается</w:t>
      </w:r>
      <w:r w:rsidRPr="001D098C">
        <w:rPr>
          <w:lang w:val="ru-RU"/>
        </w:rPr>
        <w:t xml:space="preserve">. Все взаимодействия с </w:t>
      </w:r>
      <w:proofErr w:type="spellStart"/>
      <w:r w:rsidRPr="001D098C">
        <w:rPr>
          <w:lang w:val="ru-RU"/>
        </w:rPr>
        <w:t>SDFh</w:t>
      </w:r>
      <w:proofErr w:type="spellEnd"/>
      <w:r w:rsidRPr="001D098C">
        <w:rPr>
          <w:lang w:val="ru-RU"/>
        </w:rPr>
        <w:t xml:space="preserve"> контролируются функцией SCF в исходной сети в соответствии с </w:t>
      </w:r>
      <w:r w:rsidR="0012266B" w:rsidRPr="001D098C">
        <w:rPr>
          <w:lang w:val="ru-RU"/>
        </w:rPr>
        <w:t>установленными правилами</w:t>
      </w:r>
      <w:r w:rsidRPr="001D098C">
        <w:rPr>
          <w:lang w:val="ru-RU"/>
        </w:rPr>
        <w:t xml:space="preserve"> CS-1.</w:t>
      </w:r>
    </w:p>
    <w:p w14:paraId="7BE0CAD0" w14:textId="088029DD" w:rsidR="0012266B" w:rsidRPr="001D098C" w:rsidRDefault="0012266B" w:rsidP="002144CE">
      <w:pPr>
        <w:jc w:val="both"/>
        <w:rPr>
          <w:lang w:val="ru-RU"/>
        </w:rPr>
      </w:pPr>
      <w:r w:rsidRPr="001D098C">
        <w:rPr>
          <w:lang w:val="ru-RU"/>
        </w:rPr>
        <w:t>ПРИМЕЧАНИЕ. – Формат настоящей Рекомендации не полностью соответствует унифицированной функциональной методике Рекомендации Q.65. Это связано с тем, что Рекомендация Q.1551 для соответствующего этапа</w:t>
      </w:r>
      <w:r w:rsidR="002366C8" w:rsidRPr="001D098C">
        <w:rPr>
          <w:lang w:val="ru-RU"/>
        </w:rPr>
        <w:t> </w:t>
      </w:r>
      <w:r w:rsidRPr="001D098C">
        <w:rPr>
          <w:lang w:val="ru-RU"/>
        </w:rPr>
        <w:t xml:space="preserve">3 была завершена и опубликована до завершения деятельности по данному этапу 2. Диаграммы SDL включены в Рекомендацию Q.1551. Действия функциональных объектов (FEA) не рассматривались </w:t>
      </w:r>
      <w:r w:rsidR="002366C8" w:rsidRPr="001D098C">
        <w:rPr>
          <w:lang w:val="ru-RU"/>
        </w:rPr>
        <w:t>в качестве существенной</w:t>
      </w:r>
      <w:r w:rsidRPr="001D098C">
        <w:rPr>
          <w:lang w:val="ru-RU"/>
        </w:rPr>
        <w:t xml:space="preserve"> </w:t>
      </w:r>
      <w:r w:rsidR="002366C8" w:rsidRPr="001D098C">
        <w:rPr>
          <w:lang w:val="ru-RU"/>
        </w:rPr>
        <w:t>проблемы</w:t>
      </w:r>
      <w:r w:rsidRPr="001D098C">
        <w:rPr>
          <w:lang w:val="ru-RU"/>
        </w:rPr>
        <w:t>.</w:t>
      </w:r>
    </w:p>
    <w:p w14:paraId="79D17ACE" w14:textId="124005F7" w:rsidR="0012266B" w:rsidRPr="001D098C" w:rsidRDefault="002366C8" w:rsidP="002144CE">
      <w:pPr>
        <w:jc w:val="both"/>
        <w:rPr>
          <w:lang w:val="ru-RU"/>
        </w:rPr>
      </w:pPr>
      <w:r w:rsidRPr="001D098C">
        <w:rPr>
          <w:lang w:val="ru-RU"/>
        </w:rPr>
        <w:t>М</w:t>
      </w:r>
      <w:r w:rsidR="0012266B" w:rsidRPr="001D098C">
        <w:rPr>
          <w:lang w:val="ru-RU"/>
        </w:rPr>
        <w:t xml:space="preserve">ежду </w:t>
      </w:r>
      <w:r w:rsidR="00CB6913" w:rsidRPr="001D098C">
        <w:rPr>
          <w:lang w:val="ru-RU"/>
        </w:rPr>
        <w:t>настоящей</w:t>
      </w:r>
      <w:r w:rsidR="0012266B" w:rsidRPr="001D098C">
        <w:rPr>
          <w:lang w:val="ru-RU"/>
        </w:rPr>
        <w:t xml:space="preserve"> Рекомендацией и набором </w:t>
      </w:r>
      <w:r w:rsidRPr="001D098C">
        <w:rPr>
          <w:lang w:val="ru-RU"/>
        </w:rPr>
        <w:t>служб </w:t>
      </w:r>
      <w:r w:rsidR="0012266B" w:rsidRPr="001D098C">
        <w:rPr>
          <w:lang w:val="ru-RU"/>
        </w:rPr>
        <w:t xml:space="preserve">1 </w:t>
      </w:r>
      <w:r w:rsidR="00CB6913" w:rsidRPr="001D098C">
        <w:rPr>
          <w:lang w:val="ru-RU"/>
        </w:rPr>
        <w:t>UPT</w:t>
      </w:r>
      <w:r w:rsidR="0012266B" w:rsidRPr="001D098C">
        <w:rPr>
          <w:lang w:val="ru-RU"/>
        </w:rPr>
        <w:t xml:space="preserve">, определенным в Рекомендации F.851, </w:t>
      </w:r>
      <w:r w:rsidRPr="001D098C">
        <w:rPr>
          <w:lang w:val="ru-RU"/>
        </w:rPr>
        <w:t xml:space="preserve">существуют </w:t>
      </w:r>
      <w:r w:rsidR="0012266B" w:rsidRPr="001D098C">
        <w:rPr>
          <w:lang w:val="ru-RU"/>
        </w:rPr>
        <w:t>следующ</w:t>
      </w:r>
      <w:r w:rsidRPr="001D098C">
        <w:rPr>
          <w:lang w:val="ru-RU"/>
        </w:rPr>
        <w:t>ие отношения</w:t>
      </w:r>
      <w:r w:rsidR="0012266B" w:rsidRPr="001D098C">
        <w:rPr>
          <w:lang w:val="ru-RU"/>
        </w:rPr>
        <w:t>:</w:t>
      </w:r>
    </w:p>
    <w:p w14:paraId="74612ABE" w14:textId="167AE162" w:rsidR="0012266B" w:rsidRPr="001D098C" w:rsidRDefault="002366C8" w:rsidP="002144CE">
      <w:pPr>
        <w:pStyle w:val="enumlev1"/>
        <w:rPr>
          <w:lang w:val="ru-RU"/>
        </w:rPr>
      </w:pPr>
      <w:r w:rsidRPr="001D098C">
        <w:rPr>
          <w:lang w:val="ru-RU"/>
        </w:rPr>
        <w:t>–</w:t>
      </w:r>
      <w:r w:rsidR="002144CE" w:rsidRPr="001D098C">
        <w:rPr>
          <w:lang w:val="ru-RU"/>
        </w:rPr>
        <w:tab/>
      </w:r>
      <w:r w:rsidR="0012266B" w:rsidRPr="001D098C">
        <w:rPr>
          <w:lang w:val="ru-RU"/>
        </w:rPr>
        <w:t xml:space="preserve">предоставляемая </w:t>
      </w:r>
      <w:r w:rsidR="0033145D" w:rsidRPr="001D098C">
        <w:rPr>
          <w:lang w:val="ru-RU"/>
        </w:rPr>
        <w:t>служба</w:t>
      </w:r>
      <w:r w:rsidR="0012266B" w:rsidRPr="001D098C">
        <w:rPr>
          <w:lang w:val="ru-RU"/>
        </w:rPr>
        <w:t xml:space="preserve"> </w:t>
      </w:r>
      <w:r w:rsidRPr="001D098C">
        <w:rPr>
          <w:lang w:val="ru-RU"/>
        </w:rPr>
        <w:t>–</w:t>
      </w:r>
      <w:r w:rsidR="0012266B" w:rsidRPr="001D098C">
        <w:rPr>
          <w:lang w:val="ru-RU"/>
        </w:rPr>
        <w:t xml:space="preserve"> </w:t>
      </w:r>
      <w:r w:rsidRPr="001D098C">
        <w:rPr>
          <w:lang w:val="ru-RU"/>
        </w:rPr>
        <w:t>т</w:t>
      </w:r>
      <w:r w:rsidR="0012266B" w:rsidRPr="001D098C">
        <w:rPr>
          <w:lang w:val="ru-RU"/>
        </w:rPr>
        <w:t>елефония (т.</w:t>
      </w:r>
      <w:r w:rsidR="00FB54DF" w:rsidRPr="001D098C">
        <w:rPr>
          <w:lang w:val="ru-RU"/>
        </w:rPr>
        <w:t> </w:t>
      </w:r>
      <w:r w:rsidR="0012266B" w:rsidRPr="001D098C">
        <w:rPr>
          <w:lang w:val="ru-RU"/>
        </w:rPr>
        <w:t xml:space="preserve">е. </w:t>
      </w:r>
      <w:r w:rsidR="00FB54DF" w:rsidRPr="001D098C">
        <w:rPr>
          <w:lang w:val="ru-RU"/>
        </w:rPr>
        <w:t>канал речевой</w:t>
      </w:r>
      <w:r w:rsidR="0012266B" w:rsidRPr="001D098C">
        <w:rPr>
          <w:lang w:val="ru-RU"/>
        </w:rPr>
        <w:t xml:space="preserve"> связ</w:t>
      </w:r>
      <w:r w:rsidR="00FB54DF" w:rsidRPr="001D098C">
        <w:rPr>
          <w:lang w:val="ru-RU"/>
        </w:rPr>
        <w:t>и</w:t>
      </w:r>
      <w:r w:rsidR="0012266B" w:rsidRPr="001D098C">
        <w:rPr>
          <w:lang w:val="ru-RU"/>
        </w:rPr>
        <w:t>);</w:t>
      </w:r>
    </w:p>
    <w:p w14:paraId="4EB1A93E" w14:textId="41DC55FB" w:rsidR="0012266B" w:rsidRPr="001D098C" w:rsidRDefault="002366C8" w:rsidP="002144CE">
      <w:pPr>
        <w:pStyle w:val="enumlev1"/>
        <w:rPr>
          <w:lang w:val="ru-RU"/>
        </w:rPr>
      </w:pPr>
      <w:r w:rsidRPr="001D098C">
        <w:rPr>
          <w:lang w:val="ru-RU"/>
        </w:rPr>
        <w:t>–</w:t>
      </w:r>
      <w:r w:rsidR="002144CE" w:rsidRPr="001D098C">
        <w:rPr>
          <w:lang w:val="ru-RU"/>
        </w:rPr>
        <w:tab/>
      </w:r>
      <w:r w:rsidRPr="001D098C">
        <w:rPr>
          <w:lang w:val="ru-RU"/>
        </w:rPr>
        <w:t>задействованные</w:t>
      </w:r>
      <w:r w:rsidR="0012266B" w:rsidRPr="001D098C">
        <w:rPr>
          <w:lang w:val="ru-RU"/>
        </w:rPr>
        <w:t xml:space="preserve"> сети</w:t>
      </w:r>
      <w:r w:rsidRPr="001D098C">
        <w:rPr>
          <w:lang w:val="ru-RU"/>
        </w:rPr>
        <w:t> –</w:t>
      </w:r>
      <w:r w:rsidR="0012266B" w:rsidRPr="001D098C">
        <w:rPr>
          <w:lang w:val="ru-RU"/>
        </w:rPr>
        <w:t xml:space="preserve"> </w:t>
      </w:r>
      <w:r w:rsidRPr="001D098C">
        <w:rPr>
          <w:lang w:val="ru-RU"/>
        </w:rPr>
        <w:t>в</w:t>
      </w:r>
      <w:r w:rsidR="0012266B" w:rsidRPr="001D098C">
        <w:rPr>
          <w:lang w:val="ru-RU"/>
        </w:rPr>
        <w:t xml:space="preserve">се сети </w:t>
      </w:r>
      <w:r w:rsidR="00FB54DF" w:rsidRPr="001D098C">
        <w:rPr>
          <w:lang w:val="ru-RU"/>
        </w:rPr>
        <w:t xml:space="preserve">передачи речи </w:t>
      </w:r>
      <w:r w:rsidR="0012266B" w:rsidRPr="001D098C">
        <w:rPr>
          <w:lang w:val="ru-RU"/>
        </w:rPr>
        <w:t xml:space="preserve">(например, </w:t>
      </w:r>
      <w:r w:rsidRPr="001D098C">
        <w:rPr>
          <w:lang w:val="ru-RU"/>
        </w:rPr>
        <w:t>КТСОП</w:t>
      </w:r>
      <w:r w:rsidR="0012266B" w:rsidRPr="001D098C">
        <w:rPr>
          <w:lang w:val="ru-RU"/>
        </w:rPr>
        <w:t xml:space="preserve">, </w:t>
      </w:r>
      <w:r w:rsidRPr="001D098C">
        <w:rPr>
          <w:lang w:val="ru-RU"/>
        </w:rPr>
        <w:t>ЦСИС</w:t>
      </w:r>
      <w:r w:rsidR="0012266B" w:rsidRPr="001D098C">
        <w:rPr>
          <w:lang w:val="ru-RU"/>
        </w:rPr>
        <w:t xml:space="preserve">, </w:t>
      </w:r>
      <w:r w:rsidRPr="001D098C">
        <w:rPr>
          <w:lang w:val="ru-RU"/>
        </w:rPr>
        <w:t>PLMN</w:t>
      </w:r>
      <w:r w:rsidR="0012266B" w:rsidRPr="001D098C">
        <w:rPr>
          <w:lang w:val="ru-RU"/>
        </w:rPr>
        <w:t>).</w:t>
      </w:r>
    </w:p>
    <w:p w14:paraId="3408FE78" w14:textId="34E05EBE" w:rsidR="006623C2" w:rsidRPr="001D098C" w:rsidRDefault="002C1908" w:rsidP="002144CE">
      <w:pPr>
        <w:pStyle w:val="Headingb"/>
        <w:spacing w:before="240"/>
        <w:jc w:val="both"/>
        <w:rPr>
          <w:lang w:val="ru-RU"/>
        </w:rPr>
      </w:pPr>
      <w:r w:rsidRPr="001D098C">
        <w:rPr>
          <w:lang w:val="ru-RU"/>
        </w:rPr>
        <w:lastRenderedPageBreak/>
        <w:t xml:space="preserve">Рекомендация МСЭ-T </w:t>
      </w:r>
      <w:r w:rsidR="00C03C54" w:rsidRPr="001D098C">
        <w:rPr>
          <w:bCs/>
          <w:lang w:val="ru-RU"/>
        </w:rPr>
        <w:t xml:space="preserve">Q.1542 </w:t>
      </w:r>
      <w:r w:rsidR="0033145D" w:rsidRPr="001D098C">
        <w:rPr>
          <w:b w:val="0"/>
          <w:lang w:val="ru-RU"/>
        </w:rPr>
        <w:t>"</w:t>
      </w:r>
      <w:r w:rsidR="0033145D" w:rsidRPr="001D098C">
        <w:rPr>
          <w:bCs/>
          <w:lang w:val="ru-RU"/>
        </w:rPr>
        <w:t xml:space="preserve">Этап 2 </w:t>
      </w:r>
      <w:r w:rsidR="00C03C54" w:rsidRPr="001D098C">
        <w:rPr>
          <w:bCs/>
          <w:lang w:val="ru-RU"/>
        </w:rPr>
        <w:t xml:space="preserve">UPT </w:t>
      </w:r>
      <w:r w:rsidR="0033145D" w:rsidRPr="001D098C">
        <w:rPr>
          <w:bCs/>
          <w:lang w:val="ru-RU"/>
        </w:rPr>
        <w:t>для набора служб </w:t>
      </w:r>
      <w:r w:rsidR="00C03C54" w:rsidRPr="001D098C">
        <w:rPr>
          <w:bCs/>
          <w:lang w:val="ru-RU"/>
        </w:rPr>
        <w:t xml:space="preserve">1 </w:t>
      </w:r>
      <w:r w:rsidR="0033145D" w:rsidRPr="001D098C">
        <w:rPr>
          <w:bCs/>
          <w:lang w:val="ru-RU"/>
        </w:rPr>
        <w:t>в</w:t>
      </w:r>
      <w:r w:rsidR="00C03C54" w:rsidRPr="001D098C">
        <w:rPr>
          <w:bCs/>
          <w:lang w:val="ru-RU"/>
        </w:rPr>
        <w:t xml:space="preserve"> IN CS-2 – </w:t>
      </w:r>
      <w:r w:rsidR="0033145D" w:rsidRPr="001D098C">
        <w:rPr>
          <w:bCs/>
          <w:lang w:val="ru-RU"/>
        </w:rPr>
        <w:t>Процедуры универсальной персональной электросвязи: функциональное моделирование и информационные потоки</w:t>
      </w:r>
      <w:r w:rsidR="0033145D" w:rsidRPr="001D098C">
        <w:rPr>
          <w:b w:val="0"/>
          <w:lang w:val="ru-RU"/>
        </w:rPr>
        <w:t>"</w:t>
      </w:r>
    </w:p>
    <w:p w14:paraId="58170CE5" w14:textId="06CAC25A" w:rsidR="006623C2" w:rsidRPr="001D098C" w:rsidRDefault="003B149F" w:rsidP="00B727F2">
      <w:pPr>
        <w:pStyle w:val="Headingb"/>
        <w:rPr>
          <w:lang w:val="ru-RU"/>
        </w:rPr>
      </w:pPr>
      <w:r w:rsidRPr="001D098C">
        <w:rPr>
          <w:lang w:val="ru-RU"/>
        </w:rPr>
        <w:t>Дата утверждения</w:t>
      </w:r>
      <w:r w:rsidR="006623C2" w:rsidRPr="001D098C">
        <w:rPr>
          <w:lang w:val="ru-RU"/>
        </w:rPr>
        <w:t>:</w:t>
      </w:r>
      <w:r w:rsidR="00320BC3" w:rsidRPr="001D098C">
        <w:rPr>
          <w:lang w:val="ru-RU"/>
        </w:rPr>
        <w:t xml:space="preserve"> </w:t>
      </w:r>
      <w:r w:rsidR="00C03C54" w:rsidRPr="001D098C">
        <w:rPr>
          <w:lang w:val="ru-RU"/>
        </w:rPr>
        <w:t>июнь</w:t>
      </w:r>
      <w:r w:rsidR="006623C2" w:rsidRPr="001D098C">
        <w:rPr>
          <w:lang w:val="ru-RU"/>
        </w:rPr>
        <w:t xml:space="preserve"> </w:t>
      </w:r>
      <w:r w:rsidR="00C03C54" w:rsidRPr="001D098C">
        <w:rPr>
          <w:lang w:val="ru-RU"/>
        </w:rPr>
        <w:t>2000</w:t>
      </w:r>
      <w:r w:rsidR="002C1908" w:rsidRPr="001D098C">
        <w:rPr>
          <w:lang w:val="ru-RU"/>
        </w:rPr>
        <w:t> года</w:t>
      </w:r>
    </w:p>
    <w:p w14:paraId="07569C17" w14:textId="348CD4D4" w:rsidR="006623C2" w:rsidRPr="001D098C" w:rsidRDefault="003E3A15" w:rsidP="00320BC3">
      <w:pPr>
        <w:pStyle w:val="Headingb"/>
        <w:rPr>
          <w:lang w:val="ru-RU"/>
        </w:rPr>
      </w:pPr>
      <w:r w:rsidRPr="001D098C">
        <w:rPr>
          <w:b w:val="0"/>
          <w:bCs/>
          <w:i/>
          <w:iCs/>
          <w:lang w:val="ru-RU"/>
        </w:rPr>
        <w:t>Сфера применения</w:t>
      </w:r>
    </w:p>
    <w:p w14:paraId="2D41A6EA" w14:textId="2F6ECD9C" w:rsidR="00C03C54" w:rsidRPr="001D098C" w:rsidRDefault="00103382" w:rsidP="002144CE">
      <w:pPr>
        <w:jc w:val="both"/>
        <w:rPr>
          <w:lang w:val="ru-RU"/>
        </w:rPr>
      </w:pPr>
      <w:r w:rsidRPr="001D098C">
        <w:rPr>
          <w:lang w:val="ru-RU"/>
        </w:rPr>
        <w:t xml:space="preserve">В настоящей Рекомендации определен "Набор возможностей 2" интеллектуальной сети (IN CS-2), соответствующий этапу 2 описания универсальной персональной электросвязи (UPT). Это не является в каком бы то ни было аспекте описанием на основе реализации или технологии. </w:t>
      </w:r>
      <w:r w:rsidR="00A64AF5" w:rsidRPr="001D098C">
        <w:rPr>
          <w:lang w:val="ru-RU"/>
        </w:rPr>
        <w:t xml:space="preserve">В настоящей Рекомендации определены функциональные возможности и информационные потоки, необходимые для поддержки службы набора служб 1 UPT в </w:t>
      </w:r>
      <w:r w:rsidR="00C03C54" w:rsidRPr="001D098C">
        <w:rPr>
          <w:lang w:val="ru-RU"/>
        </w:rPr>
        <w:t>IN</w:t>
      </w:r>
      <w:r w:rsidR="00A64AF5" w:rsidRPr="001D098C">
        <w:rPr>
          <w:lang w:val="ru-RU"/>
        </w:rPr>
        <w:t> </w:t>
      </w:r>
      <w:r w:rsidR="00C03C54" w:rsidRPr="001D098C">
        <w:rPr>
          <w:lang w:val="ru-RU"/>
        </w:rPr>
        <w:t xml:space="preserve">CS-2, </w:t>
      </w:r>
      <w:r w:rsidR="00A64AF5" w:rsidRPr="001D098C">
        <w:rPr>
          <w:lang w:val="ru-RU"/>
        </w:rPr>
        <w:t>как определено в Рекомендациях F.850 и F.851. В Рекомендации F.851 функциональные возможности подразделяются на основные и дополнительные.</w:t>
      </w:r>
      <w:r w:rsidR="00C03C54" w:rsidRPr="001D098C">
        <w:rPr>
          <w:lang w:val="ru-RU"/>
        </w:rPr>
        <w:t xml:space="preserve"> </w:t>
      </w:r>
      <w:r w:rsidR="00A64AF5" w:rsidRPr="001D098C">
        <w:rPr>
          <w:lang w:val="ru-RU"/>
        </w:rPr>
        <w:t>В настоящую Рекомендация включены только те функциональные возможности служб, которые достижимы с помощью действующих Рекомендаций МСЭ-Т по сигнализации. Сети, не поддерживаю</w:t>
      </w:r>
      <w:r w:rsidR="00282B1B" w:rsidRPr="001D098C">
        <w:rPr>
          <w:lang w:val="ru-RU"/>
        </w:rPr>
        <w:t>щие</w:t>
      </w:r>
      <w:r w:rsidR="00A64AF5" w:rsidRPr="001D098C">
        <w:rPr>
          <w:lang w:val="ru-RU"/>
        </w:rPr>
        <w:t xml:space="preserve"> существующие Рекомендации МСЭ-Т по сигнализации, не смогут обеспечить все функциональные возможности, описанные в настоящей Рекомендации, которые охватывают сет</w:t>
      </w:r>
      <w:r w:rsidR="0031223D" w:rsidRPr="001D098C">
        <w:rPr>
          <w:lang w:val="ru-RU"/>
        </w:rPr>
        <w:t>и</w:t>
      </w:r>
      <w:r w:rsidR="00A64AF5" w:rsidRPr="001D098C">
        <w:rPr>
          <w:lang w:val="ru-RU"/>
        </w:rPr>
        <w:t xml:space="preserve"> с поддержкой</w:t>
      </w:r>
      <w:r w:rsidR="00C03C54" w:rsidRPr="001D098C">
        <w:rPr>
          <w:lang w:val="ru-RU"/>
        </w:rPr>
        <w:t xml:space="preserve"> UPT (</w:t>
      </w:r>
      <w:r w:rsidR="00A64AF5" w:rsidRPr="001D098C">
        <w:rPr>
          <w:lang w:val="ru-RU"/>
        </w:rPr>
        <w:t xml:space="preserve">способных обрабатывать вызовы и процедуры </w:t>
      </w:r>
      <w:r w:rsidR="00C03C54" w:rsidRPr="001D098C">
        <w:rPr>
          <w:lang w:val="ru-RU"/>
        </w:rPr>
        <w:t>UPT).</w:t>
      </w:r>
    </w:p>
    <w:p w14:paraId="4AAD3759" w14:textId="48D2A473" w:rsidR="00C03C54" w:rsidRPr="001D098C" w:rsidRDefault="005937CF" w:rsidP="002144CE">
      <w:pPr>
        <w:jc w:val="both"/>
        <w:rPr>
          <w:lang w:val="ru-RU"/>
        </w:rPr>
      </w:pPr>
      <w:r w:rsidRPr="001D098C">
        <w:rPr>
          <w:lang w:val="ru-RU"/>
        </w:rPr>
        <w:t>В настоящей Рекомендации рассматриваются только те отношения, которые связаны с выполнением услуг IN.</w:t>
      </w:r>
    </w:p>
    <w:p w14:paraId="72313116" w14:textId="0CC785F5" w:rsidR="00C03C54" w:rsidRPr="001D098C" w:rsidRDefault="00CB6913" w:rsidP="002144CE">
      <w:pPr>
        <w:jc w:val="both"/>
        <w:rPr>
          <w:lang w:val="ru-RU"/>
        </w:rPr>
      </w:pPr>
      <w:r w:rsidRPr="001D098C">
        <w:rPr>
          <w:lang w:val="ru-RU"/>
        </w:rPr>
        <w:t xml:space="preserve">Процедуры, функциональные объекты и информационные потоки, описанные в настоящей Рекомендации, относятся к предоставлению услуг через несколько сетей на уровне возможностей интеллектуальной сети </w:t>
      </w:r>
      <w:r w:rsidR="00C03C54" w:rsidRPr="001D098C">
        <w:rPr>
          <w:lang w:val="ru-RU"/>
        </w:rPr>
        <w:t xml:space="preserve">CS-2 </w:t>
      </w:r>
      <w:r w:rsidRPr="001D098C">
        <w:rPr>
          <w:lang w:val="ru-RU"/>
        </w:rPr>
        <w:t>путем разрешения доступа к базе данных/сети домашнего поставщика услуг пользователя UPT из исходной сети через границу</w:t>
      </w:r>
      <w:r w:rsidR="00C03C54" w:rsidRPr="001D098C">
        <w:rPr>
          <w:lang w:val="ru-RU"/>
        </w:rPr>
        <w:t xml:space="preserve">. </w:t>
      </w:r>
      <w:r w:rsidRPr="001D098C">
        <w:rPr>
          <w:lang w:val="ru-RU"/>
        </w:rPr>
        <w:t>В настоящей Рекомендации предполагается, что пользователь UPT является посетителем в исходной сети и что возможно обеспечить передачу профиля службы UPT из базы данных домашней сети пользователя UPT в базу данных исходной сети. Все взаимодействия соответствуют установленным правилам</w:t>
      </w:r>
      <w:r w:rsidR="00C03C54" w:rsidRPr="001D098C">
        <w:rPr>
          <w:lang w:val="ru-RU"/>
        </w:rPr>
        <w:t xml:space="preserve"> CS-2.</w:t>
      </w:r>
    </w:p>
    <w:p w14:paraId="64351E70" w14:textId="1D65310C" w:rsidR="00C03C54" w:rsidRPr="001D098C" w:rsidRDefault="001F1354" w:rsidP="002144CE">
      <w:pPr>
        <w:jc w:val="both"/>
        <w:rPr>
          <w:lang w:val="ru-RU"/>
        </w:rPr>
      </w:pPr>
      <w:r w:rsidRPr="001D098C">
        <w:rPr>
          <w:lang w:val="ru-RU"/>
        </w:rPr>
        <w:t xml:space="preserve">Для </w:t>
      </w:r>
      <w:r w:rsidR="00C47E4B" w:rsidRPr="001D098C">
        <w:rPr>
          <w:lang w:val="ru-RU"/>
        </w:rPr>
        <w:t xml:space="preserve">того чтобы обеспечить </w:t>
      </w:r>
      <w:r w:rsidRPr="001D098C">
        <w:rPr>
          <w:lang w:val="ru-RU"/>
        </w:rPr>
        <w:t>обратн</w:t>
      </w:r>
      <w:r w:rsidR="00C47E4B" w:rsidRPr="001D098C">
        <w:rPr>
          <w:lang w:val="ru-RU"/>
        </w:rPr>
        <w:t>ую</w:t>
      </w:r>
      <w:r w:rsidRPr="001D098C">
        <w:rPr>
          <w:lang w:val="ru-RU"/>
        </w:rPr>
        <w:t xml:space="preserve"> совместимост</w:t>
      </w:r>
      <w:r w:rsidR="00C47E4B" w:rsidRPr="001D098C">
        <w:rPr>
          <w:lang w:val="ru-RU"/>
        </w:rPr>
        <w:t xml:space="preserve">ь, </w:t>
      </w:r>
      <w:r w:rsidR="00282B1B" w:rsidRPr="001D098C">
        <w:rPr>
          <w:lang w:val="ru-RU"/>
        </w:rPr>
        <w:t xml:space="preserve">применимость </w:t>
      </w:r>
      <w:r w:rsidR="00C47E4B" w:rsidRPr="001D098C">
        <w:rPr>
          <w:lang w:val="ru-RU"/>
        </w:rPr>
        <w:t>описани</w:t>
      </w:r>
      <w:r w:rsidR="00282B1B" w:rsidRPr="001D098C">
        <w:rPr>
          <w:lang w:val="ru-RU"/>
        </w:rPr>
        <w:t>й</w:t>
      </w:r>
      <w:r w:rsidR="00C47E4B" w:rsidRPr="001D098C">
        <w:rPr>
          <w:lang w:val="ru-RU"/>
        </w:rPr>
        <w:t xml:space="preserve"> совместимы</w:t>
      </w:r>
      <w:r w:rsidR="00282B1B" w:rsidRPr="001D098C">
        <w:rPr>
          <w:lang w:val="ru-RU"/>
        </w:rPr>
        <w:t>х</w:t>
      </w:r>
      <w:r w:rsidR="00C47E4B" w:rsidRPr="001D098C">
        <w:rPr>
          <w:lang w:val="ru-RU"/>
        </w:rPr>
        <w:t xml:space="preserve"> с</w:t>
      </w:r>
      <w:r w:rsidR="00C03C54" w:rsidRPr="001D098C">
        <w:rPr>
          <w:lang w:val="ru-RU"/>
        </w:rPr>
        <w:t xml:space="preserve"> CS-1</w:t>
      </w:r>
      <w:r w:rsidR="00C47E4B" w:rsidRPr="001D098C">
        <w:rPr>
          <w:lang w:val="ru-RU"/>
        </w:rPr>
        <w:t>, которые предлагаются в Рекомендации МСЭ-Т</w:t>
      </w:r>
      <w:r w:rsidR="00C03C54" w:rsidRPr="001D098C">
        <w:rPr>
          <w:lang w:val="ru-RU"/>
        </w:rPr>
        <w:t xml:space="preserve"> Q.1541</w:t>
      </w:r>
      <w:r w:rsidR="00C47E4B" w:rsidRPr="001D098C">
        <w:rPr>
          <w:lang w:val="ru-RU"/>
        </w:rPr>
        <w:t>, сохраня</w:t>
      </w:r>
      <w:r w:rsidR="00282B1B" w:rsidRPr="001D098C">
        <w:rPr>
          <w:lang w:val="ru-RU"/>
        </w:rPr>
        <w:t>ется</w:t>
      </w:r>
      <w:r w:rsidR="00C47E4B" w:rsidRPr="001D098C">
        <w:rPr>
          <w:lang w:val="ru-RU"/>
        </w:rPr>
        <w:t xml:space="preserve"> в</w:t>
      </w:r>
      <w:r w:rsidR="00C03C54" w:rsidRPr="001D098C">
        <w:rPr>
          <w:lang w:val="ru-RU"/>
        </w:rPr>
        <w:t xml:space="preserve"> IN CS-2.</w:t>
      </w:r>
    </w:p>
    <w:p w14:paraId="64DD9BDB" w14:textId="26377BDD" w:rsidR="00C03C54" w:rsidRPr="001D098C" w:rsidRDefault="00CB6913" w:rsidP="002144CE">
      <w:pPr>
        <w:jc w:val="both"/>
        <w:rPr>
          <w:lang w:val="ru-RU"/>
        </w:rPr>
      </w:pPr>
      <w:r w:rsidRPr="001D098C">
        <w:rPr>
          <w:lang w:val="ru-RU"/>
        </w:rPr>
        <w:t>Между настоящей Рекомендацией и набором служб 1 UPT, определенным в Рекомендации F.851, существуют следующие отношения</w:t>
      </w:r>
      <w:r w:rsidR="00C03C54" w:rsidRPr="001D098C">
        <w:rPr>
          <w:lang w:val="ru-RU"/>
        </w:rPr>
        <w:t>:</w:t>
      </w:r>
    </w:p>
    <w:p w14:paraId="2EB4EC81" w14:textId="3CDB5ED8" w:rsidR="00CB6913" w:rsidRPr="001D098C" w:rsidRDefault="00CB6913" w:rsidP="002144CE">
      <w:pPr>
        <w:jc w:val="both"/>
        <w:rPr>
          <w:lang w:val="ru-RU"/>
        </w:rPr>
      </w:pPr>
      <w:r w:rsidRPr="001D098C">
        <w:rPr>
          <w:lang w:val="ru-RU"/>
        </w:rPr>
        <w:t>–</w:t>
      </w:r>
      <w:r w:rsidRPr="001D098C">
        <w:rPr>
          <w:lang w:val="ru-RU"/>
        </w:rPr>
        <w:tab/>
        <w:t>предоставляемая служба – телефония (т. е. канал речевой связи);</w:t>
      </w:r>
    </w:p>
    <w:p w14:paraId="384021A9" w14:textId="03B47A04" w:rsidR="00C03C54" w:rsidRPr="001D098C" w:rsidRDefault="00CB6913" w:rsidP="002144CE">
      <w:pPr>
        <w:pStyle w:val="enumlev1"/>
        <w:jc w:val="both"/>
        <w:rPr>
          <w:lang w:val="ru-RU"/>
        </w:rPr>
      </w:pPr>
      <w:r w:rsidRPr="001D098C">
        <w:rPr>
          <w:lang w:val="ru-RU"/>
        </w:rPr>
        <w:t>–</w:t>
      </w:r>
      <w:r w:rsidRPr="001D098C">
        <w:rPr>
          <w:lang w:val="ru-RU"/>
        </w:rPr>
        <w:tab/>
        <w:t xml:space="preserve">задействованные сети – все сети передачи речи (например, КТСОП, ЦСИС, </w:t>
      </w:r>
      <w:r w:rsidR="00C03C54" w:rsidRPr="001D098C">
        <w:rPr>
          <w:lang w:val="ru-RU"/>
        </w:rPr>
        <w:t xml:space="preserve">PLMN, </w:t>
      </w:r>
      <w:r w:rsidRPr="001D098C">
        <w:rPr>
          <w:lang w:val="ru-RU"/>
        </w:rPr>
        <w:t>включая</w:t>
      </w:r>
      <w:r w:rsidR="00C03C54" w:rsidRPr="001D098C">
        <w:rPr>
          <w:lang w:val="ru-RU"/>
        </w:rPr>
        <w:t xml:space="preserve"> IMT</w:t>
      </w:r>
      <w:r w:rsidR="002144CE" w:rsidRPr="001D098C">
        <w:rPr>
          <w:lang w:val="ru-RU"/>
        </w:rPr>
        <w:noBreakHyphen/>
      </w:r>
      <w:r w:rsidR="00C03C54" w:rsidRPr="001D098C">
        <w:rPr>
          <w:lang w:val="ru-RU"/>
        </w:rPr>
        <w:t>2000)</w:t>
      </w:r>
      <w:r w:rsidRPr="001D098C">
        <w:rPr>
          <w:lang w:val="ru-RU"/>
        </w:rPr>
        <w:t>;</w:t>
      </w:r>
    </w:p>
    <w:p w14:paraId="0F58328E" w14:textId="30F35F29" w:rsidR="00C03C54" w:rsidRPr="001D098C" w:rsidRDefault="002144CE" w:rsidP="002144CE">
      <w:pPr>
        <w:pStyle w:val="enumlev1"/>
        <w:jc w:val="both"/>
        <w:rPr>
          <w:lang w:val="ru-RU"/>
        </w:rPr>
      </w:pPr>
      <w:r w:rsidRPr="001D098C">
        <w:rPr>
          <w:lang w:val="ru-RU"/>
        </w:rPr>
        <w:t>−</w:t>
      </w:r>
      <w:r w:rsidR="00C03C54" w:rsidRPr="001D098C">
        <w:rPr>
          <w:lang w:val="ru-RU"/>
        </w:rPr>
        <w:tab/>
      </w:r>
      <w:r w:rsidR="00CB6913" w:rsidRPr="001D098C">
        <w:rPr>
          <w:lang w:val="ru-RU"/>
        </w:rPr>
        <w:t>нумерация </w:t>
      </w:r>
      <w:r w:rsidR="00C03C54" w:rsidRPr="001D098C">
        <w:rPr>
          <w:lang w:val="ru-RU"/>
        </w:rPr>
        <w:t xml:space="preserve">– </w:t>
      </w:r>
      <w:r w:rsidR="00CB6913" w:rsidRPr="001D098C">
        <w:rPr>
          <w:lang w:val="ru-RU"/>
        </w:rPr>
        <w:t xml:space="preserve">нумерация </w:t>
      </w:r>
      <w:r w:rsidR="00C03C54" w:rsidRPr="001D098C">
        <w:rPr>
          <w:lang w:val="ru-RU"/>
        </w:rPr>
        <w:t>UPT</w:t>
      </w:r>
      <w:r w:rsidR="00CB6913" w:rsidRPr="001D098C">
        <w:rPr>
          <w:lang w:val="ru-RU"/>
        </w:rPr>
        <w:t xml:space="preserve"> основана на персональном номере UPT</w:t>
      </w:r>
      <w:r w:rsidR="001F1354" w:rsidRPr="001D098C">
        <w:rPr>
          <w:lang w:val="ru-RU"/>
        </w:rPr>
        <w:t>, который однозначно идентифицирует пользователя UPT.</w:t>
      </w:r>
    </w:p>
    <w:p w14:paraId="4598231D" w14:textId="54B740CD" w:rsidR="00C03C54" w:rsidRPr="001D098C" w:rsidRDefault="00C47E4B" w:rsidP="00C03C54">
      <w:pPr>
        <w:pStyle w:val="Headingb"/>
        <w:rPr>
          <w:b w:val="0"/>
          <w:i/>
          <w:lang w:val="ru-RU"/>
        </w:rPr>
      </w:pPr>
      <w:r w:rsidRPr="001D098C">
        <w:rPr>
          <w:b w:val="0"/>
          <w:i/>
          <w:lang w:val="ru-RU"/>
        </w:rPr>
        <w:t xml:space="preserve">В настоящую Рекомендацию включены следующие элементы </w:t>
      </w:r>
      <w:r w:rsidR="00C03C54" w:rsidRPr="001D098C">
        <w:rPr>
          <w:b w:val="0"/>
          <w:i/>
          <w:lang w:val="ru-RU"/>
        </w:rPr>
        <w:t>(</w:t>
      </w:r>
      <w:r w:rsidRPr="001D098C">
        <w:rPr>
          <w:b w:val="0"/>
          <w:i/>
          <w:lang w:val="ru-RU"/>
        </w:rPr>
        <w:t>поддерживаются</w:t>
      </w:r>
      <w:r w:rsidR="00C03C54" w:rsidRPr="001D098C">
        <w:rPr>
          <w:b w:val="0"/>
          <w:i/>
          <w:lang w:val="ru-RU"/>
        </w:rPr>
        <w:t xml:space="preserve"> </w:t>
      </w:r>
      <w:r w:rsidR="00B071BA" w:rsidRPr="001D098C">
        <w:rPr>
          <w:b w:val="0"/>
          <w:i/>
          <w:lang w:val="ru-RU"/>
        </w:rPr>
        <w:t xml:space="preserve">набором </w:t>
      </w:r>
      <w:r w:rsidR="00C03C54" w:rsidRPr="001D098C">
        <w:rPr>
          <w:b w:val="0"/>
          <w:i/>
          <w:lang w:val="ru-RU"/>
        </w:rPr>
        <w:t>CS-2)</w:t>
      </w:r>
    </w:p>
    <w:p w14:paraId="7887EBD8" w14:textId="3C5B64BE" w:rsidR="00C03C54" w:rsidRPr="001D098C" w:rsidRDefault="002144CE" w:rsidP="00C03C54">
      <w:pPr>
        <w:pStyle w:val="enumlev1"/>
        <w:rPr>
          <w:lang w:val="ru-RU"/>
        </w:rPr>
      </w:pPr>
      <w:r w:rsidRPr="001D098C">
        <w:rPr>
          <w:rFonts w:ascii="Times New Roman" w:hAnsi="Times New Roman"/>
          <w:lang w:val="ru-RU"/>
        </w:rPr>
        <w:t>•</w:t>
      </w:r>
      <w:r w:rsidR="00C03C54" w:rsidRPr="001D098C">
        <w:rPr>
          <w:lang w:val="ru-RU"/>
        </w:rPr>
        <w:tab/>
      </w:r>
      <w:r w:rsidR="00030BEE" w:rsidRPr="001D098C">
        <w:rPr>
          <w:b/>
          <w:lang w:val="ru-RU"/>
        </w:rPr>
        <w:t>Функциональные возможности</w:t>
      </w:r>
    </w:p>
    <w:p w14:paraId="2DBB2B08" w14:textId="77777777" w:rsidR="001D098C" w:rsidRPr="001D098C" w:rsidRDefault="00CF117E" w:rsidP="00CF117E">
      <w:pPr>
        <w:pStyle w:val="enumlev1"/>
        <w:rPr>
          <w:b/>
          <w:lang w:val="ru-RU"/>
        </w:rPr>
      </w:pPr>
      <w:r w:rsidRPr="001D098C">
        <w:rPr>
          <w:lang w:val="ru-RU"/>
        </w:rPr>
        <w:tab/>
      </w:r>
      <w:r w:rsidR="00030BEE" w:rsidRPr="001D098C">
        <w:rPr>
          <w:b/>
          <w:lang w:val="ru-RU"/>
        </w:rPr>
        <w:t>Основные</w:t>
      </w:r>
    </w:p>
    <w:p w14:paraId="31214BAA" w14:textId="533D720F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AA4F3D" w:rsidRPr="001D098C">
        <w:rPr>
          <w:lang w:val="ru-RU"/>
        </w:rPr>
        <w:t xml:space="preserve">Аутентификация идентичности пользователя </w:t>
      </w:r>
      <w:r w:rsidR="00C03C54" w:rsidRPr="001D098C">
        <w:rPr>
          <w:lang w:val="ru-RU"/>
        </w:rPr>
        <w:t xml:space="preserve">UPT </w:t>
      </w:r>
    </w:p>
    <w:p w14:paraId="411380BA" w14:textId="774D9365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AA4F3D" w:rsidRPr="001D098C">
        <w:rPr>
          <w:lang w:val="ru-RU"/>
        </w:rPr>
        <w:t xml:space="preserve">Регистрация входящих вызовов </w:t>
      </w:r>
    </w:p>
    <w:p w14:paraId="018F29EF" w14:textId="761C83BF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AA4F3D" w:rsidRPr="001D098C">
        <w:rPr>
          <w:lang w:val="ru-RU"/>
        </w:rPr>
        <w:t xml:space="preserve">Исходящий вызов </w:t>
      </w:r>
      <w:r w:rsidR="00C03C54" w:rsidRPr="001D098C">
        <w:rPr>
          <w:lang w:val="ru-RU"/>
        </w:rPr>
        <w:t>UPT</w:t>
      </w:r>
    </w:p>
    <w:p w14:paraId="30642780" w14:textId="3EF7328B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AA4F3D" w:rsidRPr="001D098C">
        <w:rPr>
          <w:lang w:val="ru-RU"/>
        </w:rPr>
        <w:t xml:space="preserve">Доставка входящих вызовов </w:t>
      </w:r>
    </w:p>
    <w:p w14:paraId="3F436350" w14:textId="340D6E35" w:rsidR="001D098C" w:rsidRPr="001D098C" w:rsidRDefault="001D098C" w:rsidP="00CF117E">
      <w:pPr>
        <w:pStyle w:val="enumlev1"/>
        <w:rPr>
          <w:b/>
          <w:lang w:val="ru-RU"/>
        </w:rPr>
      </w:pPr>
      <w:r w:rsidRPr="001D098C">
        <w:rPr>
          <w:b/>
          <w:lang w:val="ru-RU"/>
        </w:rPr>
        <w:tab/>
      </w:r>
      <w:r w:rsidR="00030BEE" w:rsidRPr="001D098C">
        <w:rPr>
          <w:b/>
          <w:lang w:val="ru-RU"/>
        </w:rPr>
        <w:t>Дополнительные</w:t>
      </w:r>
    </w:p>
    <w:p w14:paraId="6B18B2AD" w14:textId="561D25B5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BA7E56" w:rsidRPr="001D098C">
        <w:rPr>
          <w:lang w:val="ru-RU"/>
        </w:rPr>
        <w:t xml:space="preserve">Дистанционная регистрация (и </w:t>
      </w:r>
      <w:proofErr w:type="spellStart"/>
      <w:r w:rsidR="00BA7E56" w:rsidRPr="001D098C">
        <w:rPr>
          <w:lang w:val="ru-RU"/>
        </w:rPr>
        <w:t>дерегистрация</w:t>
      </w:r>
      <w:proofErr w:type="spellEnd"/>
      <w:r w:rsidR="00BA7E56" w:rsidRPr="001D098C">
        <w:rPr>
          <w:lang w:val="ru-RU"/>
        </w:rPr>
        <w:t>) входящих вызовов</w:t>
      </w:r>
    </w:p>
    <w:p w14:paraId="5B8B495F" w14:textId="5DAD22CE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BA7E56" w:rsidRPr="001D098C">
        <w:rPr>
          <w:lang w:val="ru-RU"/>
        </w:rPr>
        <w:t>Цепочка исходящи</w:t>
      </w:r>
      <w:r w:rsidR="00282B1B" w:rsidRPr="001D098C">
        <w:rPr>
          <w:lang w:val="ru-RU"/>
        </w:rPr>
        <w:t>х</w:t>
      </w:r>
      <w:r w:rsidR="00BA7E56" w:rsidRPr="001D098C">
        <w:rPr>
          <w:lang w:val="ru-RU"/>
        </w:rPr>
        <w:t xml:space="preserve"> вызовов</w:t>
      </w:r>
      <w:r w:rsidR="00C03C54" w:rsidRPr="001D098C">
        <w:rPr>
          <w:lang w:val="ru-RU"/>
        </w:rPr>
        <w:t xml:space="preserve"> UPT </w:t>
      </w:r>
    </w:p>
    <w:p w14:paraId="25513F0D" w14:textId="34F2B240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BA7E56" w:rsidRPr="001D098C">
        <w:rPr>
          <w:lang w:val="ru-RU"/>
        </w:rPr>
        <w:t>Глобальная цепочка</w:t>
      </w:r>
    </w:p>
    <w:p w14:paraId="678E81B8" w14:textId="12CF4765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BA7E56" w:rsidRPr="001D098C">
        <w:rPr>
          <w:lang w:val="ru-RU"/>
        </w:rPr>
        <w:t xml:space="preserve">Индикация, специфичная для </w:t>
      </w:r>
      <w:r w:rsidR="00C03C54" w:rsidRPr="001D098C">
        <w:rPr>
          <w:lang w:val="ru-RU"/>
        </w:rPr>
        <w:t>UPT</w:t>
      </w:r>
      <w:r w:rsidR="00BA7E56" w:rsidRPr="001D098C">
        <w:rPr>
          <w:lang w:val="ru-RU"/>
        </w:rPr>
        <w:t xml:space="preserve"> </w:t>
      </w:r>
    </w:p>
    <w:p w14:paraId="40BE798B" w14:textId="7974D9AA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BA7E56" w:rsidRPr="001D098C">
        <w:rPr>
          <w:lang w:val="ru-RU"/>
        </w:rPr>
        <w:t xml:space="preserve">Регистрация исходящих вызовов </w:t>
      </w:r>
    </w:p>
    <w:p w14:paraId="2F73E9CA" w14:textId="5005615C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BA7E56" w:rsidRPr="001D098C">
        <w:rPr>
          <w:lang w:val="ru-RU"/>
        </w:rPr>
        <w:t xml:space="preserve">Дистанционная регистрация исходящих вызовов </w:t>
      </w:r>
      <w:r w:rsidR="00C03C54" w:rsidRPr="001D098C">
        <w:rPr>
          <w:lang w:val="ru-RU"/>
        </w:rPr>
        <w:t>UPT</w:t>
      </w:r>
      <w:r w:rsidR="00BA7E56" w:rsidRPr="001D098C">
        <w:rPr>
          <w:lang w:val="ru-RU"/>
        </w:rPr>
        <w:t xml:space="preserve"> </w:t>
      </w:r>
    </w:p>
    <w:p w14:paraId="0B3E3D72" w14:textId="5C2D46E3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lastRenderedPageBreak/>
        <w:tab/>
      </w:r>
      <w:r w:rsidR="00F27D00" w:rsidRPr="001D098C">
        <w:rPr>
          <w:lang w:val="ru-RU"/>
        </w:rPr>
        <w:t>Прием вызовов</w:t>
      </w:r>
    </w:p>
    <w:p w14:paraId="29A8F43C" w14:textId="1F9CC48E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F27D00" w:rsidRPr="001D098C">
        <w:rPr>
          <w:lang w:val="ru-RU"/>
        </w:rPr>
        <w:t xml:space="preserve">Регистрация </w:t>
      </w:r>
      <w:r w:rsidR="00321264" w:rsidRPr="001D098C">
        <w:rPr>
          <w:lang w:val="ru-RU"/>
        </w:rPr>
        <w:t xml:space="preserve">переменных по умолчанию для входящих вызовов </w:t>
      </w:r>
    </w:p>
    <w:p w14:paraId="2F5ADB56" w14:textId="0E459CCB" w:rsidR="00C03C54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321264" w:rsidRPr="001D098C">
        <w:rPr>
          <w:lang w:val="ru-RU"/>
        </w:rPr>
        <w:t>Определенная вызывающей стороной безопасность ответа на входящие вызовы UPT</w:t>
      </w:r>
    </w:p>
    <w:p w14:paraId="4B9D40B1" w14:textId="7238FEDE" w:rsidR="00C03C54" w:rsidRPr="001D098C" w:rsidRDefault="00B071BA" w:rsidP="00B071BA">
      <w:pPr>
        <w:pStyle w:val="Headingb"/>
        <w:rPr>
          <w:b w:val="0"/>
          <w:i/>
          <w:lang w:val="ru-RU"/>
        </w:rPr>
      </w:pPr>
      <w:r w:rsidRPr="001D098C">
        <w:rPr>
          <w:b w:val="0"/>
          <w:i/>
          <w:lang w:val="ru-RU"/>
        </w:rPr>
        <w:t>Без специального включения в настоящую Рекомендацию</w:t>
      </w:r>
      <w:r w:rsidR="00C03C54" w:rsidRPr="001D098C">
        <w:rPr>
          <w:b w:val="0"/>
          <w:i/>
          <w:lang w:val="ru-RU"/>
        </w:rPr>
        <w:t xml:space="preserve"> (</w:t>
      </w:r>
      <w:r w:rsidR="00E64711" w:rsidRPr="001D098C">
        <w:rPr>
          <w:b w:val="0"/>
          <w:i/>
          <w:lang w:val="ru-RU"/>
        </w:rPr>
        <w:t>поддерживаются</w:t>
      </w:r>
      <w:r w:rsidR="00C03C54" w:rsidRPr="001D098C">
        <w:rPr>
          <w:b w:val="0"/>
          <w:i/>
          <w:lang w:val="ru-RU"/>
        </w:rPr>
        <w:t xml:space="preserve"> </w:t>
      </w:r>
      <w:r w:rsidRPr="001D098C">
        <w:rPr>
          <w:b w:val="0"/>
          <w:i/>
          <w:lang w:val="ru-RU"/>
        </w:rPr>
        <w:t xml:space="preserve">набором </w:t>
      </w:r>
      <w:r w:rsidR="00C03C54" w:rsidRPr="001D098C">
        <w:rPr>
          <w:b w:val="0"/>
          <w:i/>
          <w:lang w:val="ru-RU"/>
        </w:rPr>
        <w:t>CS-2)</w:t>
      </w:r>
    </w:p>
    <w:p w14:paraId="6AC7A6F5" w14:textId="5D561835" w:rsidR="00C03C54" w:rsidRPr="001D098C" w:rsidRDefault="002144CE" w:rsidP="00B071BA">
      <w:pPr>
        <w:pStyle w:val="enumlev1"/>
        <w:keepNext/>
        <w:rPr>
          <w:lang w:val="ru-RU"/>
        </w:rPr>
      </w:pPr>
      <w:r w:rsidRPr="001D098C">
        <w:rPr>
          <w:rFonts w:ascii="Times New Roman" w:hAnsi="Times New Roman"/>
          <w:lang w:val="ru-RU"/>
        </w:rPr>
        <w:t>•</w:t>
      </w:r>
      <w:r w:rsidR="00C03C54" w:rsidRPr="001D098C">
        <w:rPr>
          <w:lang w:val="ru-RU"/>
        </w:rPr>
        <w:tab/>
      </w:r>
      <w:r w:rsidR="00030BEE" w:rsidRPr="001D098C">
        <w:rPr>
          <w:b/>
          <w:lang w:val="ru-RU"/>
        </w:rPr>
        <w:t>Функциональные возможности</w:t>
      </w:r>
    </w:p>
    <w:p w14:paraId="32179123" w14:textId="77777777" w:rsidR="001D098C" w:rsidRPr="001D098C" w:rsidRDefault="00CF117E" w:rsidP="00CF117E">
      <w:pPr>
        <w:pStyle w:val="enumlev1"/>
        <w:rPr>
          <w:b/>
          <w:lang w:val="ru-RU"/>
        </w:rPr>
      </w:pPr>
      <w:r w:rsidRPr="001D098C">
        <w:rPr>
          <w:lang w:val="ru-RU"/>
        </w:rPr>
        <w:tab/>
      </w:r>
      <w:r w:rsidR="00030BEE" w:rsidRPr="001D098C">
        <w:rPr>
          <w:b/>
          <w:lang w:val="ru-RU"/>
        </w:rPr>
        <w:t>Дополнительные</w:t>
      </w:r>
    </w:p>
    <w:p w14:paraId="0AAD206F" w14:textId="4F5D1132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FC4FF2" w:rsidRPr="001D098C">
        <w:rPr>
          <w:lang w:val="ru-RU"/>
        </w:rPr>
        <w:t xml:space="preserve">Регистрация всех вызовов </w:t>
      </w:r>
    </w:p>
    <w:p w14:paraId="60FCD6C8" w14:textId="4F67776B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FC4FF2" w:rsidRPr="001D098C">
        <w:rPr>
          <w:lang w:val="ru-RU"/>
        </w:rPr>
        <w:t>Дистанционная регистрация всех вызовов</w:t>
      </w:r>
    </w:p>
    <w:p w14:paraId="5321FE5B" w14:textId="5854FC7F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4B38C8" w:rsidRPr="001D098C">
        <w:rPr>
          <w:lang w:val="ru-RU"/>
        </w:rPr>
        <w:t>Сопряженная регистрация</w:t>
      </w:r>
    </w:p>
    <w:p w14:paraId="41D18A36" w14:textId="211C5E29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4B38C8" w:rsidRPr="001D098C">
        <w:rPr>
          <w:lang w:val="ru-RU"/>
        </w:rPr>
        <w:t>Дистанционная сопряженная регистрация</w:t>
      </w:r>
    </w:p>
    <w:p w14:paraId="62B0CF24" w14:textId="4A079CEF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4B38C8" w:rsidRPr="001D098C">
        <w:rPr>
          <w:lang w:val="ru-RU"/>
        </w:rPr>
        <w:t xml:space="preserve">Запрос профиля службы </w:t>
      </w:r>
      <w:r w:rsidR="00C03C54" w:rsidRPr="001D098C">
        <w:rPr>
          <w:lang w:val="ru-RU"/>
        </w:rPr>
        <w:t xml:space="preserve">UPT </w:t>
      </w:r>
    </w:p>
    <w:p w14:paraId="7809AA6C" w14:textId="65BE2112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4B38C8" w:rsidRPr="001D098C">
        <w:rPr>
          <w:lang w:val="ru-RU"/>
        </w:rPr>
        <w:t xml:space="preserve">Изменения профиля службы </w:t>
      </w:r>
      <w:r w:rsidR="00C03C54" w:rsidRPr="001D098C">
        <w:rPr>
          <w:lang w:val="ru-RU"/>
        </w:rPr>
        <w:t>UPT</w:t>
      </w:r>
      <w:r w:rsidR="004B38C8" w:rsidRPr="001D098C">
        <w:rPr>
          <w:lang w:val="ru-RU"/>
        </w:rPr>
        <w:t xml:space="preserve"> </w:t>
      </w:r>
    </w:p>
    <w:p w14:paraId="0145ED63" w14:textId="14A053DE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E21D73" w:rsidRPr="001D098C">
        <w:rPr>
          <w:lang w:val="ru-RU"/>
        </w:rPr>
        <w:t>Многоадресная регистрация терминала</w:t>
      </w:r>
    </w:p>
    <w:p w14:paraId="7DF87359" w14:textId="66DF03C4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E21D73" w:rsidRPr="001D098C">
        <w:rPr>
          <w:lang w:val="ru-RU"/>
        </w:rPr>
        <w:t xml:space="preserve">Представление идентичности целевого получателя </w:t>
      </w:r>
    </w:p>
    <w:p w14:paraId="7F671764" w14:textId="28D74E2E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2B670A" w:rsidRPr="001D098C">
        <w:rPr>
          <w:lang w:val="ru-RU"/>
        </w:rPr>
        <w:t xml:space="preserve">Доступ к группе профилей службы </w:t>
      </w:r>
      <w:r w:rsidR="00C03C54" w:rsidRPr="001D098C">
        <w:rPr>
          <w:lang w:val="ru-RU"/>
        </w:rPr>
        <w:t xml:space="preserve">UPT </w:t>
      </w:r>
    </w:p>
    <w:p w14:paraId="391CDEF9" w14:textId="7FA645F9" w:rsidR="00C03C54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2B670A" w:rsidRPr="001D098C">
        <w:rPr>
          <w:lang w:val="ru-RU"/>
        </w:rPr>
        <w:t xml:space="preserve">Сервисная поддержка </w:t>
      </w:r>
      <w:r w:rsidR="00C03C54" w:rsidRPr="001D098C">
        <w:rPr>
          <w:lang w:val="ru-RU"/>
        </w:rPr>
        <w:t xml:space="preserve">UPT </w:t>
      </w:r>
    </w:p>
    <w:p w14:paraId="23A2D41F" w14:textId="65E1CBA6" w:rsidR="00C03C54" w:rsidRPr="001D098C" w:rsidRDefault="00687AB1" w:rsidP="00C03C54">
      <w:pPr>
        <w:pStyle w:val="Headingb"/>
        <w:rPr>
          <w:b w:val="0"/>
          <w:i/>
          <w:lang w:val="ru-RU"/>
        </w:rPr>
      </w:pPr>
      <w:r w:rsidRPr="001D098C">
        <w:rPr>
          <w:b w:val="0"/>
          <w:i/>
          <w:lang w:val="ru-RU"/>
        </w:rPr>
        <w:t xml:space="preserve">Не включены в настоящую Рекомендацию </w:t>
      </w:r>
      <w:r w:rsidR="00C03C54" w:rsidRPr="001D098C">
        <w:rPr>
          <w:b w:val="0"/>
          <w:i/>
          <w:lang w:val="ru-RU"/>
        </w:rPr>
        <w:t>(</w:t>
      </w:r>
      <w:r w:rsidRPr="001D098C">
        <w:rPr>
          <w:b w:val="0"/>
          <w:i/>
          <w:lang w:val="ru-RU"/>
        </w:rPr>
        <w:t>в основном не поддерживается набором</w:t>
      </w:r>
      <w:r w:rsidR="00C03C54" w:rsidRPr="001D098C">
        <w:rPr>
          <w:b w:val="0"/>
          <w:i/>
          <w:lang w:val="ru-RU"/>
        </w:rPr>
        <w:t xml:space="preserve"> CS-2)</w:t>
      </w:r>
    </w:p>
    <w:p w14:paraId="38B05EB0" w14:textId="49FF6B25" w:rsidR="00C03C54" w:rsidRPr="001D098C" w:rsidRDefault="002144CE" w:rsidP="00C03C54">
      <w:pPr>
        <w:pStyle w:val="enumlev1"/>
        <w:rPr>
          <w:lang w:val="ru-RU"/>
        </w:rPr>
      </w:pPr>
      <w:r w:rsidRPr="001D098C">
        <w:rPr>
          <w:rFonts w:ascii="Times New Roman" w:hAnsi="Times New Roman"/>
          <w:lang w:val="ru-RU"/>
        </w:rPr>
        <w:t>•</w:t>
      </w:r>
      <w:r w:rsidR="00C03C54" w:rsidRPr="001D098C">
        <w:rPr>
          <w:lang w:val="ru-RU"/>
        </w:rPr>
        <w:tab/>
      </w:r>
      <w:r w:rsidR="00030BEE" w:rsidRPr="001D098C">
        <w:rPr>
          <w:b/>
          <w:lang w:val="ru-RU"/>
        </w:rPr>
        <w:t>Функциональные возможности</w:t>
      </w:r>
    </w:p>
    <w:p w14:paraId="04B95854" w14:textId="77777777" w:rsidR="001D098C" w:rsidRPr="001D098C" w:rsidRDefault="00CF117E" w:rsidP="00CF117E">
      <w:pPr>
        <w:pStyle w:val="enumlev1"/>
        <w:rPr>
          <w:b/>
          <w:lang w:val="ru-RU"/>
        </w:rPr>
      </w:pPr>
      <w:r w:rsidRPr="001D098C">
        <w:rPr>
          <w:lang w:val="ru-RU"/>
        </w:rPr>
        <w:tab/>
      </w:r>
      <w:r w:rsidR="00030BEE" w:rsidRPr="001D098C">
        <w:rPr>
          <w:b/>
          <w:lang w:val="ru-RU"/>
        </w:rPr>
        <w:t>Дополнительные</w:t>
      </w:r>
    </w:p>
    <w:p w14:paraId="21EEA76E" w14:textId="693D6D5B" w:rsidR="00C03C54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687AB1" w:rsidRPr="001D098C">
        <w:rPr>
          <w:lang w:val="ru-RU"/>
        </w:rPr>
        <w:t xml:space="preserve">Аутентификация поставщика службы </w:t>
      </w:r>
      <w:r w:rsidR="00C03C54" w:rsidRPr="001D098C">
        <w:rPr>
          <w:lang w:val="ru-RU"/>
        </w:rPr>
        <w:t xml:space="preserve">UPT </w:t>
      </w:r>
    </w:p>
    <w:p w14:paraId="5B99D890" w14:textId="2F3F6DF2" w:rsidR="00C03C54" w:rsidRPr="001D098C" w:rsidRDefault="002144CE" w:rsidP="00C03C54">
      <w:pPr>
        <w:pStyle w:val="enumlev1"/>
        <w:rPr>
          <w:lang w:val="ru-RU"/>
        </w:rPr>
      </w:pPr>
      <w:r w:rsidRPr="001D098C">
        <w:rPr>
          <w:rFonts w:ascii="Times New Roman" w:hAnsi="Times New Roman"/>
          <w:lang w:val="ru-RU"/>
        </w:rPr>
        <w:t>•</w:t>
      </w:r>
      <w:r w:rsidR="00C03C54" w:rsidRPr="001D098C">
        <w:rPr>
          <w:lang w:val="ru-RU"/>
        </w:rPr>
        <w:tab/>
      </w:r>
      <w:r w:rsidR="00687AB1" w:rsidRPr="001D098C">
        <w:rPr>
          <w:b/>
          <w:bCs/>
          <w:lang w:val="ru-RU"/>
        </w:rPr>
        <w:t>Механизмы защиты третьих сторон</w:t>
      </w:r>
    </w:p>
    <w:p w14:paraId="4E2E9B14" w14:textId="77777777" w:rsidR="001D098C" w:rsidRPr="001D098C" w:rsidRDefault="00CF117E" w:rsidP="00CF117E">
      <w:pPr>
        <w:pStyle w:val="enumlev1"/>
        <w:rPr>
          <w:b/>
          <w:lang w:val="ru-RU"/>
        </w:rPr>
      </w:pPr>
      <w:r w:rsidRPr="001D098C">
        <w:rPr>
          <w:lang w:val="ru-RU"/>
        </w:rPr>
        <w:tab/>
      </w:r>
      <w:r w:rsidR="00030BEE" w:rsidRPr="001D098C">
        <w:rPr>
          <w:b/>
          <w:lang w:val="ru-RU"/>
        </w:rPr>
        <w:t>Основные</w:t>
      </w:r>
    </w:p>
    <w:p w14:paraId="79E7A4CA" w14:textId="77777777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687AB1" w:rsidRPr="001D098C">
        <w:rPr>
          <w:lang w:val="ru-RU"/>
        </w:rPr>
        <w:t>Не определены в Рекомендации</w:t>
      </w:r>
      <w:r w:rsidR="00C03C54" w:rsidRPr="001D098C">
        <w:rPr>
          <w:lang w:val="ru-RU"/>
        </w:rPr>
        <w:t xml:space="preserve"> </w:t>
      </w:r>
      <w:r w:rsidR="00687AB1" w:rsidRPr="001D098C">
        <w:rPr>
          <w:lang w:val="ru-RU"/>
        </w:rPr>
        <w:t>МСЭ</w:t>
      </w:r>
      <w:r w:rsidR="00C03C54" w:rsidRPr="001D098C">
        <w:rPr>
          <w:lang w:val="ru-RU"/>
        </w:rPr>
        <w:t>-T F.851.</w:t>
      </w:r>
    </w:p>
    <w:p w14:paraId="24311580" w14:textId="77777777" w:rsidR="001D098C" w:rsidRPr="001D098C" w:rsidRDefault="001D098C" w:rsidP="001D098C">
      <w:pPr>
        <w:pStyle w:val="enumlev1"/>
        <w:rPr>
          <w:b/>
          <w:lang w:val="ru-RU"/>
        </w:rPr>
      </w:pPr>
      <w:r w:rsidRPr="001D098C">
        <w:rPr>
          <w:b/>
          <w:lang w:val="ru-RU"/>
        </w:rPr>
        <w:tab/>
      </w:r>
      <w:r w:rsidR="00030BEE" w:rsidRPr="001D098C">
        <w:rPr>
          <w:b/>
          <w:lang w:val="ru-RU"/>
        </w:rPr>
        <w:t>Дополнительные</w:t>
      </w:r>
    </w:p>
    <w:p w14:paraId="42014BE8" w14:textId="77777777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687AB1" w:rsidRPr="001D098C">
        <w:rPr>
          <w:lang w:val="ru-RU"/>
        </w:rPr>
        <w:t>Сброс регистраци</w:t>
      </w:r>
      <w:r w:rsidR="007C0847" w:rsidRPr="001D098C">
        <w:rPr>
          <w:lang w:val="ru-RU"/>
        </w:rPr>
        <w:t>онных данных</w:t>
      </w:r>
      <w:r w:rsidR="00687AB1" w:rsidRPr="001D098C">
        <w:rPr>
          <w:lang w:val="ru-RU"/>
        </w:rPr>
        <w:t xml:space="preserve"> входящих вызовов </w:t>
      </w:r>
      <w:r w:rsidR="00C03C54" w:rsidRPr="001D098C">
        <w:rPr>
          <w:lang w:val="ru-RU"/>
        </w:rPr>
        <w:t>UPT</w:t>
      </w:r>
    </w:p>
    <w:p w14:paraId="730E08E3" w14:textId="77777777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7C0847" w:rsidRPr="001D098C">
        <w:rPr>
          <w:lang w:val="ru-RU"/>
        </w:rPr>
        <w:t xml:space="preserve">Освобождение от всех видов использования </w:t>
      </w:r>
      <w:r w:rsidR="00C03C54" w:rsidRPr="001D098C">
        <w:rPr>
          <w:lang w:val="ru-RU"/>
        </w:rPr>
        <w:t>UPT</w:t>
      </w:r>
    </w:p>
    <w:p w14:paraId="6E1F942F" w14:textId="77777777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ED0299" w:rsidRPr="001D098C">
        <w:rPr>
          <w:lang w:val="ru-RU"/>
        </w:rPr>
        <w:t>Индикация регистраци</w:t>
      </w:r>
      <w:r w:rsidR="00200209" w:rsidRPr="001D098C">
        <w:rPr>
          <w:lang w:val="ru-RU"/>
        </w:rPr>
        <w:t>онных данных</w:t>
      </w:r>
      <w:r w:rsidR="00ED0299" w:rsidRPr="001D098C">
        <w:rPr>
          <w:lang w:val="ru-RU"/>
        </w:rPr>
        <w:t xml:space="preserve"> </w:t>
      </w:r>
      <w:r w:rsidR="00C03C54" w:rsidRPr="001D098C">
        <w:rPr>
          <w:lang w:val="ru-RU"/>
        </w:rPr>
        <w:t xml:space="preserve">UPT </w:t>
      </w:r>
    </w:p>
    <w:p w14:paraId="2B7E6A9E" w14:textId="77777777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200209" w:rsidRPr="001D098C">
        <w:rPr>
          <w:lang w:val="ru-RU"/>
        </w:rPr>
        <w:t>Блокирование/деблокирование регистрационных данных входящих вызовов UPT</w:t>
      </w:r>
    </w:p>
    <w:p w14:paraId="1F461787" w14:textId="77777777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200209" w:rsidRPr="001D098C">
        <w:rPr>
          <w:lang w:val="ru-RU"/>
        </w:rPr>
        <w:t xml:space="preserve">Блокирование/деблокирование входящих вызовов </w:t>
      </w:r>
      <w:r w:rsidR="00C03C54" w:rsidRPr="001D098C">
        <w:rPr>
          <w:lang w:val="ru-RU"/>
        </w:rPr>
        <w:t xml:space="preserve">UPT </w:t>
      </w:r>
    </w:p>
    <w:p w14:paraId="0CE48A5F" w14:textId="77777777" w:rsidR="001D098C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200209" w:rsidRPr="001D098C">
        <w:rPr>
          <w:lang w:val="ru-RU"/>
        </w:rPr>
        <w:t xml:space="preserve">Сброс регистрационных данных исходящих вызовов </w:t>
      </w:r>
      <w:r w:rsidR="00C03C54" w:rsidRPr="001D098C">
        <w:rPr>
          <w:lang w:val="ru-RU"/>
        </w:rPr>
        <w:t>UPT</w:t>
      </w:r>
    </w:p>
    <w:p w14:paraId="20AECB3D" w14:textId="45266D4B" w:rsidR="006623C2" w:rsidRPr="001D098C" w:rsidRDefault="001D098C" w:rsidP="001D098C">
      <w:pPr>
        <w:pStyle w:val="enumlev1"/>
        <w:spacing w:before="0"/>
        <w:rPr>
          <w:lang w:val="ru-RU"/>
        </w:rPr>
      </w:pPr>
      <w:r w:rsidRPr="001D098C">
        <w:rPr>
          <w:lang w:val="ru-RU"/>
        </w:rPr>
        <w:tab/>
      </w:r>
      <w:r w:rsidR="00200209" w:rsidRPr="001D098C">
        <w:rPr>
          <w:lang w:val="ru-RU"/>
        </w:rPr>
        <w:t xml:space="preserve">Приостановка регистрация исходящих вызовов </w:t>
      </w:r>
      <w:r w:rsidR="00C03C54" w:rsidRPr="001D098C">
        <w:rPr>
          <w:lang w:val="ru-RU"/>
        </w:rPr>
        <w:t xml:space="preserve">UPT </w:t>
      </w:r>
    </w:p>
    <w:p w14:paraId="6CB7B56E" w14:textId="4843CD2F" w:rsidR="006623C2" w:rsidRPr="001D098C" w:rsidRDefault="002C1908" w:rsidP="00BE7F3D">
      <w:pPr>
        <w:pStyle w:val="Headingb"/>
        <w:spacing w:before="240"/>
        <w:jc w:val="both"/>
        <w:rPr>
          <w:lang w:val="ru-RU"/>
        </w:rPr>
      </w:pPr>
      <w:r w:rsidRPr="001D098C">
        <w:rPr>
          <w:lang w:val="ru-RU"/>
        </w:rPr>
        <w:t xml:space="preserve">Рекомендация МСЭ-T </w:t>
      </w:r>
      <w:r w:rsidR="00C03C54" w:rsidRPr="001D098C">
        <w:rPr>
          <w:bCs/>
          <w:lang w:val="ru-RU"/>
        </w:rPr>
        <w:t xml:space="preserve">Q.1551 </w:t>
      </w:r>
      <w:r w:rsidR="005527E7" w:rsidRPr="001D098C">
        <w:rPr>
          <w:b w:val="0"/>
          <w:lang w:val="ru-RU"/>
        </w:rPr>
        <w:t>"</w:t>
      </w:r>
      <w:r w:rsidR="00415F7D" w:rsidRPr="001D098C">
        <w:rPr>
          <w:bCs/>
          <w:lang w:val="ru-RU"/>
        </w:rPr>
        <w:t>Применение CS-1 прикладного протокола интеллектуальной сети</w:t>
      </w:r>
      <w:r w:rsidR="00C03C54" w:rsidRPr="001D098C">
        <w:rPr>
          <w:bCs/>
          <w:lang w:val="ru-RU"/>
        </w:rPr>
        <w:t xml:space="preserve"> (INAP) </w:t>
      </w:r>
      <w:r w:rsidR="00415F7D" w:rsidRPr="001D098C">
        <w:rPr>
          <w:bCs/>
          <w:lang w:val="ru-RU"/>
        </w:rPr>
        <w:t xml:space="preserve">для набора служб 1 </w:t>
      </w:r>
      <w:r w:rsidR="00C03C54" w:rsidRPr="001D098C">
        <w:rPr>
          <w:bCs/>
          <w:lang w:val="ru-RU"/>
        </w:rPr>
        <w:t>UPT</w:t>
      </w:r>
      <w:r w:rsidR="00415F7D" w:rsidRPr="001D098C">
        <w:rPr>
          <w:b w:val="0"/>
          <w:lang w:val="ru-RU"/>
        </w:rPr>
        <w:t>"</w:t>
      </w:r>
    </w:p>
    <w:p w14:paraId="5EB827BB" w14:textId="34F449E4" w:rsidR="006623C2" w:rsidRPr="001D098C" w:rsidRDefault="003B149F" w:rsidP="00B727F2">
      <w:pPr>
        <w:pStyle w:val="Headingb"/>
        <w:rPr>
          <w:lang w:val="ru-RU"/>
        </w:rPr>
      </w:pPr>
      <w:r w:rsidRPr="001D098C">
        <w:rPr>
          <w:lang w:val="ru-RU"/>
        </w:rPr>
        <w:t>Дата утверждения</w:t>
      </w:r>
      <w:r w:rsidR="00F96186" w:rsidRPr="001D098C">
        <w:rPr>
          <w:lang w:val="ru-RU"/>
        </w:rPr>
        <w:t xml:space="preserve">: </w:t>
      </w:r>
      <w:r w:rsidR="00C03C54" w:rsidRPr="001D098C">
        <w:rPr>
          <w:lang w:val="ru-RU"/>
        </w:rPr>
        <w:t>июнь</w:t>
      </w:r>
      <w:r w:rsidR="006623C2" w:rsidRPr="001D098C">
        <w:rPr>
          <w:lang w:val="ru-RU"/>
        </w:rPr>
        <w:t xml:space="preserve"> 199</w:t>
      </w:r>
      <w:r w:rsidR="00C03C54" w:rsidRPr="001D098C">
        <w:rPr>
          <w:lang w:val="ru-RU"/>
        </w:rPr>
        <w:t>7</w:t>
      </w:r>
      <w:r w:rsidR="002C1908" w:rsidRPr="001D098C">
        <w:rPr>
          <w:lang w:val="ru-RU"/>
        </w:rPr>
        <w:t> года</w:t>
      </w:r>
    </w:p>
    <w:p w14:paraId="59D92AFE" w14:textId="0074C2AB" w:rsidR="006623C2" w:rsidRPr="001D098C" w:rsidRDefault="003E3A15" w:rsidP="00320BC3">
      <w:pPr>
        <w:pStyle w:val="Headingb"/>
        <w:rPr>
          <w:lang w:val="ru-RU"/>
        </w:rPr>
      </w:pPr>
      <w:r w:rsidRPr="001D098C">
        <w:rPr>
          <w:b w:val="0"/>
          <w:bCs/>
          <w:i/>
          <w:iCs/>
          <w:lang w:val="ru-RU"/>
        </w:rPr>
        <w:t>Сфера применения</w:t>
      </w:r>
    </w:p>
    <w:p w14:paraId="7B5327FD" w14:textId="4416A1A9" w:rsidR="006623C2" w:rsidRPr="001D098C" w:rsidRDefault="00F83A7B" w:rsidP="002144CE">
      <w:pPr>
        <w:jc w:val="both"/>
        <w:rPr>
          <w:lang w:val="ru-RU"/>
        </w:rPr>
      </w:pPr>
      <w:r w:rsidRPr="001D098C">
        <w:rPr>
          <w:lang w:val="ru-RU"/>
        </w:rPr>
        <w:t>В настоящей Рекомендации определено применение базового</w:t>
      </w:r>
      <w:r w:rsidR="00C03C54" w:rsidRPr="001D098C">
        <w:rPr>
          <w:lang w:val="ru-RU"/>
        </w:rPr>
        <w:t xml:space="preserve"> INAP </w:t>
      </w:r>
      <w:r w:rsidRPr="001D098C">
        <w:rPr>
          <w:lang w:val="ru-RU"/>
        </w:rPr>
        <w:t>для службы</w:t>
      </w:r>
      <w:r w:rsidR="00C03C54" w:rsidRPr="001D098C">
        <w:rPr>
          <w:lang w:val="ru-RU"/>
        </w:rPr>
        <w:t xml:space="preserve"> UPT </w:t>
      </w:r>
      <w:r w:rsidRPr="001D098C">
        <w:rPr>
          <w:lang w:val="ru-RU"/>
        </w:rPr>
        <w:t>и описан межсетевой интерфейс</w:t>
      </w:r>
      <w:r w:rsidR="00C03C54" w:rsidRPr="001D098C">
        <w:rPr>
          <w:lang w:val="ru-RU"/>
        </w:rPr>
        <w:t xml:space="preserve">. </w:t>
      </w:r>
      <w:r w:rsidRPr="001D098C">
        <w:rPr>
          <w:lang w:val="ru-RU"/>
        </w:rPr>
        <w:t xml:space="preserve">Это применимо к набору служб 1 </w:t>
      </w:r>
      <w:r w:rsidR="00C03C54" w:rsidRPr="001D098C">
        <w:rPr>
          <w:lang w:val="ru-RU"/>
        </w:rPr>
        <w:t>UPT</w:t>
      </w:r>
      <w:r w:rsidRPr="001D098C">
        <w:rPr>
          <w:lang w:val="ru-RU"/>
        </w:rPr>
        <w:t xml:space="preserve"> согласно определению в Рекомендации</w:t>
      </w:r>
      <w:r w:rsidR="00C03C54" w:rsidRPr="001D098C">
        <w:rPr>
          <w:lang w:val="ru-RU"/>
        </w:rPr>
        <w:t xml:space="preserve"> F.851, </w:t>
      </w:r>
      <w:r w:rsidRPr="001D098C">
        <w:rPr>
          <w:lang w:val="ru-RU"/>
        </w:rPr>
        <w:t xml:space="preserve">но ограничено только теми функциональными возможностями, которые могут поддерживаться </w:t>
      </w:r>
      <w:r w:rsidR="00C03C54" w:rsidRPr="001D098C">
        <w:rPr>
          <w:lang w:val="ru-RU"/>
        </w:rPr>
        <w:t>CS-1</w:t>
      </w:r>
      <w:r w:rsidRPr="001D098C">
        <w:rPr>
          <w:lang w:val="ru-RU"/>
        </w:rPr>
        <w:t xml:space="preserve"> INAP</w:t>
      </w:r>
      <w:r w:rsidR="00C03C54" w:rsidRPr="001D098C">
        <w:rPr>
          <w:lang w:val="ru-RU"/>
        </w:rPr>
        <w:t xml:space="preserve">. </w:t>
      </w:r>
      <w:r w:rsidRPr="001D098C">
        <w:rPr>
          <w:lang w:val="ru-RU"/>
        </w:rPr>
        <w:t xml:space="preserve">В настоящую Рекомендацию включены процедуры </w:t>
      </w:r>
      <w:r w:rsidR="00557C09" w:rsidRPr="001D098C">
        <w:rPr>
          <w:lang w:val="ru-RU"/>
        </w:rPr>
        <w:t>управления дополнительными услугами переадресации вызова</w:t>
      </w:r>
      <w:r w:rsidR="00C03C54" w:rsidRPr="001D098C">
        <w:rPr>
          <w:lang w:val="ru-RU"/>
        </w:rPr>
        <w:t xml:space="preserve">, </w:t>
      </w:r>
      <w:r w:rsidR="00557C09" w:rsidRPr="001D098C">
        <w:rPr>
          <w:lang w:val="ru-RU"/>
        </w:rPr>
        <w:t>эти расширения процедур носят факультативный характер</w:t>
      </w:r>
      <w:r w:rsidR="00C03C54" w:rsidRPr="001D098C">
        <w:rPr>
          <w:lang w:val="ru-RU"/>
        </w:rPr>
        <w:t>.</w:t>
      </w:r>
      <w:r w:rsidR="00557C09" w:rsidRPr="001D098C">
        <w:rPr>
          <w:lang w:val="ru-RU"/>
        </w:rPr>
        <w:t xml:space="preserve"> В настоящей Рекомендации использовались только общие операции SSF-SCF INAP, что не исключает использования конкретных операций DP. Для случая SSF-SRF в настоящей Рекомендации не используется процедура вспомогательной передачи обслуживания.</w:t>
      </w:r>
    </w:p>
    <w:p w14:paraId="78C4B04A" w14:textId="65E2CE37" w:rsidR="006623C2" w:rsidRPr="001D098C" w:rsidRDefault="00A73DC4" w:rsidP="00384867">
      <w:pPr>
        <w:pStyle w:val="Headingb"/>
        <w:spacing w:before="240"/>
        <w:rPr>
          <w:lang w:val="ru-RU" w:eastAsia="ja-JP"/>
        </w:rPr>
      </w:pPr>
      <w:r w:rsidRPr="001D098C">
        <w:rPr>
          <w:lang w:val="ru-RU" w:eastAsia="ja-JP"/>
        </w:rPr>
        <w:lastRenderedPageBreak/>
        <w:t>Основания для аннулирования вышеперечисленных Рекомендаций</w:t>
      </w:r>
    </w:p>
    <w:p w14:paraId="7DD9DA19" w14:textId="1C86DBBF" w:rsidR="00C03C54" w:rsidRPr="001D098C" w:rsidRDefault="001C6E74" w:rsidP="002144CE">
      <w:pPr>
        <w:keepNext/>
        <w:keepLines/>
        <w:jc w:val="both"/>
        <w:rPr>
          <w:lang w:val="ru-RU"/>
        </w:rPr>
      </w:pPr>
      <w:r w:rsidRPr="001D098C">
        <w:rPr>
          <w:lang w:val="ru-RU"/>
        </w:rPr>
        <w:t>Во время утверждения этих Рекомендаций в концепции</w:t>
      </w:r>
      <w:r w:rsidR="006623C2" w:rsidRPr="001D098C">
        <w:rPr>
          <w:lang w:val="ru-RU"/>
        </w:rPr>
        <w:t xml:space="preserve"> UPT </w:t>
      </w:r>
      <w:r w:rsidRPr="001D098C">
        <w:rPr>
          <w:lang w:val="ru-RU"/>
        </w:rPr>
        <w:t xml:space="preserve">использовались конкретные </w:t>
      </w:r>
      <w:r w:rsidR="005527E7" w:rsidRPr="001D098C">
        <w:rPr>
          <w:lang w:val="ru-RU"/>
        </w:rPr>
        <w:t>понятия</w:t>
      </w:r>
      <w:r w:rsidRPr="001D098C">
        <w:rPr>
          <w:lang w:val="ru-RU"/>
        </w:rPr>
        <w:t xml:space="preserve"> </w:t>
      </w:r>
      <w:r w:rsidR="00FE29C0" w:rsidRPr="001D098C">
        <w:rPr>
          <w:lang w:val="ru-RU"/>
        </w:rPr>
        <w:t>технологий и служб</w:t>
      </w:r>
      <w:r w:rsidR="006623C2" w:rsidRPr="001D098C">
        <w:rPr>
          <w:lang w:val="ru-RU"/>
        </w:rPr>
        <w:t xml:space="preserve">. </w:t>
      </w:r>
      <w:r w:rsidR="00FE29C0" w:rsidRPr="001D098C">
        <w:rPr>
          <w:lang w:val="ru-RU"/>
        </w:rPr>
        <w:t>За прошедшие с тех пор десятилетия произошло развитие технологий</w:t>
      </w:r>
      <w:r w:rsidR="006623C2" w:rsidRPr="001D098C">
        <w:rPr>
          <w:lang w:val="ru-RU"/>
        </w:rPr>
        <w:t>.</w:t>
      </w:r>
    </w:p>
    <w:p w14:paraId="2CABF2EF" w14:textId="7DE62EB2" w:rsidR="006623C2" w:rsidRPr="001D098C" w:rsidRDefault="00200209" w:rsidP="002144CE">
      <w:pPr>
        <w:keepNext/>
        <w:jc w:val="both"/>
        <w:rPr>
          <w:lang w:val="ru-RU"/>
        </w:rPr>
      </w:pPr>
      <w:r w:rsidRPr="001D098C">
        <w:rPr>
          <w:lang w:val="ru-RU"/>
        </w:rPr>
        <w:t xml:space="preserve">С точки зрения ИК11 службы, связанные с UPT, </w:t>
      </w:r>
      <w:r w:rsidR="00E63A9D" w:rsidRPr="001D098C">
        <w:rPr>
          <w:lang w:val="ru-RU"/>
        </w:rPr>
        <w:t>которые определены</w:t>
      </w:r>
      <w:r w:rsidRPr="001D098C">
        <w:rPr>
          <w:lang w:val="ru-RU"/>
        </w:rPr>
        <w:t xml:space="preserve"> в Рекомендациях МСЭ-Т, более не существуют. </w:t>
      </w:r>
      <w:r w:rsidR="006B4101" w:rsidRPr="001D098C">
        <w:rPr>
          <w:lang w:val="ru-RU"/>
        </w:rPr>
        <w:t xml:space="preserve">Ввиду этого серия относящихся к </w:t>
      </w:r>
      <w:r w:rsidR="006623C2" w:rsidRPr="001D098C">
        <w:rPr>
          <w:lang w:val="ru-RU"/>
        </w:rPr>
        <w:t>UPT</w:t>
      </w:r>
      <w:r w:rsidR="006B4101" w:rsidRPr="001D098C">
        <w:rPr>
          <w:lang w:val="ru-RU"/>
        </w:rPr>
        <w:t xml:space="preserve"> Рекомендаци</w:t>
      </w:r>
      <w:r w:rsidR="00A70136" w:rsidRPr="001D098C">
        <w:rPr>
          <w:lang w:val="ru-RU"/>
        </w:rPr>
        <w:t>й</w:t>
      </w:r>
      <w:r w:rsidR="006B4101" w:rsidRPr="001D098C">
        <w:rPr>
          <w:lang w:val="ru-RU"/>
        </w:rPr>
        <w:t xml:space="preserve"> более не актуальна</w:t>
      </w:r>
      <w:r w:rsidR="006623C2" w:rsidRPr="001D098C">
        <w:rPr>
          <w:lang w:val="ru-RU"/>
        </w:rPr>
        <w:t xml:space="preserve">. </w:t>
      </w:r>
      <w:r w:rsidR="006B4101" w:rsidRPr="001D098C">
        <w:rPr>
          <w:lang w:val="ru-RU"/>
        </w:rPr>
        <w:t>С учетом этого обоснования ИК</w:t>
      </w:r>
      <w:r w:rsidR="00C03C54" w:rsidRPr="001D098C">
        <w:rPr>
          <w:lang w:val="ru-RU"/>
        </w:rPr>
        <w:t>11</w:t>
      </w:r>
      <w:r w:rsidR="006B4101" w:rsidRPr="001D098C">
        <w:rPr>
          <w:lang w:val="ru-RU"/>
        </w:rPr>
        <w:t xml:space="preserve"> рекомендовала Директору БСЭ инициировать аннулирование всех </w:t>
      </w:r>
      <w:r w:rsidR="005527E7" w:rsidRPr="001D098C">
        <w:rPr>
          <w:lang w:val="ru-RU"/>
        </w:rPr>
        <w:t>Р</w:t>
      </w:r>
      <w:r w:rsidR="006B4101" w:rsidRPr="001D098C">
        <w:rPr>
          <w:lang w:val="ru-RU"/>
        </w:rPr>
        <w:t xml:space="preserve">екомендаций по </w:t>
      </w:r>
      <w:r w:rsidR="006623C2" w:rsidRPr="001D098C">
        <w:rPr>
          <w:lang w:val="ru-RU"/>
        </w:rPr>
        <w:t>UPT.</w:t>
      </w:r>
    </w:p>
    <w:p w14:paraId="3F843150" w14:textId="749DDA22" w:rsidR="000321A5" w:rsidRPr="001D098C" w:rsidRDefault="000321A5" w:rsidP="002144CE">
      <w:pPr>
        <w:spacing w:before="480"/>
        <w:jc w:val="center"/>
        <w:rPr>
          <w:lang w:val="ru-RU"/>
        </w:rPr>
      </w:pPr>
      <w:r w:rsidRPr="001D098C">
        <w:rPr>
          <w:lang w:val="ru-RU"/>
        </w:rPr>
        <w:t>_______________</w:t>
      </w:r>
    </w:p>
    <w:sectPr w:rsidR="000321A5" w:rsidRPr="001D098C" w:rsidSect="000321A5">
      <w:headerReference w:type="default" r:id="rId11"/>
      <w:footerReference w:type="first" r:id="rId12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5B1E" w14:textId="77777777" w:rsidR="0028192D" w:rsidRDefault="0028192D">
      <w:r>
        <w:separator/>
      </w:r>
    </w:p>
  </w:endnote>
  <w:endnote w:type="continuationSeparator" w:id="0">
    <w:p w14:paraId="1231C531" w14:textId="77777777" w:rsidR="0028192D" w:rsidRDefault="0028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0C7" w14:textId="77777777" w:rsidR="00BF71D1" w:rsidRPr="00430D5C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30D5C">
      <w:rPr>
        <w:color w:val="0070C0"/>
        <w:sz w:val="18"/>
        <w:szCs w:val="18"/>
        <w:lang w:val="fr-CH"/>
      </w:rPr>
      <w:t>International Telecommunication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30D5C">
      <w:rPr>
        <w:color w:val="0070C0"/>
        <w:sz w:val="18"/>
        <w:szCs w:val="18"/>
        <w:lang w:val="fr-CH"/>
      </w:rPr>
      <w:br/>
    </w:r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 xml:space="preserve">: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5605" w14:textId="77777777" w:rsidR="0028192D" w:rsidRDefault="0028192D">
      <w:r>
        <w:separator/>
      </w:r>
    </w:p>
  </w:footnote>
  <w:footnote w:type="continuationSeparator" w:id="0">
    <w:p w14:paraId="17DAE6D7" w14:textId="77777777" w:rsidR="0028192D" w:rsidRDefault="00281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FCA" w14:textId="73E9C181" w:rsidR="00BF71D1" w:rsidRPr="00604026" w:rsidRDefault="00BF71D1" w:rsidP="00141FF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186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853A51">
      <w:rPr>
        <w:lang w:val="ru-RU"/>
      </w:rPr>
      <w:t>3</w:t>
    </w:r>
    <w:r w:rsidR="008B5CD0">
      <w:rPr>
        <w:lang w:val="ru-RU"/>
      </w:rPr>
      <w:t>0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609E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904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B214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BCE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50E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564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AF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4A4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8C3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0766967">
    <w:abstractNumId w:val="23"/>
  </w:num>
  <w:num w:numId="2" w16cid:durableId="766778285">
    <w:abstractNumId w:val="16"/>
  </w:num>
  <w:num w:numId="3" w16cid:durableId="844832094">
    <w:abstractNumId w:val="30"/>
  </w:num>
  <w:num w:numId="4" w16cid:durableId="273756242">
    <w:abstractNumId w:val="13"/>
  </w:num>
  <w:num w:numId="5" w16cid:durableId="436798567">
    <w:abstractNumId w:val="24"/>
  </w:num>
  <w:num w:numId="6" w16cid:durableId="876968248">
    <w:abstractNumId w:val="12"/>
  </w:num>
  <w:num w:numId="7" w16cid:durableId="1854147898">
    <w:abstractNumId w:val="27"/>
  </w:num>
  <w:num w:numId="8" w16cid:durableId="1195534683">
    <w:abstractNumId w:val="20"/>
  </w:num>
  <w:num w:numId="9" w16cid:durableId="2014918397">
    <w:abstractNumId w:val="22"/>
  </w:num>
  <w:num w:numId="10" w16cid:durableId="505829349">
    <w:abstractNumId w:val="15"/>
  </w:num>
  <w:num w:numId="11" w16cid:durableId="472600108">
    <w:abstractNumId w:val="25"/>
  </w:num>
  <w:num w:numId="12" w16cid:durableId="775177719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783041210">
    <w:abstractNumId w:val="18"/>
  </w:num>
  <w:num w:numId="14" w16cid:durableId="1032153263">
    <w:abstractNumId w:val="19"/>
  </w:num>
  <w:num w:numId="15" w16cid:durableId="118574476">
    <w:abstractNumId w:val="14"/>
  </w:num>
  <w:num w:numId="16" w16cid:durableId="159660355">
    <w:abstractNumId w:val="29"/>
  </w:num>
  <w:num w:numId="17" w16cid:durableId="2003116790">
    <w:abstractNumId w:val="28"/>
  </w:num>
  <w:num w:numId="18" w16cid:durableId="543493376">
    <w:abstractNumId w:val="9"/>
  </w:num>
  <w:num w:numId="19" w16cid:durableId="1581138656">
    <w:abstractNumId w:val="7"/>
  </w:num>
  <w:num w:numId="20" w16cid:durableId="407575580">
    <w:abstractNumId w:val="6"/>
  </w:num>
  <w:num w:numId="21" w16cid:durableId="227501631">
    <w:abstractNumId w:val="5"/>
  </w:num>
  <w:num w:numId="22" w16cid:durableId="492645157">
    <w:abstractNumId w:val="4"/>
  </w:num>
  <w:num w:numId="23" w16cid:durableId="772826083">
    <w:abstractNumId w:val="8"/>
  </w:num>
  <w:num w:numId="24" w16cid:durableId="1203446353">
    <w:abstractNumId w:val="3"/>
  </w:num>
  <w:num w:numId="25" w16cid:durableId="934166758">
    <w:abstractNumId w:val="2"/>
  </w:num>
  <w:num w:numId="26" w16cid:durableId="516769903">
    <w:abstractNumId w:val="1"/>
  </w:num>
  <w:num w:numId="27" w16cid:durableId="1546411397">
    <w:abstractNumId w:val="0"/>
  </w:num>
  <w:num w:numId="28" w16cid:durableId="1565408739">
    <w:abstractNumId w:val="17"/>
  </w:num>
  <w:num w:numId="29" w16cid:durableId="1450902205">
    <w:abstractNumId w:val="26"/>
  </w:num>
  <w:num w:numId="30" w16cid:durableId="1030911487">
    <w:abstractNumId w:val="21"/>
  </w:num>
  <w:num w:numId="31" w16cid:durableId="10226269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792B"/>
    <w:rsid w:val="00011D10"/>
    <w:rsid w:val="00011DBE"/>
    <w:rsid w:val="00015D39"/>
    <w:rsid w:val="00022027"/>
    <w:rsid w:val="00022907"/>
    <w:rsid w:val="00024565"/>
    <w:rsid w:val="00030BEE"/>
    <w:rsid w:val="000321A5"/>
    <w:rsid w:val="0003235D"/>
    <w:rsid w:val="0004755D"/>
    <w:rsid w:val="00052599"/>
    <w:rsid w:val="0006037C"/>
    <w:rsid w:val="00062E38"/>
    <w:rsid w:val="000708F5"/>
    <w:rsid w:val="000720FA"/>
    <w:rsid w:val="00082B7B"/>
    <w:rsid w:val="00095B50"/>
    <w:rsid w:val="00095EA0"/>
    <w:rsid w:val="0009650F"/>
    <w:rsid w:val="000A02D7"/>
    <w:rsid w:val="000A52B0"/>
    <w:rsid w:val="000C0420"/>
    <w:rsid w:val="000C2147"/>
    <w:rsid w:val="000C2B57"/>
    <w:rsid w:val="000C4B98"/>
    <w:rsid w:val="000C5DC8"/>
    <w:rsid w:val="000C7D98"/>
    <w:rsid w:val="000D7B9B"/>
    <w:rsid w:val="000E2BEE"/>
    <w:rsid w:val="000E4F60"/>
    <w:rsid w:val="000E6B30"/>
    <w:rsid w:val="001009A5"/>
    <w:rsid w:val="00103310"/>
    <w:rsid w:val="00103382"/>
    <w:rsid w:val="00105B48"/>
    <w:rsid w:val="00112CD6"/>
    <w:rsid w:val="0011544F"/>
    <w:rsid w:val="00115B49"/>
    <w:rsid w:val="00121998"/>
    <w:rsid w:val="0012266B"/>
    <w:rsid w:val="0012655D"/>
    <w:rsid w:val="00126A55"/>
    <w:rsid w:val="00127679"/>
    <w:rsid w:val="00141FF0"/>
    <w:rsid w:val="00146B36"/>
    <w:rsid w:val="00150755"/>
    <w:rsid w:val="00162260"/>
    <w:rsid w:val="001629DC"/>
    <w:rsid w:val="0016471D"/>
    <w:rsid w:val="00180046"/>
    <w:rsid w:val="00181F00"/>
    <w:rsid w:val="00183CC4"/>
    <w:rsid w:val="00184E6D"/>
    <w:rsid w:val="00185A56"/>
    <w:rsid w:val="0019030B"/>
    <w:rsid w:val="001979CA"/>
    <w:rsid w:val="001B2770"/>
    <w:rsid w:val="001B4A74"/>
    <w:rsid w:val="001C6E74"/>
    <w:rsid w:val="001C7E50"/>
    <w:rsid w:val="001D098C"/>
    <w:rsid w:val="001D1190"/>
    <w:rsid w:val="001D261C"/>
    <w:rsid w:val="001D6206"/>
    <w:rsid w:val="001E24A8"/>
    <w:rsid w:val="001E4070"/>
    <w:rsid w:val="001F0165"/>
    <w:rsid w:val="001F1354"/>
    <w:rsid w:val="001F1941"/>
    <w:rsid w:val="001F63B2"/>
    <w:rsid w:val="00200209"/>
    <w:rsid w:val="00205108"/>
    <w:rsid w:val="00207341"/>
    <w:rsid w:val="00213DDA"/>
    <w:rsid w:val="002144CE"/>
    <w:rsid w:val="00216D3E"/>
    <w:rsid w:val="0022492E"/>
    <w:rsid w:val="002366C8"/>
    <w:rsid w:val="00237055"/>
    <w:rsid w:val="00242803"/>
    <w:rsid w:val="002429ED"/>
    <w:rsid w:val="00250D92"/>
    <w:rsid w:val="0025232B"/>
    <w:rsid w:val="00252821"/>
    <w:rsid w:val="00253743"/>
    <w:rsid w:val="00254EB7"/>
    <w:rsid w:val="00255F01"/>
    <w:rsid w:val="0025701E"/>
    <w:rsid w:val="0026232A"/>
    <w:rsid w:val="002736E9"/>
    <w:rsid w:val="002773B1"/>
    <w:rsid w:val="0028192D"/>
    <w:rsid w:val="00282B1B"/>
    <w:rsid w:val="00297434"/>
    <w:rsid w:val="002A5E04"/>
    <w:rsid w:val="002B04EC"/>
    <w:rsid w:val="002B1C00"/>
    <w:rsid w:val="002B37F9"/>
    <w:rsid w:val="002B44F2"/>
    <w:rsid w:val="002B4A2E"/>
    <w:rsid w:val="002B670A"/>
    <w:rsid w:val="002B68F8"/>
    <w:rsid w:val="002C16A1"/>
    <w:rsid w:val="002C1908"/>
    <w:rsid w:val="002C339C"/>
    <w:rsid w:val="002C552E"/>
    <w:rsid w:val="002D06B7"/>
    <w:rsid w:val="002D26FD"/>
    <w:rsid w:val="002E3F87"/>
    <w:rsid w:val="002E4C41"/>
    <w:rsid w:val="00303D7B"/>
    <w:rsid w:val="0030521B"/>
    <w:rsid w:val="003113A8"/>
    <w:rsid w:val="0031223D"/>
    <w:rsid w:val="00314B2D"/>
    <w:rsid w:val="00320BC3"/>
    <w:rsid w:val="00321264"/>
    <w:rsid w:val="00321F06"/>
    <w:rsid w:val="00322F4A"/>
    <w:rsid w:val="00323296"/>
    <w:rsid w:val="00323423"/>
    <w:rsid w:val="00325B15"/>
    <w:rsid w:val="0033145D"/>
    <w:rsid w:val="0033434F"/>
    <w:rsid w:val="00337770"/>
    <w:rsid w:val="00337F1C"/>
    <w:rsid w:val="00340304"/>
    <w:rsid w:val="003449AA"/>
    <w:rsid w:val="003470CD"/>
    <w:rsid w:val="00354887"/>
    <w:rsid w:val="003555F3"/>
    <w:rsid w:val="00360D8C"/>
    <w:rsid w:val="00365FBA"/>
    <w:rsid w:val="003664DD"/>
    <w:rsid w:val="00367073"/>
    <w:rsid w:val="00374204"/>
    <w:rsid w:val="003752EA"/>
    <w:rsid w:val="003759D0"/>
    <w:rsid w:val="00375DB9"/>
    <w:rsid w:val="00375F8B"/>
    <w:rsid w:val="00384867"/>
    <w:rsid w:val="00387855"/>
    <w:rsid w:val="00387B5E"/>
    <w:rsid w:val="003906BF"/>
    <w:rsid w:val="00392BAC"/>
    <w:rsid w:val="00394B12"/>
    <w:rsid w:val="0039544E"/>
    <w:rsid w:val="003A291A"/>
    <w:rsid w:val="003A7A16"/>
    <w:rsid w:val="003B0C51"/>
    <w:rsid w:val="003B149F"/>
    <w:rsid w:val="003B1F94"/>
    <w:rsid w:val="003B4372"/>
    <w:rsid w:val="003C039B"/>
    <w:rsid w:val="003C1C17"/>
    <w:rsid w:val="003D4B2E"/>
    <w:rsid w:val="003D6860"/>
    <w:rsid w:val="003E2FF4"/>
    <w:rsid w:val="003E3A15"/>
    <w:rsid w:val="003E6336"/>
    <w:rsid w:val="003F21DF"/>
    <w:rsid w:val="003F25A6"/>
    <w:rsid w:val="003F5B77"/>
    <w:rsid w:val="003F6BDD"/>
    <w:rsid w:val="00400CEF"/>
    <w:rsid w:val="00403C87"/>
    <w:rsid w:val="00415F7D"/>
    <w:rsid w:val="004167E6"/>
    <w:rsid w:val="0041688E"/>
    <w:rsid w:val="00424335"/>
    <w:rsid w:val="00424A82"/>
    <w:rsid w:val="00427930"/>
    <w:rsid w:val="00430D5C"/>
    <w:rsid w:val="00434713"/>
    <w:rsid w:val="00434CF0"/>
    <w:rsid w:val="004405DD"/>
    <w:rsid w:val="00444B73"/>
    <w:rsid w:val="00447C12"/>
    <w:rsid w:val="00455EFA"/>
    <w:rsid w:val="00456E5A"/>
    <w:rsid w:val="0045726D"/>
    <w:rsid w:val="00457AC9"/>
    <w:rsid w:val="00461969"/>
    <w:rsid w:val="0046288F"/>
    <w:rsid w:val="004650C7"/>
    <w:rsid w:val="004743CD"/>
    <w:rsid w:val="00474DB7"/>
    <w:rsid w:val="00475A27"/>
    <w:rsid w:val="004805DE"/>
    <w:rsid w:val="0049095E"/>
    <w:rsid w:val="00495F13"/>
    <w:rsid w:val="004A0D07"/>
    <w:rsid w:val="004B38C8"/>
    <w:rsid w:val="004C4CDF"/>
    <w:rsid w:val="004C5268"/>
    <w:rsid w:val="004E01AE"/>
    <w:rsid w:val="004E46B0"/>
    <w:rsid w:val="004E58C8"/>
    <w:rsid w:val="004E722D"/>
    <w:rsid w:val="004F33DB"/>
    <w:rsid w:val="004F3651"/>
    <w:rsid w:val="004F48F0"/>
    <w:rsid w:val="0050623D"/>
    <w:rsid w:val="00513D8C"/>
    <w:rsid w:val="00514426"/>
    <w:rsid w:val="00514CD5"/>
    <w:rsid w:val="00517A66"/>
    <w:rsid w:val="005229D6"/>
    <w:rsid w:val="00547C89"/>
    <w:rsid w:val="005527E7"/>
    <w:rsid w:val="00553F5D"/>
    <w:rsid w:val="00557C09"/>
    <w:rsid w:val="00573099"/>
    <w:rsid w:val="005814CE"/>
    <w:rsid w:val="005928AA"/>
    <w:rsid w:val="00592D20"/>
    <w:rsid w:val="005937CF"/>
    <w:rsid w:val="00596A87"/>
    <w:rsid w:val="005A0460"/>
    <w:rsid w:val="005A069D"/>
    <w:rsid w:val="005A11F3"/>
    <w:rsid w:val="005A1235"/>
    <w:rsid w:val="005A1FE2"/>
    <w:rsid w:val="005A3201"/>
    <w:rsid w:val="005B0D40"/>
    <w:rsid w:val="005B2683"/>
    <w:rsid w:val="005C202A"/>
    <w:rsid w:val="005C6F95"/>
    <w:rsid w:val="005D044D"/>
    <w:rsid w:val="005D0CD4"/>
    <w:rsid w:val="005D547F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40418"/>
    <w:rsid w:val="00642147"/>
    <w:rsid w:val="00650054"/>
    <w:rsid w:val="00651F13"/>
    <w:rsid w:val="0065331E"/>
    <w:rsid w:val="006555F5"/>
    <w:rsid w:val="00655DB5"/>
    <w:rsid w:val="00656902"/>
    <w:rsid w:val="006618E4"/>
    <w:rsid w:val="00662011"/>
    <w:rsid w:val="006623C2"/>
    <w:rsid w:val="00662453"/>
    <w:rsid w:val="006657F2"/>
    <w:rsid w:val="006777D5"/>
    <w:rsid w:val="0068188D"/>
    <w:rsid w:val="00685BFE"/>
    <w:rsid w:val="00686D44"/>
    <w:rsid w:val="00687AB1"/>
    <w:rsid w:val="00690982"/>
    <w:rsid w:val="00690DB4"/>
    <w:rsid w:val="00694FF0"/>
    <w:rsid w:val="006950D0"/>
    <w:rsid w:val="006A1B16"/>
    <w:rsid w:val="006A1F01"/>
    <w:rsid w:val="006A6DAA"/>
    <w:rsid w:val="006B0FB6"/>
    <w:rsid w:val="006B1E6B"/>
    <w:rsid w:val="006B4101"/>
    <w:rsid w:val="006C444C"/>
    <w:rsid w:val="006C70E5"/>
    <w:rsid w:val="006D34FD"/>
    <w:rsid w:val="006E1CD1"/>
    <w:rsid w:val="006F1984"/>
    <w:rsid w:val="006F2018"/>
    <w:rsid w:val="00701561"/>
    <w:rsid w:val="00707691"/>
    <w:rsid w:val="0071361F"/>
    <w:rsid w:val="00714338"/>
    <w:rsid w:val="00717255"/>
    <w:rsid w:val="00720273"/>
    <w:rsid w:val="0072560B"/>
    <w:rsid w:val="007264BE"/>
    <w:rsid w:val="00726FFA"/>
    <w:rsid w:val="00733159"/>
    <w:rsid w:val="0073537C"/>
    <w:rsid w:val="00736BCB"/>
    <w:rsid w:val="00737D00"/>
    <w:rsid w:val="00741C5B"/>
    <w:rsid w:val="0074299E"/>
    <w:rsid w:val="007440B0"/>
    <w:rsid w:val="00744B3C"/>
    <w:rsid w:val="0074689D"/>
    <w:rsid w:val="00751BDC"/>
    <w:rsid w:val="00751E08"/>
    <w:rsid w:val="00753F18"/>
    <w:rsid w:val="00761D65"/>
    <w:rsid w:val="00763FF3"/>
    <w:rsid w:val="0077286C"/>
    <w:rsid w:val="00772E48"/>
    <w:rsid w:val="007749F3"/>
    <w:rsid w:val="007752C4"/>
    <w:rsid w:val="00776B9B"/>
    <w:rsid w:val="00793112"/>
    <w:rsid w:val="0079397B"/>
    <w:rsid w:val="007A10AC"/>
    <w:rsid w:val="007A6D85"/>
    <w:rsid w:val="007B0E86"/>
    <w:rsid w:val="007B434B"/>
    <w:rsid w:val="007C0847"/>
    <w:rsid w:val="007C327C"/>
    <w:rsid w:val="007D0BFA"/>
    <w:rsid w:val="007D1544"/>
    <w:rsid w:val="007D37B3"/>
    <w:rsid w:val="007D4F1A"/>
    <w:rsid w:val="007E0691"/>
    <w:rsid w:val="007E0BC5"/>
    <w:rsid w:val="007F0B23"/>
    <w:rsid w:val="007F4D75"/>
    <w:rsid w:val="00803BC4"/>
    <w:rsid w:val="00805288"/>
    <w:rsid w:val="00805AE9"/>
    <w:rsid w:val="0080673D"/>
    <w:rsid w:val="008121CB"/>
    <w:rsid w:val="00814248"/>
    <w:rsid w:val="00820E07"/>
    <w:rsid w:val="00824CD3"/>
    <w:rsid w:val="00824E94"/>
    <w:rsid w:val="00826CB4"/>
    <w:rsid w:val="00831FDC"/>
    <w:rsid w:val="00832A5A"/>
    <w:rsid w:val="00835494"/>
    <w:rsid w:val="00842681"/>
    <w:rsid w:val="00852337"/>
    <w:rsid w:val="00852DB6"/>
    <w:rsid w:val="00853A51"/>
    <w:rsid w:val="008621D1"/>
    <w:rsid w:val="008670BD"/>
    <w:rsid w:val="00867192"/>
    <w:rsid w:val="00871131"/>
    <w:rsid w:val="00871F45"/>
    <w:rsid w:val="0087691C"/>
    <w:rsid w:val="00887309"/>
    <w:rsid w:val="00894719"/>
    <w:rsid w:val="008A2B67"/>
    <w:rsid w:val="008A70E5"/>
    <w:rsid w:val="008B01F5"/>
    <w:rsid w:val="008B0BD9"/>
    <w:rsid w:val="008B5CD0"/>
    <w:rsid w:val="008C5191"/>
    <w:rsid w:val="008C5C0E"/>
    <w:rsid w:val="008C630B"/>
    <w:rsid w:val="008C7044"/>
    <w:rsid w:val="008D09D6"/>
    <w:rsid w:val="008D0C80"/>
    <w:rsid w:val="008D12B6"/>
    <w:rsid w:val="008E04E4"/>
    <w:rsid w:val="008E0925"/>
    <w:rsid w:val="008E1D26"/>
    <w:rsid w:val="008E4677"/>
    <w:rsid w:val="008F5E27"/>
    <w:rsid w:val="008F5FAF"/>
    <w:rsid w:val="009156A4"/>
    <w:rsid w:val="009166E1"/>
    <w:rsid w:val="00922AE4"/>
    <w:rsid w:val="0092690A"/>
    <w:rsid w:val="00931437"/>
    <w:rsid w:val="00932022"/>
    <w:rsid w:val="00933F00"/>
    <w:rsid w:val="009344BF"/>
    <w:rsid w:val="009359C2"/>
    <w:rsid w:val="00941471"/>
    <w:rsid w:val="009419B8"/>
    <w:rsid w:val="009469D2"/>
    <w:rsid w:val="00951A6C"/>
    <w:rsid w:val="00953E5B"/>
    <w:rsid w:val="00954B9E"/>
    <w:rsid w:val="009726D8"/>
    <w:rsid w:val="00974E5E"/>
    <w:rsid w:val="0098497B"/>
    <w:rsid w:val="009908A0"/>
    <w:rsid w:val="0099450D"/>
    <w:rsid w:val="009949A0"/>
    <w:rsid w:val="009974B4"/>
    <w:rsid w:val="009979B5"/>
    <w:rsid w:val="009A2C9B"/>
    <w:rsid w:val="009A4485"/>
    <w:rsid w:val="009B3104"/>
    <w:rsid w:val="009B6144"/>
    <w:rsid w:val="009C0BD5"/>
    <w:rsid w:val="009D2E7D"/>
    <w:rsid w:val="009D572B"/>
    <w:rsid w:val="009D6E9A"/>
    <w:rsid w:val="009E1CDC"/>
    <w:rsid w:val="009F1507"/>
    <w:rsid w:val="009F1C62"/>
    <w:rsid w:val="00A0079C"/>
    <w:rsid w:val="00A010DF"/>
    <w:rsid w:val="00A0386F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AF5"/>
    <w:rsid w:val="00A64C45"/>
    <w:rsid w:val="00A654CA"/>
    <w:rsid w:val="00A66C90"/>
    <w:rsid w:val="00A67927"/>
    <w:rsid w:val="00A70136"/>
    <w:rsid w:val="00A73DC4"/>
    <w:rsid w:val="00A77ADD"/>
    <w:rsid w:val="00A80E0E"/>
    <w:rsid w:val="00A8170F"/>
    <w:rsid w:val="00A835A1"/>
    <w:rsid w:val="00A87822"/>
    <w:rsid w:val="00A91EB5"/>
    <w:rsid w:val="00A945D1"/>
    <w:rsid w:val="00A95ACF"/>
    <w:rsid w:val="00A97C88"/>
    <w:rsid w:val="00AA4F3D"/>
    <w:rsid w:val="00AB6C9D"/>
    <w:rsid w:val="00AD08A0"/>
    <w:rsid w:val="00AD301B"/>
    <w:rsid w:val="00AD3D11"/>
    <w:rsid w:val="00AD62EA"/>
    <w:rsid w:val="00AD7DE5"/>
    <w:rsid w:val="00AF0BD7"/>
    <w:rsid w:val="00AF2B53"/>
    <w:rsid w:val="00AF4E59"/>
    <w:rsid w:val="00AF6FE0"/>
    <w:rsid w:val="00B059DF"/>
    <w:rsid w:val="00B071BA"/>
    <w:rsid w:val="00B1302A"/>
    <w:rsid w:val="00B151E8"/>
    <w:rsid w:val="00B15A86"/>
    <w:rsid w:val="00B15D73"/>
    <w:rsid w:val="00B27935"/>
    <w:rsid w:val="00B27EAD"/>
    <w:rsid w:val="00B34D84"/>
    <w:rsid w:val="00B4568A"/>
    <w:rsid w:val="00B467F0"/>
    <w:rsid w:val="00B54B88"/>
    <w:rsid w:val="00B550FC"/>
    <w:rsid w:val="00B5728B"/>
    <w:rsid w:val="00B577FC"/>
    <w:rsid w:val="00B61642"/>
    <w:rsid w:val="00B61A8D"/>
    <w:rsid w:val="00B666AB"/>
    <w:rsid w:val="00B722A9"/>
    <w:rsid w:val="00B72648"/>
    <w:rsid w:val="00B727F2"/>
    <w:rsid w:val="00B77658"/>
    <w:rsid w:val="00B77F07"/>
    <w:rsid w:val="00B821BE"/>
    <w:rsid w:val="00B85FD0"/>
    <w:rsid w:val="00B90AAE"/>
    <w:rsid w:val="00B977D1"/>
    <w:rsid w:val="00BA3D74"/>
    <w:rsid w:val="00BA7E56"/>
    <w:rsid w:val="00BC33B4"/>
    <w:rsid w:val="00BE262A"/>
    <w:rsid w:val="00BE7F3D"/>
    <w:rsid w:val="00BF13BA"/>
    <w:rsid w:val="00BF20B2"/>
    <w:rsid w:val="00BF68F5"/>
    <w:rsid w:val="00BF71D1"/>
    <w:rsid w:val="00BF7905"/>
    <w:rsid w:val="00C004DB"/>
    <w:rsid w:val="00C014F3"/>
    <w:rsid w:val="00C03C54"/>
    <w:rsid w:val="00C12552"/>
    <w:rsid w:val="00C13A79"/>
    <w:rsid w:val="00C13C65"/>
    <w:rsid w:val="00C15FDF"/>
    <w:rsid w:val="00C20FE5"/>
    <w:rsid w:val="00C212D0"/>
    <w:rsid w:val="00C22D6C"/>
    <w:rsid w:val="00C328FD"/>
    <w:rsid w:val="00C32F2B"/>
    <w:rsid w:val="00C3322E"/>
    <w:rsid w:val="00C33886"/>
    <w:rsid w:val="00C420F2"/>
    <w:rsid w:val="00C428B0"/>
    <w:rsid w:val="00C44E66"/>
    <w:rsid w:val="00C4627F"/>
    <w:rsid w:val="00C47E4B"/>
    <w:rsid w:val="00C509F8"/>
    <w:rsid w:val="00C5792C"/>
    <w:rsid w:val="00C60E38"/>
    <w:rsid w:val="00C623F1"/>
    <w:rsid w:val="00C63528"/>
    <w:rsid w:val="00C654A6"/>
    <w:rsid w:val="00C71470"/>
    <w:rsid w:val="00C71DA3"/>
    <w:rsid w:val="00C73DFC"/>
    <w:rsid w:val="00C75C57"/>
    <w:rsid w:val="00C805D6"/>
    <w:rsid w:val="00C8496E"/>
    <w:rsid w:val="00C860CD"/>
    <w:rsid w:val="00C960F2"/>
    <w:rsid w:val="00CA27D4"/>
    <w:rsid w:val="00CB2D88"/>
    <w:rsid w:val="00CB6913"/>
    <w:rsid w:val="00CC0651"/>
    <w:rsid w:val="00CC0BAF"/>
    <w:rsid w:val="00CC3EA9"/>
    <w:rsid w:val="00CC4470"/>
    <w:rsid w:val="00CC48F1"/>
    <w:rsid w:val="00CD5218"/>
    <w:rsid w:val="00CE6BD1"/>
    <w:rsid w:val="00CF117E"/>
    <w:rsid w:val="00D05D96"/>
    <w:rsid w:val="00D11340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70F90"/>
    <w:rsid w:val="00D72611"/>
    <w:rsid w:val="00D748E3"/>
    <w:rsid w:val="00D8066F"/>
    <w:rsid w:val="00D82D8A"/>
    <w:rsid w:val="00D83022"/>
    <w:rsid w:val="00D911F5"/>
    <w:rsid w:val="00D95123"/>
    <w:rsid w:val="00D956E4"/>
    <w:rsid w:val="00DA1127"/>
    <w:rsid w:val="00DB1342"/>
    <w:rsid w:val="00DC6716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4A1A"/>
    <w:rsid w:val="00E17F1A"/>
    <w:rsid w:val="00E21D73"/>
    <w:rsid w:val="00E22DBE"/>
    <w:rsid w:val="00E23134"/>
    <w:rsid w:val="00E26FC5"/>
    <w:rsid w:val="00E41507"/>
    <w:rsid w:val="00E45439"/>
    <w:rsid w:val="00E45C46"/>
    <w:rsid w:val="00E473CE"/>
    <w:rsid w:val="00E63A8F"/>
    <w:rsid w:val="00E63A9D"/>
    <w:rsid w:val="00E645B4"/>
    <w:rsid w:val="00E64711"/>
    <w:rsid w:val="00E67E1D"/>
    <w:rsid w:val="00E734D2"/>
    <w:rsid w:val="00E742A4"/>
    <w:rsid w:val="00E76ABA"/>
    <w:rsid w:val="00E77177"/>
    <w:rsid w:val="00E80D82"/>
    <w:rsid w:val="00E8626B"/>
    <w:rsid w:val="00E94EA2"/>
    <w:rsid w:val="00E97992"/>
    <w:rsid w:val="00EA043F"/>
    <w:rsid w:val="00EA0DA7"/>
    <w:rsid w:val="00EA1BEF"/>
    <w:rsid w:val="00EA2859"/>
    <w:rsid w:val="00EA438E"/>
    <w:rsid w:val="00EA6A90"/>
    <w:rsid w:val="00EB0376"/>
    <w:rsid w:val="00EB23DC"/>
    <w:rsid w:val="00EB24FD"/>
    <w:rsid w:val="00EB43C9"/>
    <w:rsid w:val="00EB49A7"/>
    <w:rsid w:val="00EC224F"/>
    <w:rsid w:val="00EC5E44"/>
    <w:rsid w:val="00ED0299"/>
    <w:rsid w:val="00ED3264"/>
    <w:rsid w:val="00ED6849"/>
    <w:rsid w:val="00EE4334"/>
    <w:rsid w:val="00EE72A7"/>
    <w:rsid w:val="00EE78DF"/>
    <w:rsid w:val="00EF273F"/>
    <w:rsid w:val="00EF2DC6"/>
    <w:rsid w:val="00F01236"/>
    <w:rsid w:val="00F0382B"/>
    <w:rsid w:val="00F077E3"/>
    <w:rsid w:val="00F15118"/>
    <w:rsid w:val="00F16960"/>
    <w:rsid w:val="00F205F5"/>
    <w:rsid w:val="00F26456"/>
    <w:rsid w:val="00F27D00"/>
    <w:rsid w:val="00F27D21"/>
    <w:rsid w:val="00F342E5"/>
    <w:rsid w:val="00F35D9B"/>
    <w:rsid w:val="00F37E54"/>
    <w:rsid w:val="00F402D9"/>
    <w:rsid w:val="00F440C8"/>
    <w:rsid w:val="00F52977"/>
    <w:rsid w:val="00F61D08"/>
    <w:rsid w:val="00F62566"/>
    <w:rsid w:val="00F70611"/>
    <w:rsid w:val="00F830DA"/>
    <w:rsid w:val="00F83892"/>
    <w:rsid w:val="00F83A7B"/>
    <w:rsid w:val="00F8473D"/>
    <w:rsid w:val="00F8789D"/>
    <w:rsid w:val="00F93AEE"/>
    <w:rsid w:val="00F96186"/>
    <w:rsid w:val="00FA01E2"/>
    <w:rsid w:val="00FA5D8E"/>
    <w:rsid w:val="00FB296B"/>
    <w:rsid w:val="00FB54DF"/>
    <w:rsid w:val="00FB7709"/>
    <w:rsid w:val="00FC019B"/>
    <w:rsid w:val="00FC30DC"/>
    <w:rsid w:val="00FC4FF2"/>
    <w:rsid w:val="00FC6CE3"/>
    <w:rsid w:val="00FD2329"/>
    <w:rsid w:val="00FD353E"/>
    <w:rsid w:val="00FE294C"/>
    <w:rsid w:val="00FE29C0"/>
    <w:rsid w:val="00FE3F16"/>
    <w:rsid w:val="00FE5304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6B22-3373-4654-8449-B689F820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32</TotalTime>
  <Pages>7</Pages>
  <Words>2099</Words>
  <Characters>11966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14037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7</cp:revision>
  <cp:lastPrinted>2022-08-25T08:01:00Z</cp:lastPrinted>
  <dcterms:created xsi:type="dcterms:W3CDTF">2022-08-02T09:45:00Z</dcterms:created>
  <dcterms:modified xsi:type="dcterms:W3CDTF">2022-08-25T08:02:00Z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