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C890" w14:textId="77777777" w:rsidR="008319AC" w:rsidRPr="00F86F23" w:rsidRDefault="008319AC" w:rsidP="00E91465">
      <w:pPr>
        <w:jc w:val="center"/>
        <w:rPr>
          <w:rFonts w:cs="Times New Roman Bold"/>
          <w:b/>
          <w:bCs/>
          <w:iCs/>
          <w:smallCaps/>
          <w:sz w:val="34"/>
          <w:szCs w:val="34"/>
        </w:rPr>
      </w:pPr>
      <w:bookmarkStart w:id="0" w:name="StartTyping_F"/>
      <w:bookmarkEnd w:id="0"/>
      <w:r w:rsidRPr="00F86F23">
        <w:rPr>
          <w:noProof/>
          <w:lang w:eastAsia="zh-CN"/>
        </w:rPr>
        <w:drawing>
          <wp:inline distT="0" distB="0" distL="0" distR="0" wp14:anchorId="7D8BF17C" wp14:editId="7CBC247E">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00D9D7E5" w14:textId="439D08B4" w:rsidR="00517A03" w:rsidRPr="00F86F23" w:rsidRDefault="008319AC" w:rsidP="00E91465">
      <w:pPr>
        <w:jc w:val="center"/>
      </w:pPr>
      <w:r w:rsidRPr="00F86F23">
        <w:rPr>
          <w:rFonts w:cs="Times New Roman Bold"/>
          <w:b/>
          <w:bCs/>
          <w:iCs/>
          <w:smallCaps/>
          <w:sz w:val="34"/>
          <w:szCs w:val="34"/>
        </w:rPr>
        <w:t>Union internationale des télécommunications</w:t>
      </w:r>
    </w:p>
    <w:tbl>
      <w:tblPr>
        <w:tblpPr w:leftFromText="180" w:rightFromText="180" w:vertAnchor="page" w:horzAnchor="margin" w:tblpY="3085"/>
        <w:tblW w:w="9923" w:type="dxa"/>
        <w:tblLayout w:type="fixed"/>
        <w:tblCellMar>
          <w:left w:w="0" w:type="dxa"/>
          <w:right w:w="0" w:type="dxa"/>
        </w:tblCellMar>
        <w:tblLook w:val="0000" w:firstRow="0" w:lastRow="0" w:firstColumn="0" w:lastColumn="0" w:noHBand="0" w:noVBand="0"/>
      </w:tblPr>
      <w:tblGrid>
        <w:gridCol w:w="1268"/>
        <w:gridCol w:w="3552"/>
        <w:gridCol w:w="5095"/>
        <w:gridCol w:w="8"/>
      </w:tblGrid>
      <w:tr w:rsidR="008319AC" w:rsidRPr="00F86F23" w14:paraId="34D8170A" w14:textId="77777777" w:rsidTr="00A564BB">
        <w:trPr>
          <w:cantSplit/>
          <w:trHeight w:val="1130"/>
        </w:trPr>
        <w:tc>
          <w:tcPr>
            <w:tcW w:w="4820" w:type="dxa"/>
            <w:gridSpan w:val="2"/>
          </w:tcPr>
          <w:p w14:paraId="31C002B5" w14:textId="77777777" w:rsidR="008319AC" w:rsidRPr="00F86F23" w:rsidRDefault="008319AC" w:rsidP="00E91465">
            <w:pPr>
              <w:pStyle w:val="TableTitle"/>
              <w:jc w:val="left"/>
              <w:rPr>
                <w:color w:val="808080" w:themeColor="background1" w:themeShade="80"/>
                <w:sz w:val="28"/>
                <w:szCs w:val="22"/>
              </w:rPr>
            </w:pPr>
            <w:r w:rsidRPr="00F86F23">
              <w:rPr>
                <w:rFonts w:cs="Times New Roman Bold"/>
                <w:color w:val="808080" w:themeColor="background1" w:themeShade="80"/>
                <w:sz w:val="28"/>
                <w:szCs w:val="22"/>
              </w:rPr>
              <w:t>B</w:t>
            </w:r>
            <w:r w:rsidRPr="00F86F23">
              <w:rPr>
                <w:color w:val="808080" w:themeColor="background1" w:themeShade="80"/>
                <w:sz w:val="28"/>
                <w:szCs w:val="22"/>
              </w:rPr>
              <w:t>ureau de la normalisation</w:t>
            </w:r>
            <w:r w:rsidRPr="00F86F23">
              <w:rPr>
                <w:color w:val="808080" w:themeColor="background1" w:themeShade="80"/>
                <w:sz w:val="28"/>
                <w:szCs w:val="22"/>
              </w:rPr>
              <w:br/>
              <w:t>des télécommunications (TSB)</w:t>
            </w:r>
          </w:p>
        </w:tc>
        <w:tc>
          <w:tcPr>
            <w:tcW w:w="5103" w:type="dxa"/>
            <w:gridSpan w:val="2"/>
          </w:tcPr>
          <w:p w14:paraId="2E34A62F" w14:textId="77777777" w:rsidR="008319AC" w:rsidRPr="00F86F23" w:rsidRDefault="008319AC" w:rsidP="00E91465">
            <w:pPr>
              <w:pStyle w:val="TableTitle"/>
              <w:jc w:val="left"/>
              <w:rPr>
                <w:color w:val="808080" w:themeColor="background1" w:themeShade="80"/>
                <w:sz w:val="28"/>
                <w:szCs w:val="22"/>
              </w:rPr>
            </w:pPr>
            <w:r w:rsidRPr="00F86F23">
              <w:rPr>
                <w:color w:val="808080" w:themeColor="background1" w:themeShade="80"/>
                <w:sz w:val="28"/>
                <w:szCs w:val="22"/>
              </w:rPr>
              <w:t>Bureau de développement</w:t>
            </w:r>
            <w:r w:rsidRPr="00F86F23">
              <w:rPr>
                <w:color w:val="808080" w:themeColor="background1" w:themeShade="80"/>
                <w:sz w:val="28"/>
                <w:szCs w:val="22"/>
              </w:rPr>
              <w:br/>
              <w:t>des télécommunications (BDT)</w:t>
            </w:r>
          </w:p>
        </w:tc>
      </w:tr>
      <w:tr w:rsidR="008319AC" w:rsidRPr="00791FB3" w14:paraId="6A267EBD" w14:textId="77777777" w:rsidTr="008319AC">
        <w:trPr>
          <w:cantSplit/>
        </w:trPr>
        <w:tc>
          <w:tcPr>
            <w:tcW w:w="4820" w:type="dxa"/>
            <w:gridSpan w:val="2"/>
          </w:tcPr>
          <w:p w14:paraId="60F8BCCA" w14:textId="77777777" w:rsidR="008319AC" w:rsidRPr="00791FB3" w:rsidRDefault="008319AC" w:rsidP="00E91465">
            <w:pPr>
              <w:pStyle w:val="TableText"/>
              <w:rPr>
                <w:rFonts w:cstheme="minorHAnsi"/>
                <w:szCs w:val="22"/>
              </w:rPr>
            </w:pPr>
          </w:p>
        </w:tc>
        <w:tc>
          <w:tcPr>
            <w:tcW w:w="5103" w:type="dxa"/>
            <w:gridSpan w:val="2"/>
          </w:tcPr>
          <w:p w14:paraId="416F6946" w14:textId="77777777" w:rsidR="008319AC" w:rsidRPr="00791FB3" w:rsidRDefault="008319AC" w:rsidP="00E91465">
            <w:pPr>
              <w:pStyle w:val="TableText"/>
              <w:rPr>
                <w:rFonts w:cstheme="minorHAnsi"/>
                <w:szCs w:val="22"/>
              </w:rPr>
            </w:pPr>
            <w:r w:rsidRPr="00791FB3">
              <w:rPr>
                <w:rFonts w:cstheme="minorHAnsi"/>
                <w:szCs w:val="22"/>
              </w:rPr>
              <w:t>Genève, le 20 septembre 2022</w:t>
            </w:r>
          </w:p>
        </w:tc>
      </w:tr>
      <w:tr w:rsidR="008319AC" w:rsidRPr="00791FB3" w14:paraId="63BE560E" w14:textId="77777777" w:rsidTr="008319AC">
        <w:trPr>
          <w:cantSplit/>
          <w:trHeight w:val="1114"/>
        </w:trPr>
        <w:tc>
          <w:tcPr>
            <w:tcW w:w="1268" w:type="dxa"/>
          </w:tcPr>
          <w:p w14:paraId="61D91078" w14:textId="6261D41E" w:rsidR="008319AC" w:rsidRPr="00791FB3" w:rsidRDefault="008319AC" w:rsidP="00E91465">
            <w:pPr>
              <w:pStyle w:val="TableText"/>
              <w:rPr>
                <w:rFonts w:cstheme="minorHAnsi"/>
                <w:szCs w:val="22"/>
              </w:rPr>
            </w:pPr>
            <w:proofErr w:type="gramStart"/>
            <w:r w:rsidRPr="00791FB3">
              <w:rPr>
                <w:rFonts w:cstheme="minorHAnsi"/>
                <w:szCs w:val="22"/>
              </w:rPr>
              <w:t>Réf</w:t>
            </w:r>
            <w:r w:rsidR="00F86F23" w:rsidRPr="00791FB3">
              <w:rPr>
                <w:rFonts w:cstheme="minorHAnsi"/>
                <w:szCs w:val="22"/>
              </w:rPr>
              <w:t>.</w:t>
            </w:r>
            <w:r w:rsidRPr="00791FB3">
              <w:rPr>
                <w:rFonts w:cstheme="minorHAnsi"/>
                <w:szCs w:val="22"/>
              </w:rPr>
              <w:t>:</w:t>
            </w:r>
            <w:proofErr w:type="gramEnd"/>
          </w:p>
          <w:p w14:paraId="5F59B671" w14:textId="77777777" w:rsidR="008319AC" w:rsidRPr="00791FB3" w:rsidRDefault="008319AC" w:rsidP="00E91465">
            <w:pPr>
              <w:pStyle w:val="TableText"/>
              <w:rPr>
                <w:rFonts w:cstheme="minorHAnsi"/>
                <w:szCs w:val="22"/>
              </w:rPr>
            </w:pPr>
          </w:p>
        </w:tc>
        <w:tc>
          <w:tcPr>
            <w:tcW w:w="3552" w:type="dxa"/>
          </w:tcPr>
          <w:p w14:paraId="439B4935" w14:textId="4FAA0817" w:rsidR="008319AC" w:rsidRPr="00791FB3" w:rsidRDefault="008319AC" w:rsidP="00E91465">
            <w:pPr>
              <w:pStyle w:val="TableText"/>
              <w:rPr>
                <w:rFonts w:cstheme="minorHAnsi"/>
                <w:b/>
                <w:bCs/>
                <w:szCs w:val="22"/>
              </w:rPr>
            </w:pPr>
            <w:r w:rsidRPr="00791FB3">
              <w:rPr>
                <w:rFonts w:cstheme="minorHAnsi"/>
                <w:b/>
                <w:bCs/>
                <w:szCs w:val="22"/>
              </w:rPr>
              <w:t>Circulaire BDT/DKH/RME/128</w:t>
            </w:r>
            <w:r w:rsidRPr="00791FB3">
              <w:rPr>
                <w:rFonts w:cstheme="minorHAnsi"/>
                <w:b/>
                <w:bCs/>
                <w:szCs w:val="22"/>
              </w:rPr>
              <w:br/>
              <w:t>Circulaire TSB 29</w:t>
            </w:r>
          </w:p>
        </w:tc>
        <w:tc>
          <w:tcPr>
            <w:tcW w:w="5103" w:type="dxa"/>
            <w:gridSpan w:val="2"/>
          </w:tcPr>
          <w:p w14:paraId="37544CCC" w14:textId="4BF8B5CF"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bookmarkStart w:id="1" w:name="Addressee_F"/>
            <w:bookmarkEnd w:id="1"/>
            <w:r w:rsidRPr="00791FB3">
              <w:rPr>
                <w:rFonts w:cstheme="minorHAnsi"/>
                <w:szCs w:val="22"/>
              </w:rPr>
              <w:t>–</w:t>
            </w:r>
            <w:r w:rsidRPr="00791FB3">
              <w:rPr>
                <w:rFonts w:cstheme="minorHAnsi"/>
                <w:szCs w:val="22"/>
              </w:rPr>
              <w:tab/>
              <w:t>Aux Administrations des États Membres de l'Union</w:t>
            </w:r>
          </w:p>
          <w:p w14:paraId="38130015" w14:textId="33C44C74"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Aux Membres des Secteurs de l'UIT-T et de l'UIT-D</w:t>
            </w:r>
          </w:p>
          <w:p w14:paraId="4BF6F487" w14:textId="20BEF322"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Aux Associés de l'UIT-T et de l'UIT-D</w:t>
            </w:r>
          </w:p>
          <w:p w14:paraId="5C0FC325" w14:textId="77777777"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Aux établissements universitaires participant aux travaux de l'UIT</w:t>
            </w:r>
          </w:p>
        </w:tc>
      </w:tr>
      <w:tr w:rsidR="008319AC" w:rsidRPr="00791FB3" w14:paraId="463B74AD" w14:textId="77777777" w:rsidTr="00A564BB">
        <w:trPr>
          <w:cantSplit/>
          <w:trHeight w:val="1936"/>
        </w:trPr>
        <w:tc>
          <w:tcPr>
            <w:tcW w:w="1268" w:type="dxa"/>
          </w:tcPr>
          <w:p w14:paraId="17F83B58" w14:textId="420DFA0E" w:rsidR="008319AC" w:rsidRPr="00791FB3" w:rsidRDefault="008319AC" w:rsidP="00E91465">
            <w:pPr>
              <w:pStyle w:val="TableText"/>
              <w:rPr>
                <w:rFonts w:cstheme="minorHAnsi"/>
                <w:szCs w:val="22"/>
              </w:rPr>
            </w:pPr>
            <w:proofErr w:type="gramStart"/>
            <w:r w:rsidRPr="00791FB3">
              <w:rPr>
                <w:rFonts w:cstheme="minorHAnsi"/>
                <w:szCs w:val="22"/>
              </w:rPr>
              <w:t>Courriel</w:t>
            </w:r>
            <w:r w:rsidR="00B81BC9" w:rsidRPr="00791FB3">
              <w:rPr>
                <w:rFonts w:cstheme="minorHAnsi"/>
                <w:szCs w:val="22"/>
              </w:rPr>
              <w:t>:</w:t>
            </w:r>
            <w:proofErr w:type="gramEnd"/>
          </w:p>
        </w:tc>
        <w:tc>
          <w:tcPr>
            <w:tcW w:w="3552" w:type="dxa"/>
          </w:tcPr>
          <w:p w14:paraId="290953CC" w14:textId="77777777" w:rsidR="008319AC" w:rsidRPr="00791FB3" w:rsidRDefault="00547837" w:rsidP="00E91465">
            <w:pPr>
              <w:pStyle w:val="TableText"/>
              <w:rPr>
                <w:rFonts w:cstheme="minorHAnsi"/>
                <w:szCs w:val="22"/>
              </w:rPr>
            </w:pPr>
            <w:hyperlink r:id="rId9" w:history="1">
              <w:r w:rsidR="008319AC" w:rsidRPr="00791FB3">
                <w:rPr>
                  <w:rStyle w:val="Hyperlink"/>
                  <w:rFonts w:cstheme="minorHAnsi"/>
                  <w:szCs w:val="22"/>
                </w:rPr>
                <w:t>tsbevents@itu.int</w:t>
              </w:r>
            </w:hyperlink>
          </w:p>
        </w:tc>
        <w:tc>
          <w:tcPr>
            <w:tcW w:w="5103" w:type="dxa"/>
            <w:gridSpan w:val="2"/>
          </w:tcPr>
          <w:p w14:paraId="65E06EC2" w14:textId="77777777" w:rsidR="008319AC" w:rsidRPr="00791FB3" w:rsidRDefault="008319AC" w:rsidP="00E9146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b/>
                <w:szCs w:val="22"/>
              </w:rPr>
            </w:pPr>
            <w:proofErr w:type="gramStart"/>
            <w:r w:rsidRPr="00791FB3">
              <w:rPr>
                <w:rFonts w:cstheme="minorHAnsi"/>
                <w:b/>
                <w:szCs w:val="22"/>
              </w:rPr>
              <w:t>Copie:</w:t>
            </w:r>
            <w:proofErr w:type="gramEnd"/>
          </w:p>
          <w:p w14:paraId="6E05E469" w14:textId="7C7ACC70"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Aux Présidents et Vice-Présidents des commissions d'études de l'UIT-T et de l'UIT-D</w:t>
            </w:r>
          </w:p>
          <w:p w14:paraId="73188B79" w14:textId="2C28DD75"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 Directeur du Bureau des radiocommunications</w:t>
            </w:r>
          </w:p>
          <w:p w14:paraId="0FABA090" w14:textId="77777777" w:rsidR="008319AC" w:rsidRPr="00791FB3" w:rsidRDefault="008319AC" w:rsidP="00E9119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22" w:hanging="422"/>
              <w:rPr>
                <w:rFonts w:cstheme="minorHAnsi"/>
                <w:szCs w:val="22"/>
              </w:rPr>
            </w:pPr>
            <w:r w:rsidRPr="00791FB3">
              <w:rPr>
                <w:rFonts w:cstheme="minorHAnsi"/>
                <w:szCs w:val="22"/>
              </w:rPr>
              <w:t>–</w:t>
            </w:r>
            <w:r w:rsidRPr="00791FB3">
              <w:rPr>
                <w:rFonts w:cstheme="minorHAnsi"/>
                <w:szCs w:val="22"/>
              </w:rPr>
              <w:tab/>
              <w:t>Aux Directeurs régionaux des bureaux régionaux de l'UIT</w:t>
            </w:r>
          </w:p>
        </w:tc>
      </w:tr>
      <w:tr w:rsidR="008319AC" w:rsidRPr="00791FB3" w14:paraId="592FF57F" w14:textId="77777777" w:rsidTr="00F86F23">
        <w:trPr>
          <w:gridAfter w:val="1"/>
          <w:wAfter w:w="8" w:type="dxa"/>
          <w:cantSplit/>
          <w:trHeight w:val="746"/>
        </w:trPr>
        <w:tc>
          <w:tcPr>
            <w:tcW w:w="1268" w:type="dxa"/>
          </w:tcPr>
          <w:p w14:paraId="71F7EBCF" w14:textId="77777777" w:rsidR="008319AC" w:rsidRPr="00791FB3" w:rsidRDefault="008319AC" w:rsidP="00F86F23">
            <w:pPr>
              <w:pStyle w:val="TableText"/>
              <w:spacing w:before="120"/>
              <w:rPr>
                <w:rFonts w:cstheme="minorHAnsi"/>
                <w:b/>
                <w:bCs/>
                <w:szCs w:val="22"/>
              </w:rPr>
            </w:pPr>
            <w:proofErr w:type="gramStart"/>
            <w:r w:rsidRPr="00791FB3">
              <w:rPr>
                <w:rFonts w:cstheme="minorHAnsi"/>
                <w:b/>
                <w:bCs/>
                <w:szCs w:val="22"/>
              </w:rPr>
              <w:t>Objet:</w:t>
            </w:r>
            <w:proofErr w:type="gramEnd"/>
          </w:p>
        </w:tc>
        <w:tc>
          <w:tcPr>
            <w:tcW w:w="8647" w:type="dxa"/>
            <w:gridSpan w:val="2"/>
            <w:vAlign w:val="bottom"/>
          </w:tcPr>
          <w:p w14:paraId="73C8D2E3" w14:textId="396011A9" w:rsidR="008319AC" w:rsidRPr="00791FB3" w:rsidRDefault="00B83598" w:rsidP="00E91197">
            <w:pPr>
              <w:pStyle w:val="TableText"/>
              <w:spacing w:before="120"/>
              <w:rPr>
                <w:rFonts w:cstheme="minorHAnsi"/>
                <w:b/>
                <w:bCs/>
                <w:szCs w:val="22"/>
              </w:rPr>
            </w:pPr>
            <w:r w:rsidRPr="00791FB3">
              <w:rPr>
                <w:rFonts w:cstheme="minorHAnsi"/>
                <w:b/>
                <w:bCs/>
                <w:szCs w:val="22"/>
              </w:rPr>
              <w:t>Atelier de l'UIT sur le thème</w:t>
            </w:r>
            <w:r w:rsidR="008319AC" w:rsidRPr="00791FB3">
              <w:rPr>
                <w:rFonts w:cstheme="minorHAnsi"/>
                <w:b/>
                <w:bCs/>
                <w:szCs w:val="22"/>
              </w:rPr>
              <w:t xml:space="preserve"> "</w:t>
            </w:r>
            <w:r w:rsidRPr="00791FB3">
              <w:rPr>
                <w:rFonts w:cstheme="minorHAnsi"/>
                <w:b/>
                <w:bCs/>
                <w:szCs w:val="22"/>
              </w:rPr>
              <w:t>Mesures incitatives économiques et budgétaires</w:t>
            </w:r>
            <w:r w:rsidR="008319AC" w:rsidRPr="00791FB3">
              <w:rPr>
                <w:rFonts w:cstheme="minorHAnsi"/>
                <w:b/>
                <w:bCs/>
                <w:szCs w:val="22"/>
              </w:rPr>
              <w:t xml:space="preserve"> </w:t>
            </w:r>
            <w:r w:rsidRPr="00791FB3">
              <w:rPr>
                <w:rFonts w:cstheme="minorHAnsi"/>
                <w:b/>
                <w:bCs/>
                <w:szCs w:val="22"/>
              </w:rPr>
              <w:t xml:space="preserve">propres à accélérer la </w:t>
            </w:r>
            <w:r w:rsidR="008319AC" w:rsidRPr="00791FB3">
              <w:rPr>
                <w:rFonts w:cstheme="minorHAnsi"/>
                <w:b/>
                <w:bCs/>
                <w:szCs w:val="22"/>
              </w:rPr>
              <w:t xml:space="preserve">transformation </w:t>
            </w:r>
            <w:r w:rsidRPr="00791FB3">
              <w:rPr>
                <w:rFonts w:cstheme="minorHAnsi"/>
                <w:b/>
                <w:bCs/>
                <w:szCs w:val="22"/>
              </w:rPr>
              <w:t xml:space="preserve">numérique des données et des </w:t>
            </w:r>
            <w:r w:rsidR="008319AC" w:rsidRPr="00791FB3">
              <w:rPr>
                <w:rFonts w:cstheme="minorHAnsi"/>
                <w:b/>
                <w:bCs/>
                <w:szCs w:val="22"/>
              </w:rPr>
              <w:t xml:space="preserve">applications </w:t>
            </w:r>
            <w:r w:rsidRPr="00791FB3">
              <w:rPr>
                <w:rFonts w:cstheme="minorHAnsi"/>
                <w:b/>
                <w:bCs/>
                <w:szCs w:val="22"/>
              </w:rPr>
              <w:t xml:space="preserve">dans les </w:t>
            </w:r>
            <w:r w:rsidR="008319AC" w:rsidRPr="00791FB3">
              <w:rPr>
                <w:rFonts w:cstheme="minorHAnsi"/>
                <w:b/>
                <w:bCs/>
                <w:szCs w:val="22"/>
              </w:rPr>
              <w:t>infrastructure</w:t>
            </w:r>
            <w:r w:rsidRPr="00791FB3">
              <w:rPr>
                <w:rFonts w:cstheme="minorHAnsi"/>
                <w:b/>
                <w:bCs/>
                <w:szCs w:val="22"/>
              </w:rPr>
              <w:t>s de télécommunication</w:t>
            </w:r>
            <w:r w:rsidR="008319AC" w:rsidRPr="00791FB3">
              <w:rPr>
                <w:rFonts w:cstheme="minorHAnsi"/>
                <w:b/>
                <w:bCs/>
                <w:szCs w:val="22"/>
              </w:rPr>
              <w:t>"</w:t>
            </w:r>
          </w:p>
          <w:p w14:paraId="4F1E51AB" w14:textId="1AB8E967" w:rsidR="008319AC" w:rsidRPr="00791FB3" w:rsidRDefault="008319AC" w:rsidP="00E91465">
            <w:pPr>
              <w:pStyle w:val="TableText"/>
              <w:rPr>
                <w:rFonts w:cstheme="minorHAnsi"/>
                <w:szCs w:val="22"/>
              </w:rPr>
            </w:pPr>
            <w:r w:rsidRPr="00791FB3">
              <w:rPr>
                <w:rFonts w:cstheme="minorHAnsi"/>
                <w:b/>
                <w:bCs/>
                <w:szCs w:val="22"/>
              </w:rPr>
              <w:t>(</w:t>
            </w:r>
            <w:r w:rsidR="00B83598" w:rsidRPr="00791FB3">
              <w:rPr>
                <w:rFonts w:cstheme="minorHAnsi"/>
                <w:b/>
                <w:bCs/>
                <w:szCs w:val="22"/>
              </w:rPr>
              <w:t>Genève</w:t>
            </w:r>
            <w:r w:rsidRPr="00791FB3">
              <w:rPr>
                <w:rFonts w:cstheme="minorHAnsi"/>
                <w:b/>
                <w:bCs/>
                <w:szCs w:val="22"/>
              </w:rPr>
              <w:t xml:space="preserve">, </w:t>
            </w:r>
            <w:r w:rsidR="00B83598" w:rsidRPr="00791FB3">
              <w:rPr>
                <w:rFonts w:cstheme="minorHAnsi"/>
                <w:b/>
                <w:bCs/>
                <w:szCs w:val="22"/>
              </w:rPr>
              <w:t>Suisse</w:t>
            </w:r>
            <w:r w:rsidRPr="00791FB3">
              <w:rPr>
                <w:rFonts w:cstheme="minorHAnsi"/>
                <w:b/>
                <w:bCs/>
                <w:szCs w:val="22"/>
              </w:rPr>
              <w:t>, 3</w:t>
            </w:r>
            <w:r w:rsidR="00221658" w:rsidRPr="00791FB3">
              <w:rPr>
                <w:rFonts w:cstheme="minorHAnsi"/>
                <w:b/>
                <w:bCs/>
                <w:szCs w:val="22"/>
              </w:rPr>
              <w:t xml:space="preserve"> et </w:t>
            </w:r>
            <w:r w:rsidRPr="00791FB3">
              <w:rPr>
                <w:rFonts w:cstheme="minorHAnsi"/>
                <w:b/>
                <w:bCs/>
                <w:szCs w:val="22"/>
              </w:rPr>
              <w:t xml:space="preserve">4 </w:t>
            </w:r>
            <w:r w:rsidR="00B83598" w:rsidRPr="00791FB3">
              <w:rPr>
                <w:rFonts w:cstheme="minorHAnsi"/>
                <w:b/>
                <w:bCs/>
                <w:szCs w:val="22"/>
              </w:rPr>
              <w:t xml:space="preserve">novembre </w:t>
            </w:r>
            <w:r w:rsidRPr="00791FB3">
              <w:rPr>
                <w:rFonts w:cstheme="minorHAnsi"/>
                <w:b/>
                <w:bCs/>
                <w:szCs w:val="22"/>
              </w:rPr>
              <w:t>2022)</w:t>
            </w:r>
          </w:p>
        </w:tc>
      </w:tr>
    </w:tbl>
    <w:p w14:paraId="3BA1A372" w14:textId="6EC8D30B" w:rsidR="008319AC" w:rsidRPr="00791FB3" w:rsidRDefault="008319AC" w:rsidP="00E91197">
      <w:pPr>
        <w:rPr>
          <w:rFonts w:cstheme="minorHAnsi"/>
          <w:sz w:val="22"/>
          <w:szCs w:val="22"/>
        </w:rPr>
      </w:pPr>
      <w:r w:rsidRPr="00791FB3">
        <w:rPr>
          <w:rFonts w:cstheme="minorHAnsi"/>
          <w:sz w:val="22"/>
          <w:szCs w:val="22"/>
        </w:rPr>
        <w:t>Madam</w:t>
      </w:r>
      <w:r w:rsidR="00B83598" w:rsidRPr="00791FB3">
        <w:rPr>
          <w:rFonts w:cstheme="minorHAnsi"/>
          <w:sz w:val="22"/>
          <w:szCs w:val="22"/>
        </w:rPr>
        <w:t>e</w:t>
      </w:r>
      <w:r w:rsidRPr="00791FB3">
        <w:rPr>
          <w:rFonts w:cstheme="minorHAnsi"/>
          <w:sz w:val="22"/>
          <w:szCs w:val="22"/>
        </w:rPr>
        <w:t>,</w:t>
      </w:r>
      <w:r w:rsidR="00B83598" w:rsidRPr="00791FB3">
        <w:rPr>
          <w:rFonts w:cstheme="minorHAnsi"/>
          <w:sz w:val="22"/>
          <w:szCs w:val="22"/>
        </w:rPr>
        <w:t xml:space="preserve"> Monsieur,</w:t>
      </w:r>
    </w:p>
    <w:p w14:paraId="430815FE" w14:textId="29417F50" w:rsidR="008319AC" w:rsidRPr="00791FB3" w:rsidRDefault="008319AC" w:rsidP="00E91197">
      <w:pPr>
        <w:rPr>
          <w:rFonts w:cstheme="minorHAnsi"/>
          <w:sz w:val="22"/>
          <w:szCs w:val="22"/>
        </w:rPr>
      </w:pPr>
      <w:r w:rsidRPr="00791FB3">
        <w:rPr>
          <w:rFonts w:cstheme="minorHAnsi"/>
          <w:sz w:val="22"/>
          <w:szCs w:val="22"/>
        </w:rPr>
        <w:t>1</w:t>
      </w:r>
      <w:r w:rsidRPr="00791FB3">
        <w:rPr>
          <w:rFonts w:cstheme="minorHAnsi"/>
          <w:sz w:val="22"/>
          <w:szCs w:val="22"/>
        </w:rPr>
        <w:tab/>
      </w:r>
      <w:r w:rsidR="00B83598" w:rsidRPr="00791FB3">
        <w:rPr>
          <w:rFonts w:cstheme="minorHAnsi"/>
          <w:sz w:val="22"/>
          <w:szCs w:val="22"/>
        </w:rPr>
        <w:t>L'</w:t>
      </w:r>
      <w:r w:rsidRPr="00791FB3">
        <w:rPr>
          <w:rFonts w:cstheme="minorHAnsi"/>
          <w:sz w:val="22"/>
          <w:szCs w:val="22"/>
        </w:rPr>
        <w:t xml:space="preserve">Union </w:t>
      </w:r>
      <w:r w:rsidR="00B83598" w:rsidRPr="00791FB3">
        <w:rPr>
          <w:rFonts w:cstheme="minorHAnsi"/>
          <w:sz w:val="22"/>
          <w:szCs w:val="22"/>
        </w:rPr>
        <w:t xml:space="preserve">internationale des télécommunications </w:t>
      </w:r>
      <w:r w:rsidRPr="00791FB3">
        <w:rPr>
          <w:rFonts w:cstheme="minorHAnsi"/>
          <w:sz w:val="22"/>
          <w:szCs w:val="22"/>
        </w:rPr>
        <w:t>(U</w:t>
      </w:r>
      <w:r w:rsidR="00B83598" w:rsidRPr="00791FB3">
        <w:rPr>
          <w:rFonts w:cstheme="minorHAnsi"/>
          <w:sz w:val="22"/>
          <w:szCs w:val="22"/>
        </w:rPr>
        <w:t>IT</w:t>
      </w:r>
      <w:r w:rsidRPr="00791FB3">
        <w:rPr>
          <w:rFonts w:cstheme="minorHAnsi"/>
          <w:sz w:val="22"/>
          <w:szCs w:val="22"/>
        </w:rPr>
        <w:t xml:space="preserve">) </w:t>
      </w:r>
      <w:r w:rsidR="00B83598" w:rsidRPr="00791FB3">
        <w:rPr>
          <w:rFonts w:cstheme="minorHAnsi"/>
          <w:sz w:val="22"/>
          <w:szCs w:val="22"/>
        </w:rPr>
        <w:t xml:space="preserve">organise un atelier sur le thème </w:t>
      </w:r>
      <w:r w:rsidRPr="00791FB3">
        <w:rPr>
          <w:rFonts w:cstheme="minorHAnsi"/>
          <w:sz w:val="22"/>
          <w:szCs w:val="22"/>
        </w:rPr>
        <w:t>"</w:t>
      </w:r>
      <w:r w:rsidR="00B83598" w:rsidRPr="00791FB3">
        <w:rPr>
          <w:rFonts w:cstheme="minorHAnsi"/>
          <w:b/>
          <w:bCs/>
          <w:sz w:val="22"/>
          <w:szCs w:val="22"/>
        </w:rPr>
        <w:t>Mesures incitatives économiques et budgétaires propres à accélérer la transformation numérique des données et des applications dans les infrastructures de télécommunication</w:t>
      </w:r>
      <w:r w:rsidRPr="00791FB3">
        <w:rPr>
          <w:rFonts w:cstheme="minorHAnsi"/>
          <w:sz w:val="22"/>
          <w:szCs w:val="22"/>
        </w:rPr>
        <w:t>"</w:t>
      </w:r>
      <w:r w:rsidR="00DE014C" w:rsidRPr="00791FB3">
        <w:rPr>
          <w:rFonts w:cstheme="minorHAnsi"/>
          <w:sz w:val="22"/>
          <w:szCs w:val="22"/>
        </w:rPr>
        <w:t xml:space="preserve">, qui se tiendra les </w:t>
      </w:r>
      <w:r w:rsidRPr="00791FB3">
        <w:rPr>
          <w:rFonts w:cstheme="minorHAnsi"/>
          <w:sz w:val="22"/>
          <w:szCs w:val="22"/>
        </w:rPr>
        <w:t xml:space="preserve">3 </w:t>
      </w:r>
      <w:r w:rsidR="00DE014C" w:rsidRPr="00791FB3">
        <w:rPr>
          <w:rFonts w:cstheme="minorHAnsi"/>
          <w:sz w:val="22"/>
          <w:szCs w:val="22"/>
        </w:rPr>
        <w:t xml:space="preserve">et </w:t>
      </w:r>
      <w:r w:rsidRPr="00791FB3">
        <w:rPr>
          <w:rFonts w:cstheme="minorHAnsi"/>
          <w:sz w:val="22"/>
          <w:szCs w:val="22"/>
        </w:rPr>
        <w:t xml:space="preserve">4 </w:t>
      </w:r>
      <w:r w:rsidR="00DE014C" w:rsidRPr="00791FB3">
        <w:rPr>
          <w:rFonts w:cstheme="minorHAnsi"/>
          <w:sz w:val="22"/>
          <w:szCs w:val="22"/>
        </w:rPr>
        <w:t xml:space="preserve">novembre </w:t>
      </w:r>
      <w:r w:rsidRPr="00791FB3">
        <w:rPr>
          <w:rFonts w:cstheme="minorHAnsi"/>
          <w:sz w:val="22"/>
          <w:szCs w:val="22"/>
        </w:rPr>
        <w:t xml:space="preserve">2022 </w:t>
      </w:r>
      <w:r w:rsidR="00DE014C" w:rsidRPr="00791FB3">
        <w:rPr>
          <w:rFonts w:cstheme="minorHAnsi"/>
          <w:sz w:val="22"/>
          <w:szCs w:val="22"/>
        </w:rPr>
        <w:t>au siège de l'UIT</w:t>
      </w:r>
      <w:r w:rsidR="00221658" w:rsidRPr="00791FB3">
        <w:rPr>
          <w:rFonts w:cstheme="minorHAnsi"/>
          <w:sz w:val="22"/>
          <w:szCs w:val="22"/>
        </w:rPr>
        <w:t xml:space="preserve"> </w:t>
      </w:r>
      <w:r w:rsidR="00DE014C" w:rsidRPr="00791FB3">
        <w:rPr>
          <w:rFonts w:cstheme="minorHAnsi"/>
          <w:sz w:val="22"/>
          <w:szCs w:val="22"/>
        </w:rPr>
        <w:t>à Genève (Suisse)</w:t>
      </w:r>
      <w:r w:rsidRPr="00791FB3">
        <w:rPr>
          <w:rFonts w:cstheme="minorHAnsi"/>
          <w:sz w:val="22"/>
          <w:szCs w:val="22"/>
        </w:rPr>
        <w:t xml:space="preserve">. </w:t>
      </w:r>
      <w:r w:rsidR="00B81BC9" w:rsidRPr="00791FB3">
        <w:rPr>
          <w:rFonts w:cstheme="minorHAnsi"/>
          <w:sz w:val="22"/>
          <w:szCs w:val="22"/>
        </w:rPr>
        <w:t xml:space="preserve">Cet </w:t>
      </w:r>
      <w:r w:rsidR="00DE014C" w:rsidRPr="00791FB3">
        <w:rPr>
          <w:rFonts w:cstheme="minorHAnsi"/>
          <w:sz w:val="22"/>
          <w:szCs w:val="22"/>
        </w:rPr>
        <w:t>atelier sera o</w:t>
      </w:r>
      <w:r w:rsidR="000E30D3" w:rsidRPr="00791FB3">
        <w:rPr>
          <w:rFonts w:cstheme="minorHAnsi"/>
          <w:sz w:val="22"/>
          <w:szCs w:val="22"/>
        </w:rPr>
        <w:t>rganisé sous la forme d'une manifestation physique, à laquelle il sera possible de participer à distance.</w:t>
      </w:r>
    </w:p>
    <w:p w14:paraId="5147D0A2" w14:textId="11400C6F" w:rsidR="008319AC" w:rsidRPr="00791FB3" w:rsidRDefault="00DE014C" w:rsidP="00E91197">
      <w:pPr>
        <w:rPr>
          <w:rFonts w:cstheme="minorHAnsi"/>
          <w:sz w:val="22"/>
          <w:szCs w:val="22"/>
        </w:rPr>
      </w:pPr>
      <w:r w:rsidRPr="00791FB3">
        <w:rPr>
          <w:rFonts w:cstheme="minorHAnsi"/>
          <w:sz w:val="22"/>
          <w:szCs w:val="22"/>
        </w:rPr>
        <w:t>Cet atelier se déroulera en anglais seulement</w:t>
      </w:r>
      <w:r w:rsidR="008319AC" w:rsidRPr="00791FB3">
        <w:rPr>
          <w:rFonts w:cstheme="minorHAnsi"/>
          <w:sz w:val="22"/>
          <w:szCs w:val="22"/>
        </w:rPr>
        <w:t xml:space="preserve">, </w:t>
      </w:r>
      <w:r w:rsidRPr="00791FB3">
        <w:rPr>
          <w:rFonts w:cstheme="minorHAnsi"/>
          <w:sz w:val="22"/>
          <w:szCs w:val="22"/>
        </w:rPr>
        <w:t xml:space="preserve">avec un service de sous-titrage en direct, et sera suivi d'une série de réunions </w:t>
      </w:r>
      <w:r w:rsidR="00221658" w:rsidRPr="00791FB3">
        <w:rPr>
          <w:rFonts w:cstheme="minorHAnsi"/>
          <w:sz w:val="22"/>
          <w:szCs w:val="22"/>
        </w:rPr>
        <w:t xml:space="preserve">des </w:t>
      </w:r>
      <w:r w:rsidR="00E91465" w:rsidRPr="00791FB3">
        <w:rPr>
          <w:rFonts w:cstheme="minorHAnsi"/>
          <w:sz w:val="22"/>
          <w:szCs w:val="22"/>
        </w:rPr>
        <w:t>Groupe</w:t>
      </w:r>
      <w:r w:rsidR="00221658" w:rsidRPr="00791FB3">
        <w:rPr>
          <w:rFonts w:cstheme="minorHAnsi"/>
          <w:sz w:val="22"/>
          <w:szCs w:val="22"/>
        </w:rPr>
        <w:t>s</w:t>
      </w:r>
      <w:r w:rsidRPr="00791FB3">
        <w:rPr>
          <w:rFonts w:cstheme="minorHAnsi"/>
          <w:sz w:val="22"/>
          <w:szCs w:val="22"/>
        </w:rPr>
        <w:t xml:space="preserve"> du Rapporteur de la </w:t>
      </w:r>
      <w:hyperlink r:id="rId10" w:history="1">
        <w:r w:rsidRPr="00791FB3">
          <w:rPr>
            <w:rStyle w:val="Hyperlink"/>
            <w:rFonts w:cstheme="minorHAnsi"/>
            <w:sz w:val="22"/>
            <w:szCs w:val="22"/>
          </w:rPr>
          <w:t xml:space="preserve">Commission d'études 3 </w:t>
        </w:r>
        <w:r w:rsidR="00E6113F" w:rsidRPr="00791FB3">
          <w:rPr>
            <w:rStyle w:val="Hyperlink"/>
            <w:rFonts w:cstheme="minorHAnsi"/>
            <w:sz w:val="22"/>
            <w:szCs w:val="22"/>
          </w:rPr>
          <w:t xml:space="preserve">(CE 3) </w:t>
        </w:r>
        <w:r w:rsidRPr="00791FB3">
          <w:rPr>
            <w:rStyle w:val="Hyperlink"/>
            <w:rFonts w:cstheme="minorHAnsi"/>
            <w:sz w:val="22"/>
            <w:szCs w:val="22"/>
          </w:rPr>
          <w:t>de l'UIT-T</w:t>
        </w:r>
      </w:hyperlink>
      <w:r w:rsidRPr="00791FB3">
        <w:rPr>
          <w:rFonts w:cstheme="minorHAnsi"/>
          <w:sz w:val="22"/>
          <w:szCs w:val="22"/>
        </w:rPr>
        <w:t>,</w:t>
      </w:r>
      <w:r w:rsidR="008319AC" w:rsidRPr="00791FB3">
        <w:rPr>
          <w:rFonts w:cstheme="minorHAnsi"/>
          <w:sz w:val="22"/>
          <w:szCs w:val="22"/>
        </w:rPr>
        <w:t xml:space="preserve"> </w:t>
      </w:r>
      <w:r w:rsidRPr="00791FB3">
        <w:rPr>
          <w:rFonts w:cstheme="minorHAnsi"/>
          <w:sz w:val="22"/>
          <w:szCs w:val="22"/>
        </w:rPr>
        <w:t xml:space="preserve">du </w:t>
      </w:r>
      <w:r w:rsidR="008319AC" w:rsidRPr="00791FB3">
        <w:rPr>
          <w:rFonts w:cstheme="minorHAnsi"/>
          <w:sz w:val="22"/>
          <w:szCs w:val="22"/>
        </w:rPr>
        <w:t xml:space="preserve">7 </w:t>
      </w:r>
      <w:r w:rsidRPr="00791FB3">
        <w:rPr>
          <w:rFonts w:cstheme="minorHAnsi"/>
          <w:sz w:val="22"/>
          <w:szCs w:val="22"/>
        </w:rPr>
        <w:t xml:space="preserve">au </w:t>
      </w:r>
      <w:r w:rsidR="008319AC" w:rsidRPr="00791FB3">
        <w:rPr>
          <w:rFonts w:cstheme="minorHAnsi"/>
          <w:sz w:val="22"/>
          <w:szCs w:val="22"/>
        </w:rPr>
        <w:t xml:space="preserve">10 </w:t>
      </w:r>
      <w:r w:rsidRPr="00791FB3">
        <w:rPr>
          <w:rFonts w:cstheme="minorHAnsi"/>
          <w:sz w:val="22"/>
          <w:szCs w:val="22"/>
        </w:rPr>
        <w:t xml:space="preserve">novembre </w:t>
      </w:r>
      <w:r w:rsidR="008319AC" w:rsidRPr="00791FB3">
        <w:rPr>
          <w:rFonts w:cstheme="minorHAnsi"/>
          <w:sz w:val="22"/>
          <w:szCs w:val="22"/>
        </w:rPr>
        <w:t xml:space="preserve">2022, </w:t>
      </w:r>
      <w:r w:rsidRPr="00791FB3">
        <w:rPr>
          <w:rFonts w:cstheme="minorHAnsi"/>
          <w:sz w:val="22"/>
          <w:szCs w:val="22"/>
        </w:rPr>
        <w:t xml:space="preserve">et d'une </w:t>
      </w:r>
      <w:r w:rsidR="00E6113F" w:rsidRPr="00791FB3">
        <w:rPr>
          <w:rFonts w:cstheme="minorHAnsi"/>
          <w:sz w:val="22"/>
          <w:szCs w:val="22"/>
        </w:rPr>
        <w:t>séance</w:t>
      </w:r>
      <w:r w:rsidRPr="00791FB3">
        <w:rPr>
          <w:rFonts w:cstheme="minorHAnsi"/>
          <w:sz w:val="22"/>
          <w:szCs w:val="22"/>
        </w:rPr>
        <w:t xml:space="preserve"> plénière </w:t>
      </w:r>
      <w:r w:rsidR="00E6113F" w:rsidRPr="00791FB3">
        <w:rPr>
          <w:rFonts w:cstheme="minorHAnsi"/>
          <w:sz w:val="22"/>
          <w:szCs w:val="22"/>
        </w:rPr>
        <w:t xml:space="preserve">de la CE 3 de l'UIT-T, qui aura lieu le </w:t>
      </w:r>
      <w:r w:rsidR="008319AC" w:rsidRPr="00791FB3">
        <w:rPr>
          <w:rFonts w:cstheme="minorHAnsi"/>
          <w:sz w:val="22"/>
          <w:szCs w:val="22"/>
        </w:rPr>
        <w:t>11</w:t>
      </w:r>
      <w:r w:rsidR="00E91197" w:rsidRPr="00791FB3">
        <w:rPr>
          <w:rFonts w:cstheme="minorHAnsi"/>
          <w:sz w:val="22"/>
          <w:szCs w:val="22"/>
        </w:rPr>
        <w:t> </w:t>
      </w:r>
      <w:r w:rsidR="00E6113F" w:rsidRPr="00791FB3">
        <w:rPr>
          <w:rFonts w:cstheme="minorHAnsi"/>
          <w:sz w:val="22"/>
          <w:szCs w:val="22"/>
        </w:rPr>
        <w:t xml:space="preserve">novembre </w:t>
      </w:r>
      <w:r w:rsidR="008319AC" w:rsidRPr="00791FB3">
        <w:rPr>
          <w:rFonts w:cstheme="minorHAnsi"/>
          <w:sz w:val="22"/>
          <w:szCs w:val="22"/>
        </w:rPr>
        <w:t xml:space="preserve">2022 </w:t>
      </w:r>
      <w:r w:rsidR="00E6113F" w:rsidRPr="00791FB3">
        <w:rPr>
          <w:rFonts w:cstheme="minorHAnsi"/>
          <w:sz w:val="22"/>
          <w:szCs w:val="22"/>
        </w:rPr>
        <w:t>au même endroit</w:t>
      </w:r>
      <w:r w:rsidR="008319AC" w:rsidRPr="00791FB3">
        <w:rPr>
          <w:rFonts w:cstheme="minorHAnsi"/>
          <w:sz w:val="22"/>
          <w:szCs w:val="22"/>
        </w:rPr>
        <w:t>.</w:t>
      </w:r>
    </w:p>
    <w:p w14:paraId="4B1BC6DE" w14:textId="5B145541" w:rsidR="008319AC" w:rsidRPr="00791FB3" w:rsidRDefault="008319AC" w:rsidP="00E91197">
      <w:pPr>
        <w:rPr>
          <w:rFonts w:cstheme="minorHAnsi"/>
          <w:sz w:val="22"/>
          <w:szCs w:val="22"/>
        </w:rPr>
      </w:pPr>
      <w:r w:rsidRPr="00791FB3">
        <w:rPr>
          <w:rFonts w:cstheme="minorHAnsi"/>
          <w:sz w:val="22"/>
          <w:szCs w:val="22"/>
        </w:rPr>
        <w:t>2</w:t>
      </w:r>
      <w:r w:rsidRPr="00791FB3">
        <w:rPr>
          <w:rFonts w:cstheme="minorHAnsi"/>
          <w:sz w:val="22"/>
          <w:szCs w:val="22"/>
        </w:rPr>
        <w:tab/>
      </w:r>
      <w:r w:rsidR="000E30D3" w:rsidRPr="00791FB3">
        <w:rPr>
          <w:rFonts w:cstheme="minorHAnsi"/>
          <w:sz w:val="22"/>
          <w:szCs w:val="22"/>
        </w:rPr>
        <w:t xml:space="preserve">La participation </w:t>
      </w:r>
      <w:r w:rsidR="00E6113F" w:rsidRPr="00791FB3">
        <w:rPr>
          <w:rFonts w:cstheme="minorHAnsi"/>
          <w:sz w:val="22"/>
          <w:szCs w:val="22"/>
        </w:rPr>
        <w:t>à cet atelier</w:t>
      </w:r>
      <w:r w:rsidR="000E30D3" w:rsidRPr="00791FB3">
        <w:rPr>
          <w:rFonts w:cstheme="minorHAnsi"/>
          <w:sz w:val="22"/>
          <w:szCs w:val="22"/>
        </w:rPr>
        <w:t xml:space="preserve"> est ouverte aux États Membres, aux Membres de Secteur</w:t>
      </w:r>
      <w:r w:rsidR="00320E9B" w:rsidRPr="00791FB3">
        <w:rPr>
          <w:rFonts w:cstheme="minorHAnsi"/>
          <w:sz w:val="22"/>
          <w:szCs w:val="22"/>
        </w:rPr>
        <w:t xml:space="preserve"> </w:t>
      </w:r>
      <w:r w:rsidR="00221658" w:rsidRPr="00791FB3">
        <w:rPr>
          <w:rFonts w:cstheme="minorHAnsi"/>
          <w:sz w:val="22"/>
          <w:szCs w:val="22"/>
        </w:rPr>
        <w:t xml:space="preserve">et </w:t>
      </w:r>
      <w:r w:rsidR="000E30D3" w:rsidRPr="00791FB3">
        <w:rPr>
          <w:rFonts w:cstheme="minorHAnsi"/>
          <w:sz w:val="22"/>
          <w:szCs w:val="22"/>
        </w:rPr>
        <w:t>aux Associés de l'UIT</w:t>
      </w:r>
      <w:r w:rsidR="00221658" w:rsidRPr="00791FB3">
        <w:rPr>
          <w:rFonts w:cstheme="minorHAnsi"/>
          <w:sz w:val="22"/>
          <w:szCs w:val="22"/>
        </w:rPr>
        <w:t>, ainsi qu</w:t>
      </w:r>
      <w:r w:rsidR="00E91197" w:rsidRPr="00791FB3">
        <w:rPr>
          <w:rFonts w:cstheme="minorHAnsi"/>
          <w:sz w:val="22"/>
          <w:szCs w:val="22"/>
        </w:rPr>
        <w:t>'</w:t>
      </w:r>
      <w:r w:rsidR="000E30D3" w:rsidRPr="00791FB3">
        <w:rPr>
          <w:rFonts w:cstheme="minorHAnsi"/>
          <w:sz w:val="22"/>
          <w:szCs w:val="22"/>
        </w:rPr>
        <w:t xml:space="preserve">aux établissements universitaires participant aux travaux de l'UIT, </w:t>
      </w:r>
      <w:r w:rsidR="00221658" w:rsidRPr="00791FB3">
        <w:rPr>
          <w:rFonts w:cstheme="minorHAnsi"/>
          <w:sz w:val="22"/>
          <w:szCs w:val="22"/>
        </w:rPr>
        <w:t xml:space="preserve">et </w:t>
      </w:r>
      <w:r w:rsidR="00E91465" w:rsidRPr="00791FB3">
        <w:rPr>
          <w:rFonts w:cstheme="minorHAnsi"/>
          <w:sz w:val="22"/>
          <w:szCs w:val="22"/>
        </w:rPr>
        <w:t>à</w:t>
      </w:r>
      <w:r w:rsidR="000E30D3" w:rsidRPr="00791FB3">
        <w:rPr>
          <w:rFonts w:cstheme="minorHAnsi"/>
          <w:sz w:val="22"/>
          <w:szCs w:val="22"/>
        </w:rPr>
        <w:t xml:space="preserve"> toute personne issue d'un pays Membre de l'UIT qui souhaite contribuer aux travaux. Il peut s'agir de personnes qui sont aussi membres d'organisations internationales, régionales ou nationales. La participation est gratuite.</w:t>
      </w:r>
    </w:p>
    <w:p w14:paraId="2DFA18BA" w14:textId="55A51A6B" w:rsidR="008319AC" w:rsidRPr="00791FB3" w:rsidRDefault="008319AC" w:rsidP="00E91197">
      <w:pPr>
        <w:rPr>
          <w:rFonts w:cstheme="minorHAnsi"/>
          <w:sz w:val="22"/>
          <w:szCs w:val="22"/>
        </w:rPr>
      </w:pPr>
      <w:r w:rsidRPr="00791FB3">
        <w:rPr>
          <w:rFonts w:cstheme="minorHAnsi"/>
          <w:sz w:val="22"/>
          <w:szCs w:val="22"/>
        </w:rPr>
        <w:t>3</w:t>
      </w:r>
      <w:r w:rsidRPr="00791FB3">
        <w:rPr>
          <w:rFonts w:cstheme="minorHAnsi"/>
          <w:sz w:val="22"/>
          <w:szCs w:val="22"/>
        </w:rPr>
        <w:tab/>
      </w:r>
      <w:r w:rsidR="00E32306" w:rsidRPr="00791FB3">
        <w:rPr>
          <w:rFonts w:cstheme="minorHAnsi"/>
          <w:sz w:val="22"/>
          <w:szCs w:val="22"/>
        </w:rPr>
        <w:t>Cet atelier vise essentiellement</w:t>
      </w:r>
      <w:r w:rsidRPr="00791FB3">
        <w:rPr>
          <w:rFonts w:cstheme="minorHAnsi"/>
          <w:sz w:val="22"/>
          <w:szCs w:val="22"/>
        </w:rPr>
        <w:t xml:space="preserve"> </w:t>
      </w:r>
      <w:r w:rsidR="00E32306" w:rsidRPr="00791FB3">
        <w:rPr>
          <w:rFonts w:cstheme="minorHAnsi"/>
          <w:sz w:val="22"/>
          <w:szCs w:val="22"/>
        </w:rPr>
        <w:t xml:space="preserve">à examiner les mesures incitatives économiques et budgétaires propres à accélérer la </w:t>
      </w:r>
      <w:r w:rsidRPr="00791FB3">
        <w:rPr>
          <w:rFonts w:cstheme="minorHAnsi"/>
          <w:sz w:val="22"/>
          <w:szCs w:val="22"/>
        </w:rPr>
        <w:t xml:space="preserve">transformation </w:t>
      </w:r>
      <w:r w:rsidR="00E32306" w:rsidRPr="00791FB3">
        <w:rPr>
          <w:rFonts w:cstheme="minorHAnsi"/>
          <w:sz w:val="22"/>
          <w:szCs w:val="22"/>
        </w:rPr>
        <w:t xml:space="preserve">numérique des données et des </w:t>
      </w:r>
      <w:r w:rsidRPr="00791FB3">
        <w:rPr>
          <w:rFonts w:cstheme="minorHAnsi"/>
          <w:sz w:val="22"/>
          <w:szCs w:val="22"/>
        </w:rPr>
        <w:t xml:space="preserve">applications </w:t>
      </w:r>
      <w:r w:rsidR="00E32306" w:rsidRPr="00791FB3">
        <w:rPr>
          <w:rFonts w:cstheme="minorHAnsi"/>
          <w:sz w:val="22"/>
          <w:szCs w:val="22"/>
        </w:rPr>
        <w:t xml:space="preserve">dans </w:t>
      </w:r>
      <w:proofErr w:type="gramStart"/>
      <w:r w:rsidR="00E32306" w:rsidRPr="00791FB3">
        <w:rPr>
          <w:rFonts w:cstheme="minorHAnsi"/>
          <w:sz w:val="22"/>
          <w:szCs w:val="22"/>
        </w:rPr>
        <w:t xml:space="preserve">les </w:t>
      </w:r>
      <w:r w:rsidRPr="00791FB3">
        <w:rPr>
          <w:rFonts w:cstheme="minorHAnsi"/>
          <w:sz w:val="22"/>
          <w:szCs w:val="22"/>
        </w:rPr>
        <w:t>infrastructure</w:t>
      </w:r>
      <w:proofErr w:type="gramEnd"/>
      <w:r w:rsidRPr="00791FB3">
        <w:rPr>
          <w:rFonts w:cstheme="minorHAnsi"/>
          <w:sz w:val="22"/>
          <w:szCs w:val="22"/>
        </w:rPr>
        <w:t xml:space="preserve"> </w:t>
      </w:r>
      <w:r w:rsidR="00E32306" w:rsidRPr="00791FB3">
        <w:rPr>
          <w:rFonts w:cstheme="minorHAnsi"/>
          <w:sz w:val="22"/>
          <w:szCs w:val="22"/>
        </w:rPr>
        <w:t>de télécommunication eu égard au nouveau modèle d'imposition de l'économie numérique</w:t>
      </w:r>
      <w:r w:rsidRPr="00791FB3">
        <w:rPr>
          <w:rFonts w:cstheme="minorHAnsi"/>
          <w:sz w:val="22"/>
          <w:szCs w:val="22"/>
        </w:rPr>
        <w:t xml:space="preserve">, </w:t>
      </w:r>
      <w:r w:rsidR="003736DA" w:rsidRPr="00791FB3">
        <w:rPr>
          <w:rFonts w:cstheme="minorHAnsi"/>
          <w:sz w:val="22"/>
          <w:szCs w:val="22"/>
        </w:rPr>
        <w:t xml:space="preserve">à </w:t>
      </w:r>
      <w:r w:rsidR="00E32306" w:rsidRPr="00791FB3">
        <w:rPr>
          <w:rFonts w:cstheme="minorHAnsi"/>
          <w:sz w:val="22"/>
          <w:szCs w:val="22"/>
        </w:rPr>
        <w:t xml:space="preserve">sa </w:t>
      </w:r>
      <w:r w:rsidRPr="00791FB3">
        <w:rPr>
          <w:rFonts w:cstheme="minorHAnsi"/>
          <w:sz w:val="22"/>
          <w:szCs w:val="22"/>
        </w:rPr>
        <w:t>coordination</w:t>
      </w:r>
      <w:r w:rsidR="00E32306" w:rsidRPr="00791FB3">
        <w:rPr>
          <w:rFonts w:cstheme="minorHAnsi"/>
          <w:sz w:val="22"/>
          <w:szCs w:val="22"/>
        </w:rPr>
        <w:t xml:space="preserve"> à l'échelle internationale</w:t>
      </w:r>
      <w:r w:rsidRPr="00791FB3">
        <w:rPr>
          <w:rFonts w:cstheme="minorHAnsi"/>
          <w:sz w:val="22"/>
          <w:szCs w:val="22"/>
        </w:rPr>
        <w:t xml:space="preserve">, </w:t>
      </w:r>
      <w:r w:rsidR="00E32306" w:rsidRPr="00791FB3">
        <w:rPr>
          <w:rFonts w:cstheme="minorHAnsi"/>
          <w:sz w:val="22"/>
          <w:szCs w:val="22"/>
        </w:rPr>
        <w:t xml:space="preserve">ainsi </w:t>
      </w:r>
      <w:r w:rsidR="003736DA" w:rsidRPr="00791FB3">
        <w:rPr>
          <w:rFonts w:cstheme="minorHAnsi"/>
          <w:sz w:val="22"/>
          <w:szCs w:val="22"/>
        </w:rPr>
        <w:t>qu'aux</w:t>
      </w:r>
      <w:r w:rsidR="00E32306" w:rsidRPr="00791FB3">
        <w:rPr>
          <w:rFonts w:cstheme="minorHAnsi"/>
          <w:sz w:val="22"/>
          <w:szCs w:val="22"/>
        </w:rPr>
        <w:t xml:space="preserve"> avis </w:t>
      </w:r>
      <w:r w:rsidR="003736DA" w:rsidRPr="00791FB3">
        <w:rPr>
          <w:rFonts w:cstheme="minorHAnsi"/>
          <w:sz w:val="22"/>
          <w:szCs w:val="22"/>
        </w:rPr>
        <w:t>des entreprises</w:t>
      </w:r>
      <w:r w:rsidR="00E32306" w:rsidRPr="00791FB3">
        <w:rPr>
          <w:rFonts w:cstheme="minorHAnsi"/>
          <w:sz w:val="22"/>
          <w:szCs w:val="22"/>
        </w:rPr>
        <w:t>, des établissements universitaires et de la société</w:t>
      </w:r>
      <w:r w:rsidRPr="00791FB3">
        <w:rPr>
          <w:rFonts w:cstheme="minorHAnsi"/>
          <w:sz w:val="22"/>
          <w:szCs w:val="22"/>
        </w:rPr>
        <w:t xml:space="preserve">. </w:t>
      </w:r>
      <w:r w:rsidR="00E32306" w:rsidRPr="00791FB3">
        <w:rPr>
          <w:rFonts w:cstheme="minorHAnsi"/>
          <w:sz w:val="22"/>
          <w:szCs w:val="22"/>
        </w:rPr>
        <w:t xml:space="preserve">L'objectif est </w:t>
      </w:r>
      <w:r w:rsidR="003736DA" w:rsidRPr="00791FB3">
        <w:rPr>
          <w:rFonts w:cstheme="minorHAnsi"/>
          <w:sz w:val="22"/>
          <w:szCs w:val="22"/>
        </w:rPr>
        <w:t xml:space="preserve">de permettre </w:t>
      </w:r>
      <w:r w:rsidR="00E32306" w:rsidRPr="00791FB3">
        <w:rPr>
          <w:rFonts w:cstheme="minorHAnsi"/>
          <w:sz w:val="22"/>
          <w:szCs w:val="22"/>
        </w:rPr>
        <w:t xml:space="preserve">aux organisations concernées de donner des précisions et de nouvelles informations sur les </w:t>
      </w:r>
      <w:r w:rsidR="003736DA" w:rsidRPr="00791FB3">
        <w:rPr>
          <w:rFonts w:cstheme="minorHAnsi"/>
          <w:sz w:val="22"/>
          <w:szCs w:val="22"/>
        </w:rPr>
        <w:t>aspects</w:t>
      </w:r>
      <w:r w:rsidR="00E32306" w:rsidRPr="00791FB3">
        <w:rPr>
          <w:rFonts w:cstheme="minorHAnsi"/>
          <w:sz w:val="22"/>
          <w:szCs w:val="22"/>
        </w:rPr>
        <w:t xml:space="preserve"> économiques, budgétaires et de politique générale y relati</w:t>
      </w:r>
      <w:r w:rsidR="003736DA" w:rsidRPr="00791FB3">
        <w:rPr>
          <w:rFonts w:cstheme="minorHAnsi"/>
          <w:sz w:val="22"/>
          <w:szCs w:val="22"/>
        </w:rPr>
        <w:t>fs</w:t>
      </w:r>
      <w:r w:rsidR="00E32306" w:rsidRPr="00791FB3">
        <w:rPr>
          <w:rFonts w:cstheme="minorHAnsi"/>
          <w:sz w:val="22"/>
          <w:szCs w:val="22"/>
        </w:rPr>
        <w:t xml:space="preserve">. </w:t>
      </w:r>
      <w:r w:rsidR="000E30D3" w:rsidRPr="00791FB3">
        <w:rPr>
          <w:rFonts w:cstheme="minorHAnsi"/>
          <w:sz w:val="22"/>
          <w:szCs w:val="22"/>
        </w:rPr>
        <w:t xml:space="preserve">Cet atelier offre </w:t>
      </w:r>
      <w:r w:rsidR="000E30D3" w:rsidRPr="00791FB3">
        <w:rPr>
          <w:rFonts w:cstheme="minorHAnsi"/>
          <w:sz w:val="22"/>
          <w:szCs w:val="22"/>
        </w:rPr>
        <w:lastRenderedPageBreak/>
        <w:t>l'occasion de réunir divers experts qui pourront échanger leurs vues et des renseignements sur les évolutions récentes dans ce domaine, afin de promouvoir la coopération et la coordination au niveau international.</w:t>
      </w:r>
    </w:p>
    <w:p w14:paraId="01D145EA" w14:textId="7808C1B0" w:rsidR="000E30D3" w:rsidRPr="00791FB3" w:rsidRDefault="00E32306" w:rsidP="00E91197">
      <w:pPr>
        <w:rPr>
          <w:rFonts w:cstheme="minorHAnsi"/>
          <w:sz w:val="22"/>
          <w:szCs w:val="22"/>
        </w:rPr>
      </w:pPr>
      <w:r w:rsidRPr="00791FB3">
        <w:rPr>
          <w:rFonts w:cstheme="minorHAnsi"/>
          <w:sz w:val="22"/>
          <w:szCs w:val="22"/>
        </w:rPr>
        <w:t xml:space="preserve">Cet atelier </w:t>
      </w:r>
      <w:r w:rsidR="00550C1A" w:rsidRPr="00791FB3">
        <w:rPr>
          <w:rFonts w:cstheme="minorHAnsi"/>
          <w:sz w:val="22"/>
          <w:szCs w:val="22"/>
        </w:rPr>
        <w:t>offrira un cadre</w:t>
      </w:r>
      <w:r w:rsidRPr="00791FB3">
        <w:rPr>
          <w:rFonts w:cstheme="minorHAnsi"/>
          <w:sz w:val="22"/>
          <w:szCs w:val="22"/>
        </w:rPr>
        <w:t xml:space="preserve"> de</w:t>
      </w:r>
      <w:r w:rsidR="000E30D3" w:rsidRPr="00791FB3">
        <w:rPr>
          <w:rFonts w:cstheme="minorHAnsi"/>
          <w:sz w:val="22"/>
          <w:szCs w:val="22"/>
        </w:rPr>
        <w:t xml:space="preserve"> discussion</w:t>
      </w:r>
      <w:r w:rsidRPr="00791FB3">
        <w:rPr>
          <w:rFonts w:cstheme="minorHAnsi"/>
          <w:sz w:val="22"/>
          <w:szCs w:val="22"/>
        </w:rPr>
        <w:t xml:space="preserve"> pour les décideurs, les régulateurs, les économistes, les spécialistes de la normalisation</w:t>
      </w:r>
      <w:r w:rsidR="001D5D83" w:rsidRPr="00791FB3">
        <w:rPr>
          <w:rFonts w:cstheme="minorHAnsi"/>
          <w:sz w:val="22"/>
          <w:szCs w:val="22"/>
        </w:rPr>
        <w:t xml:space="preserve"> et</w:t>
      </w:r>
      <w:r w:rsidR="000E30D3" w:rsidRPr="00791FB3">
        <w:rPr>
          <w:rFonts w:cstheme="minorHAnsi"/>
          <w:sz w:val="22"/>
          <w:szCs w:val="22"/>
        </w:rPr>
        <w:t xml:space="preserve"> </w:t>
      </w:r>
      <w:r w:rsidR="001D5D83" w:rsidRPr="00791FB3">
        <w:rPr>
          <w:rFonts w:cstheme="minorHAnsi"/>
          <w:sz w:val="22"/>
          <w:szCs w:val="22"/>
        </w:rPr>
        <w:t>de</w:t>
      </w:r>
      <w:r w:rsidR="00550C1A" w:rsidRPr="00791FB3">
        <w:rPr>
          <w:rFonts w:cstheme="minorHAnsi"/>
          <w:sz w:val="22"/>
          <w:szCs w:val="22"/>
        </w:rPr>
        <w:t xml:space="preserve"> la fiscalité</w:t>
      </w:r>
      <w:r w:rsidR="001D5D83" w:rsidRPr="00791FB3">
        <w:rPr>
          <w:rFonts w:cstheme="minorHAnsi"/>
          <w:sz w:val="22"/>
          <w:szCs w:val="22"/>
        </w:rPr>
        <w:t>, d'autres participants intéressés issus des membres de l'UIT</w:t>
      </w:r>
      <w:r w:rsidR="000E30D3" w:rsidRPr="00791FB3">
        <w:rPr>
          <w:rFonts w:cstheme="minorHAnsi"/>
          <w:sz w:val="22"/>
          <w:szCs w:val="22"/>
        </w:rPr>
        <w:t xml:space="preserve"> </w:t>
      </w:r>
      <w:r w:rsidR="001D5D83" w:rsidRPr="00791FB3">
        <w:rPr>
          <w:rFonts w:cstheme="minorHAnsi"/>
          <w:sz w:val="22"/>
          <w:szCs w:val="22"/>
        </w:rPr>
        <w:t>et d'autres non</w:t>
      </w:r>
      <w:r w:rsidR="003736DA" w:rsidRPr="00791FB3">
        <w:rPr>
          <w:rFonts w:cstheme="minorHAnsi"/>
          <w:sz w:val="22"/>
          <w:szCs w:val="22"/>
        </w:rPr>
        <w:t>-</w:t>
      </w:r>
      <w:r w:rsidR="001D5D83" w:rsidRPr="00791FB3">
        <w:rPr>
          <w:rFonts w:cstheme="minorHAnsi"/>
          <w:sz w:val="22"/>
          <w:szCs w:val="22"/>
        </w:rPr>
        <w:t xml:space="preserve">membres issus </w:t>
      </w:r>
      <w:r w:rsidR="00550C1A" w:rsidRPr="00791FB3">
        <w:rPr>
          <w:rFonts w:cstheme="minorHAnsi"/>
          <w:sz w:val="22"/>
          <w:szCs w:val="22"/>
        </w:rPr>
        <w:t xml:space="preserve">de </w:t>
      </w:r>
      <w:r w:rsidR="001D5D83" w:rsidRPr="00791FB3">
        <w:rPr>
          <w:rFonts w:cstheme="minorHAnsi"/>
          <w:sz w:val="22"/>
          <w:szCs w:val="22"/>
        </w:rPr>
        <w:t xml:space="preserve">pays en développement et </w:t>
      </w:r>
      <w:r w:rsidR="00550C1A" w:rsidRPr="00791FB3">
        <w:rPr>
          <w:rFonts w:cstheme="minorHAnsi"/>
          <w:sz w:val="22"/>
          <w:szCs w:val="22"/>
        </w:rPr>
        <w:t xml:space="preserve">de </w:t>
      </w:r>
      <w:r w:rsidR="001D5D83" w:rsidRPr="00791FB3">
        <w:rPr>
          <w:rFonts w:cstheme="minorHAnsi"/>
          <w:sz w:val="22"/>
          <w:szCs w:val="22"/>
        </w:rPr>
        <w:t xml:space="preserve">pays développés, </w:t>
      </w:r>
      <w:r w:rsidR="003736DA" w:rsidRPr="00791FB3">
        <w:rPr>
          <w:rFonts w:cstheme="minorHAnsi"/>
          <w:sz w:val="22"/>
          <w:szCs w:val="22"/>
        </w:rPr>
        <w:t>notamment</w:t>
      </w:r>
      <w:r w:rsidR="001D5D83" w:rsidRPr="00791FB3">
        <w:rPr>
          <w:rFonts w:cstheme="minorHAnsi"/>
          <w:sz w:val="22"/>
          <w:szCs w:val="22"/>
        </w:rPr>
        <w:t xml:space="preserve"> </w:t>
      </w:r>
      <w:r w:rsidR="00550C1A" w:rsidRPr="00791FB3">
        <w:rPr>
          <w:rFonts w:cstheme="minorHAnsi"/>
          <w:sz w:val="22"/>
          <w:szCs w:val="22"/>
        </w:rPr>
        <w:t xml:space="preserve">les </w:t>
      </w:r>
      <w:r w:rsidR="001D5D83" w:rsidRPr="00791FB3">
        <w:rPr>
          <w:rFonts w:cstheme="minorHAnsi"/>
          <w:sz w:val="22"/>
          <w:szCs w:val="22"/>
        </w:rPr>
        <w:t>pays dont l'économie est en transition, d</w:t>
      </w:r>
      <w:r w:rsidR="009E7D76" w:rsidRPr="00791FB3">
        <w:rPr>
          <w:rFonts w:cstheme="minorHAnsi"/>
          <w:sz w:val="22"/>
          <w:szCs w:val="22"/>
        </w:rPr>
        <w:t xml:space="preserve">es </w:t>
      </w:r>
      <w:r w:rsidR="001D5D83" w:rsidRPr="00791FB3">
        <w:rPr>
          <w:rFonts w:cstheme="minorHAnsi"/>
          <w:sz w:val="22"/>
          <w:szCs w:val="22"/>
        </w:rPr>
        <w:t>établissements universitaires</w:t>
      </w:r>
      <w:r w:rsidR="009E7D76" w:rsidRPr="00791FB3">
        <w:rPr>
          <w:rFonts w:cstheme="minorHAnsi"/>
          <w:sz w:val="22"/>
          <w:szCs w:val="22"/>
        </w:rPr>
        <w:t xml:space="preserve"> et</w:t>
      </w:r>
      <w:r w:rsidR="000E30D3" w:rsidRPr="00791FB3">
        <w:rPr>
          <w:rFonts w:cstheme="minorHAnsi"/>
          <w:sz w:val="22"/>
          <w:szCs w:val="22"/>
        </w:rPr>
        <w:t xml:space="preserve"> </w:t>
      </w:r>
      <w:r w:rsidR="001D5D83" w:rsidRPr="00791FB3">
        <w:rPr>
          <w:rFonts w:cstheme="minorHAnsi"/>
          <w:sz w:val="22"/>
          <w:szCs w:val="22"/>
        </w:rPr>
        <w:t>d</w:t>
      </w:r>
      <w:r w:rsidR="009E7D76" w:rsidRPr="00791FB3">
        <w:rPr>
          <w:rFonts w:cstheme="minorHAnsi"/>
          <w:sz w:val="22"/>
          <w:szCs w:val="22"/>
        </w:rPr>
        <w:t xml:space="preserve">es instituts </w:t>
      </w:r>
      <w:r w:rsidR="001D5D83" w:rsidRPr="00791FB3">
        <w:rPr>
          <w:rFonts w:cstheme="minorHAnsi"/>
          <w:sz w:val="22"/>
          <w:szCs w:val="22"/>
        </w:rPr>
        <w:t>de recherche</w:t>
      </w:r>
      <w:r w:rsidR="000E30D3" w:rsidRPr="00791FB3">
        <w:rPr>
          <w:rFonts w:cstheme="minorHAnsi"/>
          <w:sz w:val="22"/>
          <w:szCs w:val="22"/>
        </w:rPr>
        <w:t xml:space="preserve">, </w:t>
      </w:r>
      <w:r w:rsidR="001D5D83" w:rsidRPr="00791FB3">
        <w:rPr>
          <w:rFonts w:cstheme="minorHAnsi"/>
          <w:sz w:val="22"/>
          <w:szCs w:val="22"/>
        </w:rPr>
        <w:t>d</w:t>
      </w:r>
      <w:r w:rsidR="009E7D76" w:rsidRPr="00791FB3">
        <w:rPr>
          <w:rFonts w:cstheme="minorHAnsi"/>
          <w:sz w:val="22"/>
          <w:szCs w:val="22"/>
        </w:rPr>
        <w:t xml:space="preserve">es </w:t>
      </w:r>
      <w:r w:rsidR="001D5D83" w:rsidRPr="00791FB3">
        <w:rPr>
          <w:rFonts w:cstheme="minorHAnsi"/>
          <w:sz w:val="22"/>
          <w:szCs w:val="22"/>
        </w:rPr>
        <w:t>entreprises, d</w:t>
      </w:r>
      <w:r w:rsidR="009E7D76" w:rsidRPr="00791FB3">
        <w:rPr>
          <w:rFonts w:cstheme="minorHAnsi"/>
          <w:sz w:val="22"/>
          <w:szCs w:val="22"/>
        </w:rPr>
        <w:t xml:space="preserve">es </w:t>
      </w:r>
      <w:r w:rsidR="001D5D83" w:rsidRPr="00791FB3">
        <w:rPr>
          <w:rFonts w:cstheme="minorHAnsi"/>
          <w:sz w:val="22"/>
          <w:szCs w:val="22"/>
        </w:rPr>
        <w:t xml:space="preserve">opérateurs de </w:t>
      </w:r>
      <w:r w:rsidR="000E30D3" w:rsidRPr="00791FB3">
        <w:rPr>
          <w:rFonts w:cstheme="minorHAnsi"/>
          <w:sz w:val="22"/>
          <w:szCs w:val="22"/>
        </w:rPr>
        <w:t>t</w:t>
      </w:r>
      <w:r w:rsidR="001D5D83" w:rsidRPr="00791FB3">
        <w:rPr>
          <w:rFonts w:cstheme="minorHAnsi"/>
          <w:sz w:val="22"/>
          <w:szCs w:val="22"/>
        </w:rPr>
        <w:t>é</w:t>
      </w:r>
      <w:r w:rsidR="000E30D3" w:rsidRPr="00791FB3">
        <w:rPr>
          <w:rFonts w:cstheme="minorHAnsi"/>
          <w:sz w:val="22"/>
          <w:szCs w:val="22"/>
        </w:rPr>
        <w:t>l</w:t>
      </w:r>
      <w:r w:rsidR="001D5D83" w:rsidRPr="00791FB3">
        <w:rPr>
          <w:rFonts w:cstheme="minorHAnsi"/>
          <w:sz w:val="22"/>
          <w:szCs w:val="22"/>
        </w:rPr>
        <w:t>é</w:t>
      </w:r>
      <w:r w:rsidR="000E30D3" w:rsidRPr="00791FB3">
        <w:rPr>
          <w:rFonts w:cstheme="minorHAnsi"/>
          <w:sz w:val="22"/>
          <w:szCs w:val="22"/>
        </w:rPr>
        <w:t>communication/</w:t>
      </w:r>
      <w:r w:rsidR="001D5D83" w:rsidRPr="00791FB3">
        <w:rPr>
          <w:rFonts w:cstheme="minorHAnsi"/>
          <w:sz w:val="22"/>
          <w:szCs w:val="22"/>
        </w:rPr>
        <w:t>technologies de l'information et de la communication</w:t>
      </w:r>
      <w:r w:rsidR="009E7D76" w:rsidRPr="00791FB3">
        <w:rPr>
          <w:rFonts w:cstheme="minorHAnsi"/>
          <w:sz w:val="22"/>
          <w:szCs w:val="22"/>
        </w:rPr>
        <w:t xml:space="preserve"> et des prestataires de service</w:t>
      </w:r>
      <w:r w:rsidR="00550C1A" w:rsidRPr="00791FB3">
        <w:rPr>
          <w:rFonts w:cstheme="minorHAnsi"/>
          <w:sz w:val="22"/>
          <w:szCs w:val="22"/>
        </w:rPr>
        <w:t>s</w:t>
      </w:r>
      <w:r w:rsidR="000E30D3" w:rsidRPr="00791FB3">
        <w:rPr>
          <w:rFonts w:cstheme="minorHAnsi"/>
          <w:sz w:val="22"/>
          <w:szCs w:val="22"/>
        </w:rPr>
        <w:t xml:space="preserve">, </w:t>
      </w:r>
      <w:r w:rsidR="001D5D83" w:rsidRPr="00791FB3">
        <w:rPr>
          <w:rFonts w:cstheme="minorHAnsi"/>
          <w:sz w:val="22"/>
          <w:szCs w:val="22"/>
        </w:rPr>
        <w:t>de</w:t>
      </w:r>
      <w:r w:rsidR="009E7D76" w:rsidRPr="00791FB3">
        <w:rPr>
          <w:rFonts w:cstheme="minorHAnsi"/>
          <w:sz w:val="22"/>
          <w:szCs w:val="22"/>
        </w:rPr>
        <w:t>s</w:t>
      </w:r>
      <w:r w:rsidR="001D5D83" w:rsidRPr="00791FB3">
        <w:rPr>
          <w:rFonts w:cstheme="minorHAnsi"/>
          <w:sz w:val="22"/>
          <w:szCs w:val="22"/>
        </w:rPr>
        <w:t xml:space="preserve"> plates-formes numériques</w:t>
      </w:r>
      <w:r w:rsidR="000E30D3" w:rsidRPr="00791FB3">
        <w:rPr>
          <w:rFonts w:cstheme="minorHAnsi"/>
          <w:sz w:val="22"/>
          <w:szCs w:val="22"/>
        </w:rPr>
        <w:t xml:space="preserve">, </w:t>
      </w:r>
      <w:r w:rsidR="001D5D83" w:rsidRPr="00791FB3">
        <w:rPr>
          <w:rFonts w:cstheme="minorHAnsi"/>
          <w:sz w:val="22"/>
          <w:szCs w:val="22"/>
        </w:rPr>
        <w:t xml:space="preserve">d'autres </w:t>
      </w:r>
      <w:r w:rsidR="000E30D3" w:rsidRPr="00791FB3">
        <w:rPr>
          <w:rFonts w:cstheme="minorHAnsi"/>
          <w:sz w:val="22"/>
          <w:szCs w:val="22"/>
        </w:rPr>
        <w:t>organi</w:t>
      </w:r>
      <w:r w:rsidR="001D5D83" w:rsidRPr="00791FB3">
        <w:rPr>
          <w:rFonts w:cstheme="minorHAnsi"/>
          <w:sz w:val="22"/>
          <w:szCs w:val="22"/>
        </w:rPr>
        <w:t>s</w:t>
      </w:r>
      <w:r w:rsidR="000E30D3" w:rsidRPr="00791FB3">
        <w:rPr>
          <w:rFonts w:cstheme="minorHAnsi"/>
          <w:sz w:val="22"/>
          <w:szCs w:val="22"/>
        </w:rPr>
        <w:t>ations</w:t>
      </w:r>
      <w:r w:rsidR="001D5D83" w:rsidRPr="00791FB3">
        <w:rPr>
          <w:rFonts w:cstheme="minorHAnsi"/>
          <w:sz w:val="22"/>
          <w:szCs w:val="22"/>
        </w:rPr>
        <w:t xml:space="preserve"> internationales</w:t>
      </w:r>
      <w:r w:rsidR="000E30D3" w:rsidRPr="00791FB3">
        <w:rPr>
          <w:rFonts w:cstheme="minorHAnsi"/>
          <w:sz w:val="22"/>
          <w:szCs w:val="22"/>
        </w:rPr>
        <w:t xml:space="preserve">, </w:t>
      </w:r>
      <w:r w:rsidR="001D5D83" w:rsidRPr="00791FB3">
        <w:rPr>
          <w:rFonts w:cstheme="minorHAnsi"/>
          <w:sz w:val="22"/>
          <w:szCs w:val="22"/>
        </w:rPr>
        <w:t>ainsi que d'autres parties prenantes intéressées</w:t>
      </w:r>
      <w:r w:rsidR="000E30D3" w:rsidRPr="00791FB3">
        <w:rPr>
          <w:rFonts w:cstheme="minorHAnsi"/>
          <w:sz w:val="22"/>
          <w:szCs w:val="22"/>
        </w:rPr>
        <w:t>.</w:t>
      </w:r>
    </w:p>
    <w:p w14:paraId="5473E4C5" w14:textId="0205C1F9" w:rsidR="000E30D3" w:rsidRPr="00791FB3" w:rsidRDefault="001D5D83" w:rsidP="00E91197">
      <w:pPr>
        <w:rPr>
          <w:rFonts w:cstheme="minorHAnsi"/>
          <w:sz w:val="22"/>
          <w:szCs w:val="22"/>
        </w:rPr>
      </w:pPr>
      <w:r w:rsidRPr="00791FB3">
        <w:rPr>
          <w:rFonts w:cstheme="minorHAnsi"/>
          <w:sz w:val="22"/>
          <w:szCs w:val="22"/>
        </w:rPr>
        <w:t>On trouvera dans l'</w:t>
      </w:r>
      <w:r w:rsidR="000E30D3" w:rsidRPr="00791FB3">
        <w:rPr>
          <w:rFonts w:cstheme="minorHAnsi"/>
          <w:sz w:val="22"/>
          <w:szCs w:val="22"/>
        </w:rPr>
        <w:t>Annex</w:t>
      </w:r>
      <w:r w:rsidRPr="00791FB3">
        <w:rPr>
          <w:rFonts w:cstheme="minorHAnsi"/>
          <w:sz w:val="22"/>
          <w:szCs w:val="22"/>
        </w:rPr>
        <w:t>e de la présente Lettre circulaire</w:t>
      </w:r>
      <w:r w:rsidR="000E30D3" w:rsidRPr="00791FB3">
        <w:rPr>
          <w:rFonts w:cstheme="minorHAnsi"/>
          <w:sz w:val="22"/>
          <w:szCs w:val="22"/>
        </w:rPr>
        <w:t xml:space="preserve"> </w:t>
      </w:r>
      <w:r w:rsidR="00550C1A" w:rsidRPr="00791FB3">
        <w:rPr>
          <w:rFonts w:cstheme="minorHAnsi"/>
          <w:sz w:val="22"/>
          <w:szCs w:val="22"/>
        </w:rPr>
        <w:t>une première ébauche</w:t>
      </w:r>
      <w:r w:rsidR="00A72608" w:rsidRPr="00791FB3">
        <w:rPr>
          <w:rFonts w:cstheme="minorHAnsi"/>
          <w:sz w:val="22"/>
          <w:szCs w:val="22"/>
        </w:rPr>
        <w:t xml:space="preserve"> du programme de l'atelier et des </w:t>
      </w:r>
      <w:r w:rsidR="00550C1A" w:rsidRPr="00791FB3">
        <w:rPr>
          <w:rFonts w:cstheme="minorHAnsi"/>
          <w:sz w:val="22"/>
          <w:szCs w:val="22"/>
        </w:rPr>
        <w:t xml:space="preserve">séances </w:t>
      </w:r>
      <w:r w:rsidR="00A72608" w:rsidRPr="00791FB3">
        <w:rPr>
          <w:rFonts w:cstheme="minorHAnsi"/>
          <w:sz w:val="22"/>
          <w:szCs w:val="22"/>
        </w:rPr>
        <w:t>prévues</w:t>
      </w:r>
      <w:r w:rsidR="000E30D3" w:rsidRPr="00791FB3">
        <w:rPr>
          <w:rFonts w:cstheme="minorHAnsi"/>
          <w:sz w:val="22"/>
          <w:szCs w:val="22"/>
        </w:rPr>
        <w:t>.</w:t>
      </w:r>
    </w:p>
    <w:p w14:paraId="25FA62C8" w14:textId="3F75C8D7" w:rsidR="008319AC" w:rsidRPr="00791FB3" w:rsidRDefault="000E30D3" w:rsidP="00E91197">
      <w:pPr>
        <w:rPr>
          <w:rFonts w:cstheme="minorHAnsi"/>
          <w:sz w:val="22"/>
          <w:szCs w:val="22"/>
        </w:rPr>
      </w:pPr>
      <w:r w:rsidRPr="00791FB3">
        <w:rPr>
          <w:rFonts w:cstheme="minorHAnsi"/>
          <w:sz w:val="22"/>
          <w:szCs w:val="22"/>
        </w:rPr>
        <w:t>4</w:t>
      </w:r>
      <w:r w:rsidRPr="00791FB3">
        <w:rPr>
          <w:rFonts w:cstheme="minorHAnsi"/>
          <w:sz w:val="22"/>
          <w:szCs w:val="22"/>
        </w:rPr>
        <w:tab/>
      </w:r>
      <w:r w:rsidR="009A0A19" w:rsidRPr="00791FB3">
        <w:rPr>
          <w:rFonts w:cstheme="minorHAnsi"/>
          <w:sz w:val="22"/>
          <w:szCs w:val="22"/>
        </w:rPr>
        <w:t>L'</w:t>
      </w:r>
      <w:r w:rsidRPr="00791FB3">
        <w:rPr>
          <w:rFonts w:cstheme="minorHAnsi"/>
          <w:sz w:val="22"/>
          <w:szCs w:val="22"/>
        </w:rPr>
        <w:t>Appendi</w:t>
      </w:r>
      <w:r w:rsidR="009A0A19" w:rsidRPr="00791FB3">
        <w:rPr>
          <w:rFonts w:cstheme="minorHAnsi"/>
          <w:sz w:val="22"/>
          <w:szCs w:val="22"/>
        </w:rPr>
        <w:t>ce de la présente Lettre circulaire</w:t>
      </w:r>
      <w:r w:rsidRPr="00791FB3">
        <w:rPr>
          <w:rFonts w:cstheme="minorHAnsi"/>
          <w:sz w:val="22"/>
          <w:szCs w:val="22"/>
        </w:rPr>
        <w:t xml:space="preserve"> </w:t>
      </w:r>
      <w:r w:rsidR="009A0A19" w:rsidRPr="00791FB3">
        <w:rPr>
          <w:rFonts w:cstheme="minorHAnsi"/>
          <w:sz w:val="22"/>
          <w:szCs w:val="22"/>
        </w:rPr>
        <w:t>contient des informations générales qui permettent de situer cet atelier dans le contexte des débats,</w:t>
      </w:r>
      <w:r w:rsidR="009E7D76" w:rsidRPr="00791FB3">
        <w:rPr>
          <w:rFonts w:cstheme="minorHAnsi"/>
          <w:sz w:val="22"/>
          <w:szCs w:val="22"/>
        </w:rPr>
        <w:t xml:space="preserve"> des</w:t>
      </w:r>
      <w:r w:rsidR="009A0A19" w:rsidRPr="00791FB3">
        <w:rPr>
          <w:rFonts w:cstheme="minorHAnsi"/>
          <w:sz w:val="22"/>
          <w:szCs w:val="22"/>
        </w:rPr>
        <w:t xml:space="preserve"> évolutions et </w:t>
      </w:r>
      <w:r w:rsidR="009E7D76" w:rsidRPr="00791FB3">
        <w:rPr>
          <w:rFonts w:cstheme="minorHAnsi"/>
          <w:sz w:val="22"/>
          <w:szCs w:val="22"/>
        </w:rPr>
        <w:t xml:space="preserve">des </w:t>
      </w:r>
      <w:r w:rsidR="009A0A19" w:rsidRPr="00791FB3">
        <w:rPr>
          <w:rFonts w:cstheme="minorHAnsi"/>
          <w:sz w:val="22"/>
          <w:szCs w:val="22"/>
        </w:rPr>
        <w:t>activités passés et actuel</w:t>
      </w:r>
      <w:r w:rsidR="0021033C" w:rsidRPr="00791FB3">
        <w:rPr>
          <w:rFonts w:cstheme="minorHAnsi"/>
          <w:sz w:val="22"/>
          <w:szCs w:val="22"/>
        </w:rPr>
        <w:t>s</w:t>
      </w:r>
      <w:r w:rsidRPr="00791FB3">
        <w:rPr>
          <w:rFonts w:cstheme="minorHAnsi"/>
          <w:sz w:val="22"/>
          <w:szCs w:val="22"/>
        </w:rPr>
        <w:t>.</w:t>
      </w:r>
    </w:p>
    <w:p w14:paraId="1A198BDF" w14:textId="3B1A98AA" w:rsidR="008319AC" w:rsidRPr="00791FB3" w:rsidRDefault="000E30D3" w:rsidP="00E91197">
      <w:pPr>
        <w:rPr>
          <w:rFonts w:cstheme="minorHAnsi"/>
          <w:sz w:val="22"/>
          <w:szCs w:val="22"/>
        </w:rPr>
      </w:pPr>
      <w:r w:rsidRPr="00791FB3">
        <w:rPr>
          <w:rFonts w:cstheme="minorHAnsi"/>
          <w:sz w:val="22"/>
          <w:szCs w:val="22"/>
        </w:rPr>
        <w:t>5</w:t>
      </w:r>
      <w:r w:rsidRPr="00791FB3">
        <w:rPr>
          <w:rFonts w:cstheme="minorHAnsi"/>
          <w:sz w:val="22"/>
          <w:szCs w:val="22"/>
        </w:rPr>
        <w:tab/>
        <w:t>Toutes les informations utiles concernant l'atelier (</w:t>
      </w:r>
      <w:r w:rsidR="0021033C" w:rsidRPr="00791FB3">
        <w:rPr>
          <w:rFonts w:cstheme="minorHAnsi"/>
          <w:sz w:val="22"/>
          <w:szCs w:val="22"/>
        </w:rPr>
        <w:t xml:space="preserve">par exemple </w:t>
      </w:r>
      <w:r w:rsidR="009E7D76" w:rsidRPr="00791FB3">
        <w:rPr>
          <w:rFonts w:cstheme="minorHAnsi"/>
          <w:sz w:val="22"/>
          <w:szCs w:val="22"/>
        </w:rPr>
        <w:t xml:space="preserve">le projet de programme, </w:t>
      </w:r>
      <w:r w:rsidR="0021033C" w:rsidRPr="00791FB3">
        <w:rPr>
          <w:rFonts w:cstheme="minorHAnsi"/>
          <w:sz w:val="22"/>
          <w:szCs w:val="22"/>
        </w:rPr>
        <w:t xml:space="preserve">les </w:t>
      </w:r>
      <w:r w:rsidRPr="00791FB3">
        <w:rPr>
          <w:rFonts w:cstheme="minorHAnsi"/>
          <w:sz w:val="22"/>
          <w:szCs w:val="22"/>
        </w:rPr>
        <w:t xml:space="preserve">intervenants, </w:t>
      </w:r>
      <w:r w:rsidR="0021033C" w:rsidRPr="00791FB3">
        <w:rPr>
          <w:rFonts w:cstheme="minorHAnsi"/>
          <w:sz w:val="22"/>
          <w:szCs w:val="22"/>
        </w:rPr>
        <w:t xml:space="preserve">les </w:t>
      </w:r>
      <w:r w:rsidRPr="00791FB3">
        <w:rPr>
          <w:rFonts w:cstheme="minorHAnsi"/>
          <w:sz w:val="22"/>
          <w:szCs w:val="22"/>
        </w:rPr>
        <w:t>liens pour l'inscription</w:t>
      </w:r>
      <w:r w:rsidR="0021033C" w:rsidRPr="00791FB3">
        <w:rPr>
          <w:rFonts w:cstheme="minorHAnsi"/>
          <w:sz w:val="22"/>
          <w:szCs w:val="22"/>
        </w:rPr>
        <w:t xml:space="preserve"> et</w:t>
      </w:r>
      <w:r w:rsidRPr="00791FB3">
        <w:rPr>
          <w:rFonts w:cstheme="minorHAnsi"/>
          <w:sz w:val="22"/>
          <w:szCs w:val="22"/>
        </w:rPr>
        <w:t xml:space="preserve"> </w:t>
      </w:r>
      <w:r w:rsidR="0021033C" w:rsidRPr="00791FB3">
        <w:rPr>
          <w:rFonts w:cstheme="minorHAnsi"/>
          <w:sz w:val="22"/>
          <w:szCs w:val="22"/>
        </w:rPr>
        <w:t xml:space="preserve">les </w:t>
      </w:r>
      <w:r w:rsidRPr="00791FB3">
        <w:rPr>
          <w:rFonts w:cstheme="minorHAnsi"/>
          <w:sz w:val="22"/>
          <w:szCs w:val="22"/>
        </w:rPr>
        <w:t>modalités de connexion à distance) seront disponibles sur l</w:t>
      </w:r>
      <w:r w:rsidR="0021033C" w:rsidRPr="00791FB3">
        <w:rPr>
          <w:rFonts w:cstheme="minorHAnsi"/>
          <w:sz w:val="22"/>
          <w:szCs w:val="22"/>
        </w:rPr>
        <w:t>e site web de l'UIT</w:t>
      </w:r>
      <w:r w:rsidRPr="00791FB3">
        <w:rPr>
          <w:rFonts w:cstheme="minorHAnsi"/>
          <w:sz w:val="22"/>
          <w:szCs w:val="22"/>
        </w:rPr>
        <w:t xml:space="preserve"> </w:t>
      </w:r>
      <w:r w:rsidR="0021033C" w:rsidRPr="00791FB3">
        <w:rPr>
          <w:rFonts w:cstheme="minorHAnsi"/>
          <w:sz w:val="22"/>
          <w:szCs w:val="22"/>
        </w:rPr>
        <w:t>(</w:t>
      </w:r>
      <w:hyperlink r:id="rId11" w:history="1">
        <w:r w:rsidR="0021033C" w:rsidRPr="00791FB3">
          <w:rPr>
            <w:rStyle w:val="Hyperlink"/>
            <w:rFonts w:cstheme="minorHAnsi"/>
            <w:sz w:val="22"/>
            <w:szCs w:val="22"/>
          </w:rPr>
          <w:t>https://www.itu.int/en/ITU-T/Workshops-and-Seminars/2022/1103/Pages/default.aspx</w:t>
        </w:r>
      </w:hyperlink>
      <w:r w:rsidR="0021033C" w:rsidRPr="00791FB3">
        <w:rPr>
          <w:rFonts w:cstheme="minorHAnsi"/>
          <w:sz w:val="22"/>
          <w:szCs w:val="22"/>
        </w:rPr>
        <w:t>)</w:t>
      </w:r>
      <w:r w:rsidRPr="00791FB3">
        <w:rPr>
          <w:rFonts w:cstheme="minorHAnsi"/>
          <w:sz w:val="22"/>
          <w:szCs w:val="22"/>
        </w:rPr>
        <w:t xml:space="preserve">, qui sera </w:t>
      </w:r>
      <w:r w:rsidR="005A3B13" w:rsidRPr="00791FB3">
        <w:rPr>
          <w:rFonts w:cstheme="minorHAnsi"/>
          <w:sz w:val="22"/>
          <w:szCs w:val="22"/>
        </w:rPr>
        <w:t xml:space="preserve">actualisé </w:t>
      </w:r>
      <w:r w:rsidR="00550C1A" w:rsidRPr="00791FB3">
        <w:rPr>
          <w:rFonts w:cstheme="minorHAnsi"/>
          <w:sz w:val="22"/>
          <w:szCs w:val="22"/>
        </w:rPr>
        <w:t xml:space="preserve">à intervalles réguliers </w:t>
      </w:r>
      <w:r w:rsidRPr="00791FB3">
        <w:rPr>
          <w:rFonts w:cstheme="minorHAnsi"/>
          <w:sz w:val="22"/>
          <w:szCs w:val="22"/>
        </w:rPr>
        <w:t>à mesure que parviendront des informations nouvelles ou modifiées. Les participants sont priés de la consulter régulièrement pour prendre connaissance des dernières informations.</w:t>
      </w:r>
    </w:p>
    <w:p w14:paraId="6C30C99A" w14:textId="065F762C" w:rsidR="000E30D3" w:rsidRPr="00791FB3" w:rsidRDefault="000E30D3" w:rsidP="00E91197">
      <w:pPr>
        <w:rPr>
          <w:rFonts w:cstheme="minorHAnsi"/>
          <w:sz w:val="22"/>
          <w:szCs w:val="22"/>
        </w:rPr>
      </w:pPr>
      <w:r w:rsidRPr="00791FB3">
        <w:rPr>
          <w:rFonts w:cstheme="minorHAnsi"/>
          <w:sz w:val="22"/>
          <w:szCs w:val="22"/>
        </w:rPr>
        <w:t>6</w:t>
      </w:r>
      <w:r w:rsidRPr="00791FB3">
        <w:rPr>
          <w:rFonts w:cstheme="minorHAnsi"/>
          <w:sz w:val="22"/>
          <w:szCs w:val="22"/>
        </w:rPr>
        <w:tab/>
        <w:t>Des informations générales à l'intention des participants concernant les hôtels, les transports et les formalités de visa seront disponibles sur le site web de l'UIT mentionné ci</w:t>
      </w:r>
      <w:r w:rsidRPr="00791FB3">
        <w:rPr>
          <w:rFonts w:cstheme="minorHAnsi"/>
          <w:sz w:val="22"/>
          <w:szCs w:val="22"/>
        </w:rPr>
        <w:noBreakHyphen/>
        <w:t>dessus.</w:t>
      </w:r>
    </w:p>
    <w:p w14:paraId="2F9EE836" w14:textId="4235E547" w:rsidR="000E30D3" w:rsidRPr="00791FB3" w:rsidRDefault="000E30D3" w:rsidP="00E91197">
      <w:pPr>
        <w:rPr>
          <w:rFonts w:cstheme="minorHAnsi"/>
          <w:sz w:val="22"/>
          <w:szCs w:val="22"/>
        </w:rPr>
      </w:pPr>
      <w:r w:rsidRPr="00791FB3">
        <w:rPr>
          <w:rFonts w:cstheme="minorHAnsi"/>
          <w:sz w:val="22"/>
          <w:szCs w:val="22"/>
        </w:rPr>
        <w:t>7</w:t>
      </w:r>
      <w:r w:rsidRPr="00791FB3">
        <w:rPr>
          <w:rFonts w:cstheme="minorHAnsi"/>
          <w:sz w:val="22"/>
          <w:szCs w:val="22"/>
        </w:rPr>
        <w:tab/>
        <w:t xml:space="preserve">Afin </w:t>
      </w:r>
      <w:r w:rsidR="007A5C77" w:rsidRPr="00791FB3">
        <w:rPr>
          <w:rFonts w:cstheme="minorHAnsi"/>
          <w:sz w:val="22"/>
          <w:szCs w:val="22"/>
        </w:rPr>
        <w:t>que l</w:t>
      </w:r>
      <w:r w:rsidRPr="00791FB3">
        <w:rPr>
          <w:rFonts w:cstheme="minorHAnsi"/>
          <w:sz w:val="22"/>
          <w:szCs w:val="22"/>
        </w:rPr>
        <w:t xml:space="preserve">'UIT </w:t>
      </w:r>
      <w:r w:rsidR="007A5C77" w:rsidRPr="00791FB3">
        <w:rPr>
          <w:rFonts w:cstheme="minorHAnsi"/>
          <w:sz w:val="22"/>
          <w:szCs w:val="22"/>
        </w:rPr>
        <w:t xml:space="preserve">puisse </w:t>
      </w:r>
      <w:r w:rsidRPr="00791FB3">
        <w:rPr>
          <w:rFonts w:cstheme="minorHAnsi"/>
          <w:sz w:val="22"/>
          <w:szCs w:val="22"/>
        </w:rPr>
        <w:t xml:space="preserve">prendre les dispositions nécessaires concernant l'organisation </w:t>
      </w:r>
      <w:r w:rsidR="007A5C77" w:rsidRPr="00791FB3">
        <w:rPr>
          <w:rFonts w:cstheme="minorHAnsi"/>
          <w:sz w:val="22"/>
          <w:szCs w:val="22"/>
        </w:rPr>
        <w:t>de l'atelier</w:t>
      </w:r>
      <w:r w:rsidRPr="00791FB3">
        <w:rPr>
          <w:rFonts w:cstheme="minorHAnsi"/>
          <w:sz w:val="22"/>
          <w:szCs w:val="22"/>
        </w:rPr>
        <w:t xml:space="preserve">, </w:t>
      </w:r>
      <w:r w:rsidR="007A5C77" w:rsidRPr="00791FB3">
        <w:rPr>
          <w:rFonts w:cstheme="minorHAnsi"/>
          <w:sz w:val="22"/>
          <w:szCs w:val="22"/>
        </w:rPr>
        <w:t xml:space="preserve">nous </w:t>
      </w:r>
      <w:r w:rsidRPr="00791FB3">
        <w:rPr>
          <w:rFonts w:cstheme="minorHAnsi"/>
          <w:sz w:val="22"/>
          <w:szCs w:val="22"/>
        </w:rPr>
        <w:t xml:space="preserve">vous </w:t>
      </w:r>
      <w:r w:rsidR="007A5C77" w:rsidRPr="00791FB3">
        <w:rPr>
          <w:rFonts w:cstheme="minorHAnsi"/>
          <w:sz w:val="22"/>
          <w:szCs w:val="22"/>
        </w:rPr>
        <w:t xml:space="preserve">saurions </w:t>
      </w:r>
      <w:r w:rsidRPr="00791FB3">
        <w:rPr>
          <w:rFonts w:cstheme="minorHAnsi"/>
          <w:sz w:val="22"/>
          <w:szCs w:val="22"/>
        </w:rPr>
        <w:t xml:space="preserve">gré de bien vouloir vous inscrire au moyen du formulaire en ligne </w:t>
      </w:r>
      <w:r w:rsidR="007A5C77" w:rsidRPr="00791FB3">
        <w:rPr>
          <w:rFonts w:cstheme="minorHAnsi"/>
          <w:sz w:val="22"/>
          <w:szCs w:val="22"/>
        </w:rPr>
        <w:t>(</w:t>
      </w:r>
      <w:hyperlink r:id="rId12" w:history="1">
        <w:r w:rsidRPr="00791FB3">
          <w:rPr>
            <w:rStyle w:val="Hyperlink"/>
            <w:rFonts w:cstheme="minorHAnsi"/>
            <w:sz w:val="22"/>
            <w:szCs w:val="22"/>
          </w:rPr>
          <w:t>https://www.itu.int/net4/CRM/xreg/web/Login.aspx?src=Registration&amp;Event=C-00011717</w:t>
        </w:r>
      </w:hyperlink>
      <w:r w:rsidR="007A5C77" w:rsidRPr="00791FB3">
        <w:rPr>
          <w:rStyle w:val="Hyperlink"/>
          <w:rFonts w:cstheme="minorHAnsi"/>
          <w:sz w:val="22"/>
          <w:szCs w:val="22"/>
        </w:rPr>
        <w:t>)</w:t>
      </w:r>
      <w:r w:rsidRPr="00791FB3">
        <w:rPr>
          <w:rFonts w:cstheme="minorHAnsi"/>
          <w:sz w:val="22"/>
          <w:szCs w:val="22"/>
        </w:rPr>
        <w:t>, dès que possible</w:t>
      </w:r>
      <w:r w:rsidR="00550C1A" w:rsidRPr="00791FB3">
        <w:rPr>
          <w:rFonts w:cstheme="minorHAnsi"/>
          <w:sz w:val="22"/>
          <w:szCs w:val="22"/>
        </w:rPr>
        <w:t>,</w:t>
      </w:r>
      <w:r w:rsidRPr="00791FB3">
        <w:rPr>
          <w:rFonts w:cstheme="minorHAnsi"/>
          <w:sz w:val="22"/>
          <w:szCs w:val="22"/>
        </w:rPr>
        <w:t xml:space="preserve"> et </w:t>
      </w:r>
      <w:r w:rsidRPr="00791FB3">
        <w:rPr>
          <w:rFonts w:cstheme="minorHAnsi"/>
          <w:b/>
          <w:bCs/>
          <w:sz w:val="22"/>
          <w:szCs w:val="22"/>
        </w:rPr>
        <w:t>au plus tard le</w:t>
      </w:r>
      <w:r w:rsidRPr="00791FB3">
        <w:rPr>
          <w:rFonts w:cstheme="minorHAnsi"/>
          <w:sz w:val="22"/>
          <w:szCs w:val="22"/>
        </w:rPr>
        <w:t xml:space="preserve"> </w:t>
      </w:r>
      <w:r w:rsidR="007A5C77" w:rsidRPr="00791FB3">
        <w:rPr>
          <w:rFonts w:cstheme="minorHAnsi"/>
          <w:b/>
          <w:bCs/>
          <w:sz w:val="22"/>
          <w:szCs w:val="22"/>
        </w:rPr>
        <w:t xml:space="preserve">27 octobre </w:t>
      </w:r>
      <w:r w:rsidRPr="00791FB3">
        <w:rPr>
          <w:rFonts w:cstheme="minorHAnsi"/>
          <w:b/>
          <w:bCs/>
          <w:sz w:val="22"/>
          <w:szCs w:val="22"/>
        </w:rPr>
        <w:t>2022</w:t>
      </w:r>
      <w:r w:rsidRPr="00791FB3">
        <w:rPr>
          <w:rFonts w:cstheme="minorHAnsi"/>
          <w:sz w:val="22"/>
          <w:szCs w:val="22"/>
        </w:rPr>
        <w:t xml:space="preserve">. </w:t>
      </w:r>
      <w:r w:rsidRPr="00791FB3">
        <w:rPr>
          <w:rFonts w:cstheme="minorHAnsi"/>
          <w:b/>
          <w:bCs/>
          <w:sz w:val="22"/>
          <w:szCs w:val="22"/>
        </w:rPr>
        <w:t>Veuillez noter que l'inscription préalable des participants à nos manifestations se fait exclusivement en ligne.</w:t>
      </w:r>
      <w:r w:rsidRPr="00791FB3">
        <w:rPr>
          <w:rFonts w:cstheme="minorHAnsi"/>
          <w:sz w:val="22"/>
          <w:szCs w:val="22"/>
        </w:rPr>
        <w:t xml:space="preserve"> Les participants auront aussi la possibilité de s'inscrire sur place le jour </w:t>
      </w:r>
      <w:r w:rsidR="007A5C77" w:rsidRPr="00791FB3">
        <w:rPr>
          <w:rFonts w:cstheme="minorHAnsi"/>
          <w:sz w:val="22"/>
          <w:szCs w:val="22"/>
        </w:rPr>
        <w:t>de l'atelier</w:t>
      </w:r>
      <w:r w:rsidRPr="00791FB3">
        <w:rPr>
          <w:rFonts w:cstheme="minorHAnsi"/>
          <w:sz w:val="22"/>
          <w:szCs w:val="22"/>
        </w:rPr>
        <w:t xml:space="preserve">. </w:t>
      </w:r>
      <w:r w:rsidRPr="00791FB3">
        <w:rPr>
          <w:rFonts w:cstheme="minorHAnsi"/>
          <w:b/>
          <w:bCs/>
          <w:sz w:val="22"/>
          <w:szCs w:val="22"/>
        </w:rPr>
        <w:t>La participation à cet atelier est gratuite et ouverte à tous.</w:t>
      </w:r>
    </w:p>
    <w:p w14:paraId="72D3A9FF" w14:textId="1CD11DC0" w:rsidR="000E30D3" w:rsidRPr="00791FB3" w:rsidRDefault="000E30D3" w:rsidP="00E91465">
      <w:pPr>
        <w:rPr>
          <w:rFonts w:cstheme="minorHAnsi"/>
          <w:sz w:val="22"/>
          <w:szCs w:val="22"/>
        </w:rPr>
      </w:pPr>
      <w:r w:rsidRPr="00791FB3">
        <w:rPr>
          <w:rFonts w:cstheme="minorHAnsi"/>
          <w:sz w:val="22"/>
          <w:szCs w:val="22"/>
        </w:rPr>
        <w:t>8</w:t>
      </w:r>
      <w:r w:rsidRPr="00791FB3">
        <w:rPr>
          <w:rFonts w:cstheme="minorHAnsi"/>
          <w:sz w:val="22"/>
          <w:szCs w:val="22"/>
        </w:rPr>
        <w:tab/>
        <w:t>Des équipements de réseau local sans fil sont à la disposition des délégués dans les principaux espaces de conférence de l'UIT. Des informations détaillées sont disponibles sur le site web de l'UIT-T (</w:t>
      </w:r>
      <w:hyperlink r:id="rId13" w:history="1">
        <w:r w:rsidRPr="00791FB3">
          <w:rPr>
            <w:rStyle w:val="Hyperlink"/>
            <w:rFonts w:cstheme="minorHAnsi"/>
            <w:sz w:val="22"/>
            <w:szCs w:val="22"/>
          </w:rPr>
          <w:t>http://www.itu.int/ITU-T/edh/faqs-support.html</w:t>
        </w:r>
      </w:hyperlink>
      <w:r w:rsidRPr="00791FB3">
        <w:rPr>
          <w:rFonts w:cstheme="minorHAnsi"/>
          <w:sz w:val="22"/>
          <w:szCs w:val="22"/>
        </w:rPr>
        <w:t>).</w:t>
      </w:r>
    </w:p>
    <w:p w14:paraId="76B8E641" w14:textId="6A35E0DB" w:rsidR="000E30D3" w:rsidRPr="00791FB3" w:rsidRDefault="000E30D3" w:rsidP="00E91465">
      <w:pPr>
        <w:rPr>
          <w:rFonts w:cstheme="minorHAnsi"/>
          <w:sz w:val="22"/>
          <w:szCs w:val="22"/>
        </w:rPr>
      </w:pPr>
      <w:r w:rsidRPr="00791FB3">
        <w:rPr>
          <w:rFonts w:cstheme="minorHAnsi"/>
          <w:sz w:val="22"/>
          <w:szCs w:val="22"/>
        </w:rPr>
        <w:t>9</w:t>
      </w:r>
      <w:r w:rsidRPr="00791FB3">
        <w:rPr>
          <w:rFonts w:cstheme="minorHAnsi"/>
          <w:sz w:val="22"/>
          <w:szCs w:val="22"/>
        </w:rPr>
        <w:tab/>
        <w:t xml:space="preserve">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rsidRPr="00791FB3">
        <w:rPr>
          <w:rFonts w:cstheme="minorHAnsi"/>
          <w:sz w:val="22"/>
          <w:szCs w:val="22"/>
        </w:rPr>
        <w:t>l'adresse:</w:t>
      </w:r>
      <w:proofErr w:type="gramEnd"/>
      <w:r w:rsidRPr="00791FB3">
        <w:rPr>
          <w:rFonts w:cstheme="minorHAnsi"/>
          <w:sz w:val="22"/>
          <w:szCs w:val="22"/>
        </w:rPr>
        <w:t xml:space="preserve"> </w:t>
      </w:r>
      <w:hyperlink r:id="rId14" w:history="1">
        <w:r w:rsidRPr="00791FB3">
          <w:rPr>
            <w:rStyle w:val="Hyperlink"/>
            <w:rFonts w:cstheme="minorHAnsi"/>
            <w:sz w:val="22"/>
            <w:szCs w:val="22"/>
          </w:rPr>
          <w:t>http://itu.int/travel/</w:t>
        </w:r>
      </w:hyperlink>
      <w:r w:rsidRPr="00791FB3">
        <w:rPr>
          <w:rFonts w:cstheme="minorHAnsi"/>
          <w:sz w:val="22"/>
          <w:szCs w:val="22"/>
        </w:rPr>
        <w:t>.</w:t>
      </w:r>
    </w:p>
    <w:p w14:paraId="3D0333BE" w14:textId="0657971A" w:rsidR="000E30D3" w:rsidRPr="00791FB3" w:rsidRDefault="000E30D3" w:rsidP="00E91197">
      <w:pPr>
        <w:rPr>
          <w:rFonts w:cstheme="minorHAnsi"/>
          <w:sz w:val="22"/>
          <w:szCs w:val="22"/>
        </w:rPr>
      </w:pPr>
      <w:r w:rsidRPr="00791FB3">
        <w:rPr>
          <w:rFonts w:cstheme="minorHAnsi"/>
          <w:sz w:val="22"/>
          <w:szCs w:val="22"/>
        </w:rPr>
        <w:t>10</w:t>
      </w:r>
      <w:r w:rsidRPr="00791FB3">
        <w:rPr>
          <w:rFonts w:cstheme="minorHAnsi"/>
          <w:sz w:val="22"/>
          <w:szCs w:val="22"/>
        </w:rPr>
        <w:tab/>
        <w:t xml:space="preserve">Nous vous rappelons que, pour les ressortissants de certains pays, l'entrée et le séjour, quelle qu'en soit la durée, sur le territoire de la Suisse sont soumis à l'obtention d'un visa. </w:t>
      </w:r>
      <w:r w:rsidRPr="00791FB3">
        <w:rPr>
          <w:rFonts w:cstheme="minorHAnsi"/>
          <w:b/>
          <w:bCs/>
          <w:sz w:val="22"/>
          <w:szCs w:val="22"/>
        </w:rPr>
        <w:t>Ce visa doit être demandé au moins quatre semaines avant la date de début de l'atelier</w:t>
      </w:r>
      <w:r w:rsidRPr="00791FB3">
        <w:rPr>
          <w:rFonts w:cstheme="minorHAnsi"/>
          <w:sz w:val="22"/>
          <w:szCs w:val="22"/>
        </w:rPr>
        <w:t xml:space="preserve"> et </w:t>
      </w:r>
      <w:r w:rsidR="001556CD" w:rsidRPr="00791FB3">
        <w:rPr>
          <w:rFonts w:cstheme="minorHAnsi"/>
          <w:sz w:val="22"/>
          <w:szCs w:val="22"/>
        </w:rPr>
        <w:t xml:space="preserve">peut être </w:t>
      </w:r>
      <w:r w:rsidRPr="00791FB3">
        <w:rPr>
          <w:rFonts w:cstheme="minorHAnsi"/>
          <w:sz w:val="22"/>
          <w:szCs w:val="22"/>
        </w:rPr>
        <w:t>obtenu auprès de la représentation de la Suisse (ambassade ou consulat) dans votre pays ou, à défaut, dans le pays le plus proche de votre pays de départ.</w:t>
      </w:r>
    </w:p>
    <w:p w14:paraId="7E777BC0" w14:textId="2123F8F3" w:rsidR="00A564BB" w:rsidRDefault="000E30D3" w:rsidP="00E91197">
      <w:pPr>
        <w:keepLines/>
        <w:rPr>
          <w:rFonts w:cstheme="minorHAnsi"/>
          <w:sz w:val="22"/>
          <w:szCs w:val="22"/>
        </w:rPr>
      </w:pPr>
      <w:r w:rsidRPr="00791FB3">
        <w:rPr>
          <w:rFonts w:cstheme="minorHAnsi"/>
          <w:sz w:val="22"/>
          <w:szCs w:val="22"/>
        </w:rPr>
        <w:t xml:space="preserve">En cas de problème pour des </w:t>
      </w:r>
      <w:r w:rsidRPr="00791FB3">
        <w:rPr>
          <w:rFonts w:cstheme="minorHAnsi"/>
          <w:b/>
          <w:bCs/>
          <w:sz w:val="22"/>
          <w:szCs w:val="22"/>
        </w:rPr>
        <w:t>États Membres</w:t>
      </w:r>
      <w:r w:rsidRPr="00791FB3">
        <w:rPr>
          <w:rFonts w:cstheme="minorHAnsi"/>
          <w:sz w:val="22"/>
          <w:szCs w:val="22"/>
        </w:rPr>
        <w:t xml:space="preserve">, </w:t>
      </w:r>
      <w:r w:rsidRPr="00791FB3">
        <w:rPr>
          <w:rFonts w:cstheme="minorHAnsi"/>
          <w:b/>
          <w:bCs/>
          <w:sz w:val="22"/>
          <w:szCs w:val="22"/>
        </w:rPr>
        <w:t>des Membres de Secteur et des Associés de l'UIT ou des établissements universitaires participant aux travaux de l'UIT</w:t>
      </w:r>
      <w:r w:rsidRPr="00791FB3">
        <w:rPr>
          <w:rFonts w:cstheme="minorHAnsi"/>
          <w:sz w:val="22"/>
          <w:szCs w:val="22"/>
        </w:rPr>
        <w:t xml:space="preserve">, et sur demande officielle de leur part au TSB, l'Union peut intervenir auprès des autorités suisses compétentes pour faciliter l'émission du visa, mais uniquement pendant la période de </w:t>
      </w:r>
      <w:proofErr w:type="gramStart"/>
      <w:r w:rsidRPr="00791FB3">
        <w:rPr>
          <w:rFonts w:cstheme="minorHAnsi"/>
          <w:b/>
          <w:bCs/>
          <w:sz w:val="22"/>
          <w:szCs w:val="22"/>
        </w:rPr>
        <w:t>quatre semaines</w:t>
      </w:r>
      <w:r w:rsidRPr="00791FB3">
        <w:rPr>
          <w:rFonts w:cstheme="minorHAnsi"/>
          <w:sz w:val="22"/>
          <w:szCs w:val="22"/>
        </w:rPr>
        <w:t xml:space="preserve"> susmentionnée</w:t>
      </w:r>
      <w:proofErr w:type="gramEnd"/>
      <w:r w:rsidRPr="00791FB3">
        <w:rPr>
          <w:rFonts w:cstheme="minorHAnsi"/>
          <w:sz w:val="22"/>
          <w:szCs w:val="22"/>
        </w:rPr>
        <w:t>. Les demandes doivent être effectuées en cochant la case correspondante du formulaire d'inscription, au plus tard quatre semaines avant la date de la manifestation. Elles doivent être envoyées à la Section des voyages de l'UIT (</w:t>
      </w:r>
      <w:hyperlink r:id="rId15" w:history="1">
        <w:r w:rsidRPr="00791FB3">
          <w:rPr>
            <w:rStyle w:val="Hyperlink"/>
            <w:rFonts w:cstheme="minorHAnsi"/>
            <w:sz w:val="22"/>
            <w:szCs w:val="22"/>
          </w:rPr>
          <w:t>travel@itu.int</w:t>
        </w:r>
      </w:hyperlink>
      <w:r w:rsidRPr="00791FB3">
        <w:rPr>
          <w:rFonts w:cstheme="minorHAnsi"/>
          <w:sz w:val="22"/>
          <w:szCs w:val="22"/>
        </w:rPr>
        <w:t>), avec la mention "assistance pour le visa".</w:t>
      </w:r>
    </w:p>
    <w:p w14:paraId="7C124F3A" w14:textId="77777777" w:rsidR="00A564BB" w:rsidRDefault="00A564BB">
      <w:pPr>
        <w:tabs>
          <w:tab w:val="clear" w:pos="794"/>
          <w:tab w:val="clear" w:pos="1191"/>
          <w:tab w:val="clear" w:pos="1588"/>
          <w:tab w:val="clear" w:pos="1985"/>
        </w:tabs>
        <w:overflowPunct/>
        <w:autoSpaceDE/>
        <w:autoSpaceDN/>
        <w:adjustRightInd/>
        <w:spacing w:before="0"/>
        <w:textAlignment w:val="auto"/>
        <w:rPr>
          <w:rFonts w:cstheme="minorHAnsi"/>
          <w:sz w:val="22"/>
          <w:szCs w:val="22"/>
        </w:rPr>
      </w:pPr>
      <w:r>
        <w:rPr>
          <w:rFonts w:cstheme="minorHAnsi"/>
          <w:sz w:val="22"/>
          <w:szCs w:val="22"/>
        </w:rPr>
        <w:br w:type="page"/>
      </w:r>
    </w:p>
    <w:p w14:paraId="7C6D6B45" w14:textId="04356C28" w:rsidR="00BD6ECF" w:rsidRPr="00791FB3" w:rsidRDefault="00517A03" w:rsidP="00E91465">
      <w:pPr>
        <w:spacing w:after="240"/>
        <w:rPr>
          <w:rFonts w:cstheme="minorHAnsi"/>
          <w:sz w:val="22"/>
          <w:szCs w:val="22"/>
        </w:rPr>
      </w:pPr>
      <w:r w:rsidRPr="00791FB3">
        <w:rPr>
          <w:rFonts w:cstheme="minorHAnsi"/>
          <w:sz w:val="22"/>
          <w:szCs w:val="22"/>
        </w:rPr>
        <w:lastRenderedPageBreak/>
        <w:t>Veuillez agréer, Madame, Monsieur, l</w:t>
      </w:r>
      <w:r w:rsidR="00167472" w:rsidRPr="00791FB3">
        <w:rPr>
          <w:rFonts w:cstheme="minorHAnsi"/>
          <w:sz w:val="22"/>
          <w:szCs w:val="22"/>
        </w:rPr>
        <w:t>'</w:t>
      </w:r>
      <w:r w:rsidRPr="00791FB3">
        <w:rPr>
          <w:rFonts w:cstheme="minorHAnsi"/>
          <w:sz w:val="22"/>
          <w:szCs w:val="22"/>
        </w:rPr>
        <w:t>assurance de ma considération</w:t>
      </w:r>
      <w:r w:rsidR="00550C1A" w:rsidRPr="00791FB3">
        <w:rPr>
          <w:rFonts w:cstheme="minorHAnsi"/>
          <w:sz w:val="22"/>
          <w:szCs w:val="22"/>
        </w:rPr>
        <w:t xml:space="preserve"> distinguée</w:t>
      </w:r>
      <w:r w:rsidRPr="00791FB3">
        <w:rPr>
          <w:rFonts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860"/>
      </w:tblGrid>
      <w:tr w:rsidR="004C31F0" w:rsidRPr="00791FB3" w14:paraId="77D3CBEF" w14:textId="77777777" w:rsidTr="00E05261">
        <w:tc>
          <w:tcPr>
            <w:tcW w:w="4859" w:type="dxa"/>
          </w:tcPr>
          <w:p w14:paraId="6903AEFB" w14:textId="11F8C0BF" w:rsidR="004C31F0" w:rsidRPr="00791FB3" w:rsidRDefault="00547837" w:rsidP="00A564BB">
            <w:pPr>
              <w:spacing w:before="960"/>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0F072838" wp14:editId="0E57D158">
                  <wp:simplePos x="0" y="0"/>
                  <wp:positionH relativeFrom="column">
                    <wp:posOffset>1905</wp:posOffset>
                  </wp:positionH>
                  <wp:positionV relativeFrom="paragraph">
                    <wp:posOffset>60325</wp:posOffset>
                  </wp:positionV>
                  <wp:extent cx="486833" cy="365125"/>
                  <wp:effectExtent l="0" t="0" r="889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86833" cy="365125"/>
                          </a:xfrm>
                          <a:prstGeom prst="rect">
                            <a:avLst/>
                          </a:prstGeom>
                        </pic:spPr>
                      </pic:pic>
                    </a:graphicData>
                  </a:graphic>
                  <wp14:sizeRelH relativeFrom="margin">
                    <wp14:pctWidth>0</wp14:pctWidth>
                  </wp14:sizeRelH>
                  <wp14:sizeRelV relativeFrom="margin">
                    <wp14:pctHeight>0</wp14:pctHeight>
                  </wp14:sizeRelV>
                </wp:anchor>
              </w:drawing>
            </w:r>
            <w:r w:rsidR="004C31F0" w:rsidRPr="00791FB3">
              <w:rPr>
                <w:rFonts w:cstheme="minorHAnsi"/>
                <w:sz w:val="22"/>
                <w:szCs w:val="22"/>
              </w:rPr>
              <w:t>Chaesub Lee</w:t>
            </w:r>
            <w:r w:rsidR="004C31F0" w:rsidRPr="00791FB3">
              <w:rPr>
                <w:rFonts w:cstheme="minorHAnsi"/>
                <w:sz w:val="22"/>
                <w:szCs w:val="22"/>
              </w:rPr>
              <w:br/>
              <w:t xml:space="preserve">Directeur du Bureau de la normalisation </w:t>
            </w:r>
            <w:r w:rsidR="004C31F0" w:rsidRPr="00791FB3">
              <w:rPr>
                <w:rFonts w:cstheme="minorHAnsi"/>
                <w:sz w:val="22"/>
                <w:szCs w:val="22"/>
              </w:rPr>
              <w:br/>
              <w:t>des télécommunications</w:t>
            </w:r>
          </w:p>
        </w:tc>
        <w:tc>
          <w:tcPr>
            <w:tcW w:w="4860" w:type="dxa"/>
          </w:tcPr>
          <w:p w14:paraId="4D5CAFDF" w14:textId="087A5311" w:rsidR="004C31F0" w:rsidRPr="00791FB3" w:rsidRDefault="00E05261" w:rsidP="00A564BB">
            <w:pPr>
              <w:spacing w:before="960"/>
              <w:rPr>
                <w:rFonts w:cstheme="minorHAnsi"/>
                <w:b/>
                <w:bCs/>
                <w:sz w:val="22"/>
                <w:szCs w:val="22"/>
              </w:rPr>
            </w:pPr>
            <w:r w:rsidRPr="00791FB3">
              <w:rPr>
                <w:rFonts w:cstheme="minorHAnsi"/>
                <w:sz w:val="22"/>
                <w:szCs w:val="22"/>
              </w:rPr>
              <w:t>Doreen Bogdan-Martin</w:t>
            </w:r>
            <w:r w:rsidRPr="00791FB3">
              <w:rPr>
                <w:rFonts w:cstheme="minorHAnsi"/>
                <w:sz w:val="22"/>
                <w:szCs w:val="22"/>
              </w:rPr>
              <w:br/>
              <w:t>Directrice du Bureau de développement des télécommunications (BDT)</w:t>
            </w:r>
          </w:p>
        </w:tc>
      </w:tr>
    </w:tbl>
    <w:p w14:paraId="4FB76B8C" w14:textId="22D4D173" w:rsidR="00E05261" w:rsidRPr="00791FB3" w:rsidRDefault="00E05261" w:rsidP="00E91465">
      <w:pPr>
        <w:tabs>
          <w:tab w:val="clear" w:pos="794"/>
          <w:tab w:val="clear" w:pos="1191"/>
          <w:tab w:val="clear" w:pos="1588"/>
          <w:tab w:val="clear" w:pos="1985"/>
        </w:tabs>
        <w:overflowPunct/>
        <w:autoSpaceDE/>
        <w:autoSpaceDN/>
        <w:adjustRightInd/>
        <w:spacing w:before="0"/>
        <w:textAlignment w:val="auto"/>
        <w:rPr>
          <w:rFonts w:cstheme="minorHAnsi"/>
          <w:sz w:val="22"/>
          <w:szCs w:val="22"/>
        </w:rPr>
      </w:pPr>
      <w:r w:rsidRPr="00791FB3">
        <w:rPr>
          <w:rFonts w:cstheme="minorHAnsi"/>
          <w:sz w:val="22"/>
          <w:szCs w:val="22"/>
        </w:rPr>
        <w:br w:type="page"/>
      </w:r>
    </w:p>
    <w:p w14:paraId="54DBBFC1" w14:textId="77777777" w:rsidR="00E05261" w:rsidRPr="00A564BB" w:rsidRDefault="00E05261" w:rsidP="00E91465">
      <w:pPr>
        <w:pStyle w:val="AnnexTitle"/>
        <w:rPr>
          <w:rFonts w:cstheme="minorHAnsi"/>
          <w:sz w:val="22"/>
          <w:szCs w:val="22"/>
          <w:lang w:val="en-GB"/>
        </w:rPr>
      </w:pPr>
      <w:r w:rsidRPr="00A564BB">
        <w:rPr>
          <w:rFonts w:cstheme="minorHAnsi"/>
          <w:sz w:val="22"/>
          <w:szCs w:val="22"/>
          <w:lang w:val="en-GB"/>
        </w:rPr>
        <w:lastRenderedPageBreak/>
        <w:t>Annex – Outline of workshop sessions</w:t>
      </w:r>
    </w:p>
    <w:p w14:paraId="3238EA39" w14:textId="6CBF6B8C" w:rsidR="00E05261" w:rsidRPr="00A564BB" w:rsidRDefault="00E05261" w:rsidP="00E91465">
      <w:pPr>
        <w:rPr>
          <w:rFonts w:cstheme="minorHAnsi"/>
          <w:sz w:val="22"/>
          <w:szCs w:val="22"/>
          <w:lang w:val="en-GB"/>
        </w:rPr>
      </w:pPr>
      <w:r w:rsidRPr="00A564BB">
        <w:rPr>
          <w:rFonts w:cstheme="minorHAnsi"/>
          <w:sz w:val="22"/>
          <w:szCs w:val="22"/>
          <w:lang w:val="en-GB"/>
        </w:rPr>
        <w:t>In total, nine sessions (subject to change) are planned during the workshop. For any updates, please see webpage at</w:t>
      </w:r>
      <w:r w:rsidRPr="00A564BB">
        <w:rPr>
          <w:rFonts w:cstheme="minorHAnsi"/>
          <w:sz w:val="22"/>
          <w:szCs w:val="22"/>
          <w:lang w:val="en-GB"/>
        </w:rPr>
        <w:br/>
      </w:r>
      <w:hyperlink r:id="rId17" w:history="1">
        <w:r w:rsidRPr="00A564BB">
          <w:rPr>
            <w:rStyle w:val="Hyperlink"/>
            <w:rFonts w:cstheme="minorHAnsi"/>
            <w:sz w:val="22"/>
            <w:szCs w:val="22"/>
            <w:lang w:val="en-GB"/>
          </w:rPr>
          <w:t>https://www.itu.int/en/ITU-T/Workshops-and-Seminars/2022/1103/Pages/default.aspx</w:t>
        </w:r>
      </w:hyperlink>
    </w:p>
    <w:p w14:paraId="22AE81C3"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1 – Opening</w:t>
      </w:r>
    </w:p>
    <w:p w14:paraId="1016464A"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2 – Introduction to ITU-T Study Group 3</w:t>
      </w:r>
    </w:p>
    <w:p w14:paraId="7CF9C70C" w14:textId="3CE7F226"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3 – Industry</w:t>
      </w:r>
      <w:r w:rsidR="00E91197" w:rsidRPr="00A564BB">
        <w:rPr>
          <w:rFonts w:cstheme="minorHAnsi"/>
          <w:sz w:val="22"/>
          <w:szCs w:val="22"/>
          <w:lang w:val="en-GB"/>
        </w:rPr>
        <w:t>'</w:t>
      </w:r>
      <w:r w:rsidRPr="00A564BB">
        <w:rPr>
          <w:rFonts w:cstheme="minorHAnsi"/>
          <w:sz w:val="22"/>
          <w:szCs w:val="22"/>
          <w:lang w:val="en-GB"/>
        </w:rPr>
        <w:t>s perspectives on the economic and fiscal landscape</w:t>
      </w:r>
    </w:p>
    <w:p w14:paraId="5F52BD91"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In recent years, user demand has driven outstanding growth of data and applications over telecommunication infrastructure, which broadens options of virtual interaction, content consumption and remote communication for people all over the globe.</w:t>
      </w:r>
    </w:p>
    <w:p w14:paraId="608D6BAF"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With the increasing presence of these new digital firms, issues arise on the economic impacts of new fiscal </w:t>
      </w:r>
      <w:proofErr w:type="gramStart"/>
      <w:r w:rsidRPr="00A564BB">
        <w:rPr>
          <w:rFonts w:cstheme="minorHAnsi"/>
          <w:sz w:val="22"/>
          <w:szCs w:val="22"/>
          <w:lang w:val="en-GB"/>
        </w:rPr>
        <w:t>instruments;</w:t>
      </w:r>
      <w:proofErr w:type="gramEnd"/>
      <w:r w:rsidRPr="00A564BB">
        <w:rPr>
          <w:rFonts w:cstheme="minorHAnsi"/>
          <w:sz w:val="22"/>
          <w:szCs w:val="22"/>
          <w:lang w:val="en-GB"/>
        </w:rPr>
        <w:t xml:space="preserve"> for instance, on investments, forms of cooperation between traditional telecommunication operators and OTT application service providers, among others.</w:t>
      </w:r>
    </w:p>
    <w:p w14:paraId="6B0345D5" w14:textId="7B62E19D"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Some parts of the telecommunications industry have proposed to apply the “sending-party-network-pays system” (SPNP) and have called for some form of an Internet usage/traffic tax, </w:t>
      </w:r>
      <w:proofErr w:type="gramStart"/>
      <w:r w:rsidRPr="00A564BB">
        <w:rPr>
          <w:rFonts w:cstheme="minorHAnsi"/>
          <w:sz w:val="22"/>
          <w:szCs w:val="22"/>
          <w:lang w:val="en-GB"/>
        </w:rPr>
        <w:t>levies</w:t>
      </w:r>
      <w:proofErr w:type="gramEnd"/>
      <w:r w:rsidRPr="00A564BB">
        <w:rPr>
          <w:rFonts w:cstheme="minorHAnsi"/>
          <w:sz w:val="22"/>
          <w:szCs w:val="22"/>
          <w:lang w:val="en-GB"/>
        </w:rPr>
        <w:t xml:space="preserve"> or fees on “big technology content and service provider companies” and ISPs to help provide cost recovery for telecom service providers</w:t>
      </w:r>
      <w:r w:rsidR="00CE33B8" w:rsidRPr="00A564BB">
        <w:rPr>
          <w:rFonts w:cstheme="minorHAnsi"/>
          <w:sz w:val="22"/>
          <w:szCs w:val="22"/>
          <w:lang w:val="en-GB"/>
        </w:rPr>
        <w:t>'</w:t>
      </w:r>
      <w:r w:rsidRPr="00A564BB">
        <w:rPr>
          <w:rFonts w:cstheme="minorHAnsi"/>
          <w:sz w:val="22"/>
          <w:szCs w:val="22"/>
          <w:lang w:val="en-GB"/>
        </w:rPr>
        <w:t xml:space="preserve"> investments. However, some parts of the wider Internet ecosystem have cautioned that such approaches could be counterproductive.</w:t>
      </w:r>
    </w:p>
    <w:p w14:paraId="422D4A6F"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This session aims to gather the various industry perspectives on the economic, regulatory, and fiscal landscape in which telecom operators and content and application providers operate.</w:t>
      </w:r>
    </w:p>
    <w:p w14:paraId="4582D2C7"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4 – ICT market impacts of international tax agreements</w:t>
      </w:r>
    </w:p>
    <w:p w14:paraId="50838DCF"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As investments around the world advance towards globalized intangible digital service-based assets, so do tax systems </w:t>
      </w:r>
      <w:proofErr w:type="gramStart"/>
      <w:r w:rsidRPr="00A564BB">
        <w:rPr>
          <w:rFonts w:cstheme="minorHAnsi"/>
          <w:sz w:val="22"/>
          <w:szCs w:val="22"/>
          <w:lang w:val="en-GB"/>
        </w:rPr>
        <w:t>in order to</w:t>
      </w:r>
      <w:proofErr w:type="gramEnd"/>
      <w:r w:rsidRPr="00A564BB">
        <w:rPr>
          <w:rFonts w:cstheme="minorHAnsi"/>
          <w:sz w:val="22"/>
          <w:szCs w:val="22"/>
          <w:lang w:val="en-GB"/>
        </w:rPr>
        <w:t xml:space="preserve"> adapt to the 21st century production structure. Given the importance of cross-border transactions, a commitment for international coordination on taxation was made through the OECD/G20 Inclusive Framework on Base Erosion and Profit Shifting (BEPS).</w:t>
      </w:r>
    </w:p>
    <w:p w14:paraId="09899B7C"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The OECD/G20 Inclusive Framework on BEPS has agreed a two-pillar solution to address the tax challenges arising from the digitalisation of the economy. Agreed by more than 135 countries and jurisdictions, representing more than 90 per cent of global GDP, this landmark deal represents a historic achievement towards a more stable and fairer international tax system.</w:t>
      </w:r>
    </w:p>
    <w:p w14:paraId="26478DDF"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This session aims to provide participants with a thorough understanding of the efforts undertaken in this initiative in terms of the tax challenges arising from the digitalization of the economy such as on automated digital services and on multinational enterprise business taxation. It also has the objective of broadening the knowledge on relevant aspects which relate to the ICT and telecommunication sector, as well as to possible outcomes on companies that operate over telecommunication infrastructure.</w:t>
      </w:r>
    </w:p>
    <w:p w14:paraId="5CDD1219" w14:textId="560C05CE"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5 – International aspects, and multistakeholder impacts of established and new fiscal instruments</w:t>
      </w:r>
    </w:p>
    <w:p w14:paraId="280C2F83"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There is an ongoing need to encourage investment in telecom infrastructure, particularly in new deployments and continual upgrades, especially in rural areas, to help close the digital divide. This raises the question of which funds, fiscal instruments, </w:t>
      </w:r>
      <w:proofErr w:type="gramStart"/>
      <w:r w:rsidRPr="00A564BB">
        <w:rPr>
          <w:rFonts w:cstheme="minorHAnsi"/>
          <w:sz w:val="22"/>
          <w:szCs w:val="22"/>
          <w:lang w:val="en-GB"/>
        </w:rPr>
        <w:t>incentives</w:t>
      </w:r>
      <w:proofErr w:type="gramEnd"/>
      <w:r w:rsidRPr="00A564BB">
        <w:rPr>
          <w:rFonts w:cstheme="minorHAnsi"/>
          <w:sz w:val="22"/>
          <w:szCs w:val="22"/>
          <w:lang w:val="en-GB"/>
        </w:rPr>
        <w:t xml:space="preserve"> and other measures could be most appropriate and effective in bridging the digital divide and in supporting the digital transformation.</w:t>
      </w:r>
    </w:p>
    <w:p w14:paraId="768773AD"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There are challenges to Universal Service Funds (USF), which are shrinking as they are derived from telecom voice service revenues, affecting especially developing countries with varying economic consequences. Suggestions have been made to rescope or reform the service funds and derive them from broadband data service revenues, as well as to request “Big Tech” companies to contribute to universal service obligations.</w:t>
      </w:r>
    </w:p>
    <w:p w14:paraId="456DB1CD" w14:textId="30197645"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lastRenderedPageBreak/>
        <w:t xml:space="preserve">There are also debates surrounding applying the “sending-party-network-pays system” (SPNP) and/or some form of an Internet usage/traffic tax, levies or fees on “big technology content and service provider </w:t>
      </w:r>
      <w:proofErr w:type="gramStart"/>
      <w:r w:rsidRPr="00A564BB">
        <w:rPr>
          <w:rFonts w:cstheme="minorHAnsi"/>
          <w:sz w:val="22"/>
          <w:szCs w:val="22"/>
          <w:lang w:val="en-GB"/>
        </w:rPr>
        <w:t>companies“ and</w:t>
      </w:r>
      <w:proofErr w:type="gramEnd"/>
      <w:r w:rsidRPr="00A564BB">
        <w:rPr>
          <w:rFonts w:cstheme="minorHAnsi"/>
          <w:sz w:val="22"/>
          <w:szCs w:val="22"/>
          <w:lang w:val="en-GB"/>
        </w:rPr>
        <w:t xml:space="preserve"> ISPs to help provide cost recovery for telecom service providers</w:t>
      </w:r>
      <w:r w:rsidR="00CE33B8" w:rsidRPr="00A564BB">
        <w:rPr>
          <w:rFonts w:cstheme="minorHAnsi"/>
          <w:sz w:val="22"/>
          <w:szCs w:val="22"/>
          <w:lang w:val="en-GB"/>
        </w:rPr>
        <w:t>'</w:t>
      </w:r>
      <w:r w:rsidRPr="00A564BB">
        <w:rPr>
          <w:rFonts w:cstheme="minorHAnsi"/>
          <w:sz w:val="22"/>
          <w:szCs w:val="22"/>
          <w:lang w:val="en-GB"/>
        </w:rPr>
        <w:t xml:space="preserve"> investments. </w:t>
      </w:r>
    </w:p>
    <w:p w14:paraId="1C4AEC5A"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Recently established European regulations such as the Digital Market Act and Digital Service Act that address digital/online platforms will be considered in this session, as well as the WTO moratorium not to impose customs duties on electronic transmissions, and an expected Connectivity Infrastructure Act.</w:t>
      </w:r>
    </w:p>
    <w:p w14:paraId="0159FB3C" w14:textId="2DA618ED"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A key objective of the session is to facilitate a dialogue among the experts regarding how they understand the economic consequences and regulatory implications of some Internet usage/traffic tax compared with other fiscal instruments such as tax relief, incentives and subsidies, and alternatives or other cost-sharing approaches. This includes considering compatibility with net-neutrality principles, the potential impact on innovation and competition, and the relationship with other forms of digital taxes, as well as the risk of double/over-taxation.</w:t>
      </w:r>
    </w:p>
    <w:p w14:paraId="7407EBA9"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6 – Digital Inclusion in the Civil Society</w:t>
      </w:r>
    </w:p>
    <w:p w14:paraId="6EE89B71"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As the world becomes increasingly digital, and new forms of fiscal instrument potentially arise in response, it is vital to consider the issue of digital inclusion – and especially views on this matter from the perspective of Civil Society.</w:t>
      </w:r>
    </w:p>
    <w:p w14:paraId="6CA03CC1"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For instance, recent pandemics put into perspective the importance of connectivity to the people and the economy. It is, therefore, vital to consider economic barriers, regulatory measures and fiscal incentives which could help address digital inclusion, including affordability and availability of traditional and digital services.</w:t>
      </w:r>
    </w:p>
    <w:p w14:paraId="5A4797F2"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The objective of this session is to gather information on these issues through the lens of Civil Society, and especially from the perspective of consumers.</w:t>
      </w:r>
    </w:p>
    <w:p w14:paraId="079D050C"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7 – Diversity of fiscal incentives in the world</w:t>
      </w:r>
    </w:p>
    <w:p w14:paraId="2DD74094"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The 2011 ITU Workshop on “Taxation of Telecommunication Services and Related Products” examined the desirability of taxing telecommunications services, especially in developing countries, and discussed factors that should be considered </w:t>
      </w:r>
      <w:proofErr w:type="gramStart"/>
      <w:r w:rsidRPr="00A564BB">
        <w:rPr>
          <w:rFonts w:cstheme="minorHAnsi"/>
          <w:sz w:val="22"/>
          <w:szCs w:val="22"/>
          <w:lang w:val="en-GB"/>
        </w:rPr>
        <w:t>in order to</w:t>
      </w:r>
      <w:proofErr w:type="gramEnd"/>
      <w:r w:rsidRPr="00A564BB">
        <w:rPr>
          <w:rFonts w:cstheme="minorHAnsi"/>
          <w:sz w:val="22"/>
          <w:szCs w:val="22"/>
          <w:lang w:val="en-GB"/>
        </w:rPr>
        <w:t xml:space="preserve"> strike an appropriate balance between the goals of raising revenues and facilitating economic expansion throughout the telecommunications sector.</w:t>
      </w:r>
    </w:p>
    <w:p w14:paraId="35D52F7B"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That workshop received presentations from countries and ITU members reporting on their experiences with taxation of telecommunications. More than a decade later, there have been outstanding technological innovations and the emergence of new business models and new forms of taxation.</w:t>
      </w:r>
    </w:p>
    <w:p w14:paraId="4E8B409F"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 xml:space="preserve">In this context, the objective of this session is to explore some of the various approaches to fiscal instruments that relate to telecommunications/ICT and OTTs in recent </w:t>
      </w:r>
      <w:proofErr w:type="gramStart"/>
      <w:r w:rsidRPr="00A564BB">
        <w:rPr>
          <w:rFonts w:cstheme="minorHAnsi"/>
          <w:sz w:val="22"/>
          <w:szCs w:val="22"/>
          <w:lang w:val="en-GB"/>
        </w:rPr>
        <w:t>years, and</w:t>
      </w:r>
      <w:proofErr w:type="gramEnd"/>
      <w:r w:rsidRPr="00A564BB">
        <w:rPr>
          <w:rFonts w:cstheme="minorHAnsi"/>
          <w:sz w:val="22"/>
          <w:szCs w:val="22"/>
          <w:lang w:val="en-GB"/>
        </w:rPr>
        <w:t xml:space="preserve"> considering how these national experiences can support collaboration at the regional and international levels.</w:t>
      </w:r>
    </w:p>
    <w:p w14:paraId="4F3B03C7" w14:textId="77777777"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8 – Research perspectives on challenges for the digital transformation</w:t>
      </w:r>
    </w:p>
    <w:p w14:paraId="260CD857"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As the digital transformation advances, featuring in this context the emergence and development of OTTs, new forms of fiscal policy and regulatory apparatus have appeared, each based on different premises for how state intervention can be shaped to address pertinent public policy issues.</w:t>
      </w:r>
    </w:p>
    <w:p w14:paraId="55D43C6C"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t>Theoretically, these forms of economic and fiscal incentives should be based on their predicted impact on society. In this analysis, there is a space for the technical consideration of several issues that represent common international challenges. These issues may encompass competition and a level playing field, digital divide, macro and microeconomic effects of those state instruments, economic tax burden and others. Eventually, these various conclusions may lead to policy implications and best practices.</w:t>
      </w:r>
    </w:p>
    <w:p w14:paraId="4A1EEBA0" w14:textId="77777777" w:rsidR="00E05261" w:rsidRPr="00A564BB" w:rsidRDefault="00E05261" w:rsidP="00E91465">
      <w:pPr>
        <w:pStyle w:val="enumlev1"/>
        <w:tabs>
          <w:tab w:val="clear" w:pos="794"/>
          <w:tab w:val="clear" w:pos="1191"/>
          <w:tab w:val="clear" w:pos="1588"/>
          <w:tab w:val="clear" w:pos="1985"/>
        </w:tabs>
        <w:ind w:left="851" w:firstLine="0"/>
        <w:rPr>
          <w:rFonts w:cstheme="minorHAnsi"/>
          <w:sz w:val="22"/>
          <w:szCs w:val="22"/>
          <w:lang w:val="en-GB"/>
        </w:rPr>
      </w:pPr>
      <w:r w:rsidRPr="00A564BB">
        <w:rPr>
          <w:rFonts w:cstheme="minorHAnsi"/>
          <w:sz w:val="22"/>
          <w:szCs w:val="22"/>
          <w:lang w:val="en-GB"/>
        </w:rPr>
        <w:lastRenderedPageBreak/>
        <w:t>This session aims to explore some of these issues through the perspective of independent researchers, focusing on technical points relevant to this debate.</w:t>
      </w:r>
    </w:p>
    <w:p w14:paraId="1F4244A6" w14:textId="4249236F" w:rsidR="00E05261" w:rsidRPr="00A564BB" w:rsidRDefault="00E05261" w:rsidP="00E91465">
      <w:pPr>
        <w:pStyle w:val="headingb"/>
        <w:rPr>
          <w:rFonts w:cstheme="minorHAnsi"/>
          <w:sz w:val="22"/>
          <w:szCs w:val="22"/>
          <w:lang w:val="en-GB"/>
        </w:rPr>
      </w:pPr>
      <w:r w:rsidRPr="00A564BB">
        <w:rPr>
          <w:rFonts w:cstheme="minorHAnsi"/>
          <w:sz w:val="22"/>
          <w:szCs w:val="22"/>
          <w:lang w:val="en-GB"/>
        </w:rPr>
        <w:t>Session 9 – Closing.</w:t>
      </w:r>
    </w:p>
    <w:p w14:paraId="0AE12BD3" w14:textId="7B5AF09A" w:rsidR="00E05261" w:rsidRPr="00A564BB" w:rsidRDefault="00E05261" w:rsidP="00E91465">
      <w:pPr>
        <w:tabs>
          <w:tab w:val="clear" w:pos="794"/>
          <w:tab w:val="clear" w:pos="1191"/>
          <w:tab w:val="clear" w:pos="1588"/>
          <w:tab w:val="clear" w:pos="1985"/>
        </w:tabs>
        <w:overflowPunct/>
        <w:autoSpaceDE/>
        <w:autoSpaceDN/>
        <w:adjustRightInd/>
        <w:spacing w:before="0"/>
        <w:textAlignment w:val="auto"/>
        <w:rPr>
          <w:rFonts w:cstheme="minorHAnsi"/>
          <w:sz w:val="22"/>
          <w:szCs w:val="22"/>
          <w:lang w:val="en-GB"/>
        </w:rPr>
      </w:pPr>
      <w:r w:rsidRPr="00A564BB">
        <w:rPr>
          <w:rFonts w:cstheme="minorHAnsi"/>
          <w:sz w:val="22"/>
          <w:szCs w:val="22"/>
          <w:lang w:val="en-GB"/>
        </w:rPr>
        <w:br w:type="page"/>
      </w:r>
    </w:p>
    <w:p w14:paraId="4C5060E2" w14:textId="77777777" w:rsidR="00E05261" w:rsidRPr="00A564BB" w:rsidRDefault="00E05261" w:rsidP="00E91465">
      <w:pPr>
        <w:pStyle w:val="AppendixTitle"/>
        <w:rPr>
          <w:rFonts w:cstheme="minorHAnsi"/>
          <w:sz w:val="22"/>
          <w:szCs w:val="22"/>
          <w:lang w:val="en-GB"/>
        </w:rPr>
      </w:pPr>
      <w:r w:rsidRPr="00A564BB">
        <w:rPr>
          <w:rFonts w:cstheme="minorHAnsi"/>
          <w:sz w:val="22"/>
          <w:szCs w:val="22"/>
          <w:lang w:val="en-GB"/>
        </w:rPr>
        <w:lastRenderedPageBreak/>
        <w:t>Appendix – Background information</w:t>
      </w:r>
    </w:p>
    <w:p w14:paraId="42A18A01" w14:textId="6B356810" w:rsidR="00E05261" w:rsidRPr="00A564BB" w:rsidRDefault="00E05261" w:rsidP="00E91465">
      <w:pPr>
        <w:rPr>
          <w:rFonts w:cstheme="minorHAnsi"/>
          <w:sz w:val="22"/>
          <w:szCs w:val="22"/>
          <w:lang w:val="en-GB"/>
        </w:rPr>
      </w:pPr>
      <w:r w:rsidRPr="00A564BB">
        <w:rPr>
          <w:rFonts w:cstheme="minorHAnsi"/>
          <w:sz w:val="22"/>
          <w:szCs w:val="22"/>
          <w:lang w:val="en-GB"/>
        </w:rPr>
        <w:t>In 2011, ITU held a workshop on “</w:t>
      </w:r>
      <w:hyperlink r:id="rId18" w:history="1">
        <w:r w:rsidRPr="00A564BB">
          <w:rPr>
            <w:rStyle w:val="Hyperlink"/>
            <w:rFonts w:cstheme="minorHAnsi"/>
            <w:sz w:val="22"/>
            <w:szCs w:val="22"/>
            <w:lang w:val="en-GB"/>
          </w:rPr>
          <w:t>Taxation of Telecommunication Services and Related Products</w:t>
        </w:r>
      </w:hyperlink>
      <w:r w:rsidRPr="00A564BB">
        <w:rPr>
          <w:rFonts w:cstheme="minorHAnsi"/>
          <w:sz w:val="22"/>
          <w:szCs w:val="22"/>
          <w:lang w:val="en-GB"/>
        </w:rPr>
        <w:t xml:space="preserve">”, which was organized jointly by the Telecommunications Development Bureau (BDT) and the Telecommunications Standardization Bureau (TSB). The workshop took place prior to the 2012 World Conference on International Telecommunications (WCIT), in preparation of inputs for provisions on taxation matters. This workshop considered the desirability of taxing telecommunication services, especially in developing countries, and discussed factors that should be </w:t>
      </w:r>
      <w:proofErr w:type="gramStart"/>
      <w:r w:rsidRPr="00A564BB">
        <w:rPr>
          <w:rFonts w:cstheme="minorHAnsi"/>
          <w:sz w:val="22"/>
          <w:szCs w:val="22"/>
          <w:lang w:val="en-GB"/>
        </w:rPr>
        <w:t>taken into account</w:t>
      </w:r>
      <w:proofErr w:type="gramEnd"/>
      <w:r w:rsidRPr="00A564BB">
        <w:rPr>
          <w:rFonts w:cstheme="minorHAnsi"/>
          <w:sz w:val="22"/>
          <w:szCs w:val="22"/>
          <w:lang w:val="en-GB"/>
        </w:rPr>
        <w:t xml:space="preserve"> in order to strike an appropriate balance between the goals of raising revenues and facilitating economic expansion throughout the telecommunication sector.</w:t>
      </w:r>
    </w:p>
    <w:p w14:paraId="4A382247" w14:textId="77777777" w:rsidR="00E05261" w:rsidRPr="00A564BB" w:rsidRDefault="00E05261" w:rsidP="00E91465">
      <w:pPr>
        <w:rPr>
          <w:rFonts w:cstheme="minorHAnsi"/>
          <w:sz w:val="22"/>
          <w:szCs w:val="22"/>
          <w:lang w:val="en-GB"/>
        </w:rPr>
      </w:pPr>
      <w:r w:rsidRPr="00A564BB">
        <w:rPr>
          <w:rFonts w:cstheme="minorHAnsi"/>
          <w:sz w:val="22"/>
          <w:szCs w:val="22"/>
          <w:lang w:val="en-GB"/>
        </w:rPr>
        <w:t xml:space="preserve">The workshop recognized a wider variation in the level of telecommunication taxation across the world. The workshop also received presentations from countries and members reporting on their experiences with the taxation of telecommunications. The workshop recognized the specificality of the telecommunication sector in that it generates externalities, which are relevant for considering taxation but was also aware of the risk of over-taxing the ICT sector, </w:t>
      </w:r>
      <w:proofErr w:type="gramStart"/>
      <w:r w:rsidRPr="00A564BB">
        <w:rPr>
          <w:rFonts w:cstheme="minorHAnsi"/>
          <w:sz w:val="22"/>
          <w:szCs w:val="22"/>
          <w:lang w:val="en-GB"/>
        </w:rPr>
        <w:t>in particular by</w:t>
      </w:r>
      <w:proofErr w:type="gramEnd"/>
      <w:r w:rsidRPr="00A564BB">
        <w:rPr>
          <w:rFonts w:cstheme="minorHAnsi"/>
          <w:sz w:val="22"/>
          <w:szCs w:val="22"/>
          <w:lang w:val="en-GB"/>
        </w:rPr>
        <w:t xml:space="preserve"> using tax revenues on ICTs to develop the national ICT infrastructure. The workshop also identified that cross-border activities could be at risk of double </w:t>
      </w:r>
      <w:proofErr w:type="gramStart"/>
      <w:r w:rsidRPr="00A564BB">
        <w:rPr>
          <w:rFonts w:cstheme="minorHAnsi"/>
          <w:sz w:val="22"/>
          <w:szCs w:val="22"/>
          <w:lang w:val="en-GB"/>
        </w:rPr>
        <w:t>taxation, and</w:t>
      </w:r>
      <w:proofErr w:type="gramEnd"/>
      <w:r w:rsidRPr="00A564BB">
        <w:rPr>
          <w:rFonts w:cstheme="minorHAnsi"/>
          <w:sz w:val="22"/>
          <w:szCs w:val="22"/>
          <w:lang w:val="en-GB"/>
        </w:rPr>
        <w:t xml:space="preserve"> discussed some principal mechanisms for avoiding it.</w:t>
      </w:r>
    </w:p>
    <w:p w14:paraId="6687D66E" w14:textId="77777777" w:rsidR="00E05261" w:rsidRPr="00A564BB" w:rsidRDefault="00E05261" w:rsidP="00E91465">
      <w:pPr>
        <w:rPr>
          <w:rFonts w:cstheme="minorHAnsi"/>
          <w:sz w:val="22"/>
          <w:szCs w:val="22"/>
          <w:lang w:val="en-GB"/>
        </w:rPr>
      </w:pPr>
      <w:r w:rsidRPr="00A564BB">
        <w:rPr>
          <w:rFonts w:cstheme="minorHAnsi"/>
          <w:sz w:val="22"/>
          <w:szCs w:val="22"/>
          <w:lang w:val="en-GB"/>
        </w:rPr>
        <w:t>Conclusions reached were to prefer simple and uniform tax regimes over regimes that include many special cases or exceptions. Public-private partnerships were felt likely to be the best method to ensure adequate investments in broadband infrastructure; in addition, this could be a better method than imposing excise taxes on telecommunications services and could include financial contributions from operators. It was concluded that governments should think carefully before imposing new telecommunications (or other) taxes, and only do so when there is no alternative way of increasing tax revenue that would be less damaging to the economy in terms of market distortions and negative impacts on economic growth. For the telecommunications industry to yield the maximum benefits as a source of growth, tax authorities, regulatory authorities and operators need to work together. Overall, more research and studies on taxation and the usage of tax revenues for telecommunications were deemed useful.</w:t>
      </w:r>
    </w:p>
    <w:p w14:paraId="043A3599" w14:textId="0D4B3319" w:rsidR="00E05261" w:rsidRPr="00A564BB" w:rsidRDefault="00E05261" w:rsidP="00E91465">
      <w:pPr>
        <w:rPr>
          <w:rFonts w:cstheme="minorHAnsi"/>
          <w:sz w:val="22"/>
          <w:szCs w:val="22"/>
          <w:lang w:val="en-GB"/>
        </w:rPr>
      </w:pPr>
      <w:r w:rsidRPr="00A564BB">
        <w:rPr>
          <w:rFonts w:cstheme="minorHAnsi"/>
          <w:sz w:val="22"/>
          <w:szCs w:val="22"/>
          <w:lang w:val="en-GB"/>
        </w:rPr>
        <w:t>Since that time, the telecommunication/ICT market has evolved considerably, leading to interest in this topic in the ITU Telecommunication Standardization Sector (ITU-T) – particularly in ITU-T Study Group 3 – and in the ITU Telecommunication Development Sector (ITU-D). New market structures, business models in a data-driven economy for OTTs or over-the-top services and new services and applications have emerged on a massive scale; such over-the-top services and new services and applications are typically provided by “big technology content and service provider companies” and Internet Service Providers (ISPs). Discussions and debates by stakeholders and proponents, who are following to apply the “sending-party-network-pays system” (SPNP), have called for some form of an Internet usage/traffic tax, levies or fees that are attributed to fair, equitable and proportionate cost recovery for the benefit of the telecom service providers, to be imposed to the “big technology content and service provider companies” and to ISPs.</w:t>
      </w:r>
    </w:p>
    <w:p w14:paraId="4826D6D1" w14:textId="77777777" w:rsidR="00E05261" w:rsidRPr="00A564BB" w:rsidRDefault="00E05261" w:rsidP="000305F0">
      <w:pPr>
        <w:keepNext/>
        <w:keepLines/>
        <w:widowControl w:val="0"/>
        <w:rPr>
          <w:rFonts w:cstheme="minorHAnsi"/>
          <w:sz w:val="22"/>
          <w:szCs w:val="22"/>
          <w:lang w:val="en-GB"/>
        </w:rPr>
      </w:pPr>
      <w:r w:rsidRPr="00A564BB">
        <w:rPr>
          <w:rFonts w:cstheme="minorHAnsi"/>
          <w:sz w:val="22"/>
          <w:szCs w:val="22"/>
          <w:lang w:val="en-GB"/>
        </w:rPr>
        <w:t>Digital transformation and digitization in many sectors using all-IP platforms and tools, new IP-based applications and services, including those competing with traditional telecommunication communications services, Internet of Things (IoT), cloud computing services, new mobile communication technologies (4G, 5G) and high-speed fibre/optical fixed networks, virtual mobile/network operators, video streaming with video now accounting for way more than half of the Internet protocol bandwidth, sophisticated online gaming applications and real-time, virtual reality applications in a “meta verse”, and a drastic ongoing increase of Internet traffic, are just a few among the many new developments and phenomena that the last decade has unleashed, and which put ambitious technical and economic requirements upon the underlying IP network and transport infrastructure.</w:t>
      </w:r>
    </w:p>
    <w:p w14:paraId="150BFE86" w14:textId="77777777" w:rsidR="00E05261" w:rsidRPr="00A564BB" w:rsidRDefault="00E05261" w:rsidP="00E91465">
      <w:pPr>
        <w:rPr>
          <w:rFonts w:cstheme="minorHAnsi"/>
          <w:sz w:val="22"/>
          <w:szCs w:val="22"/>
          <w:lang w:val="en-GB"/>
        </w:rPr>
      </w:pPr>
      <w:r w:rsidRPr="00A564BB">
        <w:rPr>
          <w:rFonts w:cstheme="minorHAnsi"/>
          <w:sz w:val="22"/>
          <w:szCs w:val="22"/>
          <w:lang w:val="en-GB"/>
        </w:rPr>
        <w:t>Given the acceleration of this phenomena, various political and regulatory discussions are ongoing in several jurisdictions about the modification of the economic and fiscal landscape in response to this digitalisation. Therefore, a new Workshop on these issues would serve as a relevant source of information as the previous one was more than a decade ago.</w:t>
      </w:r>
    </w:p>
    <w:p w14:paraId="0830120E" w14:textId="77777777" w:rsidR="00E05261" w:rsidRPr="00A564BB" w:rsidRDefault="00E05261" w:rsidP="00E91465">
      <w:pPr>
        <w:rPr>
          <w:rFonts w:cstheme="minorHAnsi"/>
          <w:sz w:val="22"/>
          <w:szCs w:val="22"/>
          <w:lang w:val="en-GB"/>
        </w:rPr>
      </w:pPr>
      <w:r w:rsidRPr="00A564BB">
        <w:rPr>
          <w:rFonts w:cstheme="minorHAnsi"/>
          <w:sz w:val="22"/>
          <w:szCs w:val="22"/>
          <w:lang w:val="en-GB"/>
        </w:rPr>
        <w:t>Various political and regulatory discussions are ongoing in several jurisdictions on the desire to tax OTTs or Big Techs such as by charging content and application providers for the use of the Internet infrastructure.</w:t>
      </w:r>
    </w:p>
    <w:p w14:paraId="69EAFC0D" w14:textId="6AE56CEB" w:rsidR="00517A03" w:rsidRPr="00F86F23" w:rsidRDefault="00E05261" w:rsidP="00E91465">
      <w:pPr>
        <w:jc w:val="center"/>
      </w:pPr>
      <w:r w:rsidRPr="00F86F23">
        <w:lastRenderedPageBreak/>
        <w:t>______________</w:t>
      </w:r>
    </w:p>
    <w:sectPr w:rsidR="00517A03" w:rsidRPr="00F86F23" w:rsidSect="00A15179">
      <w:headerReference w:type="default" r:id="rId19"/>
      <w:footerReference w:type="first" r:id="rId20"/>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EE40" w14:textId="77777777" w:rsidR="003D78DE" w:rsidRDefault="003D78DE">
      <w:r>
        <w:separator/>
      </w:r>
    </w:p>
  </w:endnote>
  <w:endnote w:type="continuationSeparator" w:id="0">
    <w:p w14:paraId="4004512B" w14:textId="77777777" w:rsidR="003D78DE" w:rsidRDefault="003D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1A1B"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23F6" w14:textId="77777777" w:rsidR="003D78DE" w:rsidRDefault="003D78DE">
      <w:r>
        <w:t>____________________</w:t>
      </w:r>
    </w:p>
  </w:footnote>
  <w:footnote w:type="continuationSeparator" w:id="0">
    <w:p w14:paraId="1B184B09" w14:textId="77777777" w:rsidR="003D78DE" w:rsidRDefault="003D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FEF7" w14:textId="00776136" w:rsidR="00697BC1" w:rsidRPr="00791FB3" w:rsidRDefault="00547837" w:rsidP="00697BC1">
    <w:pPr>
      <w:pStyle w:val="Header"/>
      <w:rPr>
        <w:rFonts w:cstheme="minorHAnsi"/>
        <w:sz w:val="18"/>
        <w:szCs w:val="16"/>
      </w:rPr>
    </w:pPr>
    <w:sdt>
      <w:sdtPr>
        <w:rPr>
          <w:rFonts w:cstheme="minorHAnsi"/>
          <w:sz w:val="18"/>
          <w:szCs w:val="16"/>
        </w:rPr>
        <w:id w:val="526448189"/>
        <w:docPartObj>
          <w:docPartGallery w:val="Page Numbers (Top of Page)"/>
          <w:docPartUnique/>
        </w:docPartObj>
      </w:sdtPr>
      <w:sdtEndPr>
        <w:rPr>
          <w:noProof/>
        </w:rPr>
      </w:sdtEndPr>
      <w:sdtContent>
        <w:r w:rsidR="005120A2" w:rsidRPr="00791FB3">
          <w:rPr>
            <w:rFonts w:cstheme="minorHAnsi"/>
            <w:sz w:val="18"/>
            <w:szCs w:val="16"/>
          </w:rPr>
          <w:t>-</w:t>
        </w:r>
        <w:r w:rsidR="00697BC1" w:rsidRPr="00791FB3">
          <w:rPr>
            <w:rFonts w:cstheme="minorHAnsi"/>
            <w:sz w:val="18"/>
            <w:szCs w:val="16"/>
          </w:rPr>
          <w:t xml:space="preserve"> </w:t>
        </w:r>
        <w:r w:rsidR="00697BC1" w:rsidRPr="00791FB3">
          <w:rPr>
            <w:rFonts w:cstheme="minorHAnsi"/>
            <w:sz w:val="18"/>
            <w:szCs w:val="16"/>
          </w:rPr>
          <w:fldChar w:fldCharType="begin"/>
        </w:r>
        <w:r w:rsidR="00697BC1" w:rsidRPr="00791FB3">
          <w:rPr>
            <w:rFonts w:cstheme="minorHAnsi"/>
            <w:sz w:val="18"/>
            <w:szCs w:val="16"/>
          </w:rPr>
          <w:instrText xml:space="preserve"> PAGE   \* MERGEFORMAT </w:instrText>
        </w:r>
        <w:r w:rsidR="00697BC1" w:rsidRPr="00791FB3">
          <w:rPr>
            <w:rFonts w:cstheme="minorHAnsi"/>
            <w:sz w:val="18"/>
            <w:szCs w:val="16"/>
          </w:rPr>
          <w:fldChar w:fldCharType="separate"/>
        </w:r>
        <w:r w:rsidR="00036F4F" w:rsidRPr="00791FB3">
          <w:rPr>
            <w:rFonts w:cstheme="minorHAnsi"/>
            <w:noProof/>
            <w:sz w:val="18"/>
            <w:szCs w:val="16"/>
          </w:rPr>
          <w:t>2</w:t>
        </w:r>
        <w:r w:rsidR="00697BC1" w:rsidRPr="00791FB3">
          <w:rPr>
            <w:rFonts w:cstheme="minorHAnsi"/>
            <w:noProof/>
            <w:sz w:val="18"/>
            <w:szCs w:val="16"/>
          </w:rPr>
          <w:fldChar w:fldCharType="end"/>
        </w:r>
      </w:sdtContent>
    </w:sdt>
    <w:r w:rsidR="00697BC1" w:rsidRPr="00791FB3">
      <w:rPr>
        <w:rFonts w:cstheme="minorHAnsi"/>
        <w:noProof/>
        <w:sz w:val="18"/>
        <w:szCs w:val="16"/>
      </w:rPr>
      <w:t xml:space="preserve"> </w:t>
    </w:r>
    <w:r w:rsidR="005120A2" w:rsidRPr="00791FB3">
      <w:rPr>
        <w:rFonts w:cstheme="minorHAnsi"/>
        <w:noProof/>
        <w:sz w:val="18"/>
        <w:szCs w:val="16"/>
      </w:rPr>
      <w:t>-</w:t>
    </w:r>
    <w:r w:rsidR="00E91197" w:rsidRPr="00791FB3">
      <w:rPr>
        <w:rFonts w:cstheme="minorHAnsi"/>
        <w:noProof/>
        <w:sz w:val="18"/>
        <w:szCs w:val="16"/>
      </w:rPr>
      <w:br/>
      <w:t>Circulaire TSB 29</w:t>
    </w:r>
    <w:r w:rsidR="00E91197" w:rsidRPr="00791FB3">
      <w:rPr>
        <w:rFonts w:cstheme="minorHAnsi"/>
        <w:noProof/>
        <w:sz w:val="18"/>
        <w:szCs w:val="16"/>
      </w:rPr>
      <w:br/>
      <w:t>Circulaire BDT 128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920431">
    <w:abstractNumId w:val="1"/>
  </w:num>
  <w:num w:numId="2" w16cid:durableId="1353797382">
    <w:abstractNumId w:val="3"/>
  </w:num>
  <w:num w:numId="3" w16cid:durableId="423958709">
    <w:abstractNumId w:val="2"/>
  </w:num>
  <w:num w:numId="4" w16cid:durableId="192541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AC"/>
    <w:rsid w:val="000039EE"/>
    <w:rsid w:val="00005622"/>
    <w:rsid w:val="0002519E"/>
    <w:rsid w:val="000305F0"/>
    <w:rsid w:val="00035B43"/>
    <w:rsid w:val="00036F4F"/>
    <w:rsid w:val="000758B3"/>
    <w:rsid w:val="00085F5A"/>
    <w:rsid w:val="000B0D96"/>
    <w:rsid w:val="000B59D8"/>
    <w:rsid w:val="000C1F6B"/>
    <w:rsid w:val="000C25CC"/>
    <w:rsid w:val="000C56BE"/>
    <w:rsid w:val="000E30D3"/>
    <w:rsid w:val="000F3835"/>
    <w:rsid w:val="001026FD"/>
    <w:rsid w:val="001077FD"/>
    <w:rsid w:val="00115DD7"/>
    <w:rsid w:val="001556CD"/>
    <w:rsid w:val="00167472"/>
    <w:rsid w:val="00167F92"/>
    <w:rsid w:val="00173738"/>
    <w:rsid w:val="001B79A3"/>
    <w:rsid w:val="001D5D83"/>
    <w:rsid w:val="001E74C0"/>
    <w:rsid w:val="0021033C"/>
    <w:rsid w:val="002152A3"/>
    <w:rsid w:val="00221658"/>
    <w:rsid w:val="002E395D"/>
    <w:rsid w:val="003131F0"/>
    <w:rsid w:val="0032023F"/>
    <w:rsid w:val="00320E9B"/>
    <w:rsid w:val="00333A80"/>
    <w:rsid w:val="00341117"/>
    <w:rsid w:val="00364E95"/>
    <w:rsid w:val="00372875"/>
    <w:rsid w:val="003736DA"/>
    <w:rsid w:val="003B1E80"/>
    <w:rsid w:val="003B66E8"/>
    <w:rsid w:val="003D78DE"/>
    <w:rsid w:val="003E66AD"/>
    <w:rsid w:val="004033F1"/>
    <w:rsid w:val="00414B0C"/>
    <w:rsid w:val="00423C21"/>
    <w:rsid w:val="004257AC"/>
    <w:rsid w:val="0043711B"/>
    <w:rsid w:val="004769B6"/>
    <w:rsid w:val="004977C9"/>
    <w:rsid w:val="004B732E"/>
    <w:rsid w:val="004C31F0"/>
    <w:rsid w:val="004D51F4"/>
    <w:rsid w:val="004D64E0"/>
    <w:rsid w:val="005120A2"/>
    <w:rsid w:val="0051210D"/>
    <w:rsid w:val="005136D2"/>
    <w:rsid w:val="00517A03"/>
    <w:rsid w:val="00547837"/>
    <w:rsid w:val="00550C1A"/>
    <w:rsid w:val="005A3B13"/>
    <w:rsid w:val="005A3DD9"/>
    <w:rsid w:val="005B1DFC"/>
    <w:rsid w:val="00601682"/>
    <w:rsid w:val="00603470"/>
    <w:rsid w:val="00625E79"/>
    <w:rsid w:val="006333F7"/>
    <w:rsid w:val="006427A1"/>
    <w:rsid w:val="00644741"/>
    <w:rsid w:val="00697BC1"/>
    <w:rsid w:val="006A6FFE"/>
    <w:rsid w:val="006B69DA"/>
    <w:rsid w:val="006C5A91"/>
    <w:rsid w:val="00716BBC"/>
    <w:rsid w:val="007321BC"/>
    <w:rsid w:val="00760063"/>
    <w:rsid w:val="00775E4B"/>
    <w:rsid w:val="00791FB3"/>
    <w:rsid w:val="0079553B"/>
    <w:rsid w:val="00795679"/>
    <w:rsid w:val="007A40FE"/>
    <w:rsid w:val="007A5C77"/>
    <w:rsid w:val="00810105"/>
    <w:rsid w:val="008157E0"/>
    <w:rsid w:val="008319AC"/>
    <w:rsid w:val="00850477"/>
    <w:rsid w:val="00854E1D"/>
    <w:rsid w:val="00887FA6"/>
    <w:rsid w:val="008C4397"/>
    <w:rsid w:val="008C465A"/>
    <w:rsid w:val="008F2C9B"/>
    <w:rsid w:val="00923CD6"/>
    <w:rsid w:val="00935AA8"/>
    <w:rsid w:val="00971C9A"/>
    <w:rsid w:val="009A0A19"/>
    <w:rsid w:val="009D51FA"/>
    <w:rsid w:val="009E7D76"/>
    <w:rsid w:val="009F1E23"/>
    <w:rsid w:val="00A15179"/>
    <w:rsid w:val="00A51537"/>
    <w:rsid w:val="00A5280F"/>
    <w:rsid w:val="00A5645A"/>
    <w:rsid w:val="00A564BB"/>
    <w:rsid w:val="00A60FC1"/>
    <w:rsid w:val="00A72608"/>
    <w:rsid w:val="00A97C37"/>
    <w:rsid w:val="00AA131B"/>
    <w:rsid w:val="00AC37B5"/>
    <w:rsid w:val="00AD752F"/>
    <w:rsid w:val="00AF08A4"/>
    <w:rsid w:val="00B27B41"/>
    <w:rsid w:val="00B42659"/>
    <w:rsid w:val="00B81BC9"/>
    <w:rsid w:val="00B83598"/>
    <w:rsid w:val="00B8573E"/>
    <w:rsid w:val="00BB24C0"/>
    <w:rsid w:val="00BD6ECF"/>
    <w:rsid w:val="00C26F2E"/>
    <w:rsid w:val="00C302E3"/>
    <w:rsid w:val="00C45376"/>
    <w:rsid w:val="00C9028F"/>
    <w:rsid w:val="00CA0416"/>
    <w:rsid w:val="00CA5EC1"/>
    <w:rsid w:val="00CB1125"/>
    <w:rsid w:val="00CB596F"/>
    <w:rsid w:val="00CD042E"/>
    <w:rsid w:val="00CE33B8"/>
    <w:rsid w:val="00CF2560"/>
    <w:rsid w:val="00CF5B46"/>
    <w:rsid w:val="00D46B68"/>
    <w:rsid w:val="00D542A5"/>
    <w:rsid w:val="00DC3D47"/>
    <w:rsid w:val="00DD77DA"/>
    <w:rsid w:val="00DE014C"/>
    <w:rsid w:val="00DE03EB"/>
    <w:rsid w:val="00DF4BC3"/>
    <w:rsid w:val="00E05261"/>
    <w:rsid w:val="00E06C61"/>
    <w:rsid w:val="00E13DB3"/>
    <w:rsid w:val="00E2408B"/>
    <w:rsid w:val="00E32306"/>
    <w:rsid w:val="00E6113F"/>
    <w:rsid w:val="00E62CEA"/>
    <w:rsid w:val="00E72AE1"/>
    <w:rsid w:val="00E91197"/>
    <w:rsid w:val="00E91465"/>
    <w:rsid w:val="00ED6A7A"/>
    <w:rsid w:val="00EE4C36"/>
    <w:rsid w:val="00F346CE"/>
    <w:rsid w:val="00F34F98"/>
    <w:rsid w:val="00F40540"/>
    <w:rsid w:val="00F67402"/>
    <w:rsid w:val="00F766A2"/>
    <w:rsid w:val="00F86F23"/>
    <w:rsid w:val="00F9451D"/>
    <w:rsid w:val="00FE5CB7"/>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5F136"/>
  <w15:docId w15:val="{664BE158-310C-4A76-BE77-6AC43452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8319AC"/>
    <w:rPr>
      <w:color w:val="605E5C"/>
      <w:shd w:val="clear" w:color="auto" w:fill="E1DFDD"/>
    </w:rPr>
  </w:style>
  <w:style w:type="character" w:styleId="FollowedHyperlink">
    <w:name w:val="FollowedHyperlink"/>
    <w:basedOn w:val="DefaultParagraphFont"/>
    <w:semiHidden/>
    <w:unhideWhenUsed/>
    <w:rsid w:val="000E30D3"/>
    <w:rPr>
      <w:color w:val="800080" w:themeColor="followedHyperlink"/>
      <w:u w:val="single"/>
    </w:rPr>
  </w:style>
  <w:style w:type="table" w:styleId="TableGrid">
    <w:name w:val="Table Grid"/>
    <w:basedOn w:val="TableNormal"/>
    <w:rsid w:val="004C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E05261"/>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21658"/>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yperlink" Target="https://www.itu.int/ITU-D/finance/work-cost-tariffs/events/tariff-seminars/Geneva_Taxation/Agenda.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net4/CRM/xreg/web/Login.aspx?src=Registration&amp;Event=C-00011717" TargetMode="External"/><Relationship Id="rId17" Type="http://schemas.openxmlformats.org/officeDocument/2006/relationships/hyperlink" Target="https://www.itu.int/en/ITU-T/Workshops-and-Seminars/2022/1103/Pages/default.aspx"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2/1103/Pages/default.aspx" TargetMode="External"/><Relationship Id="rId5" Type="http://schemas.openxmlformats.org/officeDocument/2006/relationships/webSettings" Target="webSettings.xml"/><Relationship Id="rId15" Type="http://schemas.openxmlformats.org/officeDocument/2006/relationships/hyperlink" Target="mailto:travel@itu.int" TargetMode="External"/><Relationship Id="rId10" Type="http://schemas.openxmlformats.org/officeDocument/2006/relationships/hyperlink" Target="https://www.itu.int/en/ITU-T/studygroups/2022-2024/03/Pages/default.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itu.int/trave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2839</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20677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15</cp:revision>
  <cp:lastPrinted>2022-12-15T13:58:00Z</cp:lastPrinted>
  <dcterms:created xsi:type="dcterms:W3CDTF">2022-09-27T17:28:00Z</dcterms:created>
  <dcterms:modified xsi:type="dcterms:W3CDTF">2022-12-15T13:58:00Z</dcterms:modified>
</cp:coreProperties>
</file>