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7F47" w14:textId="5743C1E6" w:rsidR="00E62F5D" w:rsidRDefault="00E62F5D" w:rsidP="00E62F5D">
      <w:pPr>
        <w:spacing w:before="100" w:beforeAutospacing="1" w:after="100" w:afterAutospacing="1" w:line="240" w:lineRule="auto"/>
        <w:jc w:val="center"/>
      </w:pPr>
      <w:r w:rsidRPr="00D517B2">
        <w:rPr>
          <w:noProof/>
          <w:lang w:eastAsia="en-US"/>
        </w:rPr>
        <w:drawing>
          <wp:inline distT="0" distB="0" distL="0" distR="0" wp14:anchorId="5D727F2D" wp14:editId="0C85CD6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bl>
      <w:tblPr>
        <w:bidiVisual/>
        <w:tblW w:w="5000" w:type="pct"/>
        <w:jc w:val="right"/>
        <w:tblLook w:val="0000" w:firstRow="0" w:lastRow="0" w:firstColumn="0" w:lastColumn="0" w:noHBand="0" w:noVBand="0"/>
      </w:tblPr>
      <w:tblGrid>
        <w:gridCol w:w="9639"/>
      </w:tblGrid>
      <w:tr w:rsidR="00FA19BB" w:rsidRPr="00D517B2" w14:paraId="69D44599" w14:textId="77777777" w:rsidTr="00E62F5D">
        <w:trPr>
          <w:cantSplit/>
          <w:trHeight w:val="1134"/>
          <w:jc w:val="right"/>
        </w:trPr>
        <w:tc>
          <w:tcPr>
            <w:tcW w:w="5000" w:type="pct"/>
          </w:tcPr>
          <w:p w14:paraId="09324D83" w14:textId="0F7EE277" w:rsidR="00FA19BB" w:rsidRPr="00D517B2" w:rsidRDefault="00FA19BB" w:rsidP="00427DFC">
            <w:pPr>
              <w:spacing w:before="60" w:after="60" w:line="300" w:lineRule="exact"/>
              <w:jc w:val="center"/>
              <w:rPr>
                <w:noProof/>
              </w:rPr>
            </w:pPr>
            <w:r w:rsidRPr="00D517B2">
              <w:rPr>
                <w:rFonts w:hint="cs"/>
                <w:b/>
                <w:bCs/>
                <w:sz w:val="36"/>
                <w:szCs w:val="36"/>
                <w:rtl/>
              </w:rPr>
              <w:t>الاتحـاد الدولـي للاتصـالات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413C5D" w:rsidRPr="00413C5D" w14:paraId="1EF04F64" w14:textId="77777777" w:rsidTr="00062446">
        <w:trPr>
          <w:cantSplit/>
          <w:trHeight w:val="988"/>
          <w:jc w:val="center"/>
        </w:trPr>
        <w:tc>
          <w:tcPr>
            <w:tcW w:w="2794" w:type="pct"/>
            <w:gridSpan w:val="2"/>
          </w:tcPr>
          <w:p w14:paraId="753DF708" w14:textId="0F604CA6" w:rsidR="00FA19BB" w:rsidRPr="00413C5D" w:rsidRDefault="00FA19BB" w:rsidP="00427DFC">
            <w:pPr>
              <w:spacing w:before="60" w:after="60" w:line="300" w:lineRule="exact"/>
              <w:jc w:val="left"/>
              <w:rPr>
                <w:color w:val="808080"/>
                <w:position w:val="2"/>
              </w:rPr>
            </w:pPr>
            <w:r w:rsidRPr="00413C5D">
              <w:rPr>
                <w:rFonts w:hint="cs"/>
                <w:b/>
                <w:bCs/>
                <w:color w:val="808080"/>
                <w:sz w:val="32"/>
                <w:szCs w:val="32"/>
                <w:rtl/>
              </w:rPr>
              <w:t xml:space="preserve">مكتب تقييس الاتصالات </w:t>
            </w:r>
            <w:r w:rsidRPr="00413C5D">
              <w:rPr>
                <w:b/>
                <w:bCs/>
                <w:color w:val="808080"/>
                <w:sz w:val="32"/>
                <w:szCs w:val="32"/>
                <w:lang w:bidi="ar-EG"/>
              </w:rPr>
              <w:t>(TSB)</w:t>
            </w:r>
          </w:p>
        </w:tc>
        <w:tc>
          <w:tcPr>
            <w:tcW w:w="2206" w:type="pct"/>
          </w:tcPr>
          <w:p w14:paraId="653AE1AB" w14:textId="5C415985" w:rsidR="00062446" w:rsidRPr="00413C5D" w:rsidRDefault="00FA19BB" w:rsidP="00427DFC">
            <w:pPr>
              <w:spacing w:before="60" w:after="60" w:line="300" w:lineRule="exact"/>
              <w:jc w:val="left"/>
              <w:rPr>
                <w:b/>
                <w:bCs/>
                <w:color w:val="808080"/>
                <w:sz w:val="32"/>
                <w:szCs w:val="32"/>
              </w:rPr>
            </w:pPr>
            <w:r w:rsidRPr="00413C5D">
              <w:rPr>
                <w:rFonts w:hint="cs"/>
                <w:b/>
                <w:bCs/>
                <w:color w:val="808080"/>
                <w:sz w:val="32"/>
                <w:szCs w:val="32"/>
                <w:rtl/>
              </w:rPr>
              <w:t xml:space="preserve">مكتب تنمية الاتصالات </w:t>
            </w:r>
            <w:r w:rsidRPr="00413C5D">
              <w:rPr>
                <w:b/>
                <w:bCs/>
                <w:color w:val="808080"/>
                <w:sz w:val="32"/>
                <w:szCs w:val="32"/>
                <w:lang w:bidi="ar-EG"/>
              </w:rPr>
              <w:t>(BDT)</w:t>
            </w:r>
          </w:p>
        </w:tc>
      </w:tr>
      <w:tr w:rsidR="00D517B2" w:rsidRPr="00EF1FE4" w14:paraId="632069D3" w14:textId="77777777" w:rsidTr="00062446">
        <w:trPr>
          <w:cantSplit/>
          <w:trHeight w:val="148"/>
          <w:jc w:val="center"/>
        </w:trPr>
        <w:tc>
          <w:tcPr>
            <w:tcW w:w="796" w:type="pct"/>
          </w:tcPr>
          <w:p w14:paraId="042262E2" w14:textId="77777777" w:rsidR="00D517B2" w:rsidRPr="00EF1FE4" w:rsidRDefault="00D517B2" w:rsidP="009A3EB0">
            <w:pPr>
              <w:spacing w:before="60" w:after="240" w:line="300" w:lineRule="exact"/>
              <w:jc w:val="left"/>
              <w:rPr>
                <w:rFonts w:asciiTheme="minorHAnsi" w:hAnsiTheme="minorHAnsi" w:cstheme="minorHAnsi"/>
                <w:position w:val="2"/>
              </w:rPr>
            </w:pPr>
          </w:p>
        </w:tc>
        <w:tc>
          <w:tcPr>
            <w:tcW w:w="1998" w:type="pct"/>
          </w:tcPr>
          <w:p w14:paraId="36382A61" w14:textId="77777777" w:rsidR="00D517B2" w:rsidRPr="00EF1FE4" w:rsidRDefault="00D517B2" w:rsidP="009A3EB0">
            <w:pPr>
              <w:spacing w:before="60" w:after="240" w:line="300" w:lineRule="exact"/>
              <w:jc w:val="left"/>
              <w:rPr>
                <w:rFonts w:asciiTheme="minorHAnsi" w:hAnsiTheme="minorHAnsi" w:cstheme="minorHAnsi"/>
                <w:position w:val="2"/>
                <w:lang w:bidi="ar-EG"/>
              </w:rPr>
            </w:pPr>
          </w:p>
        </w:tc>
        <w:tc>
          <w:tcPr>
            <w:tcW w:w="2206" w:type="pct"/>
          </w:tcPr>
          <w:p w14:paraId="23BEA082" w14:textId="31F45C51" w:rsidR="0048165F" w:rsidRPr="00EF1FE4" w:rsidRDefault="00873469" w:rsidP="009A3EB0">
            <w:pPr>
              <w:spacing w:before="60" w:after="240" w:line="300" w:lineRule="exact"/>
              <w:jc w:val="left"/>
              <w:rPr>
                <w:rFonts w:asciiTheme="minorHAnsi" w:hAnsiTheme="minorHAnsi" w:cstheme="minorHAnsi"/>
                <w:position w:val="2"/>
                <w:lang w:bidi="ar-EG"/>
              </w:rPr>
            </w:pPr>
            <w:r w:rsidRPr="00EF1FE4">
              <w:rPr>
                <w:rFonts w:asciiTheme="minorHAnsi" w:hAnsiTheme="minorHAnsi" w:cstheme="minorHAnsi"/>
                <w:position w:val="2"/>
                <w:rtl/>
              </w:rPr>
              <w:t>جنيف،</w:t>
            </w:r>
            <w:r w:rsidR="0048165F" w:rsidRPr="00EF1FE4">
              <w:rPr>
                <w:rFonts w:asciiTheme="minorHAnsi" w:hAnsiTheme="minorHAnsi" w:cstheme="minorHAnsi"/>
                <w:position w:val="2"/>
                <w:rtl/>
              </w:rPr>
              <w:t xml:space="preserve"> 20 سبتمبر</w:t>
            </w:r>
            <w:r w:rsidR="00FA19BB" w:rsidRPr="00EF1FE4">
              <w:rPr>
                <w:rFonts w:asciiTheme="minorHAnsi" w:hAnsiTheme="minorHAnsi" w:cstheme="minorHAnsi"/>
                <w:position w:val="2"/>
                <w:rtl/>
                <w:lang w:bidi="ar-EG"/>
              </w:rPr>
              <w:t xml:space="preserve"> </w:t>
            </w:r>
            <w:r w:rsidR="00FA19BB" w:rsidRPr="00EF1FE4">
              <w:rPr>
                <w:rFonts w:asciiTheme="minorHAnsi" w:hAnsiTheme="minorHAnsi" w:cstheme="minorHAnsi"/>
                <w:position w:val="2"/>
                <w:lang w:bidi="ar-EG"/>
              </w:rPr>
              <w:t>2022</w:t>
            </w:r>
          </w:p>
        </w:tc>
      </w:tr>
      <w:tr w:rsidR="00E84438" w:rsidRPr="00EF1FE4" w14:paraId="60FA63CB" w14:textId="77777777" w:rsidTr="00062446">
        <w:trPr>
          <w:cantSplit/>
          <w:trHeight w:val="831"/>
          <w:jc w:val="center"/>
        </w:trPr>
        <w:tc>
          <w:tcPr>
            <w:tcW w:w="796" w:type="pct"/>
          </w:tcPr>
          <w:p w14:paraId="6D88B23E" w14:textId="77777777" w:rsidR="00E84438" w:rsidRPr="00EF1FE4" w:rsidRDefault="00E84438" w:rsidP="00410D9C">
            <w:pPr>
              <w:spacing w:before="60" w:after="60" w:line="320" w:lineRule="exact"/>
              <w:jc w:val="left"/>
              <w:rPr>
                <w:rFonts w:asciiTheme="minorHAnsi" w:hAnsiTheme="minorHAnsi" w:cstheme="minorHAnsi"/>
                <w:b/>
                <w:bCs/>
                <w:position w:val="2"/>
              </w:rPr>
            </w:pPr>
            <w:r w:rsidRPr="00EF1FE4">
              <w:rPr>
                <w:rFonts w:asciiTheme="minorHAnsi" w:hAnsiTheme="minorHAnsi" w:cstheme="minorHAnsi"/>
                <w:b/>
                <w:bCs/>
                <w:position w:val="2"/>
                <w:rtl/>
              </w:rPr>
              <w:t>المرجع:</w:t>
            </w:r>
          </w:p>
        </w:tc>
        <w:tc>
          <w:tcPr>
            <w:tcW w:w="1998" w:type="pct"/>
          </w:tcPr>
          <w:p w14:paraId="302AF8A0" w14:textId="351290BA" w:rsidR="00E84438" w:rsidRPr="00EF1FE4" w:rsidRDefault="00FA19BB" w:rsidP="00410D9C">
            <w:pPr>
              <w:spacing w:before="60" w:after="60" w:line="320" w:lineRule="exact"/>
              <w:jc w:val="left"/>
              <w:rPr>
                <w:rFonts w:asciiTheme="minorHAnsi" w:hAnsiTheme="minorHAnsi" w:cstheme="minorHAnsi"/>
                <w:b/>
                <w:position w:val="2"/>
              </w:rPr>
            </w:pPr>
            <w:r w:rsidRPr="00EF1FE4">
              <w:rPr>
                <w:rFonts w:asciiTheme="minorHAnsi" w:hAnsiTheme="minorHAnsi" w:cstheme="minorHAnsi"/>
                <w:b/>
                <w:position w:val="2"/>
                <w:rtl/>
                <w:lang w:bidi="ar-EG"/>
              </w:rPr>
              <w:t>ا</w:t>
            </w:r>
            <w:r w:rsidRPr="00EF1FE4">
              <w:rPr>
                <w:rFonts w:asciiTheme="minorHAnsi" w:hAnsiTheme="minorHAnsi" w:cstheme="minorHAnsi"/>
                <w:bCs/>
                <w:position w:val="2"/>
                <w:rtl/>
              </w:rPr>
              <w:t xml:space="preserve">لرسالة المعممة </w:t>
            </w:r>
            <w:r w:rsidRPr="00EF1FE4">
              <w:rPr>
                <w:rFonts w:asciiTheme="minorHAnsi" w:hAnsiTheme="minorHAnsi" w:cstheme="minorHAnsi"/>
                <w:b/>
                <w:position w:val="2"/>
              </w:rPr>
              <w:t>BDT/DKH/RME/128</w:t>
            </w:r>
            <w:r w:rsidRPr="00EF1FE4">
              <w:rPr>
                <w:rFonts w:asciiTheme="minorHAnsi" w:hAnsiTheme="minorHAnsi" w:cstheme="minorHAnsi"/>
                <w:b/>
                <w:position w:val="2"/>
                <w:rtl/>
              </w:rPr>
              <w:br/>
            </w:r>
            <w:r w:rsidRPr="00EF1FE4">
              <w:rPr>
                <w:rFonts w:asciiTheme="minorHAnsi" w:hAnsiTheme="minorHAnsi" w:cstheme="minorHAnsi"/>
                <w:b/>
                <w:position w:val="2"/>
              </w:rPr>
              <w:t>TSB Circular 29</w:t>
            </w:r>
          </w:p>
        </w:tc>
        <w:tc>
          <w:tcPr>
            <w:tcW w:w="2206" w:type="pct"/>
          </w:tcPr>
          <w:p w14:paraId="7B90CE97" w14:textId="77777777" w:rsidR="00E84438" w:rsidRPr="00EF1FE4" w:rsidRDefault="00E84438" w:rsidP="00410D9C">
            <w:pPr>
              <w:tabs>
                <w:tab w:val="clear" w:pos="794"/>
                <w:tab w:val="left" w:pos="284"/>
              </w:tabs>
              <w:spacing w:before="60" w:after="60" w:line="320" w:lineRule="exact"/>
              <w:ind w:left="284" w:hanging="284"/>
              <w:jc w:val="left"/>
              <w:rPr>
                <w:rFonts w:asciiTheme="minorHAnsi" w:hAnsiTheme="minorHAnsi" w:cstheme="minorHAnsi"/>
                <w:b/>
                <w:bCs/>
                <w:position w:val="2"/>
                <w:rtl/>
                <w:lang w:bidi="ar-EG"/>
              </w:rPr>
            </w:pPr>
            <w:r w:rsidRPr="00EF1FE4">
              <w:rPr>
                <w:rFonts w:asciiTheme="minorHAnsi" w:hAnsiTheme="minorHAnsi" w:cstheme="minorHAnsi"/>
                <w:b/>
                <w:bCs/>
                <w:position w:val="2"/>
                <w:rtl/>
              </w:rPr>
              <w:t>إلى:</w:t>
            </w:r>
          </w:p>
          <w:p w14:paraId="7D526718" w14:textId="77777777" w:rsidR="00E84438" w:rsidRPr="00EF1FE4" w:rsidRDefault="00E84438" w:rsidP="00410D9C">
            <w:pPr>
              <w:tabs>
                <w:tab w:val="clear" w:pos="794"/>
                <w:tab w:val="left" w:pos="284"/>
              </w:tabs>
              <w:spacing w:before="60" w:after="60" w:line="320" w:lineRule="exact"/>
              <w:ind w:left="284" w:hanging="284"/>
              <w:jc w:val="left"/>
              <w:rPr>
                <w:rFonts w:asciiTheme="minorHAnsi" w:hAnsiTheme="minorHAnsi" w:cstheme="minorHAnsi"/>
                <w:position w:val="2"/>
                <w:rtl/>
              </w:rPr>
            </w:pPr>
            <w:r w:rsidRPr="00EF1FE4">
              <w:rPr>
                <w:rFonts w:asciiTheme="minorHAnsi" w:hAnsiTheme="minorHAnsi" w:cstheme="minorHAnsi"/>
                <w:position w:val="2"/>
                <w:rtl/>
              </w:rPr>
              <w:t>-</w:t>
            </w:r>
            <w:r w:rsidRPr="00EF1FE4">
              <w:rPr>
                <w:rFonts w:asciiTheme="minorHAnsi" w:hAnsiTheme="minorHAnsi" w:cstheme="minorHAnsi"/>
                <w:position w:val="2"/>
                <w:rtl/>
              </w:rPr>
              <w:tab/>
              <w:t>إدارات الدول الأعضاء في الاتحاد؛</w:t>
            </w:r>
          </w:p>
          <w:p w14:paraId="5D4A07D1" w14:textId="3AAAC6FB" w:rsidR="00002A63" w:rsidRPr="00EF1FE4" w:rsidRDefault="00002A63" w:rsidP="00410D9C">
            <w:pPr>
              <w:tabs>
                <w:tab w:val="left" w:pos="284"/>
                <w:tab w:val="left" w:pos="4111"/>
              </w:tabs>
              <w:spacing w:before="60" w:after="60" w:line="320" w:lineRule="exact"/>
              <w:ind w:left="284" w:hanging="284"/>
              <w:jc w:val="left"/>
              <w:rPr>
                <w:rFonts w:asciiTheme="minorHAnsi" w:hAnsiTheme="minorHAnsi" w:cstheme="minorHAnsi"/>
                <w:position w:val="2"/>
                <w:rtl/>
                <w:lang w:bidi="ar-EG"/>
              </w:rPr>
            </w:pPr>
            <w:r w:rsidRPr="00EF1FE4">
              <w:rPr>
                <w:rFonts w:asciiTheme="minorHAnsi" w:hAnsiTheme="minorHAnsi" w:cstheme="minorHAnsi"/>
                <w:position w:val="2"/>
                <w:rtl/>
              </w:rPr>
              <w:t>-</w:t>
            </w:r>
            <w:r w:rsidRPr="00EF1FE4">
              <w:rPr>
                <w:rFonts w:asciiTheme="minorHAnsi" w:hAnsiTheme="minorHAnsi" w:cstheme="minorHAnsi"/>
                <w:position w:val="2"/>
                <w:rtl/>
              </w:rPr>
              <w:tab/>
            </w:r>
            <w:r w:rsidRPr="00EF1FE4">
              <w:rPr>
                <w:rFonts w:asciiTheme="minorHAnsi" w:hAnsiTheme="minorHAnsi" w:cstheme="minorHAnsi"/>
                <w:position w:val="2"/>
                <w:rtl/>
                <w:lang w:bidi="ar-EG"/>
              </w:rPr>
              <w:t xml:space="preserve">أعضاء قطاع تقييس الاتصالات </w:t>
            </w:r>
            <w:r w:rsidR="003E3773" w:rsidRPr="00EF1FE4">
              <w:rPr>
                <w:rFonts w:asciiTheme="minorHAnsi" w:hAnsiTheme="minorHAnsi" w:cstheme="minorHAnsi"/>
                <w:position w:val="2"/>
                <w:rtl/>
                <w:lang w:bidi="ar-EG"/>
              </w:rPr>
              <w:t xml:space="preserve">وقطاع تنمية الاتصالات </w:t>
            </w:r>
            <w:r w:rsidRPr="00EF1FE4">
              <w:rPr>
                <w:rFonts w:asciiTheme="minorHAnsi" w:hAnsiTheme="minorHAnsi" w:cstheme="minorHAnsi"/>
                <w:position w:val="2"/>
                <w:rtl/>
                <w:lang w:bidi="ar-EG"/>
              </w:rPr>
              <w:t>بالاتحاد؛</w:t>
            </w:r>
          </w:p>
          <w:p w14:paraId="7C1ABFC1" w14:textId="2BF1B49D" w:rsidR="00002A63" w:rsidRPr="00EF1FE4" w:rsidRDefault="00002A63" w:rsidP="00410D9C">
            <w:pPr>
              <w:tabs>
                <w:tab w:val="left" w:pos="284"/>
                <w:tab w:val="left" w:pos="4111"/>
              </w:tabs>
              <w:spacing w:before="60" w:after="60" w:line="320" w:lineRule="exact"/>
              <w:ind w:left="284" w:hanging="284"/>
              <w:jc w:val="left"/>
              <w:rPr>
                <w:rFonts w:asciiTheme="minorHAnsi" w:hAnsiTheme="minorHAnsi" w:cstheme="minorHAnsi"/>
                <w:position w:val="2"/>
                <w:rtl/>
                <w:lang w:bidi="ar-EG"/>
              </w:rPr>
            </w:pPr>
            <w:r w:rsidRPr="00EF1FE4">
              <w:rPr>
                <w:rFonts w:asciiTheme="minorHAnsi" w:hAnsiTheme="minorHAnsi" w:cstheme="minorHAnsi"/>
                <w:position w:val="2"/>
                <w:rtl/>
              </w:rPr>
              <w:t>-</w:t>
            </w:r>
            <w:r w:rsidRPr="00EF1FE4">
              <w:rPr>
                <w:rFonts w:asciiTheme="minorHAnsi" w:hAnsiTheme="minorHAnsi" w:cstheme="minorHAnsi"/>
                <w:position w:val="2"/>
                <w:rtl/>
              </w:rPr>
              <w:tab/>
              <w:t>المنتسبين إلى قطاع تقييس الاتصالات</w:t>
            </w:r>
            <w:r w:rsidR="003E3773" w:rsidRPr="00EF1FE4">
              <w:rPr>
                <w:rFonts w:asciiTheme="minorHAnsi" w:hAnsiTheme="minorHAnsi" w:cstheme="minorHAnsi"/>
                <w:position w:val="2"/>
                <w:rtl/>
              </w:rPr>
              <w:t xml:space="preserve"> وقطاع تنمية الاتصالات</w:t>
            </w:r>
            <w:r w:rsidRPr="00EF1FE4">
              <w:rPr>
                <w:rFonts w:asciiTheme="minorHAnsi" w:hAnsiTheme="minorHAnsi" w:cstheme="minorHAnsi"/>
                <w:position w:val="2"/>
                <w:rtl/>
              </w:rPr>
              <w:t>؛</w:t>
            </w:r>
          </w:p>
          <w:p w14:paraId="293B3F5C" w14:textId="77777777" w:rsidR="00E84438" w:rsidRPr="00EF1FE4" w:rsidRDefault="00002A63" w:rsidP="00410D9C">
            <w:pPr>
              <w:tabs>
                <w:tab w:val="clear" w:pos="794"/>
                <w:tab w:val="left" w:pos="284"/>
              </w:tabs>
              <w:spacing w:before="60" w:after="60" w:line="320" w:lineRule="exact"/>
              <w:ind w:left="284" w:hanging="284"/>
              <w:jc w:val="left"/>
              <w:rPr>
                <w:rFonts w:asciiTheme="minorHAnsi" w:hAnsiTheme="minorHAnsi" w:cstheme="minorHAnsi"/>
                <w:position w:val="2"/>
                <w:rtl/>
              </w:rPr>
            </w:pPr>
            <w:r w:rsidRPr="00EF1FE4">
              <w:rPr>
                <w:rFonts w:asciiTheme="minorHAnsi" w:hAnsiTheme="minorHAnsi" w:cstheme="minorHAnsi"/>
                <w:position w:val="2"/>
                <w:rtl/>
              </w:rPr>
              <w:t>-</w:t>
            </w:r>
            <w:r w:rsidRPr="00EF1FE4">
              <w:rPr>
                <w:rFonts w:asciiTheme="minorHAnsi" w:hAnsiTheme="minorHAnsi" w:cstheme="minorHAnsi"/>
                <w:position w:val="2"/>
                <w:rtl/>
              </w:rPr>
              <w:tab/>
              <w:t>الهيئات الأكاديمية المنضمة إلى</w:t>
            </w:r>
            <w:r w:rsidRPr="00EF1FE4">
              <w:rPr>
                <w:rFonts w:asciiTheme="minorHAnsi" w:hAnsiTheme="minorHAnsi" w:cstheme="minorHAnsi"/>
                <w:position w:val="2"/>
                <w:rtl/>
                <w:lang w:bidi="ar-EG"/>
              </w:rPr>
              <w:t xml:space="preserve"> الاتحاد</w:t>
            </w:r>
          </w:p>
        </w:tc>
      </w:tr>
      <w:tr w:rsidR="00CE1C08" w:rsidRPr="00EF1FE4" w14:paraId="1AE1CE25" w14:textId="77777777" w:rsidTr="00062446">
        <w:trPr>
          <w:cantSplit/>
          <w:jc w:val="center"/>
        </w:trPr>
        <w:tc>
          <w:tcPr>
            <w:tcW w:w="796" w:type="pct"/>
          </w:tcPr>
          <w:p w14:paraId="00753D64" w14:textId="77777777" w:rsidR="00CE1C08" w:rsidRPr="00EF1FE4" w:rsidRDefault="00CE1C08" w:rsidP="00410D9C">
            <w:pPr>
              <w:spacing w:before="60" w:after="60" w:line="320" w:lineRule="exact"/>
              <w:jc w:val="left"/>
              <w:rPr>
                <w:rFonts w:asciiTheme="minorHAnsi" w:hAnsiTheme="minorHAnsi" w:cstheme="minorHAnsi"/>
                <w:b/>
                <w:bCs/>
                <w:position w:val="2"/>
                <w:rtl/>
              </w:rPr>
            </w:pPr>
            <w:r w:rsidRPr="00EF1FE4">
              <w:rPr>
                <w:rFonts w:asciiTheme="minorHAnsi" w:hAnsiTheme="minorHAnsi" w:cstheme="minorHAnsi"/>
                <w:b/>
                <w:bCs/>
                <w:position w:val="2"/>
                <w:rtl/>
              </w:rPr>
              <w:t>البريد الإلكتروني:</w:t>
            </w:r>
          </w:p>
        </w:tc>
        <w:tc>
          <w:tcPr>
            <w:tcW w:w="1998" w:type="pct"/>
          </w:tcPr>
          <w:p w14:paraId="2CC0DE20" w14:textId="27E51803" w:rsidR="00CE1C08" w:rsidRPr="00EF1FE4" w:rsidRDefault="00D60ADF" w:rsidP="00410D9C">
            <w:pPr>
              <w:spacing w:before="60" w:after="60" w:line="320" w:lineRule="exact"/>
              <w:jc w:val="left"/>
              <w:rPr>
                <w:rFonts w:asciiTheme="minorHAnsi" w:hAnsiTheme="minorHAnsi" w:cstheme="minorHAnsi"/>
                <w:position w:val="2"/>
                <w:highlight w:val="magenta"/>
                <w:rtl/>
                <w:lang w:bidi="ar-EG"/>
              </w:rPr>
            </w:pPr>
            <w:hyperlink r:id="rId9" w:history="1">
              <w:bookmarkStart w:id="0" w:name="lt_pId035"/>
              <w:r w:rsidR="00FA19BB" w:rsidRPr="00EF1FE4">
                <w:rPr>
                  <w:rFonts w:asciiTheme="minorHAnsi" w:hAnsiTheme="minorHAnsi" w:cstheme="minorHAnsi"/>
                  <w:color w:val="0000FF"/>
                  <w:u w:val="single"/>
                </w:rPr>
                <w:t>tsbevents@itu.int</w:t>
              </w:r>
              <w:bookmarkEnd w:id="0"/>
            </w:hyperlink>
          </w:p>
        </w:tc>
        <w:tc>
          <w:tcPr>
            <w:tcW w:w="2206" w:type="pct"/>
          </w:tcPr>
          <w:p w14:paraId="7E163F53" w14:textId="77777777" w:rsidR="00CE1C08" w:rsidRPr="00EF1FE4" w:rsidRDefault="00CE1C08" w:rsidP="00410D9C">
            <w:pPr>
              <w:tabs>
                <w:tab w:val="clear" w:pos="794"/>
                <w:tab w:val="left" w:pos="284"/>
              </w:tabs>
              <w:spacing w:before="60" w:after="60" w:line="320" w:lineRule="exact"/>
              <w:ind w:left="284" w:hanging="284"/>
              <w:jc w:val="left"/>
              <w:rPr>
                <w:rFonts w:asciiTheme="minorHAnsi" w:hAnsiTheme="minorHAnsi" w:cstheme="minorHAnsi"/>
                <w:b/>
                <w:bCs/>
                <w:position w:val="2"/>
                <w:rtl/>
              </w:rPr>
            </w:pPr>
            <w:r w:rsidRPr="00EF1FE4">
              <w:rPr>
                <w:rFonts w:asciiTheme="minorHAnsi" w:hAnsiTheme="minorHAnsi" w:cstheme="minorHAnsi"/>
                <w:b/>
                <w:bCs/>
                <w:position w:val="2"/>
                <w:rtl/>
              </w:rPr>
              <w:t>نسخة إلى:</w:t>
            </w:r>
          </w:p>
          <w:p w14:paraId="3688465B" w14:textId="70E7161B" w:rsidR="00CE1C08" w:rsidRPr="00EF1FE4" w:rsidRDefault="00CE1C08" w:rsidP="00410D9C">
            <w:pPr>
              <w:tabs>
                <w:tab w:val="left" w:pos="284"/>
                <w:tab w:val="left" w:pos="4111"/>
              </w:tabs>
              <w:spacing w:before="60" w:after="60" w:line="320" w:lineRule="exact"/>
              <w:ind w:left="284" w:hanging="284"/>
              <w:rPr>
                <w:rFonts w:asciiTheme="minorHAnsi" w:eastAsia="Times New Roman" w:hAnsiTheme="minorHAnsi" w:cstheme="minorHAnsi"/>
                <w:position w:val="2"/>
                <w:rtl/>
                <w:lang w:eastAsia="en-US"/>
              </w:rPr>
            </w:pPr>
            <w:r w:rsidRPr="00EF1FE4">
              <w:rPr>
                <w:rFonts w:asciiTheme="minorHAnsi" w:hAnsiTheme="minorHAnsi" w:cstheme="minorHAnsi"/>
                <w:position w:val="2"/>
                <w:rtl/>
              </w:rPr>
              <w:t>-</w:t>
            </w:r>
            <w:r w:rsidRPr="00EF1FE4">
              <w:rPr>
                <w:rFonts w:asciiTheme="minorHAnsi" w:hAnsiTheme="minorHAnsi" w:cstheme="minorHAnsi"/>
                <w:position w:val="2"/>
                <w:rtl/>
              </w:rPr>
              <w:tab/>
            </w:r>
            <w:r w:rsidRPr="00EF1FE4">
              <w:rPr>
                <w:rFonts w:asciiTheme="minorHAnsi" w:eastAsia="Times New Roman" w:hAnsiTheme="minorHAnsi" w:cstheme="minorHAnsi"/>
                <w:position w:val="2"/>
                <w:rtl/>
                <w:lang w:eastAsia="en-US"/>
              </w:rPr>
              <w:t>رؤساء لجان الدراسات</w:t>
            </w:r>
            <w:r w:rsidR="003E3773" w:rsidRPr="00EF1FE4">
              <w:rPr>
                <w:rFonts w:asciiTheme="minorHAnsi" w:eastAsia="Times New Roman" w:hAnsiTheme="minorHAnsi" w:cstheme="minorHAnsi"/>
                <w:position w:val="2"/>
                <w:rtl/>
                <w:lang w:eastAsia="en-US"/>
              </w:rPr>
              <w:t xml:space="preserve"> بقطاع تقييس الاتصالات وقطاع تنمية الاتصالات</w:t>
            </w:r>
            <w:r w:rsidRPr="00EF1FE4">
              <w:rPr>
                <w:rFonts w:asciiTheme="minorHAnsi" w:eastAsia="Times New Roman" w:hAnsiTheme="minorHAnsi" w:cstheme="minorHAnsi"/>
                <w:position w:val="2"/>
                <w:rtl/>
                <w:lang w:eastAsia="en-US" w:bidi="ar-EG"/>
              </w:rPr>
              <w:t xml:space="preserve"> ونوابهم</w:t>
            </w:r>
            <w:r w:rsidRPr="00EF1FE4">
              <w:rPr>
                <w:rFonts w:asciiTheme="minorHAnsi" w:eastAsia="Times New Roman" w:hAnsiTheme="minorHAnsi" w:cstheme="minorHAnsi"/>
                <w:position w:val="2"/>
                <w:rtl/>
                <w:lang w:eastAsia="en-US"/>
              </w:rPr>
              <w:t>؛</w:t>
            </w:r>
          </w:p>
          <w:p w14:paraId="24FFE235" w14:textId="39A31DB1" w:rsidR="00CE1C08" w:rsidRPr="00EF1FE4" w:rsidRDefault="00CE1C08" w:rsidP="00410D9C">
            <w:pPr>
              <w:tabs>
                <w:tab w:val="left" w:pos="284"/>
                <w:tab w:val="left" w:pos="4111"/>
              </w:tabs>
              <w:spacing w:before="60" w:after="60" w:line="320" w:lineRule="exact"/>
              <w:ind w:left="284" w:hanging="284"/>
              <w:rPr>
                <w:rFonts w:asciiTheme="minorHAnsi" w:eastAsia="Times New Roman" w:hAnsiTheme="minorHAnsi" w:cstheme="minorHAnsi"/>
                <w:position w:val="2"/>
                <w:rtl/>
                <w:lang w:eastAsia="en-US"/>
              </w:rPr>
            </w:pPr>
            <w:r w:rsidRPr="00EF1FE4">
              <w:rPr>
                <w:rFonts w:asciiTheme="minorHAnsi" w:eastAsia="Times New Roman" w:hAnsiTheme="minorHAnsi" w:cstheme="minorHAnsi"/>
                <w:position w:val="2"/>
                <w:rtl/>
                <w:lang w:eastAsia="en-US"/>
              </w:rPr>
              <w:t>-</w:t>
            </w:r>
            <w:r w:rsidRPr="00EF1FE4">
              <w:rPr>
                <w:rFonts w:asciiTheme="minorHAnsi" w:eastAsia="Times New Roman" w:hAnsiTheme="minorHAnsi" w:cstheme="minorHAnsi"/>
                <w:position w:val="2"/>
                <w:rtl/>
                <w:lang w:eastAsia="en-US"/>
              </w:rPr>
              <w:tab/>
              <w:t xml:space="preserve">مدير مكتب </w:t>
            </w:r>
            <w:r w:rsidR="003E3773" w:rsidRPr="00EF1FE4">
              <w:rPr>
                <w:rFonts w:asciiTheme="minorHAnsi" w:eastAsia="Times New Roman" w:hAnsiTheme="minorHAnsi" w:cstheme="minorHAnsi"/>
                <w:position w:val="2"/>
                <w:rtl/>
                <w:lang w:eastAsia="en-US"/>
              </w:rPr>
              <w:t>ا</w:t>
            </w:r>
            <w:r w:rsidRPr="00EF1FE4">
              <w:rPr>
                <w:rFonts w:asciiTheme="minorHAnsi" w:eastAsia="Times New Roman" w:hAnsiTheme="minorHAnsi" w:cstheme="minorHAnsi"/>
                <w:position w:val="2"/>
                <w:rtl/>
                <w:lang w:eastAsia="en-US"/>
              </w:rPr>
              <w:t>لاتصالات</w:t>
            </w:r>
            <w:r w:rsidR="003E3773" w:rsidRPr="00EF1FE4">
              <w:rPr>
                <w:rFonts w:asciiTheme="minorHAnsi" w:eastAsia="Times New Roman" w:hAnsiTheme="minorHAnsi" w:cstheme="minorHAnsi"/>
                <w:position w:val="2"/>
                <w:rtl/>
                <w:lang w:eastAsia="en-US"/>
              </w:rPr>
              <w:t xml:space="preserve"> الراديوية</w:t>
            </w:r>
            <w:r w:rsidRPr="00EF1FE4">
              <w:rPr>
                <w:rFonts w:asciiTheme="minorHAnsi" w:eastAsia="Times New Roman" w:hAnsiTheme="minorHAnsi" w:cstheme="minorHAnsi"/>
                <w:position w:val="2"/>
                <w:rtl/>
                <w:lang w:eastAsia="en-US"/>
              </w:rPr>
              <w:t>؛</w:t>
            </w:r>
          </w:p>
          <w:p w14:paraId="0795DA3B" w14:textId="21A7070F" w:rsidR="00CE1C08" w:rsidRPr="00EF1FE4" w:rsidRDefault="00CE1C08" w:rsidP="00410D9C">
            <w:pPr>
              <w:tabs>
                <w:tab w:val="left" w:pos="284"/>
                <w:tab w:val="left" w:pos="4111"/>
              </w:tabs>
              <w:spacing w:before="60" w:after="60" w:line="320" w:lineRule="exact"/>
              <w:ind w:left="284" w:hanging="284"/>
              <w:rPr>
                <w:rFonts w:asciiTheme="minorHAnsi" w:hAnsiTheme="minorHAnsi" w:cstheme="minorHAnsi"/>
                <w:position w:val="2"/>
                <w:rtl/>
              </w:rPr>
            </w:pPr>
            <w:r w:rsidRPr="00EF1FE4">
              <w:rPr>
                <w:rFonts w:asciiTheme="minorHAnsi" w:eastAsia="Times New Roman" w:hAnsiTheme="minorHAnsi" w:cstheme="minorHAnsi"/>
                <w:position w:val="2"/>
                <w:rtl/>
                <w:lang w:eastAsia="en-US"/>
              </w:rPr>
              <w:t>-</w:t>
            </w:r>
            <w:r w:rsidRPr="00EF1FE4">
              <w:rPr>
                <w:rFonts w:asciiTheme="minorHAnsi" w:eastAsia="Times New Roman" w:hAnsiTheme="minorHAnsi" w:cstheme="minorHAnsi"/>
                <w:position w:val="2"/>
                <w:rtl/>
                <w:lang w:eastAsia="en-US"/>
              </w:rPr>
              <w:tab/>
            </w:r>
            <w:r w:rsidR="00B6539D" w:rsidRPr="00EF1FE4">
              <w:rPr>
                <w:rFonts w:asciiTheme="minorHAnsi" w:eastAsia="Times New Roman" w:hAnsiTheme="minorHAnsi" w:cstheme="minorHAnsi"/>
                <w:position w:val="2"/>
                <w:rtl/>
                <w:lang w:eastAsia="en-US"/>
              </w:rPr>
              <w:t xml:space="preserve">المديرين الإقليميين </w:t>
            </w:r>
            <w:r w:rsidR="003E3773" w:rsidRPr="00EF1FE4">
              <w:rPr>
                <w:rFonts w:asciiTheme="minorHAnsi" w:eastAsia="Times New Roman" w:hAnsiTheme="minorHAnsi" w:cstheme="minorHAnsi"/>
                <w:position w:val="2"/>
                <w:rtl/>
                <w:lang w:eastAsia="en-US"/>
              </w:rPr>
              <w:t>للمكاتب الإقليمية للاتحاد</w:t>
            </w:r>
          </w:p>
        </w:tc>
      </w:tr>
      <w:tr w:rsidR="009A3EB0" w:rsidRPr="00EF1FE4" w14:paraId="0013F333" w14:textId="77777777" w:rsidTr="00062446">
        <w:trPr>
          <w:cantSplit/>
          <w:jc w:val="center"/>
        </w:trPr>
        <w:tc>
          <w:tcPr>
            <w:tcW w:w="796" w:type="pct"/>
          </w:tcPr>
          <w:p w14:paraId="61E61686" w14:textId="77777777" w:rsidR="009A3EB0" w:rsidRPr="00EF1FE4" w:rsidRDefault="009A3EB0" w:rsidP="00EF08CC">
            <w:pPr>
              <w:spacing w:before="0" w:line="260" w:lineRule="exact"/>
              <w:jc w:val="left"/>
              <w:rPr>
                <w:rFonts w:asciiTheme="minorHAnsi" w:hAnsiTheme="minorHAnsi" w:cstheme="minorHAnsi"/>
                <w:b/>
                <w:bCs/>
                <w:position w:val="2"/>
                <w:rtl/>
              </w:rPr>
            </w:pPr>
          </w:p>
        </w:tc>
        <w:tc>
          <w:tcPr>
            <w:tcW w:w="4204" w:type="pct"/>
            <w:gridSpan w:val="2"/>
          </w:tcPr>
          <w:p w14:paraId="52FAF19D" w14:textId="77777777" w:rsidR="009A3EB0" w:rsidRPr="00EF1FE4" w:rsidRDefault="009A3EB0" w:rsidP="00EF08CC">
            <w:pPr>
              <w:spacing w:before="0" w:line="260" w:lineRule="exact"/>
              <w:rPr>
                <w:rFonts w:asciiTheme="minorHAnsi" w:hAnsiTheme="minorHAnsi" w:cstheme="minorHAnsi"/>
                <w:b/>
                <w:bCs/>
                <w:spacing w:val="-4"/>
                <w:position w:val="2"/>
                <w:rtl/>
              </w:rPr>
            </w:pPr>
          </w:p>
        </w:tc>
      </w:tr>
      <w:tr w:rsidR="00CE1C08" w:rsidRPr="00EF1FE4" w14:paraId="6D55EFD5" w14:textId="77777777" w:rsidTr="00062446">
        <w:trPr>
          <w:cantSplit/>
          <w:jc w:val="center"/>
        </w:trPr>
        <w:tc>
          <w:tcPr>
            <w:tcW w:w="796" w:type="pct"/>
          </w:tcPr>
          <w:p w14:paraId="22511132" w14:textId="77777777" w:rsidR="00CE1C08" w:rsidRPr="00EF1FE4" w:rsidRDefault="00CE1C08" w:rsidP="00CE1C08">
            <w:pPr>
              <w:spacing w:before="80" w:after="60" w:line="300" w:lineRule="exact"/>
              <w:jc w:val="left"/>
              <w:rPr>
                <w:rFonts w:asciiTheme="minorHAnsi" w:hAnsiTheme="minorHAnsi" w:cstheme="minorHAnsi"/>
                <w:b/>
                <w:bCs/>
                <w:position w:val="2"/>
                <w:rtl/>
                <w:lang w:bidi="ar-SY"/>
              </w:rPr>
            </w:pPr>
            <w:r w:rsidRPr="00EF1FE4">
              <w:rPr>
                <w:rFonts w:asciiTheme="minorHAnsi" w:hAnsiTheme="minorHAnsi" w:cstheme="minorHAnsi"/>
                <w:b/>
                <w:bCs/>
                <w:position w:val="2"/>
                <w:rtl/>
              </w:rPr>
              <w:t>الموضوع:</w:t>
            </w:r>
          </w:p>
        </w:tc>
        <w:tc>
          <w:tcPr>
            <w:tcW w:w="4204" w:type="pct"/>
            <w:gridSpan w:val="2"/>
          </w:tcPr>
          <w:p w14:paraId="1B0D6E87" w14:textId="35254A73" w:rsidR="00CE1C08" w:rsidRPr="00EF1FE4" w:rsidRDefault="002838AF" w:rsidP="00923BB0">
            <w:pPr>
              <w:spacing w:before="80" w:after="60" w:line="300" w:lineRule="exact"/>
              <w:rPr>
                <w:rFonts w:asciiTheme="minorHAnsi" w:hAnsiTheme="minorHAnsi" w:cstheme="minorHAnsi"/>
                <w:b/>
                <w:bCs/>
                <w:position w:val="2"/>
                <w:rtl/>
              </w:rPr>
            </w:pPr>
            <w:r w:rsidRPr="00EF1FE4">
              <w:rPr>
                <w:rFonts w:asciiTheme="minorHAnsi" w:hAnsiTheme="minorHAnsi" w:cstheme="minorHAnsi"/>
                <w:b/>
                <w:bCs/>
                <w:spacing w:val="-4"/>
                <w:position w:val="2"/>
                <w:rtl/>
              </w:rPr>
              <w:t xml:space="preserve">ورشة عمل </w:t>
            </w:r>
            <w:r w:rsidR="00F82056" w:rsidRPr="00EF1FE4">
              <w:rPr>
                <w:rFonts w:asciiTheme="minorHAnsi" w:hAnsiTheme="minorHAnsi" w:cstheme="minorHAnsi"/>
                <w:b/>
                <w:bCs/>
                <w:spacing w:val="-4"/>
                <w:position w:val="2"/>
                <w:rtl/>
              </w:rPr>
              <w:t>ا</w:t>
            </w:r>
            <w:r w:rsidRPr="00EF1FE4">
              <w:rPr>
                <w:rFonts w:asciiTheme="minorHAnsi" w:hAnsiTheme="minorHAnsi" w:cstheme="minorHAnsi"/>
                <w:b/>
                <w:bCs/>
                <w:spacing w:val="-4"/>
                <w:position w:val="2"/>
                <w:rtl/>
              </w:rPr>
              <w:t xml:space="preserve">لاتحاد بشأن "الحوافز الاقتصادية والضريبية لتسريع وتيرة التحول الرقمي للبيانات والتطبيقات </w:t>
            </w:r>
            <w:r w:rsidR="00C00316" w:rsidRPr="00EF1FE4">
              <w:rPr>
                <w:rFonts w:asciiTheme="minorHAnsi" w:hAnsiTheme="minorHAnsi" w:cstheme="minorHAnsi"/>
                <w:b/>
                <w:bCs/>
                <w:spacing w:val="-4"/>
                <w:position w:val="2"/>
                <w:rtl/>
              </w:rPr>
              <w:t>في</w:t>
            </w:r>
            <w:r w:rsidRPr="00EF1FE4">
              <w:rPr>
                <w:rFonts w:asciiTheme="minorHAnsi" w:hAnsiTheme="minorHAnsi" w:cstheme="minorHAnsi"/>
                <w:b/>
                <w:bCs/>
                <w:spacing w:val="-4"/>
                <w:position w:val="2"/>
                <w:rtl/>
              </w:rPr>
              <w:t xml:space="preserve"> البنية التحتية للاتصالات</w:t>
            </w:r>
            <w:r w:rsidRPr="00EF1FE4">
              <w:rPr>
                <w:rFonts w:asciiTheme="minorHAnsi" w:hAnsiTheme="minorHAnsi" w:cstheme="minorHAnsi"/>
                <w:b/>
                <w:bCs/>
                <w:position w:val="2"/>
                <w:rtl/>
              </w:rPr>
              <w:t xml:space="preserve">" </w:t>
            </w:r>
            <w:r w:rsidR="00923BB0" w:rsidRPr="00EF1FE4">
              <w:rPr>
                <w:rFonts w:asciiTheme="minorHAnsi" w:hAnsiTheme="minorHAnsi" w:cstheme="minorHAnsi"/>
                <w:b/>
                <w:bCs/>
                <w:position w:val="2"/>
                <w:rtl/>
              </w:rPr>
              <w:tab/>
            </w:r>
            <w:r w:rsidR="00923BB0" w:rsidRPr="00EF1FE4">
              <w:rPr>
                <w:rFonts w:asciiTheme="minorHAnsi" w:hAnsiTheme="minorHAnsi" w:cstheme="minorHAnsi"/>
                <w:b/>
                <w:bCs/>
                <w:position w:val="2"/>
                <w:rtl/>
              </w:rPr>
              <w:br/>
            </w:r>
            <w:r w:rsidRPr="00EF1FE4">
              <w:rPr>
                <w:rFonts w:asciiTheme="minorHAnsi" w:hAnsiTheme="minorHAnsi" w:cstheme="minorHAnsi"/>
                <w:b/>
                <w:bCs/>
                <w:position w:val="2"/>
                <w:rtl/>
              </w:rPr>
              <w:t>(جنيف، سويسرا، 3-4 نوفمبر 2022)</w:t>
            </w:r>
          </w:p>
        </w:tc>
      </w:tr>
    </w:tbl>
    <w:p w14:paraId="14DEA077" w14:textId="77777777" w:rsidR="00D517B2" w:rsidRPr="00EF1FE4" w:rsidRDefault="00D517B2" w:rsidP="006635B2">
      <w:pPr>
        <w:spacing w:before="600"/>
        <w:rPr>
          <w:rFonts w:asciiTheme="minorHAnsi" w:hAnsiTheme="minorHAnsi" w:cstheme="minorHAnsi"/>
          <w:lang w:bidi="ar-SY"/>
        </w:rPr>
      </w:pPr>
      <w:r w:rsidRPr="00EF1FE4">
        <w:rPr>
          <w:rFonts w:asciiTheme="minorHAnsi" w:hAnsiTheme="minorHAnsi" w:cstheme="minorHAnsi"/>
          <w:rtl/>
          <w:lang w:bidi="ar-SY"/>
        </w:rPr>
        <w:t>حضرات السادة والسيدات،</w:t>
      </w:r>
    </w:p>
    <w:p w14:paraId="3BBE9FDE" w14:textId="77777777" w:rsidR="00D517B2" w:rsidRPr="00EF1FE4" w:rsidRDefault="00D517B2" w:rsidP="00D517B2">
      <w:pPr>
        <w:rPr>
          <w:rFonts w:asciiTheme="minorHAnsi" w:hAnsiTheme="minorHAnsi" w:cstheme="minorHAnsi"/>
          <w:rtl/>
          <w:lang w:bidi="ar-EG"/>
        </w:rPr>
      </w:pPr>
      <w:r w:rsidRPr="00EF1FE4">
        <w:rPr>
          <w:rFonts w:asciiTheme="minorHAnsi" w:hAnsiTheme="minorHAnsi" w:cstheme="minorHAnsi"/>
          <w:rtl/>
        </w:rPr>
        <w:t>تحية طيبة وبعد،</w:t>
      </w:r>
    </w:p>
    <w:p w14:paraId="1B07C8B0" w14:textId="067A28C5" w:rsidR="00D517B2" w:rsidRPr="00EF1FE4" w:rsidRDefault="00973B8C" w:rsidP="00C00316">
      <w:pPr>
        <w:rPr>
          <w:rFonts w:asciiTheme="minorHAnsi" w:hAnsiTheme="minorHAnsi" w:cstheme="minorHAnsi"/>
          <w:b/>
          <w:bCs/>
          <w:rtl/>
        </w:rPr>
      </w:pPr>
      <w:r w:rsidRPr="00EF1FE4">
        <w:rPr>
          <w:rFonts w:asciiTheme="minorHAnsi" w:hAnsiTheme="minorHAnsi" w:cstheme="minorHAnsi"/>
        </w:rPr>
        <w:t>1</w:t>
      </w:r>
      <w:r w:rsidRPr="00EF1FE4">
        <w:rPr>
          <w:rFonts w:asciiTheme="minorHAnsi" w:hAnsiTheme="minorHAnsi" w:cstheme="minorHAnsi"/>
        </w:rPr>
        <w:tab/>
      </w:r>
      <w:r w:rsidR="002838AF" w:rsidRPr="00EF1FE4">
        <w:rPr>
          <w:rFonts w:asciiTheme="minorHAnsi" w:hAnsiTheme="minorHAnsi" w:cstheme="minorHAnsi"/>
          <w:rtl/>
        </w:rPr>
        <w:t>ينظّم الاتحاد الدولي للاتصالات ورشة عمل بشأن "</w:t>
      </w:r>
      <w:r w:rsidR="002838AF" w:rsidRPr="00EF1FE4">
        <w:rPr>
          <w:rFonts w:asciiTheme="minorHAnsi" w:hAnsiTheme="minorHAnsi" w:cstheme="minorHAnsi"/>
          <w:b/>
          <w:bCs/>
          <w:position w:val="2"/>
          <w:rtl/>
        </w:rPr>
        <w:t xml:space="preserve">الحوافز الاقتصادية والضريبية لتسريع وتيرة التحول الرقمي للبيانات والتطبيقات </w:t>
      </w:r>
      <w:r w:rsidR="00C00316" w:rsidRPr="00EF1FE4">
        <w:rPr>
          <w:rFonts w:asciiTheme="minorHAnsi" w:hAnsiTheme="minorHAnsi" w:cstheme="minorHAnsi"/>
          <w:b/>
          <w:bCs/>
          <w:position w:val="2"/>
          <w:rtl/>
        </w:rPr>
        <w:t>في</w:t>
      </w:r>
      <w:r w:rsidR="002838AF" w:rsidRPr="00EF1FE4">
        <w:rPr>
          <w:rFonts w:asciiTheme="minorHAnsi" w:hAnsiTheme="minorHAnsi" w:cstheme="minorHAnsi"/>
          <w:b/>
          <w:bCs/>
          <w:position w:val="2"/>
          <w:rtl/>
        </w:rPr>
        <w:t xml:space="preserve"> البنية التحتية للاتصالات</w:t>
      </w:r>
      <w:r w:rsidR="002838AF" w:rsidRPr="00EF1FE4">
        <w:rPr>
          <w:rFonts w:asciiTheme="minorHAnsi" w:hAnsiTheme="minorHAnsi" w:cstheme="minorHAnsi"/>
          <w:rtl/>
        </w:rPr>
        <w:t>" يوم</w:t>
      </w:r>
      <w:r w:rsidR="006D690C" w:rsidRPr="00EF1FE4">
        <w:rPr>
          <w:rFonts w:asciiTheme="minorHAnsi" w:hAnsiTheme="minorHAnsi" w:cstheme="minorHAnsi"/>
          <w:rtl/>
        </w:rPr>
        <w:t>َ</w:t>
      </w:r>
      <w:r w:rsidR="002838AF" w:rsidRPr="00EF1FE4">
        <w:rPr>
          <w:rFonts w:asciiTheme="minorHAnsi" w:hAnsiTheme="minorHAnsi" w:cstheme="minorHAnsi"/>
          <w:rtl/>
        </w:rPr>
        <w:t>ي 3 و4 نوفمبر 2022 في مقر الاتحاد بجنيف، سويسرا. وس</w:t>
      </w:r>
      <w:r w:rsidR="00D13FCA" w:rsidRPr="00EF1FE4">
        <w:rPr>
          <w:rFonts w:asciiTheme="minorHAnsi" w:hAnsiTheme="minorHAnsi" w:cstheme="minorHAnsi"/>
          <w:rtl/>
        </w:rPr>
        <w:t>تُنظ</w:t>
      </w:r>
      <w:r w:rsidR="002838AF" w:rsidRPr="00EF1FE4">
        <w:rPr>
          <w:rFonts w:asciiTheme="minorHAnsi" w:hAnsiTheme="minorHAnsi" w:cstheme="minorHAnsi"/>
          <w:rtl/>
        </w:rPr>
        <w:t>َّ</w:t>
      </w:r>
      <w:r w:rsidR="00D13FCA" w:rsidRPr="00EF1FE4">
        <w:rPr>
          <w:rFonts w:asciiTheme="minorHAnsi" w:hAnsiTheme="minorHAnsi" w:cstheme="minorHAnsi"/>
          <w:rtl/>
        </w:rPr>
        <w:t>م ورشة العمل كحدث حضوري تُتاح فيه المشاركة عن بُعد</w:t>
      </w:r>
      <w:r w:rsidR="002838AF" w:rsidRPr="00EF1FE4">
        <w:rPr>
          <w:rFonts w:asciiTheme="minorHAnsi" w:hAnsiTheme="minorHAnsi" w:cstheme="minorHAnsi"/>
          <w:rtl/>
        </w:rPr>
        <w:t>.</w:t>
      </w:r>
    </w:p>
    <w:p w14:paraId="7153246A" w14:textId="30E61C0B" w:rsidR="00D13FCA" w:rsidRPr="00EF1FE4" w:rsidRDefault="007B295F" w:rsidP="00C00316">
      <w:pPr>
        <w:rPr>
          <w:rFonts w:asciiTheme="minorHAnsi" w:hAnsiTheme="minorHAnsi" w:cstheme="minorHAnsi"/>
          <w:rtl/>
          <w:lang w:bidi="ar-EG"/>
        </w:rPr>
      </w:pPr>
      <w:r w:rsidRPr="00EF1FE4">
        <w:rPr>
          <w:rFonts w:asciiTheme="minorHAnsi" w:hAnsiTheme="minorHAnsi" w:cstheme="minorHAnsi"/>
          <w:rtl/>
          <w:lang w:bidi="ar-EG"/>
        </w:rPr>
        <w:t xml:space="preserve">وستعقد ورشة العمل باللغة الإنكليزية فقط، مع عرض نصي مباشر، وستعقبها سلسلة اجتماعات </w:t>
      </w:r>
      <w:r w:rsidR="00C00316" w:rsidRPr="00EF1FE4">
        <w:rPr>
          <w:rFonts w:asciiTheme="minorHAnsi" w:hAnsiTheme="minorHAnsi" w:cstheme="minorHAnsi"/>
          <w:rtl/>
          <w:lang w:bidi="ar-EG"/>
        </w:rPr>
        <w:t>لأفرقة</w:t>
      </w:r>
      <w:r w:rsidRPr="00EF1FE4">
        <w:rPr>
          <w:rFonts w:asciiTheme="minorHAnsi" w:hAnsiTheme="minorHAnsi" w:cstheme="minorHAnsi"/>
          <w:rtl/>
          <w:lang w:bidi="ar-EG"/>
        </w:rPr>
        <w:t xml:space="preserve"> المقرر</w:t>
      </w:r>
      <w:r w:rsidR="00C00316" w:rsidRPr="00EF1FE4">
        <w:rPr>
          <w:rFonts w:asciiTheme="minorHAnsi" w:hAnsiTheme="minorHAnsi" w:cstheme="minorHAnsi"/>
          <w:rtl/>
          <w:lang w:bidi="ar-EG"/>
        </w:rPr>
        <w:t>ين</w:t>
      </w:r>
      <w:r w:rsidRPr="00EF1FE4">
        <w:rPr>
          <w:rFonts w:asciiTheme="minorHAnsi" w:hAnsiTheme="minorHAnsi" w:cstheme="minorHAnsi"/>
          <w:rtl/>
          <w:lang w:bidi="ar-EG"/>
        </w:rPr>
        <w:t xml:space="preserve"> التابع</w:t>
      </w:r>
      <w:r w:rsidR="00C00316" w:rsidRPr="00EF1FE4">
        <w:rPr>
          <w:rFonts w:asciiTheme="minorHAnsi" w:hAnsiTheme="minorHAnsi" w:cstheme="minorHAnsi"/>
          <w:rtl/>
          <w:lang w:bidi="ar-EG"/>
        </w:rPr>
        <w:t>ة</w:t>
      </w:r>
      <w:r w:rsidRPr="00EF1FE4">
        <w:rPr>
          <w:rFonts w:asciiTheme="minorHAnsi" w:hAnsiTheme="minorHAnsi" w:cstheme="minorHAnsi"/>
          <w:rtl/>
          <w:lang w:bidi="ar-EG"/>
        </w:rPr>
        <w:t xml:space="preserve"> </w:t>
      </w:r>
      <w:hyperlink r:id="rId10" w:history="1">
        <w:r w:rsidRPr="00EF1FE4">
          <w:rPr>
            <w:rStyle w:val="Hyperlink"/>
            <w:rFonts w:asciiTheme="minorHAnsi" w:hAnsiTheme="minorHAnsi" w:cstheme="minorHAnsi"/>
            <w:rtl/>
            <w:lang w:bidi="ar-EG"/>
          </w:rPr>
          <w:t>للجنة</w:t>
        </w:r>
        <w:r w:rsidR="005D7DD7" w:rsidRPr="00EF1FE4">
          <w:rPr>
            <w:rStyle w:val="Hyperlink"/>
            <w:rFonts w:asciiTheme="minorHAnsi" w:hAnsiTheme="minorHAnsi" w:cstheme="minorHAnsi"/>
            <w:rtl/>
            <w:lang w:bidi="ar-EG"/>
          </w:rPr>
          <w:t> </w:t>
        </w:r>
        <w:r w:rsidRPr="00EF1FE4">
          <w:rPr>
            <w:rStyle w:val="Hyperlink"/>
            <w:rFonts w:asciiTheme="minorHAnsi" w:hAnsiTheme="minorHAnsi" w:cstheme="minorHAnsi"/>
            <w:rtl/>
            <w:lang w:bidi="ar-EG"/>
          </w:rPr>
          <w:t>الدراسات</w:t>
        </w:r>
        <w:r w:rsidR="005D7DD7" w:rsidRPr="00EF1FE4">
          <w:rPr>
            <w:rStyle w:val="Hyperlink"/>
            <w:rFonts w:asciiTheme="minorHAnsi" w:hAnsiTheme="minorHAnsi" w:cstheme="minorHAnsi"/>
            <w:rtl/>
            <w:lang w:bidi="ar-EG"/>
          </w:rPr>
          <w:t> </w:t>
        </w:r>
        <w:r w:rsidRPr="00EF1FE4">
          <w:rPr>
            <w:rStyle w:val="Hyperlink"/>
            <w:rFonts w:asciiTheme="minorHAnsi" w:hAnsiTheme="minorHAnsi" w:cstheme="minorHAnsi"/>
            <w:rtl/>
            <w:lang w:bidi="ar-EG"/>
          </w:rPr>
          <w:t xml:space="preserve">3 </w:t>
        </w:r>
        <w:r w:rsidR="007739B9" w:rsidRPr="00EF1FE4">
          <w:rPr>
            <w:rStyle w:val="Hyperlink"/>
            <w:rFonts w:asciiTheme="minorHAnsi" w:hAnsiTheme="minorHAnsi" w:cstheme="minorHAnsi"/>
            <w:rtl/>
            <w:lang w:bidi="ar-EG"/>
          </w:rPr>
          <w:t>ل</w:t>
        </w:r>
        <w:r w:rsidRPr="00EF1FE4">
          <w:rPr>
            <w:rStyle w:val="Hyperlink"/>
            <w:rFonts w:asciiTheme="minorHAnsi" w:hAnsiTheme="minorHAnsi" w:cstheme="minorHAnsi"/>
            <w:rtl/>
            <w:lang w:bidi="ar-EG"/>
          </w:rPr>
          <w:t>قطاع تقييس الاتصالات</w:t>
        </w:r>
      </w:hyperlink>
      <w:r w:rsidRPr="00EF1FE4">
        <w:rPr>
          <w:rFonts w:asciiTheme="minorHAnsi" w:hAnsiTheme="minorHAnsi" w:cstheme="minorHAnsi"/>
          <w:rtl/>
          <w:lang w:bidi="ar-EG"/>
        </w:rPr>
        <w:t xml:space="preserve"> في الفترة الممتدة من 7 إلى 10 نوفمبر 2022، والجلسة العامة للجنة الدراسات</w:t>
      </w:r>
      <w:r w:rsidR="00E11EB0" w:rsidRPr="00EF1FE4">
        <w:rPr>
          <w:rFonts w:asciiTheme="minorHAnsi" w:hAnsiTheme="minorHAnsi" w:cstheme="minorHAnsi"/>
          <w:rtl/>
          <w:lang w:bidi="ar-EG"/>
        </w:rPr>
        <w:t> </w:t>
      </w:r>
      <w:r w:rsidRPr="00EF1FE4">
        <w:rPr>
          <w:rFonts w:asciiTheme="minorHAnsi" w:hAnsiTheme="minorHAnsi" w:cstheme="minorHAnsi"/>
          <w:rtl/>
          <w:lang w:bidi="ar-EG"/>
        </w:rPr>
        <w:t xml:space="preserve">3 </w:t>
      </w:r>
      <w:r w:rsidR="005E0CD1" w:rsidRPr="00EF1FE4">
        <w:rPr>
          <w:rFonts w:asciiTheme="minorHAnsi" w:hAnsiTheme="minorHAnsi" w:cstheme="minorHAnsi"/>
          <w:rtl/>
          <w:lang w:bidi="ar-EG"/>
        </w:rPr>
        <w:t>ل</w:t>
      </w:r>
      <w:r w:rsidRPr="00EF1FE4">
        <w:rPr>
          <w:rFonts w:asciiTheme="minorHAnsi" w:hAnsiTheme="minorHAnsi" w:cstheme="minorHAnsi"/>
          <w:rtl/>
          <w:lang w:bidi="ar-EG"/>
        </w:rPr>
        <w:t>قطاع تقييس الاتصالات التي ست</w:t>
      </w:r>
      <w:r w:rsidR="009625A9" w:rsidRPr="00EF1FE4">
        <w:rPr>
          <w:rFonts w:asciiTheme="minorHAnsi" w:hAnsiTheme="minorHAnsi" w:cstheme="minorHAnsi"/>
          <w:rtl/>
          <w:lang w:bidi="ar-EG"/>
        </w:rPr>
        <w:t>ُ</w:t>
      </w:r>
      <w:r w:rsidRPr="00EF1FE4">
        <w:rPr>
          <w:rFonts w:asciiTheme="minorHAnsi" w:hAnsiTheme="minorHAnsi" w:cstheme="minorHAnsi"/>
          <w:rtl/>
          <w:lang w:bidi="ar-EG"/>
        </w:rPr>
        <w:t>عقد في 11 نوفمبر 2022 في نفس المكان.</w:t>
      </w:r>
    </w:p>
    <w:p w14:paraId="2749918F" w14:textId="53815E02" w:rsidR="00D13FCA" w:rsidRPr="00EF1FE4" w:rsidRDefault="00973B8C" w:rsidP="007B295F">
      <w:pPr>
        <w:rPr>
          <w:rFonts w:asciiTheme="minorHAnsi" w:hAnsiTheme="minorHAnsi" w:cstheme="minorHAnsi"/>
          <w:rtl/>
          <w:lang w:bidi="ar-SY"/>
        </w:rPr>
      </w:pPr>
      <w:r w:rsidRPr="00EF1FE4">
        <w:rPr>
          <w:rFonts w:asciiTheme="minorHAnsi" w:hAnsiTheme="minorHAnsi" w:cstheme="minorHAnsi"/>
          <w:lang w:bidi="ar-SY"/>
        </w:rPr>
        <w:t>2</w:t>
      </w:r>
      <w:r w:rsidRPr="00EF1FE4">
        <w:rPr>
          <w:rFonts w:asciiTheme="minorHAnsi" w:hAnsiTheme="minorHAnsi" w:cstheme="minorHAnsi"/>
          <w:lang w:bidi="ar-SY"/>
        </w:rPr>
        <w:tab/>
      </w:r>
      <w:r w:rsidR="00D13FCA" w:rsidRPr="00EF1FE4">
        <w:rPr>
          <w:rFonts w:asciiTheme="minorHAnsi" w:hAnsiTheme="minorHAnsi" w:cstheme="minorHAnsi"/>
          <w:rtl/>
          <w:lang w:bidi="ar-SY"/>
        </w:rPr>
        <w:t xml:space="preserve">وباب المشاركة في ورشة العمل مفتوح للدول الأعضاء في الاتحاد وأعضاء </w:t>
      </w:r>
      <w:r w:rsidR="006F2123" w:rsidRPr="00EF1FE4">
        <w:rPr>
          <w:rFonts w:asciiTheme="minorHAnsi" w:hAnsiTheme="minorHAnsi" w:cstheme="minorHAnsi"/>
          <w:rtl/>
          <w:lang w:bidi="ar-SY"/>
        </w:rPr>
        <w:t>القطاعات</w:t>
      </w:r>
      <w:r w:rsidR="00D13FCA" w:rsidRPr="00EF1FE4">
        <w:rPr>
          <w:rFonts w:asciiTheme="minorHAnsi" w:hAnsiTheme="minorHAnsi" w:cstheme="minorHAnsi"/>
          <w:rtl/>
          <w:lang w:bidi="ar-SY"/>
        </w:rPr>
        <w:t xml:space="preserve"> والمنتسبين </w:t>
      </w:r>
      <w:r w:rsidR="007B295F" w:rsidRPr="00EF1FE4">
        <w:rPr>
          <w:rFonts w:asciiTheme="minorHAnsi" w:hAnsiTheme="minorHAnsi" w:cstheme="minorHAnsi"/>
          <w:rtl/>
          <w:lang w:bidi="ar-SY"/>
        </w:rPr>
        <w:t>والمؤسسات</w:t>
      </w:r>
      <w:r w:rsidR="00D13FCA" w:rsidRPr="00EF1FE4">
        <w:rPr>
          <w:rFonts w:asciiTheme="minorHAnsi" w:hAnsiTheme="minorHAnsi" w:cstheme="minorHAnsi"/>
          <w:rtl/>
          <w:lang w:bidi="ar-SY"/>
        </w:rPr>
        <w:t xml:space="preserve"> الأكاديمية ولجميع الأفراد من البلدان الأعضاء في الاتحاد الراغبين في المساهمة في أعمال </w:t>
      </w:r>
      <w:r w:rsidR="007B295F" w:rsidRPr="00EF1FE4">
        <w:rPr>
          <w:rFonts w:asciiTheme="minorHAnsi" w:hAnsiTheme="minorHAnsi" w:cstheme="minorHAnsi"/>
          <w:rtl/>
          <w:lang w:bidi="ar-SY"/>
        </w:rPr>
        <w:t>ال</w:t>
      </w:r>
      <w:r w:rsidR="00D13FCA" w:rsidRPr="00EF1FE4">
        <w:rPr>
          <w:rFonts w:asciiTheme="minorHAnsi" w:hAnsiTheme="minorHAnsi" w:cstheme="minorHAnsi"/>
          <w:rtl/>
          <w:lang w:bidi="ar-SY"/>
        </w:rPr>
        <w:t>ورشة. ويشمل ذلك أيضاً الأفراد الأعضاء في المنظمات الدولية والإقليمية والوطنية. والمشاركة في ورشة العمل مجاني</w:t>
      </w:r>
      <w:r w:rsidR="007B295F" w:rsidRPr="00EF1FE4">
        <w:rPr>
          <w:rFonts w:asciiTheme="minorHAnsi" w:hAnsiTheme="minorHAnsi" w:cstheme="minorHAnsi"/>
          <w:rtl/>
          <w:lang w:bidi="ar-SY"/>
        </w:rPr>
        <w:t>ة</w:t>
      </w:r>
      <w:r w:rsidR="00D13FCA" w:rsidRPr="00EF1FE4">
        <w:rPr>
          <w:rFonts w:asciiTheme="minorHAnsi" w:hAnsiTheme="minorHAnsi" w:cstheme="minorHAnsi"/>
          <w:rtl/>
          <w:lang w:bidi="ar-SY"/>
        </w:rPr>
        <w:t>.</w:t>
      </w:r>
    </w:p>
    <w:p w14:paraId="366A19F7" w14:textId="59C4C839" w:rsidR="00D13FCA" w:rsidRPr="00EF1FE4" w:rsidRDefault="00973B8C" w:rsidP="00751FF8">
      <w:pPr>
        <w:rPr>
          <w:rFonts w:asciiTheme="minorHAnsi" w:hAnsiTheme="minorHAnsi" w:cstheme="minorHAnsi"/>
          <w:rtl/>
          <w:lang w:bidi="ar-SY"/>
        </w:rPr>
      </w:pPr>
      <w:r w:rsidRPr="00EF1FE4">
        <w:rPr>
          <w:rFonts w:asciiTheme="minorHAnsi" w:hAnsiTheme="minorHAnsi" w:cstheme="minorHAnsi"/>
          <w:lang w:bidi="ar-SY"/>
        </w:rPr>
        <w:t>3</w:t>
      </w:r>
      <w:r w:rsidRPr="00EF1FE4">
        <w:rPr>
          <w:rFonts w:asciiTheme="minorHAnsi" w:hAnsiTheme="minorHAnsi" w:cstheme="minorHAnsi"/>
          <w:lang w:bidi="ar-SY"/>
        </w:rPr>
        <w:tab/>
      </w:r>
      <w:r w:rsidR="007B295F" w:rsidRPr="00EF1FE4">
        <w:rPr>
          <w:rFonts w:asciiTheme="minorHAnsi" w:hAnsiTheme="minorHAnsi" w:cstheme="minorHAnsi"/>
          <w:rtl/>
          <w:lang w:bidi="ar-SY"/>
        </w:rPr>
        <w:t xml:space="preserve">والهدف الرئيسي من ورشة العمل هو مناقشة الحوافز الاقتصادية والضريبية الرامية إلى تسريع وتيرة التحول الرقمي للبيانات والتطبيقات </w:t>
      </w:r>
      <w:r w:rsidR="00751FF8" w:rsidRPr="00EF1FE4">
        <w:rPr>
          <w:rFonts w:asciiTheme="minorHAnsi" w:hAnsiTheme="minorHAnsi" w:cstheme="minorHAnsi"/>
          <w:rtl/>
          <w:lang w:bidi="ar-SY"/>
        </w:rPr>
        <w:t>في</w:t>
      </w:r>
      <w:r w:rsidR="007B295F" w:rsidRPr="00EF1FE4">
        <w:rPr>
          <w:rFonts w:asciiTheme="minorHAnsi" w:hAnsiTheme="minorHAnsi" w:cstheme="minorHAnsi"/>
          <w:rtl/>
          <w:lang w:bidi="ar-SY"/>
        </w:rPr>
        <w:t xml:space="preserve"> البنية التحتية للاتصالات، في </w:t>
      </w:r>
      <w:r w:rsidR="00EB7C7C" w:rsidRPr="00EF1FE4">
        <w:rPr>
          <w:rFonts w:asciiTheme="minorHAnsi" w:hAnsiTheme="minorHAnsi" w:cstheme="minorHAnsi"/>
          <w:rtl/>
          <w:lang w:bidi="ar-SY"/>
        </w:rPr>
        <w:t>سياق</w:t>
      </w:r>
      <w:r w:rsidR="007B295F" w:rsidRPr="00EF1FE4">
        <w:rPr>
          <w:rFonts w:asciiTheme="minorHAnsi" w:hAnsiTheme="minorHAnsi" w:cstheme="minorHAnsi"/>
          <w:rtl/>
          <w:lang w:bidi="ar-SY"/>
        </w:rPr>
        <w:t xml:space="preserve"> الضرائب الجديدة</w:t>
      </w:r>
      <w:r w:rsidR="00EB7C7C" w:rsidRPr="00EF1FE4">
        <w:rPr>
          <w:rFonts w:asciiTheme="minorHAnsi" w:hAnsiTheme="minorHAnsi" w:cstheme="minorHAnsi"/>
          <w:rtl/>
        </w:rPr>
        <w:t xml:space="preserve"> في</w:t>
      </w:r>
      <w:r w:rsidR="007B295F" w:rsidRPr="00EF1FE4">
        <w:rPr>
          <w:rFonts w:asciiTheme="minorHAnsi" w:hAnsiTheme="minorHAnsi" w:cstheme="minorHAnsi"/>
          <w:rtl/>
          <w:lang w:bidi="ar-SY"/>
        </w:rPr>
        <w:t xml:space="preserve"> الاقتصاد الرقمي، وتنسيقها على الصعيد الدولي، ووجهات نظر دوائر </w:t>
      </w:r>
      <w:r w:rsidR="007B295F" w:rsidRPr="00EF1FE4">
        <w:rPr>
          <w:rFonts w:asciiTheme="minorHAnsi" w:hAnsiTheme="minorHAnsi" w:cstheme="minorHAnsi"/>
          <w:rtl/>
          <w:lang w:bidi="ar-SY"/>
        </w:rPr>
        <w:lastRenderedPageBreak/>
        <w:t>الصناعة والهيئات الأكاديمية والمجتمع.</w:t>
      </w:r>
      <w:r w:rsidR="007B295F" w:rsidRPr="00EF1FE4">
        <w:rPr>
          <w:rFonts w:asciiTheme="minorHAnsi" w:hAnsiTheme="minorHAnsi" w:cstheme="minorHAnsi"/>
          <w:rtl/>
        </w:rPr>
        <w:t xml:space="preserve"> </w:t>
      </w:r>
      <w:r w:rsidR="007B295F" w:rsidRPr="00EF1FE4">
        <w:rPr>
          <w:rFonts w:asciiTheme="minorHAnsi" w:hAnsiTheme="minorHAnsi" w:cstheme="minorHAnsi"/>
          <w:rtl/>
          <w:lang w:bidi="ar-SY"/>
        </w:rPr>
        <w:t>والغرض من ذلك هو الحصول على إيضاحات ومعلومات جديدة من المنظمات ذات الصلة فيما</w:t>
      </w:r>
      <w:r w:rsidR="005D7DD7" w:rsidRPr="00EF1FE4">
        <w:rPr>
          <w:rFonts w:asciiTheme="minorHAnsi" w:hAnsiTheme="minorHAnsi" w:cstheme="minorHAnsi"/>
          <w:rtl/>
          <w:lang w:bidi="ar-SY"/>
        </w:rPr>
        <w:t> </w:t>
      </w:r>
      <w:r w:rsidR="007B295F" w:rsidRPr="00EF1FE4">
        <w:rPr>
          <w:rFonts w:asciiTheme="minorHAnsi" w:hAnsiTheme="minorHAnsi" w:cstheme="minorHAnsi"/>
          <w:rtl/>
          <w:lang w:bidi="ar-SY"/>
        </w:rPr>
        <w:t xml:space="preserve">يتعلق بهذه الجوانب الاقتصادية والضريبية والسياساتية. </w:t>
      </w:r>
      <w:r w:rsidR="00503E14" w:rsidRPr="00EF1FE4">
        <w:rPr>
          <w:rFonts w:asciiTheme="minorHAnsi" w:hAnsiTheme="minorHAnsi" w:cstheme="minorHAnsi"/>
          <w:rtl/>
          <w:lang w:bidi="ar-SY"/>
        </w:rPr>
        <w:t>و</w:t>
      </w:r>
      <w:r w:rsidR="00C80DCC" w:rsidRPr="00EF1FE4">
        <w:rPr>
          <w:rFonts w:asciiTheme="minorHAnsi" w:hAnsiTheme="minorHAnsi" w:cstheme="minorHAnsi"/>
          <w:rtl/>
          <w:lang w:bidi="ar-SY"/>
        </w:rPr>
        <w:t>س</w:t>
      </w:r>
      <w:r w:rsidR="00503E14" w:rsidRPr="00EF1FE4">
        <w:rPr>
          <w:rFonts w:asciiTheme="minorHAnsi" w:hAnsiTheme="minorHAnsi" w:cstheme="minorHAnsi"/>
          <w:rtl/>
          <w:lang w:bidi="ar-SY"/>
        </w:rPr>
        <w:t>تتيح ورشة العمل هذه الفرصة للجمع بين خبراء متنوعين لتبادل وجهات النظر والمعلومات بشأن أحدث التطورات في هذا المجال، بهدف تعزيز التعاون والتنسيق على الصعيد الدولي.</w:t>
      </w:r>
    </w:p>
    <w:p w14:paraId="5A9ACB34" w14:textId="3D3545AD" w:rsidR="00503E14" w:rsidRPr="00EF1FE4" w:rsidRDefault="00C80DCC" w:rsidP="00113BBD">
      <w:pPr>
        <w:rPr>
          <w:rFonts w:asciiTheme="minorHAnsi" w:hAnsiTheme="minorHAnsi" w:cstheme="minorHAnsi"/>
          <w:lang w:bidi="ar-SY"/>
        </w:rPr>
      </w:pPr>
      <w:r w:rsidRPr="00EF1FE4">
        <w:rPr>
          <w:rFonts w:asciiTheme="minorHAnsi" w:hAnsiTheme="minorHAnsi" w:cstheme="minorHAnsi"/>
          <w:rtl/>
          <w:lang w:bidi="ar-SY"/>
        </w:rPr>
        <w:t>وستكون ورشة العمل بمثابة منبر للمناقشات بين واضعي السياسات والمنظمين والاقتصاديين وخبراء التقييس وخبراء الضرائب، وغيرهم من المشاركين المهتمّ</w:t>
      </w:r>
      <w:r w:rsidR="00751FF8" w:rsidRPr="00EF1FE4">
        <w:rPr>
          <w:rFonts w:asciiTheme="minorHAnsi" w:hAnsiTheme="minorHAnsi" w:cstheme="minorHAnsi"/>
          <w:rtl/>
          <w:lang w:bidi="ar-SY"/>
        </w:rPr>
        <w:t>ين من أعضاء الاتحاد</w:t>
      </w:r>
      <w:r w:rsidR="00751FF8" w:rsidRPr="00EF1FE4">
        <w:rPr>
          <w:rFonts w:asciiTheme="minorHAnsi" w:hAnsiTheme="minorHAnsi" w:cstheme="minorHAnsi"/>
          <w:lang w:bidi="ar-SY"/>
        </w:rPr>
        <w:t xml:space="preserve"> </w:t>
      </w:r>
      <w:r w:rsidR="00751FF8" w:rsidRPr="00EF1FE4">
        <w:rPr>
          <w:rFonts w:asciiTheme="minorHAnsi" w:hAnsiTheme="minorHAnsi" w:cstheme="minorHAnsi"/>
          <w:rtl/>
          <w:lang w:bidi="ar-SY"/>
        </w:rPr>
        <w:t>و</w:t>
      </w:r>
      <w:r w:rsidRPr="00EF1FE4">
        <w:rPr>
          <w:rFonts w:asciiTheme="minorHAnsi" w:hAnsiTheme="minorHAnsi" w:cstheme="minorHAnsi"/>
          <w:rtl/>
          <w:lang w:bidi="ar-SY"/>
        </w:rPr>
        <w:t xml:space="preserve">غير </w:t>
      </w:r>
      <w:r w:rsidR="00751FF8" w:rsidRPr="00EF1FE4">
        <w:rPr>
          <w:rFonts w:asciiTheme="minorHAnsi" w:hAnsiTheme="minorHAnsi" w:cstheme="minorHAnsi"/>
          <w:rtl/>
          <w:lang w:bidi="ar-SY"/>
        </w:rPr>
        <w:t>ال</w:t>
      </w:r>
      <w:r w:rsidRPr="00EF1FE4">
        <w:rPr>
          <w:rFonts w:asciiTheme="minorHAnsi" w:hAnsiTheme="minorHAnsi" w:cstheme="minorHAnsi"/>
          <w:rtl/>
          <w:lang w:bidi="ar-SY"/>
        </w:rPr>
        <w:t xml:space="preserve">أعضاء من البلدان النامية والمتقدمة، بما فيها </w:t>
      </w:r>
      <w:r w:rsidR="00751FF8" w:rsidRPr="00EF1FE4">
        <w:rPr>
          <w:rFonts w:asciiTheme="minorHAnsi" w:hAnsiTheme="minorHAnsi" w:cstheme="minorHAnsi"/>
          <w:rtl/>
          <w:lang w:bidi="ar-SY"/>
        </w:rPr>
        <w:t>ال</w:t>
      </w:r>
      <w:r w:rsidRPr="00EF1FE4">
        <w:rPr>
          <w:rFonts w:asciiTheme="minorHAnsi" w:hAnsiTheme="minorHAnsi" w:cstheme="minorHAnsi"/>
          <w:rtl/>
          <w:lang w:bidi="ar-SY"/>
        </w:rPr>
        <w:t>بلدان</w:t>
      </w:r>
      <w:r w:rsidR="00751FF8" w:rsidRPr="00EF1FE4">
        <w:rPr>
          <w:rFonts w:asciiTheme="minorHAnsi" w:hAnsiTheme="minorHAnsi" w:cstheme="minorHAnsi"/>
          <w:rtl/>
          <w:lang w:bidi="ar-SY"/>
        </w:rPr>
        <w:t xml:space="preserve"> التي</w:t>
      </w:r>
      <w:r w:rsidRPr="00EF1FE4">
        <w:rPr>
          <w:rFonts w:asciiTheme="minorHAnsi" w:hAnsiTheme="minorHAnsi" w:cstheme="minorHAnsi"/>
          <w:rtl/>
          <w:lang w:bidi="ar-SY"/>
        </w:rPr>
        <w:t xml:space="preserve"> تمر</w:t>
      </w:r>
      <w:r w:rsidR="00751FF8" w:rsidRPr="00EF1FE4">
        <w:rPr>
          <w:rFonts w:asciiTheme="minorHAnsi" w:hAnsiTheme="minorHAnsi" w:cstheme="minorHAnsi"/>
          <w:rtl/>
          <w:lang w:bidi="ar-SY"/>
        </w:rPr>
        <w:t>ّ</w:t>
      </w:r>
      <w:r w:rsidRPr="00EF1FE4">
        <w:rPr>
          <w:rFonts w:asciiTheme="minorHAnsi" w:hAnsiTheme="minorHAnsi" w:cstheme="minorHAnsi"/>
          <w:rtl/>
          <w:lang w:bidi="ar-SY"/>
        </w:rPr>
        <w:t xml:space="preserve"> اقتصاداتها بمرحلة انتقالية، والهيئات الأكاديمية والبحثية، ودوائر الصناعة، ومشغلي الاتصالات/تكنولوجيا المعلومات والاتصالات ومورّدي </w:t>
      </w:r>
      <w:r w:rsidR="00751FF8" w:rsidRPr="00EF1FE4">
        <w:rPr>
          <w:rFonts w:asciiTheme="minorHAnsi" w:hAnsiTheme="minorHAnsi" w:cstheme="minorHAnsi"/>
          <w:rtl/>
          <w:lang w:bidi="ar-SY"/>
        </w:rPr>
        <w:t>ال</w:t>
      </w:r>
      <w:r w:rsidRPr="00EF1FE4">
        <w:rPr>
          <w:rFonts w:asciiTheme="minorHAnsi" w:hAnsiTheme="minorHAnsi" w:cstheme="minorHAnsi"/>
          <w:rtl/>
          <w:lang w:bidi="ar-SY"/>
        </w:rPr>
        <w:t>خدمات، والمنصات الرقمية، والمنظمات الدولية الأخرى، وأصحاب المصلحة المهتمين.</w:t>
      </w:r>
    </w:p>
    <w:p w14:paraId="6D6ADB68" w14:textId="30E8E5B5" w:rsidR="00973B8C" w:rsidRPr="00EF1FE4" w:rsidRDefault="00113BBD" w:rsidP="00D517B2">
      <w:pPr>
        <w:rPr>
          <w:rFonts w:asciiTheme="minorHAnsi" w:hAnsiTheme="minorHAnsi" w:cstheme="minorHAnsi"/>
          <w:rtl/>
          <w:lang w:bidi="ar-SY"/>
        </w:rPr>
      </w:pPr>
      <w:r w:rsidRPr="00EF1FE4">
        <w:rPr>
          <w:rFonts w:asciiTheme="minorHAnsi" w:hAnsiTheme="minorHAnsi" w:cstheme="minorHAnsi"/>
          <w:rtl/>
          <w:lang w:bidi="ar-SY"/>
        </w:rPr>
        <w:t xml:space="preserve">ويعرض ملحق هذه الرسالة المعممة لمحة عامة </w:t>
      </w:r>
      <w:r w:rsidR="009F675E" w:rsidRPr="00EF1FE4">
        <w:rPr>
          <w:rFonts w:asciiTheme="minorHAnsi" w:hAnsiTheme="minorHAnsi" w:cstheme="minorHAnsi"/>
          <w:rtl/>
          <w:lang w:bidi="ar-SY"/>
        </w:rPr>
        <w:t>أولية</w:t>
      </w:r>
      <w:r w:rsidRPr="00EF1FE4">
        <w:rPr>
          <w:rFonts w:asciiTheme="minorHAnsi" w:hAnsiTheme="minorHAnsi" w:cstheme="minorHAnsi"/>
          <w:rtl/>
          <w:lang w:bidi="ar-SY"/>
        </w:rPr>
        <w:t xml:space="preserve"> لبرنامج ورشة العمل وجلساتها المقررة</w:t>
      </w:r>
      <w:r w:rsidR="00973B8C" w:rsidRPr="00EF1FE4">
        <w:rPr>
          <w:rFonts w:asciiTheme="minorHAnsi" w:hAnsiTheme="minorHAnsi" w:cstheme="minorHAnsi"/>
          <w:rtl/>
          <w:lang w:bidi="ar-SY"/>
        </w:rPr>
        <w:t>.</w:t>
      </w:r>
    </w:p>
    <w:p w14:paraId="7E3D99FD" w14:textId="4F130C56" w:rsidR="00503E14" w:rsidRPr="00EF1FE4" w:rsidRDefault="00973B8C" w:rsidP="00113BBD">
      <w:pPr>
        <w:rPr>
          <w:rFonts w:asciiTheme="minorHAnsi" w:hAnsiTheme="minorHAnsi" w:cstheme="minorHAnsi"/>
          <w:rtl/>
          <w:lang w:bidi="ar-SY"/>
        </w:rPr>
      </w:pPr>
      <w:r w:rsidRPr="00EF1FE4">
        <w:rPr>
          <w:rFonts w:asciiTheme="minorHAnsi" w:hAnsiTheme="minorHAnsi" w:cstheme="minorHAnsi"/>
          <w:lang w:bidi="ar-SY"/>
        </w:rPr>
        <w:t>4</w:t>
      </w:r>
      <w:r w:rsidRPr="00EF1FE4">
        <w:rPr>
          <w:rFonts w:asciiTheme="minorHAnsi" w:hAnsiTheme="minorHAnsi" w:cstheme="minorHAnsi"/>
          <w:lang w:bidi="ar-SY"/>
        </w:rPr>
        <w:tab/>
      </w:r>
      <w:r w:rsidR="00113BBD" w:rsidRPr="00EF1FE4">
        <w:rPr>
          <w:rFonts w:asciiTheme="minorHAnsi" w:hAnsiTheme="minorHAnsi" w:cstheme="minorHAnsi"/>
          <w:rtl/>
          <w:lang w:bidi="ar-SY"/>
        </w:rPr>
        <w:t xml:space="preserve">ويتضمن تذييل هذه الرسالة المعممة بعض المعلومات الأساسية التي </w:t>
      </w:r>
      <w:r w:rsidR="009F675E" w:rsidRPr="00EF1FE4">
        <w:rPr>
          <w:rFonts w:asciiTheme="minorHAnsi" w:hAnsiTheme="minorHAnsi" w:cstheme="minorHAnsi"/>
          <w:rtl/>
          <w:lang w:bidi="ar-SY"/>
        </w:rPr>
        <w:t>تضع</w:t>
      </w:r>
      <w:r w:rsidR="00113BBD" w:rsidRPr="00EF1FE4">
        <w:rPr>
          <w:rFonts w:asciiTheme="minorHAnsi" w:hAnsiTheme="minorHAnsi" w:cstheme="minorHAnsi"/>
          <w:rtl/>
          <w:lang w:bidi="ar-SY"/>
        </w:rPr>
        <w:t xml:space="preserve"> ورشة العمل هذه في سياق المناقشات والاتجاهات والأنشطة السابقة والحالية</w:t>
      </w:r>
      <w:r w:rsidR="00503E14" w:rsidRPr="00EF1FE4">
        <w:rPr>
          <w:rFonts w:asciiTheme="minorHAnsi" w:hAnsiTheme="minorHAnsi" w:cstheme="minorHAnsi"/>
          <w:rtl/>
          <w:lang w:bidi="ar-SY"/>
        </w:rPr>
        <w:t>.</w:t>
      </w:r>
    </w:p>
    <w:p w14:paraId="57F2284C" w14:textId="3A819D58" w:rsidR="00503E14" w:rsidRPr="00EF1FE4" w:rsidRDefault="00973B8C" w:rsidP="00113BBD">
      <w:pPr>
        <w:rPr>
          <w:rFonts w:asciiTheme="minorHAnsi" w:hAnsiTheme="minorHAnsi" w:cstheme="minorHAnsi"/>
          <w:spacing w:val="2"/>
          <w:rtl/>
          <w:lang w:bidi="ar-SY"/>
        </w:rPr>
      </w:pPr>
      <w:r w:rsidRPr="00EF1FE4">
        <w:rPr>
          <w:rFonts w:asciiTheme="minorHAnsi" w:hAnsiTheme="minorHAnsi" w:cstheme="minorHAnsi"/>
          <w:spacing w:val="2"/>
          <w:lang w:bidi="ar-SY"/>
        </w:rPr>
        <w:t>5</w:t>
      </w:r>
      <w:r w:rsidRPr="00EF1FE4">
        <w:rPr>
          <w:rFonts w:asciiTheme="minorHAnsi" w:hAnsiTheme="minorHAnsi" w:cstheme="minorHAnsi"/>
          <w:spacing w:val="2"/>
          <w:lang w:bidi="ar-SY"/>
        </w:rPr>
        <w:tab/>
      </w:r>
      <w:r w:rsidR="00503E14" w:rsidRPr="00EF1FE4">
        <w:rPr>
          <w:rFonts w:asciiTheme="minorHAnsi" w:hAnsiTheme="minorHAnsi" w:cstheme="minorHAnsi"/>
          <w:spacing w:val="2"/>
          <w:rtl/>
          <w:lang w:bidi="ar-SY"/>
        </w:rPr>
        <w:t>وستتاح جميع المعلومات ذات الصلة المتعلقة بورشة العمل (</w:t>
      </w:r>
      <w:r w:rsidR="00AF7872" w:rsidRPr="00EF1FE4">
        <w:rPr>
          <w:rFonts w:asciiTheme="minorHAnsi" w:hAnsiTheme="minorHAnsi" w:cstheme="minorHAnsi"/>
          <w:spacing w:val="2"/>
          <w:rtl/>
          <w:lang w:bidi="ar-SY"/>
        </w:rPr>
        <w:t xml:space="preserve">أي </w:t>
      </w:r>
      <w:r w:rsidR="00113BBD" w:rsidRPr="00EF1FE4">
        <w:rPr>
          <w:rFonts w:asciiTheme="minorHAnsi" w:hAnsiTheme="minorHAnsi" w:cstheme="minorHAnsi"/>
          <w:spacing w:val="2"/>
          <w:rtl/>
          <w:lang w:bidi="ar-SY"/>
        </w:rPr>
        <w:t>مشروع البرنامج، و</w:t>
      </w:r>
      <w:r w:rsidR="00503E14" w:rsidRPr="00EF1FE4">
        <w:rPr>
          <w:rFonts w:asciiTheme="minorHAnsi" w:hAnsiTheme="minorHAnsi" w:cstheme="minorHAnsi"/>
          <w:spacing w:val="2"/>
          <w:rtl/>
          <w:lang w:bidi="ar-SY"/>
        </w:rPr>
        <w:t xml:space="preserve">المتحدثون، </w:t>
      </w:r>
      <w:r w:rsidR="00751FF8" w:rsidRPr="00EF1FE4">
        <w:rPr>
          <w:rFonts w:asciiTheme="minorHAnsi" w:hAnsiTheme="minorHAnsi" w:cstheme="minorHAnsi"/>
          <w:spacing w:val="2"/>
          <w:rtl/>
          <w:lang w:bidi="ar-SY"/>
        </w:rPr>
        <w:t>و</w:t>
      </w:r>
      <w:r w:rsidR="00503E14" w:rsidRPr="00EF1FE4">
        <w:rPr>
          <w:rFonts w:asciiTheme="minorHAnsi" w:hAnsiTheme="minorHAnsi" w:cstheme="minorHAnsi"/>
          <w:spacing w:val="2"/>
          <w:rtl/>
          <w:lang w:bidi="ar-SY"/>
        </w:rPr>
        <w:t xml:space="preserve">روابط التسجيل، </w:t>
      </w:r>
      <w:r w:rsidR="00113BBD" w:rsidRPr="00EF1FE4">
        <w:rPr>
          <w:rFonts w:asciiTheme="minorHAnsi" w:hAnsiTheme="minorHAnsi" w:cstheme="minorHAnsi"/>
          <w:spacing w:val="2"/>
          <w:rtl/>
          <w:lang w:bidi="ar-SY"/>
        </w:rPr>
        <w:t>و</w:t>
      </w:r>
      <w:r w:rsidR="00503E14" w:rsidRPr="00EF1FE4">
        <w:rPr>
          <w:rFonts w:asciiTheme="minorHAnsi" w:hAnsiTheme="minorHAnsi" w:cstheme="minorHAnsi"/>
          <w:spacing w:val="2"/>
          <w:rtl/>
          <w:lang w:bidi="ar-SY"/>
        </w:rPr>
        <w:t xml:space="preserve">تفاصيل التوصيل عن بُعد) في </w:t>
      </w:r>
      <w:r w:rsidR="00113BBD" w:rsidRPr="00EF1FE4">
        <w:rPr>
          <w:rFonts w:asciiTheme="minorHAnsi" w:hAnsiTheme="minorHAnsi" w:cstheme="minorHAnsi"/>
          <w:spacing w:val="2"/>
          <w:rtl/>
          <w:lang w:bidi="ar-SY"/>
        </w:rPr>
        <w:t>الموقع الإلكتروني</w:t>
      </w:r>
      <w:r w:rsidR="00113BBD" w:rsidRPr="00EF1FE4">
        <w:rPr>
          <w:rStyle w:val="Hyperlink"/>
          <w:rFonts w:asciiTheme="minorHAnsi" w:hAnsiTheme="minorHAnsi" w:cstheme="minorHAnsi"/>
          <w:spacing w:val="2"/>
          <w:u w:val="none"/>
          <w:rtl/>
          <w:lang w:bidi="ar-SY"/>
        </w:rPr>
        <w:t xml:space="preserve"> </w:t>
      </w:r>
      <w:r w:rsidR="00113BBD" w:rsidRPr="00EF1FE4">
        <w:rPr>
          <w:rStyle w:val="Hyperlink"/>
          <w:rFonts w:asciiTheme="minorHAnsi" w:hAnsiTheme="minorHAnsi" w:cstheme="minorHAnsi"/>
          <w:color w:val="auto"/>
          <w:spacing w:val="2"/>
          <w:u w:val="none"/>
          <w:rtl/>
          <w:lang w:bidi="ar-SY"/>
        </w:rPr>
        <w:t>للاتحاد</w:t>
      </w:r>
      <w:r w:rsidR="00113BBD" w:rsidRPr="00EF1FE4">
        <w:rPr>
          <w:rFonts w:asciiTheme="minorHAnsi" w:hAnsiTheme="minorHAnsi" w:cstheme="minorHAnsi"/>
          <w:spacing w:val="2"/>
          <w:rtl/>
          <w:lang w:bidi="ar-SY"/>
        </w:rPr>
        <w:t xml:space="preserve">: </w:t>
      </w:r>
      <w:hyperlink r:id="rId11" w:history="1">
        <w:r w:rsidR="00113BBD" w:rsidRPr="00EF1FE4">
          <w:rPr>
            <w:rStyle w:val="Hyperlink"/>
            <w:rFonts w:asciiTheme="minorHAnsi" w:hAnsiTheme="minorHAnsi" w:cstheme="minorHAnsi"/>
            <w:spacing w:val="2"/>
            <w:lang w:bidi="ar-SY"/>
          </w:rPr>
          <w:t>https://www.itu.int/en/ITU-T/Workshops-and-Seminars/2022/1103/Pages/default.aspx</w:t>
        </w:r>
      </w:hyperlink>
      <w:r w:rsidR="00113BBD" w:rsidRPr="00EF1FE4">
        <w:rPr>
          <w:rFonts w:asciiTheme="minorHAnsi" w:hAnsiTheme="minorHAnsi" w:cstheme="minorHAnsi"/>
          <w:spacing w:val="2"/>
          <w:rtl/>
          <w:lang w:bidi="ar-SY"/>
        </w:rPr>
        <w:t>. وسيتم تحديث هذا الموقع ب</w:t>
      </w:r>
      <w:r w:rsidR="00503E14" w:rsidRPr="00EF1FE4">
        <w:rPr>
          <w:rFonts w:asciiTheme="minorHAnsi" w:hAnsiTheme="minorHAnsi" w:cstheme="minorHAnsi"/>
          <w:spacing w:val="2"/>
          <w:rtl/>
          <w:lang w:bidi="ar-SY"/>
        </w:rPr>
        <w:t>انتظام كلما وردت معلومات جديدة أو معدّلة. ويرجى من المشاركين المواظبة على زيارته للاطلاع على أحدث المعلومات.</w:t>
      </w:r>
    </w:p>
    <w:p w14:paraId="57ED72E4" w14:textId="3B3A1826" w:rsidR="00503E14" w:rsidRPr="00EF1FE4" w:rsidRDefault="00973B8C" w:rsidP="00D517B2">
      <w:pPr>
        <w:rPr>
          <w:rFonts w:asciiTheme="minorHAnsi" w:hAnsiTheme="minorHAnsi" w:cstheme="minorHAnsi"/>
          <w:rtl/>
          <w:lang w:bidi="ar-SY"/>
        </w:rPr>
      </w:pPr>
      <w:r w:rsidRPr="00EF1FE4">
        <w:rPr>
          <w:rFonts w:asciiTheme="minorHAnsi" w:hAnsiTheme="minorHAnsi" w:cstheme="minorHAnsi"/>
          <w:lang w:bidi="ar-SY"/>
        </w:rPr>
        <w:t>6</w:t>
      </w:r>
      <w:r w:rsidRPr="00EF1FE4">
        <w:rPr>
          <w:rFonts w:asciiTheme="minorHAnsi" w:hAnsiTheme="minorHAnsi" w:cstheme="minorHAnsi"/>
          <w:lang w:bidi="ar-SY"/>
        </w:rPr>
        <w:tab/>
      </w:r>
      <w:r w:rsidR="00503E14" w:rsidRPr="00EF1FE4">
        <w:rPr>
          <w:rFonts w:asciiTheme="minorHAnsi" w:hAnsiTheme="minorHAnsi" w:cstheme="minorHAnsi"/>
          <w:rtl/>
          <w:lang w:bidi="ar-SY"/>
        </w:rPr>
        <w:t>وستتاح في الموقع الإلكتروني للاتحاد المذكور أعلاه معلومات عامة للمشاركين، تشمل معلومات عن الإقامة في</w:t>
      </w:r>
      <w:r w:rsidR="00062446" w:rsidRPr="00EF1FE4">
        <w:rPr>
          <w:rFonts w:asciiTheme="minorHAnsi" w:hAnsiTheme="minorHAnsi" w:cstheme="minorHAnsi"/>
          <w:rtl/>
          <w:lang w:bidi="ar-SY"/>
        </w:rPr>
        <w:t> </w:t>
      </w:r>
      <w:r w:rsidR="00503E14" w:rsidRPr="00EF1FE4">
        <w:rPr>
          <w:rFonts w:asciiTheme="minorHAnsi" w:hAnsiTheme="minorHAnsi" w:cstheme="minorHAnsi"/>
          <w:rtl/>
          <w:lang w:bidi="ar-SY"/>
        </w:rPr>
        <w:t>الفنادق ووسائل النقل ومتطلبات الحصول على التأشيرة.</w:t>
      </w:r>
    </w:p>
    <w:p w14:paraId="3E953B96" w14:textId="7FD6D883" w:rsidR="00503E14" w:rsidRPr="00EF1FE4" w:rsidRDefault="00973B8C" w:rsidP="00751FF8">
      <w:pPr>
        <w:rPr>
          <w:rFonts w:asciiTheme="minorHAnsi" w:hAnsiTheme="minorHAnsi" w:cstheme="minorHAnsi"/>
          <w:spacing w:val="4"/>
          <w:rtl/>
          <w:lang w:bidi="ar-SY"/>
        </w:rPr>
      </w:pPr>
      <w:r w:rsidRPr="00EF1FE4">
        <w:rPr>
          <w:rFonts w:asciiTheme="minorHAnsi" w:hAnsiTheme="minorHAnsi" w:cstheme="minorHAnsi"/>
          <w:spacing w:val="4"/>
          <w:lang w:bidi="ar-SY"/>
        </w:rPr>
        <w:t>7</w:t>
      </w:r>
      <w:r w:rsidRPr="00EF1FE4">
        <w:rPr>
          <w:rFonts w:asciiTheme="minorHAnsi" w:hAnsiTheme="minorHAnsi" w:cstheme="minorHAnsi"/>
          <w:spacing w:val="4"/>
          <w:lang w:bidi="ar-SY"/>
        </w:rPr>
        <w:tab/>
      </w:r>
      <w:r w:rsidR="00113BBD" w:rsidRPr="00EF1FE4">
        <w:rPr>
          <w:rFonts w:asciiTheme="minorHAnsi" w:hAnsiTheme="minorHAnsi" w:cstheme="minorHAnsi"/>
          <w:spacing w:val="4"/>
          <w:rtl/>
          <w:lang w:bidi="ar-SY"/>
        </w:rPr>
        <w:t>ولتمكين الاتحاد</w:t>
      </w:r>
      <w:r w:rsidR="00503E14" w:rsidRPr="00EF1FE4">
        <w:rPr>
          <w:rFonts w:asciiTheme="minorHAnsi" w:hAnsiTheme="minorHAnsi" w:cstheme="minorHAnsi"/>
          <w:spacing w:val="4"/>
          <w:rtl/>
          <w:lang w:bidi="ar-SY"/>
        </w:rPr>
        <w:t xml:space="preserve"> من اتخاذ الترتيبات اللازمة المتعلقة بتنظيم ورشة العمل، </w:t>
      </w:r>
      <w:r w:rsidR="00113BBD" w:rsidRPr="00EF1FE4">
        <w:rPr>
          <w:rFonts w:asciiTheme="minorHAnsi" w:hAnsiTheme="minorHAnsi" w:cstheme="minorHAnsi"/>
          <w:spacing w:val="4"/>
          <w:rtl/>
          <w:lang w:bidi="ar-SY"/>
        </w:rPr>
        <w:t>ن</w:t>
      </w:r>
      <w:r w:rsidR="00503E14" w:rsidRPr="00EF1FE4">
        <w:rPr>
          <w:rFonts w:asciiTheme="minorHAnsi" w:hAnsiTheme="minorHAnsi" w:cstheme="minorHAnsi"/>
          <w:spacing w:val="4"/>
          <w:rtl/>
          <w:lang w:bidi="ar-SY"/>
        </w:rPr>
        <w:t>كون شاكر</w:t>
      </w:r>
      <w:r w:rsidR="00113BBD" w:rsidRPr="00EF1FE4">
        <w:rPr>
          <w:rFonts w:asciiTheme="minorHAnsi" w:hAnsiTheme="minorHAnsi" w:cstheme="minorHAnsi"/>
          <w:spacing w:val="4"/>
          <w:rtl/>
          <w:lang w:bidi="ar-SY"/>
        </w:rPr>
        <w:t>ين</w:t>
      </w:r>
      <w:r w:rsidR="00503E14" w:rsidRPr="00EF1FE4">
        <w:rPr>
          <w:rFonts w:asciiTheme="minorHAnsi" w:hAnsiTheme="minorHAnsi" w:cstheme="minorHAnsi"/>
          <w:spacing w:val="4"/>
          <w:rtl/>
          <w:lang w:bidi="ar-SY"/>
        </w:rPr>
        <w:t xml:space="preserve"> لو تكرمتم بالتسجيل بأسرع وقت ممكن</w:t>
      </w:r>
      <w:r w:rsidR="009F675E" w:rsidRPr="00EF1FE4">
        <w:rPr>
          <w:rFonts w:asciiTheme="minorHAnsi" w:hAnsiTheme="minorHAnsi" w:cstheme="minorHAnsi"/>
          <w:spacing w:val="4"/>
          <w:rtl/>
          <w:lang w:bidi="ar-SY"/>
        </w:rPr>
        <w:t xml:space="preserve"> ولكن في </w:t>
      </w:r>
      <w:r w:rsidR="009F675E" w:rsidRPr="00EF1FE4">
        <w:rPr>
          <w:rFonts w:asciiTheme="minorHAnsi" w:hAnsiTheme="minorHAnsi" w:cstheme="minorHAnsi"/>
          <w:b/>
          <w:bCs/>
          <w:spacing w:val="4"/>
          <w:rtl/>
          <w:lang w:bidi="ar-SY"/>
        </w:rPr>
        <w:t xml:space="preserve">موعد أقصاه </w:t>
      </w:r>
      <w:r w:rsidR="009F675E" w:rsidRPr="00EF1FE4">
        <w:rPr>
          <w:rFonts w:asciiTheme="minorHAnsi" w:hAnsiTheme="minorHAnsi" w:cstheme="minorHAnsi"/>
          <w:b/>
          <w:bCs/>
          <w:spacing w:val="4"/>
          <w:lang w:bidi="ar-SY"/>
        </w:rPr>
        <w:t>27</w:t>
      </w:r>
      <w:r w:rsidR="009F675E" w:rsidRPr="00EF1FE4">
        <w:rPr>
          <w:rFonts w:asciiTheme="minorHAnsi" w:hAnsiTheme="minorHAnsi" w:cstheme="minorHAnsi"/>
          <w:b/>
          <w:bCs/>
          <w:spacing w:val="4"/>
          <w:rtl/>
          <w:lang w:bidi="ar-SY"/>
        </w:rPr>
        <w:t xml:space="preserve"> أكتوبر 2022</w:t>
      </w:r>
      <w:r w:rsidR="00503E14" w:rsidRPr="00EF1FE4">
        <w:rPr>
          <w:rFonts w:asciiTheme="minorHAnsi" w:hAnsiTheme="minorHAnsi" w:cstheme="minorHAnsi"/>
          <w:spacing w:val="4"/>
          <w:rtl/>
          <w:lang w:bidi="ar-SY"/>
        </w:rPr>
        <w:t>، باستخدام الاستمارة المتاحة على الإنترنت في صفحة الموقع الإلكتروني</w:t>
      </w:r>
      <w:r w:rsidR="00751FF8" w:rsidRPr="00EF1FE4">
        <w:rPr>
          <w:rFonts w:asciiTheme="minorHAnsi" w:hAnsiTheme="minorHAnsi" w:cstheme="minorHAnsi"/>
          <w:spacing w:val="4"/>
          <w:rtl/>
          <w:lang w:bidi="ar-SY"/>
        </w:rPr>
        <w:t>:</w:t>
      </w:r>
      <w:r w:rsidR="006931DF" w:rsidRPr="00EF1FE4">
        <w:rPr>
          <w:rFonts w:asciiTheme="minorHAnsi" w:hAnsiTheme="minorHAnsi" w:cstheme="minorHAnsi"/>
          <w:spacing w:val="4"/>
          <w:rtl/>
          <w:lang w:bidi="ar-EG"/>
        </w:rPr>
        <w:t xml:space="preserve"> </w:t>
      </w:r>
      <w:hyperlink r:id="rId12" w:history="1">
        <w:r w:rsidR="00AF1503" w:rsidRPr="00EF1FE4">
          <w:rPr>
            <w:rStyle w:val="Hyperlink"/>
            <w:rFonts w:asciiTheme="minorHAnsi" w:hAnsiTheme="minorHAnsi" w:cstheme="minorHAnsi"/>
            <w:spacing w:val="4"/>
            <w:lang w:bidi="ar-SY"/>
          </w:rPr>
          <w:t>https://www.itu.int/net4/CRM/xreg/web/Login.aspx?src=Registration&amp;Event=C-00011717</w:t>
        </w:r>
      </w:hyperlink>
      <w:r w:rsidR="009F675E" w:rsidRPr="00EF1FE4">
        <w:rPr>
          <w:rFonts w:asciiTheme="minorHAnsi" w:hAnsiTheme="minorHAnsi" w:cstheme="minorHAnsi"/>
          <w:spacing w:val="4"/>
          <w:rtl/>
          <w:lang w:bidi="ar-SY"/>
        </w:rPr>
        <w:t xml:space="preserve">. </w:t>
      </w:r>
      <w:r w:rsidR="00503E14" w:rsidRPr="00EF1FE4">
        <w:rPr>
          <w:rFonts w:asciiTheme="minorHAnsi" w:hAnsiTheme="minorHAnsi" w:cstheme="minorHAnsi"/>
          <w:b/>
          <w:bCs/>
          <w:spacing w:val="4"/>
          <w:rtl/>
          <w:lang w:bidi="ar-SY"/>
        </w:rPr>
        <w:t xml:space="preserve">ويرجى العلم أن التسجيل المسبق للمشاركين في </w:t>
      </w:r>
      <w:r w:rsidR="00751FF8" w:rsidRPr="00EF1FE4">
        <w:rPr>
          <w:rFonts w:asciiTheme="minorHAnsi" w:hAnsiTheme="minorHAnsi" w:cstheme="minorHAnsi"/>
          <w:b/>
          <w:bCs/>
          <w:spacing w:val="4"/>
          <w:rtl/>
          <w:lang w:bidi="ar-SY"/>
        </w:rPr>
        <w:t>الأحداث التي ننظمها</w:t>
      </w:r>
      <w:r w:rsidR="00503E14" w:rsidRPr="00EF1FE4">
        <w:rPr>
          <w:rFonts w:asciiTheme="minorHAnsi" w:hAnsiTheme="minorHAnsi" w:cstheme="minorHAnsi"/>
          <w:b/>
          <w:bCs/>
          <w:spacing w:val="4"/>
          <w:rtl/>
          <w:lang w:bidi="ar-SY"/>
        </w:rPr>
        <w:t xml:space="preserve"> يجري </w:t>
      </w:r>
      <w:r w:rsidR="009F675E" w:rsidRPr="00EF1FE4">
        <w:rPr>
          <w:rFonts w:asciiTheme="minorHAnsi" w:hAnsiTheme="minorHAnsi" w:cstheme="minorHAnsi"/>
          <w:b/>
          <w:bCs/>
          <w:spacing w:val="4"/>
          <w:rtl/>
          <w:lang w:bidi="ar-SY"/>
        </w:rPr>
        <w:t>عبر</w:t>
      </w:r>
      <w:r w:rsidR="00503E14" w:rsidRPr="00EF1FE4">
        <w:rPr>
          <w:rFonts w:asciiTheme="minorHAnsi" w:hAnsiTheme="minorHAnsi" w:cstheme="minorHAnsi"/>
          <w:b/>
          <w:bCs/>
          <w:spacing w:val="4"/>
          <w:rtl/>
          <w:lang w:bidi="ar-SY"/>
        </w:rPr>
        <w:t xml:space="preserve"> الإنترنت حصراً</w:t>
      </w:r>
      <w:r w:rsidR="00503E14" w:rsidRPr="00EF1FE4">
        <w:rPr>
          <w:rFonts w:asciiTheme="minorHAnsi" w:hAnsiTheme="minorHAnsi" w:cstheme="minorHAnsi"/>
          <w:spacing w:val="4"/>
          <w:rtl/>
          <w:lang w:bidi="ar-SY"/>
        </w:rPr>
        <w:t xml:space="preserve">. </w:t>
      </w:r>
      <w:r w:rsidR="00F82056" w:rsidRPr="00EF1FE4">
        <w:rPr>
          <w:rFonts w:asciiTheme="minorHAnsi" w:hAnsiTheme="minorHAnsi" w:cstheme="minorHAnsi"/>
          <w:spacing w:val="4"/>
          <w:rtl/>
          <w:lang w:bidi="ar-SY"/>
        </w:rPr>
        <w:t>وسيكون بإمكان المشاركين أيضاً التسجيل في موقع الحدث يوم انعقاده</w:t>
      </w:r>
      <w:r w:rsidR="00F82056" w:rsidRPr="00EF1FE4">
        <w:rPr>
          <w:rFonts w:asciiTheme="minorHAnsi" w:hAnsiTheme="minorHAnsi" w:cstheme="minorHAnsi"/>
          <w:b/>
          <w:bCs/>
          <w:spacing w:val="4"/>
          <w:rtl/>
          <w:lang w:bidi="ar-SY"/>
        </w:rPr>
        <w:t xml:space="preserve">. </w:t>
      </w:r>
      <w:r w:rsidR="00503E14" w:rsidRPr="00EF1FE4">
        <w:rPr>
          <w:rFonts w:asciiTheme="minorHAnsi" w:hAnsiTheme="minorHAnsi" w:cstheme="minorHAnsi"/>
          <w:b/>
          <w:bCs/>
          <w:spacing w:val="4"/>
          <w:rtl/>
          <w:lang w:bidi="ar-SY"/>
        </w:rPr>
        <w:t>وورشة العمل هذه مجانية ومفتوحة للجميع</w:t>
      </w:r>
      <w:r w:rsidR="00503E14" w:rsidRPr="00EF1FE4">
        <w:rPr>
          <w:rFonts w:asciiTheme="minorHAnsi" w:hAnsiTheme="minorHAnsi" w:cstheme="minorHAnsi"/>
          <w:spacing w:val="4"/>
          <w:rtl/>
          <w:lang w:bidi="ar-SY"/>
        </w:rPr>
        <w:t>.</w:t>
      </w:r>
    </w:p>
    <w:p w14:paraId="1E99ECCC" w14:textId="443329FB" w:rsidR="00973B8C" w:rsidRPr="00EF1FE4" w:rsidRDefault="00973B8C" w:rsidP="00973B8C">
      <w:pPr>
        <w:rPr>
          <w:rFonts w:asciiTheme="minorHAnsi" w:hAnsiTheme="minorHAnsi" w:cstheme="minorHAnsi"/>
          <w:rtl/>
          <w:lang w:bidi="ar-SY"/>
        </w:rPr>
      </w:pPr>
      <w:r w:rsidRPr="00EF1FE4">
        <w:rPr>
          <w:rFonts w:asciiTheme="minorHAnsi" w:hAnsiTheme="minorHAnsi" w:cstheme="minorHAnsi"/>
          <w:rtl/>
          <w:lang w:bidi="ar-SY"/>
        </w:rPr>
        <w:t>8</w:t>
      </w:r>
      <w:r w:rsidRPr="00EF1FE4">
        <w:rPr>
          <w:rFonts w:asciiTheme="minorHAnsi" w:hAnsiTheme="minorHAnsi" w:cstheme="minorHAnsi"/>
          <w:rtl/>
          <w:lang w:bidi="ar-SY"/>
        </w:rPr>
        <w:tab/>
      </w:r>
      <w:r w:rsidR="00F82056" w:rsidRPr="00EF1FE4">
        <w:rPr>
          <w:rFonts w:asciiTheme="minorHAnsi" w:hAnsiTheme="minorHAnsi" w:cstheme="minorHAnsi"/>
          <w:rtl/>
          <w:lang w:bidi="ar-SY"/>
        </w:rPr>
        <w:t>و</w:t>
      </w:r>
      <w:r w:rsidRPr="00EF1FE4">
        <w:rPr>
          <w:rFonts w:asciiTheme="minorHAnsi" w:hAnsiTheme="minorHAnsi" w:cstheme="minorHAnsi"/>
          <w:rtl/>
          <w:lang w:bidi="ar-SY"/>
        </w:rPr>
        <w:t>يتاح للمندوبين استخدام الشبكة المحلية اللاسلكية في أماكن القاعات الرئيسية للاجتماعات بالاتحاد. وتوجد أيضاً معلومات تفصيلية في الموقع الإلكتروني لقطاع تقييس الاتصالات (</w:t>
      </w:r>
      <w:hyperlink r:id="rId13" w:history="1">
        <w:r w:rsidRPr="00EF1FE4">
          <w:rPr>
            <w:rStyle w:val="Hyperlink"/>
            <w:rFonts w:asciiTheme="minorHAnsi" w:hAnsiTheme="minorHAnsi" w:cstheme="minorHAnsi"/>
            <w:lang w:bidi="ar-SY"/>
          </w:rPr>
          <w:t>http://www.itu.int/ITU-T/edh/faqs-support.html</w:t>
        </w:r>
      </w:hyperlink>
      <w:r w:rsidRPr="00EF1FE4">
        <w:rPr>
          <w:rFonts w:asciiTheme="minorHAnsi" w:hAnsiTheme="minorHAnsi" w:cstheme="minorHAnsi"/>
          <w:rtl/>
          <w:lang w:bidi="ar-SY"/>
        </w:rPr>
        <w:t>).</w:t>
      </w:r>
    </w:p>
    <w:p w14:paraId="22CC3EED" w14:textId="4E66508A" w:rsidR="00973B8C" w:rsidRPr="00EF1FE4" w:rsidRDefault="00973B8C" w:rsidP="00F82056">
      <w:pPr>
        <w:rPr>
          <w:rFonts w:asciiTheme="minorHAnsi" w:hAnsiTheme="minorHAnsi" w:cstheme="minorHAnsi"/>
          <w:rtl/>
          <w:lang w:bidi="ar-SY"/>
        </w:rPr>
      </w:pPr>
      <w:r w:rsidRPr="00EF1FE4">
        <w:rPr>
          <w:rFonts w:asciiTheme="minorHAnsi" w:hAnsiTheme="minorHAnsi" w:cstheme="minorHAnsi"/>
          <w:rtl/>
          <w:lang w:bidi="ar-SY"/>
        </w:rPr>
        <w:t>9</w:t>
      </w:r>
      <w:r w:rsidRPr="00EF1FE4">
        <w:rPr>
          <w:rFonts w:asciiTheme="minorHAnsi" w:hAnsiTheme="minorHAnsi" w:cstheme="minorHAnsi"/>
          <w:rtl/>
          <w:lang w:bidi="ar-SY"/>
        </w:rPr>
        <w:tab/>
      </w:r>
      <w:r w:rsidR="00F82056" w:rsidRPr="00EF1FE4">
        <w:rPr>
          <w:rFonts w:asciiTheme="minorHAnsi" w:hAnsiTheme="minorHAnsi" w:cstheme="minorHAnsi"/>
          <w:rtl/>
          <w:lang w:bidi="ar-SY"/>
        </w:rPr>
        <w:t>و</w:t>
      </w:r>
      <w:r w:rsidRPr="00EF1FE4">
        <w:rPr>
          <w:rFonts w:asciiTheme="minorHAnsi" w:hAnsiTheme="minorHAnsi" w:cstheme="minorHAnsi"/>
          <w:rtl/>
          <w:lang w:bidi="ar-SY"/>
        </w:rPr>
        <w:t xml:space="preserve">يعرض عدد من الفنادق في جنيف أسعاراً تفضيلية للمندوبين الذي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 </w:t>
      </w:r>
      <w:hyperlink r:id="rId14" w:history="1">
        <w:hyperlink r:id="rId15" w:history="1">
          <w:r w:rsidR="00F82056" w:rsidRPr="00EF1FE4">
            <w:rPr>
              <w:rStyle w:val="Hyperlink"/>
              <w:rFonts w:asciiTheme="minorHAnsi" w:hAnsiTheme="minorHAnsi" w:cstheme="minorHAnsi"/>
            </w:rPr>
            <w:t>http://itu.int/travel/</w:t>
          </w:r>
        </w:hyperlink>
        <w:r w:rsidRPr="00EF1FE4">
          <w:rPr>
            <w:rStyle w:val="Hyperlink"/>
            <w:rFonts w:asciiTheme="minorHAnsi" w:hAnsiTheme="minorHAnsi" w:cstheme="minorHAnsi"/>
            <w:rtl/>
            <w:lang w:bidi="ar-SY"/>
          </w:rPr>
          <w:t>.</w:t>
        </w:r>
      </w:hyperlink>
    </w:p>
    <w:p w14:paraId="44F54C47" w14:textId="23F2A17C" w:rsidR="00973B8C" w:rsidRPr="00EF1FE4" w:rsidRDefault="00973B8C" w:rsidP="00F82056">
      <w:pPr>
        <w:rPr>
          <w:rFonts w:asciiTheme="minorHAnsi" w:hAnsiTheme="minorHAnsi" w:cstheme="minorHAnsi"/>
          <w:spacing w:val="6"/>
          <w:rtl/>
          <w:lang w:bidi="ar-SY"/>
        </w:rPr>
      </w:pPr>
      <w:r w:rsidRPr="00EF1FE4">
        <w:rPr>
          <w:rFonts w:asciiTheme="minorHAnsi" w:hAnsiTheme="minorHAnsi" w:cstheme="minorHAnsi"/>
          <w:spacing w:val="6"/>
          <w:rtl/>
          <w:lang w:bidi="ar-SY"/>
        </w:rPr>
        <w:t>10</w:t>
      </w:r>
      <w:r w:rsidR="00F82056" w:rsidRPr="00EF1FE4">
        <w:rPr>
          <w:rFonts w:asciiTheme="minorHAnsi" w:hAnsiTheme="minorHAnsi" w:cstheme="minorHAnsi"/>
          <w:spacing w:val="6"/>
          <w:rtl/>
          <w:lang w:bidi="ar-SY"/>
        </w:rPr>
        <w:tab/>
        <w:t>ون</w:t>
      </w:r>
      <w:r w:rsidRPr="00EF1FE4">
        <w:rPr>
          <w:rFonts w:asciiTheme="minorHAnsi" w:hAnsiTheme="minorHAnsi" w:cstheme="minorHAnsi"/>
          <w:spacing w:val="6"/>
          <w:rtl/>
          <w:lang w:bidi="ar-SY"/>
        </w:rPr>
        <w:t xml:space="preserve">ود أن </w:t>
      </w:r>
      <w:r w:rsidR="00F82056" w:rsidRPr="00EF1FE4">
        <w:rPr>
          <w:rFonts w:asciiTheme="minorHAnsi" w:hAnsiTheme="minorHAnsi" w:cstheme="minorHAnsi"/>
          <w:spacing w:val="6"/>
          <w:rtl/>
          <w:lang w:bidi="ar-SY"/>
        </w:rPr>
        <w:t>ن</w:t>
      </w:r>
      <w:r w:rsidRPr="00EF1FE4">
        <w:rPr>
          <w:rFonts w:asciiTheme="minorHAnsi" w:hAnsiTheme="minorHAnsi" w:cstheme="minorHAnsi"/>
          <w:spacing w:val="6"/>
          <w:rtl/>
          <w:lang w:bidi="ar-SY"/>
        </w:rPr>
        <w:t>ذك</w:t>
      </w:r>
      <w:r w:rsidR="00751FF8" w:rsidRPr="00EF1FE4">
        <w:rPr>
          <w:rFonts w:asciiTheme="minorHAnsi" w:hAnsiTheme="minorHAnsi" w:cstheme="minorHAnsi"/>
          <w:spacing w:val="6"/>
          <w:rtl/>
          <w:lang w:bidi="ar-SY"/>
        </w:rPr>
        <w:t>ّ</w:t>
      </w:r>
      <w:r w:rsidRPr="00EF1FE4">
        <w:rPr>
          <w:rFonts w:asciiTheme="minorHAnsi" w:hAnsiTheme="minorHAnsi" w:cstheme="minorHAnsi"/>
          <w:spacing w:val="6"/>
          <w:rtl/>
          <w:lang w:bidi="ar-SY"/>
        </w:rPr>
        <w:t xml:space="preserve">ركم بأن على مواطني بعض البلدان الحصول على تأشيرة للدخول إلى سويسرا وقضاء بعض الوقت فيها. </w:t>
      </w:r>
      <w:r w:rsidRPr="00EF1FE4">
        <w:rPr>
          <w:rFonts w:asciiTheme="minorHAnsi" w:hAnsiTheme="minorHAnsi" w:cstheme="minorHAnsi"/>
          <w:b/>
          <w:bCs/>
          <w:spacing w:val="6"/>
          <w:rtl/>
          <w:lang w:bidi="ar-SY"/>
        </w:rPr>
        <w:t xml:space="preserve">ويجب طلب التأشيرة قبل </w:t>
      </w:r>
      <w:r w:rsidR="00F82056" w:rsidRPr="00EF1FE4">
        <w:rPr>
          <w:rFonts w:asciiTheme="minorHAnsi" w:hAnsiTheme="minorHAnsi" w:cstheme="minorHAnsi"/>
          <w:b/>
          <w:bCs/>
          <w:spacing w:val="6"/>
          <w:rtl/>
          <w:lang w:bidi="ar-SY"/>
        </w:rPr>
        <w:t xml:space="preserve">تاريخ بدء ورشة العمل بأربعة </w:t>
      </w:r>
      <w:r w:rsidRPr="00EF1FE4">
        <w:rPr>
          <w:rFonts w:asciiTheme="minorHAnsi" w:hAnsiTheme="minorHAnsi" w:cstheme="minorHAnsi"/>
          <w:b/>
          <w:bCs/>
          <w:spacing w:val="6"/>
          <w:rtl/>
          <w:lang w:bidi="ar-SY"/>
        </w:rPr>
        <w:t>أسابيع على</w:t>
      </w:r>
      <w:r w:rsidRPr="00EF1FE4">
        <w:rPr>
          <w:rFonts w:asciiTheme="minorHAnsi" w:hAnsiTheme="minorHAnsi" w:cstheme="minorHAnsi"/>
          <w:spacing w:val="6"/>
          <w:rtl/>
          <w:lang w:bidi="ar-SY"/>
        </w:rPr>
        <w:t xml:space="preserve"> </w:t>
      </w:r>
      <w:r w:rsidRPr="00EF1FE4">
        <w:rPr>
          <w:rFonts w:asciiTheme="minorHAnsi" w:hAnsiTheme="minorHAnsi" w:cstheme="minorHAnsi"/>
          <w:b/>
          <w:bCs/>
          <w:spacing w:val="6"/>
          <w:rtl/>
          <w:lang w:bidi="ar-SY"/>
        </w:rPr>
        <w:t>الأقل</w:t>
      </w:r>
      <w:r w:rsidRPr="00EF1FE4">
        <w:rPr>
          <w:rFonts w:asciiTheme="minorHAnsi" w:hAnsiTheme="minorHAnsi" w:cstheme="minorHAnsi"/>
          <w:spacing w:val="6"/>
          <w:rtl/>
          <w:lang w:bidi="ar-SY"/>
        </w:rPr>
        <w:t>، والحصول عليها من المكتب (السفارة أو القنصلية) الذي يمث</w:t>
      </w:r>
      <w:r w:rsidR="00751FF8" w:rsidRPr="00EF1FE4">
        <w:rPr>
          <w:rFonts w:asciiTheme="minorHAnsi" w:hAnsiTheme="minorHAnsi" w:cstheme="minorHAnsi"/>
          <w:spacing w:val="6"/>
          <w:rtl/>
          <w:lang w:bidi="ar-SY"/>
        </w:rPr>
        <w:t>ّ</w:t>
      </w:r>
      <w:r w:rsidRPr="00EF1FE4">
        <w:rPr>
          <w:rFonts w:asciiTheme="minorHAnsi" w:hAnsiTheme="minorHAnsi" w:cstheme="minorHAnsi"/>
          <w:spacing w:val="6"/>
          <w:rtl/>
          <w:lang w:bidi="ar-SY"/>
        </w:rPr>
        <w:t>ل سويسرا في بلدكم، أو من أقرب مكتب من بلد المغادرة في حالة عدم وجود مثل هذا المكتب في بلدكم.</w:t>
      </w:r>
    </w:p>
    <w:p w14:paraId="0C403BC2" w14:textId="74C92B9B" w:rsidR="00973B8C" w:rsidRPr="00EF1FE4" w:rsidRDefault="00973B8C" w:rsidP="00062446">
      <w:pPr>
        <w:keepNext/>
        <w:keepLines/>
        <w:rPr>
          <w:rFonts w:asciiTheme="minorHAnsi" w:hAnsiTheme="minorHAnsi" w:cstheme="minorHAnsi"/>
          <w:lang w:bidi="ar-SY"/>
        </w:rPr>
      </w:pPr>
      <w:r w:rsidRPr="00EF1FE4">
        <w:rPr>
          <w:rFonts w:asciiTheme="minorHAnsi" w:hAnsiTheme="minorHAnsi" w:cstheme="minorHAnsi"/>
          <w:rtl/>
          <w:lang w:bidi="ar-SY"/>
        </w:rPr>
        <w:t>وإذا واجه</w:t>
      </w:r>
      <w:r w:rsidR="00F82056" w:rsidRPr="00EF1FE4">
        <w:rPr>
          <w:rFonts w:asciiTheme="minorHAnsi" w:hAnsiTheme="minorHAnsi" w:cstheme="minorHAnsi"/>
          <w:rtl/>
          <w:lang w:bidi="ar-SY"/>
        </w:rPr>
        <w:t>ت</w:t>
      </w:r>
      <w:r w:rsidRPr="00EF1FE4">
        <w:rPr>
          <w:rFonts w:asciiTheme="minorHAnsi" w:hAnsiTheme="minorHAnsi" w:cstheme="minorHAnsi"/>
          <w:rtl/>
          <w:lang w:bidi="ar-SY"/>
        </w:rPr>
        <w:t xml:space="preserve"> </w:t>
      </w:r>
      <w:r w:rsidRPr="00EF1FE4">
        <w:rPr>
          <w:rFonts w:asciiTheme="minorHAnsi" w:hAnsiTheme="minorHAnsi" w:cstheme="minorHAnsi"/>
          <w:b/>
          <w:bCs/>
          <w:rtl/>
          <w:lang w:bidi="ar-SY"/>
        </w:rPr>
        <w:t>ال</w:t>
      </w:r>
      <w:r w:rsidR="00751FF8" w:rsidRPr="00EF1FE4">
        <w:rPr>
          <w:rFonts w:asciiTheme="minorHAnsi" w:hAnsiTheme="minorHAnsi" w:cstheme="minorHAnsi"/>
          <w:b/>
          <w:bCs/>
          <w:rtl/>
          <w:lang w:bidi="ar-SY"/>
        </w:rPr>
        <w:t xml:space="preserve">دول الأعضاء </w:t>
      </w:r>
      <w:r w:rsidR="00D80C20" w:rsidRPr="00EF1FE4">
        <w:rPr>
          <w:rFonts w:asciiTheme="minorHAnsi" w:hAnsiTheme="minorHAnsi" w:cstheme="minorHAnsi"/>
          <w:b/>
          <w:bCs/>
          <w:rtl/>
          <w:lang w:bidi="ar-SY"/>
        </w:rPr>
        <w:t xml:space="preserve">في </w:t>
      </w:r>
      <w:proofErr w:type="gramStart"/>
      <w:r w:rsidR="00D80C20" w:rsidRPr="00EF1FE4">
        <w:rPr>
          <w:rFonts w:asciiTheme="minorHAnsi" w:hAnsiTheme="minorHAnsi" w:cstheme="minorHAnsi"/>
          <w:b/>
          <w:bCs/>
          <w:rtl/>
          <w:lang w:bidi="ar-SY"/>
        </w:rPr>
        <w:t>الاتحاد</w:t>
      </w:r>
      <w:proofErr w:type="gramEnd"/>
      <w:r w:rsidR="00D80C20" w:rsidRPr="00EF1FE4">
        <w:rPr>
          <w:rFonts w:asciiTheme="minorHAnsi" w:hAnsiTheme="minorHAnsi" w:cstheme="minorHAnsi"/>
          <w:b/>
          <w:bCs/>
          <w:rtl/>
          <w:lang w:bidi="ar-SY"/>
        </w:rPr>
        <w:t xml:space="preserve"> أو</w:t>
      </w:r>
      <w:r w:rsidR="00751FF8" w:rsidRPr="00EF1FE4">
        <w:rPr>
          <w:rFonts w:asciiTheme="minorHAnsi" w:hAnsiTheme="minorHAnsi" w:cstheme="minorHAnsi"/>
          <w:b/>
          <w:bCs/>
          <w:rtl/>
          <w:lang w:bidi="ar-SY"/>
        </w:rPr>
        <w:t xml:space="preserve"> أعضاء </w:t>
      </w:r>
      <w:r w:rsidR="00F1514B" w:rsidRPr="00EF1FE4">
        <w:rPr>
          <w:rFonts w:asciiTheme="minorHAnsi" w:hAnsiTheme="minorHAnsi" w:cstheme="minorHAnsi"/>
          <w:b/>
          <w:bCs/>
          <w:rtl/>
          <w:lang w:bidi="ar-SY"/>
        </w:rPr>
        <w:t>القطاعات</w:t>
      </w:r>
      <w:r w:rsidR="00751FF8" w:rsidRPr="00EF1FE4">
        <w:rPr>
          <w:rFonts w:asciiTheme="minorHAnsi" w:hAnsiTheme="minorHAnsi" w:cstheme="minorHAnsi"/>
          <w:b/>
          <w:bCs/>
          <w:rtl/>
          <w:lang w:bidi="ar-SY"/>
        </w:rPr>
        <w:t xml:space="preserve"> </w:t>
      </w:r>
      <w:r w:rsidRPr="00EF1FE4">
        <w:rPr>
          <w:rFonts w:asciiTheme="minorHAnsi" w:hAnsiTheme="minorHAnsi" w:cstheme="minorHAnsi"/>
          <w:b/>
          <w:bCs/>
          <w:rtl/>
          <w:lang w:bidi="ar-SY"/>
        </w:rPr>
        <w:t>أو المنتسبون أو أعضاء الهيئات الأكاديمية</w:t>
      </w:r>
      <w:r w:rsidRPr="00EF1FE4">
        <w:rPr>
          <w:rFonts w:asciiTheme="minorHAnsi" w:hAnsiTheme="minorHAnsi" w:cstheme="minorHAnsi"/>
          <w:rtl/>
          <w:lang w:bidi="ar-SY"/>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 </w:t>
      </w:r>
      <w:r w:rsidRPr="00EF1FE4">
        <w:rPr>
          <w:rFonts w:asciiTheme="minorHAnsi" w:hAnsiTheme="minorHAnsi" w:cstheme="minorHAnsi"/>
          <w:b/>
          <w:bCs/>
          <w:rtl/>
          <w:lang w:bidi="ar-SY"/>
        </w:rPr>
        <w:t>بأربعة أسابيع</w:t>
      </w:r>
      <w:r w:rsidRPr="00EF1FE4">
        <w:rPr>
          <w:rFonts w:asciiTheme="minorHAnsi" w:hAnsiTheme="minorHAnsi" w:cstheme="minorHAnsi"/>
          <w:rtl/>
          <w:lang w:bidi="ar-SY"/>
        </w:rPr>
        <w:t>. وينبغي تقديم أي طلب من هذا القبيل بوضع علامة في المربع المناسب في استمارة التسجيل قبل انعقاد الحدث بمدة لا تقل عن أربعة أسابيع. وينبغي إرسال الطلبات إلى قسم السفر في الاتحاد (</w:t>
      </w:r>
      <w:hyperlink r:id="rId16" w:history="1">
        <w:r w:rsidRPr="00EF1FE4">
          <w:rPr>
            <w:rStyle w:val="Hyperlink"/>
            <w:rFonts w:asciiTheme="minorHAnsi" w:hAnsiTheme="minorHAnsi" w:cstheme="minorHAnsi"/>
          </w:rPr>
          <w:t>travel@itu.int</w:t>
        </w:r>
      </w:hyperlink>
      <w:r w:rsidRPr="00EF1FE4">
        <w:rPr>
          <w:rFonts w:asciiTheme="minorHAnsi" w:hAnsiTheme="minorHAnsi" w:cstheme="minorHAnsi"/>
          <w:rtl/>
          <w:lang w:bidi="ar-SY"/>
        </w:rPr>
        <w:t>) حاملة عبارة "دعم طلب التأشيرة".</w:t>
      </w:r>
    </w:p>
    <w:p w14:paraId="14AAD4E4" w14:textId="77777777" w:rsidR="00E84438" w:rsidRPr="00EF1FE4" w:rsidRDefault="00E84438" w:rsidP="00062446">
      <w:pPr>
        <w:keepNext/>
        <w:keepLines/>
        <w:spacing w:before="240"/>
        <w:ind w:left="-57"/>
        <w:jc w:val="left"/>
        <w:rPr>
          <w:rFonts w:asciiTheme="minorHAnsi" w:hAnsiTheme="minorHAnsi" w:cstheme="minorHAnsi"/>
          <w:rtl/>
          <w:lang w:bidi="ar-EG"/>
        </w:rPr>
      </w:pPr>
      <w:r w:rsidRPr="00EF1FE4">
        <w:rPr>
          <w:rFonts w:asciiTheme="minorHAnsi" w:hAnsiTheme="minorHAnsi" w:cstheme="minorHAnsi"/>
          <w:rtl/>
          <w:lang w:bidi="ar-EG"/>
        </w:rPr>
        <w:t>وتفضلوا بقبول فائق التقدير والاحترام.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06018" w:rsidRPr="00EF1FE4" w14:paraId="3403AC08" w14:textId="77777777" w:rsidTr="00062446">
        <w:tc>
          <w:tcPr>
            <w:tcW w:w="4814" w:type="dxa"/>
          </w:tcPr>
          <w:p w14:paraId="4F72275E" w14:textId="24B7E8B0" w:rsidR="00506018" w:rsidRPr="00EF1FE4" w:rsidRDefault="00D60ADF" w:rsidP="00062446">
            <w:pPr>
              <w:keepNext/>
              <w:keepLines/>
              <w:spacing w:before="720" w:after="720"/>
              <w:jc w:val="left"/>
              <w:rPr>
                <w:rFonts w:asciiTheme="minorHAnsi" w:hAnsiTheme="minorHAnsi" w:cstheme="minorHAnsi"/>
                <w:rtl/>
              </w:rPr>
            </w:pPr>
            <w:r>
              <w:rPr>
                <w:rFonts w:asciiTheme="minorHAnsi" w:hAnsiTheme="minorHAnsi" w:cstheme="minorHAnsi"/>
                <w:noProof/>
                <w:rtl/>
                <w:lang w:val="ar-SA"/>
              </w:rPr>
              <w:drawing>
                <wp:anchor distT="0" distB="0" distL="114300" distR="114300" simplePos="0" relativeHeight="251658240" behindDoc="1" locked="0" layoutInCell="1" allowOverlap="1" wp14:anchorId="3E667749" wp14:editId="65B9DFA1">
                  <wp:simplePos x="0" y="0"/>
                  <wp:positionH relativeFrom="column">
                    <wp:posOffset>2243455</wp:posOffset>
                  </wp:positionH>
                  <wp:positionV relativeFrom="paragraph">
                    <wp:posOffset>300990</wp:posOffset>
                  </wp:positionV>
                  <wp:extent cx="663575" cy="459398"/>
                  <wp:effectExtent l="0" t="0" r="3175"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663575" cy="459398"/>
                          </a:xfrm>
                          <a:prstGeom prst="rect">
                            <a:avLst/>
                          </a:prstGeom>
                        </pic:spPr>
                      </pic:pic>
                    </a:graphicData>
                  </a:graphic>
                  <wp14:sizeRelH relativeFrom="margin">
                    <wp14:pctWidth>0</wp14:pctWidth>
                  </wp14:sizeRelH>
                  <wp14:sizeRelV relativeFrom="margin">
                    <wp14:pctHeight>0</wp14:pctHeight>
                  </wp14:sizeRelV>
                </wp:anchor>
              </w:drawing>
            </w:r>
          </w:p>
        </w:tc>
        <w:tc>
          <w:tcPr>
            <w:tcW w:w="4815" w:type="dxa"/>
          </w:tcPr>
          <w:p w14:paraId="695D1BE2" w14:textId="70FD570B" w:rsidR="00506018" w:rsidRPr="00EF1FE4" w:rsidRDefault="00506018" w:rsidP="00062446">
            <w:pPr>
              <w:keepNext/>
              <w:keepLines/>
              <w:spacing w:before="720" w:after="720"/>
              <w:jc w:val="left"/>
              <w:rPr>
                <w:rFonts w:asciiTheme="minorHAnsi" w:hAnsiTheme="minorHAnsi" w:cstheme="minorHAnsi"/>
                <w:rtl/>
              </w:rPr>
            </w:pPr>
          </w:p>
        </w:tc>
      </w:tr>
      <w:tr w:rsidR="00506018" w:rsidRPr="00EF1FE4" w14:paraId="00DD3AAE" w14:textId="77777777" w:rsidTr="00062446">
        <w:tc>
          <w:tcPr>
            <w:tcW w:w="4814" w:type="dxa"/>
          </w:tcPr>
          <w:p w14:paraId="0BEB7D36" w14:textId="6DA7025F" w:rsidR="00506018" w:rsidRPr="00EF1FE4" w:rsidRDefault="00506018" w:rsidP="00506018">
            <w:pPr>
              <w:jc w:val="left"/>
              <w:rPr>
                <w:rFonts w:asciiTheme="minorHAnsi" w:hAnsiTheme="minorHAnsi" w:cstheme="minorHAnsi"/>
              </w:rPr>
            </w:pPr>
            <w:r w:rsidRPr="00EF1FE4">
              <w:rPr>
                <w:rFonts w:asciiTheme="minorHAnsi" w:hAnsiTheme="minorHAnsi" w:cstheme="minorHAnsi"/>
                <w:rtl/>
                <w:lang w:bidi="ar-SY"/>
              </w:rPr>
              <w:t>تشيساب لي</w:t>
            </w:r>
            <w:r w:rsidRPr="00EF1FE4">
              <w:rPr>
                <w:rFonts w:asciiTheme="minorHAnsi" w:hAnsiTheme="minorHAnsi" w:cstheme="minorHAnsi"/>
                <w:rtl/>
                <w:lang w:bidi="ar-SY"/>
              </w:rPr>
              <w:br/>
              <w:t>مدير مكتب تقييس الاتصالات</w:t>
            </w:r>
            <w:r w:rsidR="00F1514B" w:rsidRPr="00EF1FE4">
              <w:rPr>
                <w:rFonts w:asciiTheme="minorHAnsi" w:hAnsiTheme="minorHAnsi" w:cstheme="minorHAnsi"/>
                <w:rtl/>
                <w:lang w:bidi="ar-SY"/>
              </w:rPr>
              <w:t xml:space="preserve"> </w:t>
            </w:r>
            <w:r w:rsidR="00F1514B" w:rsidRPr="00EF1FE4">
              <w:rPr>
                <w:rFonts w:asciiTheme="minorHAnsi" w:hAnsiTheme="minorHAnsi" w:cstheme="minorHAnsi"/>
                <w:lang w:bidi="ar-SY"/>
              </w:rPr>
              <w:t>(TSB)</w:t>
            </w:r>
          </w:p>
        </w:tc>
        <w:tc>
          <w:tcPr>
            <w:tcW w:w="4815" w:type="dxa"/>
          </w:tcPr>
          <w:p w14:paraId="642F2CF9" w14:textId="37D69925" w:rsidR="00506018" w:rsidRPr="00EF1FE4" w:rsidRDefault="006E14F7" w:rsidP="00BF611D">
            <w:pPr>
              <w:rPr>
                <w:rFonts w:asciiTheme="minorHAnsi" w:hAnsiTheme="minorHAnsi" w:cstheme="minorHAnsi"/>
                <w:rtl/>
                <w:lang w:bidi="ar-EG"/>
              </w:rPr>
            </w:pPr>
            <w:r w:rsidRPr="00EF1FE4">
              <w:rPr>
                <w:rFonts w:asciiTheme="minorHAnsi" w:hAnsiTheme="minorHAnsi" w:cstheme="minorHAnsi"/>
                <w:rtl/>
                <w:lang w:bidi="ar-EG"/>
              </w:rPr>
              <w:t>دورين بوغدان-مارتن</w:t>
            </w:r>
            <w:r w:rsidR="00BF611D" w:rsidRPr="00EF1FE4">
              <w:rPr>
                <w:rFonts w:asciiTheme="minorHAnsi" w:hAnsiTheme="minorHAnsi" w:cstheme="minorHAnsi"/>
                <w:rtl/>
                <w:lang w:bidi="ar-EG"/>
              </w:rPr>
              <w:tab/>
            </w:r>
            <w:r w:rsidR="00BF611D" w:rsidRPr="00EF1FE4">
              <w:rPr>
                <w:rFonts w:asciiTheme="minorHAnsi" w:hAnsiTheme="minorHAnsi" w:cstheme="minorHAnsi"/>
                <w:rtl/>
                <w:lang w:bidi="ar-EG"/>
              </w:rPr>
              <w:br/>
            </w:r>
            <w:r w:rsidRPr="00EF1FE4">
              <w:rPr>
                <w:rFonts w:asciiTheme="minorHAnsi" w:hAnsiTheme="minorHAnsi" w:cstheme="minorHAnsi"/>
                <w:rtl/>
                <w:lang w:bidi="ar-EG"/>
              </w:rPr>
              <w:t>مديرة مكتب تنمية الاتصالات (</w:t>
            </w:r>
            <w:r w:rsidRPr="00EF1FE4">
              <w:rPr>
                <w:rFonts w:asciiTheme="minorHAnsi" w:hAnsiTheme="minorHAnsi" w:cstheme="minorHAnsi"/>
                <w:lang w:bidi="ar-EG"/>
              </w:rPr>
              <w:t>BDT</w:t>
            </w:r>
            <w:r w:rsidRPr="00EF1FE4">
              <w:rPr>
                <w:rFonts w:asciiTheme="minorHAnsi" w:hAnsiTheme="minorHAnsi" w:cstheme="minorHAnsi"/>
                <w:rtl/>
                <w:lang w:bidi="ar-EG"/>
              </w:rPr>
              <w:t>)</w:t>
            </w:r>
          </w:p>
        </w:tc>
      </w:tr>
    </w:tbl>
    <w:p w14:paraId="27FC4414" w14:textId="1871F807" w:rsidR="00506018" w:rsidRPr="00EF1FE4" w:rsidRDefault="00506018" w:rsidP="00506018">
      <w:pPr>
        <w:jc w:val="left"/>
        <w:rPr>
          <w:rFonts w:asciiTheme="minorHAnsi" w:hAnsiTheme="minorHAnsi" w:cstheme="minorHAnsi"/>
          <w:rtl/>
        </w:rPr>
      </w:pPr>
      <w:r w:rsidRPr="00EF1FE4">
        <w:rPr>
          <w:rFonts w:asciiTheme="minorHAnsi" w:hAnsiTheme="minorHAnsi" w:cstheme="minorHAnsi"/>
          <w:rtl/>
        </w:rPr>
        <w:br w:type="page"/>
      </w:r>
    </w:p>
    <w:p w14:paraId="5611D5A5" w14:textId="738DB9B3" w:rsidR="00506018" w:rsidRPr="00EF1FE4" w:rsidRDefault="006E14F7" w:rsidP="00234652">
      <w:pPr>
        <w:pStyle w:val="AnnexNo"/>
        <w:rPr>
          <w:rFonts w:asciiTheme="minorHAnsi" w:hAnsiTheme="minorHAnsi" w:cstheme="minorHAnsi"/>
          <w:b/>
          <w:bCs/>
          <w:sz w:val="22"/>
          <w:szCs w:val="22"/>
        </w:rPr>
      </w:pPr>
      <w:r w:rsidRPr="00EF1FE4">
        <w:rPr>
          <w:rFonts w:asciiTheme="minorHAnsi" w:hAnsiTheme="minorHAnsi" w:cstheme="minorHAnsi"/>
          <w:b/>
          <w:bCs/>
          <w:sz w:val="22"/>
          <w:szCs w:val="22"/>
        </w:rPr>
        <w:lastRenderedPageBreak/>
        <w:t>Annex – Outline of workshop sessions</w:t>
      </w:r>
    </w:p>
    <w:p w14:paraId="053DF815" w14:textId="77777777" w:rsidR="00506018" w:rsidRPr="00EF1FE4" w:rsidRDefault="00506018" w:rsidP="006E14F7">
      <w:pPr>
        <w:bidi w:val="0"/>
        <w:spacing w:before="240" w:after="120"/>
        <w:rPr>
          <w:rFonts w:asciiTheme="minorHAnsi" w:hAnsiTheme="minorHAnsi" w:cstheme="minorHAnsi"/>
        </w:rPr>
      </w:pPr>
      <w:r w:rsidRPr="00EF1FE4">
        <w:rPr>
          <w:rFonts w:asciiTheme="minorHAnsi" w:hAnsiTheme="minorHAnsi" w:cstheme="minorHAnsi"/>
        </w:rPr>
        <w:t xml:space="preserve">In total, nine sessions (subject to change) are planned during the workshop. For any updates, please see webpage at </w:t>
      </w:r>
      <w:hyperlink r:id="rId18" w:history="1">
        <w:r w:rsidRPr="00EF1FE4">
          <w:rPr>
            <w:rStyle w:val="Hyperlink"/>
            <w:rFonts w:asciiTheme="minorHAnsi" w:hAnsiTheme="minorHAnsi" w:cstheme="minorHAnsi"/>
          </w:rPr>
          <w:t>https://www.itu.int/en/ITU-T/Workshops-and-Seminars/2022/1103/Pages/default.aspx</w:t>
        </w:r>
      </w:hyperlink>
    </w:p>
    <w:p w14:paraId="3562E8A4" w14:textId="77777777" w:rsidR="00506018" w:rsidRPr="00EF1FE4" w:rsidRDefault="00506018" w:rsidP="006E14F7">
      <w:pPr>
        <w:bidi w:val="0"/>
        <w:spacing w:before="240" w:after="120"/>
        <w:rPr>
          <w:rFonts w:asciiTheme="minorHAnsi" w:hAnsiTheme="minorHAnsi" w:cstheme="minorHAnsi"/>
          <w:b/>
          <w:bCs/>
        </w:rPr>
      </w:pPr>
      <w:r w:rsidRPr="00EF1FE4">
        <w:rPr>
          <w:rFonts w:asciiTheme="minorHAnsi" w:hAnsiTheme="minorHAnsi" w:cstheme="minorHAnsi"/>
          <w:b/>
          <w:bCs/>
        </w:rPr>
        <w:t>Session 1 – Opening</w:t>
      </w:r>
    </w:p>
    <w:p w14:paraId="2E839918" w14:textId="77777777" w:rsidR="00506018" w:rsidRPr="00EF1FE4" w:rsidRDefault="00506018" w:rsidP="006E14F7">
      <w:pPr>
        <w:bidi w:val="0"/>
        <w:spacing w:before="240" w:after="120"/>
        <w:rPr>
          <w:rFonts w:asciiTheme="minorHAnsi" w:hAnsiTheme="minorHAnsi" w:cstheme="minorHAnsi"/>
          <w:b/>
          <w:bCs/>
        </w:rPr>
      </w:pPr>
      <w:r w:rsidRPr="00EF1FE4">
        <w:rPr>
          <w:rFonts w:asciiTheme="minorHAnsi" w:hAnsiTheme="minorHAnsi" w:cstheme="minorHAnsi"/>
          <w:b/>
          <w:bCs/>
        </w:rPr>
        <w:t>Session 2 – Introduction to ITU-T Study Group 3</w:t>
      </w:r>
    </w:p>
    <w:p w14:paraId="09950C6F" w14:textId="77777777" w:rsidR="00506018" w:rsidRPr="00EF1FE4" w:rsidRDefault="00506018" w:rsidP="006E14F7">
      <w:pPr>
        <w:bidi w:val="0"/>
        <w:spacing w:before="240" w:after="120"/>
        <w:rPr>
          <w:rFonts w:asciiTheme="minorHAnsi" w:hAnsiTheme="minorHAnsi" w:cstheme="minorHAnsi"/>
          <w:b/>
          <w:bCs/>
        </w:rPr>
      </w:pPr>
      <w:r w:rsidRPr="00EF1FE4">
        <w:rPr>
          <w:rFonts w:asciiTheme="minorHAnsi" w:hAnsiTheme="minorHAnsi" w:cstheme="minorHAnsi"/>
          <w:b/>
          <w:bCs/>
        </w:rPr>
        <w:t>Session 3 – Industry’s perspectives on the economic and fiscal landscape</w:t>
      </w:r>
    </w:p>
    <w:p w14:paraId="360AA237"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In recent years, user demand has driven outstanding growth of data and applications over telecommunication infrastructure, which broadens options of virtual interaction, content consumption and remote communication for people all over the globe.</w:t>
      </w:r>
    </w:p>
    <w:p w14:paraId="50FDF20B"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 xml:space="preserve">With the increasing presence of these new digital firms, issues arise on the economic impacts of new fiscal </w:t>
      </w:r>
      <w:proofErr w:type="gramStart"/>
      <w:r w:rsidRPr="00EF1FE4">
        <w:rPr>
          <w:rFonts w:asciiTheme="minorHAnsi" w:hAnsiTheme="minorHAnsi" w:cstheme="minorHAnsi"/>
        </w:rPr>
        <w:t>instruments;</w:t>
      </w:r>
      <w:proofErr w:type="gramEnd"/>
      <w:r w:rsidRPr="00EF1FE4">
        <w:rPr>
          <w:rFonts w:asciiTheme="minorHAnsi" w:hAnsiTheme="minorHAnsi" w:cstheme="minorHAnsi"/>
        </w:rPr>
        <w:t xml:space="preserve"> for instance, on investments, forms of cooperation between traditional telecommunication operators and OTT application service providers, among others.</w:t>
      </w:r>
    </w:p>
    <w:p w14:paraId="393B7693"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 xml:space="preserve">Some parts of the telecommunications industry have proposed to apply the “sending-party-network-pays system” (SPNP) and have called for some form of an Internet usage/traffic tax, </w:t>
      </w:r>
      <w:proofErr w:type="gramStart"/>
      <w:r w:rsidRPr="00EF1FE4">
        <w:rPr>
          <w:rFonts w:asciiTheme="minorHAnsi" w:hAnsiTheme="minorHAnsi" w:cstheme="minorHAnsi"/>
        </w:rPr>
        <w:t>levies</w:t>
      </w:r>
      <w:proofErr w:type="gramEnd"/>
      <w:r w:rsidRPr="00EF1FE4">
        <w:rPr>
          <w:rFonts w:asciiTheme="minorHAnsi" w:hAnsiTheme="minorHAnsi" w:cstheme="minorHAnsi"/>
        </w:rPr>
        <w:t xml:space="preserve"> or fees on “big technology content and service provider companies” and ISPs to help provide cost recovery for telecom service providers’ investments. However, some parts of the wider Internet ecosystem have cautioned that such approaches could be counterproductive.</w:t>
      </w:r>
    </w:p>
    <w:p w14:paraId="3940B26E"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This session aims to gather the various industry perspectives on the economic, regulatory, and fiscal landscape in which telecom operators and content and application providers operate.</w:t>
      </w:r>
    </w:p>
    <w:p w14:paraId="0209F550" w14:textId="77777777" w:rsidR="00506018" w:rsidRPr="00EF1FE4" w:rsidRDefault="00506018" w:rsidP="006E14F7">
      <w:pPr>
        <w:bidi w:val="0"/>
        <w:spacing w:before="240" w:after="120"/>
        <w:rPr>
          <w:rFonts w:asciiTheme="minorHAnsi" w:hAnsiTheme="minorHAnsi" w:cstheme="minorHAnsi"/>
          <w:b/>
          <w:bCs/>
        </w:rPr>
      </w:pPr>
      <w:r w:rsidRPr="00EF1FE4">
        <w:rPr>
          <w:rFonts w:asciiTheme="minorHAnsi" w:hAnsiTheme="minorHAnsi" w:cstheme="minorHAnsi"/>
          <w:b/>
          <w:bCs/>
        </w:rPr>
        <w:t>Session 4 – ICT market impacts of international tax agreements</w:t>
      </w:r>
    </w:p>
    <w:p w14:paraId="5314BF40" w14:textId="77777777" w:rsidR="00506018" w:rsidRPr="00EF1FE4" w:rsidRDefault="00506018" w:rsidP="006E14F7">
      <w:pPr>
        <w:bidi w:val="0"/>
        <w:spacing w:after="120"/>
        <w:ind w:left="720"/>
        <w:rPr>
          <w:rFonts w:asciiTheme="minorHAnsi" w:hAnsiTheme="minorHAnsi" w:cstheme="minorHAnsi"/>
        </w:rPr>
      </w:pPr>
      <w:r w:rsidRPr="00EF1FE4">
        <w:rPr>
          <w:rFonts w:asciiTheme="minorHAnsi" w:hAnsiTheme="minorHAnsi" w:cstheme="minorHAnsi"/>
        </w:rPr>
        <w:t xml:space="preserve">As investments around the world advance towards globalized intangible digital service-based assets, so do tax systems </w:t>
      </w:r>
      <w:proofErr w:type="gramStart"/>
      <w:r w:rsidRPr="00EF1FE4">
        <w:rPr>
          <w:rFonts w:asciiTheme="minorHAnsi" w:hAnsiTheme="minorHAnsi" w:cstheme="minorHAnsi"/>
        </w:rPr>
        <w:t>in order to</w:t>
      </w:r>
      <w:proofErr w:type="gramEnd"/>
      <w:r w:rsidRPr="00EF1FE4">
        <w:rPr>
          <w:rFonts w:asciiTheme="minorHAnsi" w:hAnsiTheme="minorHAnsi" w:cstheme="minorHAnsi"/>
        </w:rPr>
        <w:t xml:space="preserve"> adapt to the 21st century production structure. Given the importance of cross-border transactions, a commitment for international coordination on taxation was made through the OECD/G20 Inclusive Framework on Base Erosion and Profit Shifting (BEPS).</w:t>
      </w:r>
    </w:p>
    <w:p w14:paraId="5DF9D524" w14:textId="77777777" w:rsidR="00506018" w:rsidRPr="00EF1FE4" w:rsidRDefault="00506018" w:rsidP="006E14F7">
      <w:pPr>
        <w:bidi w:val="0"/>
        <w:spacing w:after="120"/>
        <w:ind w:left="720"/>
        <w:rPr>
          <w:rFonts w:asciiTheme="minorHAnsi" w:hAnsiTheme="minorHAnsi" w:cstheme="minorHAnsi"/>
        </w:rPr>
      </w:pPr>
      <w:r w:rsidRPr="00EF1FE4">
        <w:rPr>
          <w:rFonts w:asciiTheme="minorHAnsi" w:hAnsiTheme="minorHAnsi" w:cstheme="minorHAnsi"/>
        </w:rPr>
        <w:t xml:space="preserve">The OECD/G20 Inclusive Framework on BEPS has agreed a two-pillar solution to address the tax challenges arising from the </w:t>
      </w:r>
      <w:proofErr w:type="spellStart"/>
      <w:r w:rsidRPr="00EF1FE4">
        <w:rPr>
          <w:rFonts w:asciiTheme="minorHAnsi" w:hAnsiTheme="minorHAnsi" w:cstheme="minorHAnsi"/>
        </w:rPr>
        <w:t>digitalisation</w:t>
      </w:r>
      <w:proofErr w:type="spellEnd"/>
      <w:r w:rsidRPr="00EF1FE4">
        <w:rPr>
          <w:rFonts w:asciiTheme="minorHAnsi" w:hAnsiTheme="minorHAnsi" w:cstheme="minorHAnsi"/>
        </w:rPr>
        <w:t xml:space="preserve"> of the economy. Agreed by more than 135 countries and jurisdictions, representing more than 90 per cent of global GDP, this landmark deal represents a historic achievement towards a more stable and fairer international tax system.</w:t>
      </w:r>
    </w:p>
    <w:p w14:paraId="54729D38" w14:textId="77777777" w:rsidR="00506018" w:rsidRPr="00EF1FE4" w:rsidRDefault="00506018" w:rsidP="006E14F7">
      <w:pPr>
        <w:pStyle w:val="ListParagraph"/>
        <w:bidi w:val="0"/>
        <w:spacing w:after="120"/>
        <w:rPr>
          <w:rFonts w:asciiTheme="minorHAnsi" w:hAnsiTheme="minorHAnsi" w:cstheme="minorHAnsi"/>
        </w:rPr>
      </w:pPr>
      <w:r w:rsidRPr="00EF1FE4">
        <w:rPr>
          <w:rFonts w:asciiTheme="minorHAnsi" w:hAnsiTheme="minorHAnsi" w:cstheme="minorHAnsi"/>
        </w:rPr>
        <w:t>This session aims to provide participants with a thorough understanding of the efforts undertaken in this initiative in terms of the tax challenges arising from the digitalization of the economy such as on automated digital services and on multinational enterprise business taxation. It also has the objective of broadening the knowledge on relevant aspects which relate to the ICT and telecommunication sector, as well as to possible outcomes on companies that operate over telecommunication infrastructure.</w:t>
      </w:r>
    </w:p>
    <w:p w14:paraId="4C0650B3" w14:textId="77777777" w:rsidR="00506018" w:rsidRPr="00EF1FE4" w:rsidRDefault="00506018" w:rsidP="006E14F7">
      <w:pPr>
        <w:bidi w:val="0"/>
        <w:spacing w:before="240" w:after="120"/>
        <w:rPr>
          <w:rFonts w:asciiTheme="minorHAnsi" w:hAnsiTheme="minorHAnsi" w:cstheme="minorHAnsi"/>
          <w:b/>
        </w:rPr>
      </w:pPr>
      <w:r w:rsidRPr="00EF1FE4">
        <w:rPr>
          <w:rFonts w:asciiTheme="minorHAnsi" w:hAnsiTheme="minorHAnsi" w:cstheme="minorHAnsi"/>
          <w:b/>
        </w:rPr>
        <w:t>Session 5 – International aspects, and multistakeholder impacts of established and new fiscal instruments</w:t>
      </w:r>
    </w:p>
    <w:p w14:paraId="2952B753" w14:textId="77777777" w:rsidR="00506018" w:rsidRPr="00EF1FE4" w:rsidRDefault="00506018" w:rsidP="006E14F7">
      <w:pPr>
        <w:bidi w:val="0"/>
        <w:spacing w:after="120"/>
        <w:ind w:left="720"/>
        <w:rPr>
          <w:rFonts w:asciiTheme="minorHAnsi" w:hAnsiTheme="minorHAnsi" w:cstheme="minorHAnsi"/>
        </w:rPr>
      </w:pPr>
      <w:r w:rsidRPr="00EF1FE4">
        <w:rPr>
          <w:rFonts w:asciiTheme="minorHAnsi" w:hAnsiTheme="minorHAnsi" w:cstheme="minorHAnsi"/>
        </w:rPr>
        <w:t xml:space="preserve">There is an ongoing need to encourage investment in telecom infrastructure, particularly in new deployments and continual upgrades, especially in rural areas, to help close the digital divide. This raises the question of which funds, fiscal instruments, </w:t>
      </w:r>
      <w:proofErr w:type="gramStart"/>
      <w:r w:rsidRPr="00EF1FE4">
        <w:rPr>
          <w:rFonts w:asciiTheme="minorHAnsi" w:hAnsiTheme="minorHAnsi" w:cstheme="minorHAnsi"/>
        </w:rPr>
        <w:t>incentives</w:t>
      </w:r>
      <w:proofErr w:type="gramEnd"/>
      <w:r w:rsidRPr="00EF1FE4">
        <w:rPr>
          <w:rFonts w:asciiTheme="minorHAnsi" w:hAnsiTheme="minorHAnsi" w:cstheme="minorHAnsi"/>
        </w:rPr>
        <w:t xml:space="preserve"> and other measures could be most appropriate and effective in bridging the digital divide and in supporting the digital transformation.</w:t>
      </w:r>
    </w:p>
    <w:p w14:paraId="654FABE3" w14:textId="77777777" w:rsidR="00506018" w:rsidRPr="00EF1FE4" w:rsidRDefault="00506018" w:rsidP="006E14F7">
      <w:pPr>
        <w:bidi w:val="0"/>
        <w:spacing w:after="120"/>
        <w:ind w:left="720"/>
        <w:rPr>
          <w:rFonts w:asciiTheme="minorHAnsi" w:hAnsiTheme="minorHAnsi" w:cstheme="minorHAnsi"/>
        </w:rPr>
      </w:pPr>
      <w:r w:rsidRPr="00EF1FE4">
        <w:rPr>
          <w:rFonts w:asciiTheme="minorHAnsi" w:hAnsiTheme="minorHAnsi" w:cstheme="minorHAnsi"/>
        </w:rPr>
        <w:t>There are challenges to Universal Service Funds (USF), which are shrinking as they are derived from telecom voice service revenues, affecting especially developing countries with varying economic consequences. Suggestions have been made to rescope or reform the service funds and derive them from broadband data service revenues, as well as to request “Big Tech” companies to contribute to universal service obligations.</w:t>
      </w:r>
    </w:p>
    <w:p w14:paraId="3C822145" w14:textId="77777777" w:rsidR="00506018" w:rsidRPr="00EF1FE4" w:rsidRDefault="00506018" w:rsidP="006E14F7">
      <w:pPr>
        <w:bidi w:val="0"/>
        <w:spacing w:after="120"/>
        <w:ind w:left="720"/>
        <w:rPr>
          <w:rFonts w:asciiTheme="minorHAnsi" w:hAnsiTheme="minorHAnsi" w:cstheme="minorHAnsi"/>
        </w:rPr>
      </w:pPr>
      <w:r w:rsidRPr="00EF1FE4">
        <w:rPr>
          <w:rFonts w:asciiTheme="minorHAnsi" w:hAnsiTheme="minorHAnsi" w:cstheme="minorHAnsi"/>
        </w:rPr>
        <w:t xml:space="preserve">There are also debates surrounding applying the “sending-party-network-pays system” (SPNP) and/or some form of an Internet usage/traffic tax, levies or fees on “big technology content and service provider </w:t>
      </w:r>
      <w:proofErr w:type="gramStart"/>
      <w:r w:rsidRPr="00EF1FE4">
        <w:rPr>
          <w:rFonts w:asciiTheme="minorHAnsi" w:hAnsiTheme="minorHAnsi" w:cstheme="minorHAnsi"/>
        </w:rPr>
        <w:t>companies“ and</w:t>
      </w:r>
      <w:proofErr w:type="gramEnd"/>
      <w:r w:rsidRPr="00EF1FE4">
        <w:rPr>
          <w:rFonts w:asciiTheme="minorHAnsi" w:hAnsiTheme="minorHAnsi" w:cstheme="minorHAnsi"/>
        </w:rPr>
        <w:t xml:space="preserve"> ISPs to help provide cost recovery for telecom service providers’ investments. </w:t>
      </w:r>
    </w:p>
    <w:p w14:paraId="67432CEE" w14:textId="77777777" w:rsidR="00506018" w:rsidRPr="00EF1FE4" w:rsidRDefault="00506018" w:rsidP="006E14F7">
      <w:pPr>
        <w:bidi w:val="0"/>
        <w:spacing w:after="120"/>
        <w:ind w:left="720"/>
        <w:rPr>
          <w:rFonts w:asciiTheme="minorHAnsi" w:hAnsiTheme="minorHAnsi" w:cstheme="minorHAnsi"/>
        </w:rPr>
      </w:pPr>
      <w:r w:rsidRPr="00EF1FE4">
        <w:rPr>
          <w:rFonts w:asciiTheme="minorHAnsi" w:hAnsiTheme="minorHAnsi" w:cstheme="minorHAnsi"/>
        </w:rPr>
        <w:t>Recently established European regulations such as the Digital Market Act and Digital Service Act that address digital/online platforms will be considered in this session, as well as the WTO moratorium not to impose customs duties on electronic transmissions, and an expected Connectivity Infrastructure Act.</w:t>
      </w:r>
    </w:p>
    <w:p w14:paraId="171F90A3" w14:textId="77777777" w:rsidR="00506018" w:rsidRPr="00EF1FE4" w:rsidRDefault="00506018" w:rsidP="006E14F7">
      <w:pPr>
        <w:bidi w:val="0"/>
        <w:spacing w:after="120"/>
        <w:ind w:left="720"/>
        <w:rPr>
          <w:rFonts w:asciiTheme="minorHAnsi" w:hAnsiTheme="minorHAnsi" w:cstheme="minorHAnsi"/>
        </w:rPr>
      </w:pPr>
      <w:r w:rsidRPr="00EF1FE4">
        <w:rPr>
          <w:rFonts w:asciiTheme="minorHAnsi" w:hAnsiTheme="minorHAnsi" w:cstheme="minorHAnsi"/>
        </w:rPr>
        <w:lastRenderedPageBreak/>
        <w:t xml:space="preserve">A key objective of the session is to facilitate a dialogue among the experts regarding how they understand the economic consequences and regulatory implications of some Internet usage/traffic tax compared with other fiscal instruments such as tax relief, incentives and subsidies, and alternatives or other cost-sharing approaches. This includes considering compatibility with net-neutrality principles, the potential impact on innovation and competition, and the relationship with other forms of digital taxes, as well as the risk of double/over-taxation.  </w:t>
      </w:r>
    </w:p>
    <w:p w14:paraId="30FC7F74" w14:textId="77777777" w:rsidR="00506018" w:rsidRPr="00EF1FE4" w:rsidRDefault="00506018" w:rsidP="006E14F7">
      <w:pPr>
        <w:tabs>
          <w:tab w:val="left" w:pos="1191"/>
          <w:tab w:val="left" w:pos="1588"/>
          <w:tab w:val="left" w:pos="1985"/>
        </w:tabs>
        <w:bidi w:val="0"/>
        <w:spacing w:before="240"/>
        <w:rPr>
          <w:rFonts w:asciiTheme="minorHAnsi" w:hAnsiTheme="minorHAnsi" w:cstheme="minorHAnsi"/>
          <w:b/>
          <w:bCs/>
        </w:rPr>
      </w:pPr>
      <w:r w:rsidRPr="00EF1FE4">
        <w:rPr>
          <w:rFonts w:asciiTheme="minorHAnsi" w:hAnsiTheme="minorHAnsi" w:cstheme="minorHAnsi"/>
          <w:b/>
          <w:bCs/>
        </w:rPr>
        <w:t>Session 6 – Digital Inclusion in the Civil Society</w:t>
      </w:r>
    </w:p>
    <w:p w14:paraId="61B24E7E"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As the world becomes increasingly digital, and new forms of fiscal instrument potentially arise in response, it is vital to consider the issue of digital inclusion – and especially views on this matter from the perspective of Civil Society.</w:t>
      </w:r>
    </w:p>
    <w:p w14:paraId="107A314F"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For instance, recent pandemics put into perspective the importance of connectivity to the people and the economy. It is, therefore, vital to consider economic barriers, regulatory measures and fiscal incentives which could help address digital inclusion, including affordability and availability of traditional and digital services.</w:t>
      </w:r>
    </w:p>
    <w:p w14:paraId="3AC26F01" w14:textId="77777777" w:rsidR="00506018" w:rsidRPr="00EF1FE4" w:rsidRDefault="00506018" w:rsidP="006E14F7">
      <w:pPr>
        <w:pStyle w:val="ListParagraph"/>
        <w:bidi w:val="0"/>
        <w:spacing w:after="120"/>
        <w:rPr>
          <w:rFonts w:asciiTheme="minorHAnsi" w:hAnsiTheme="minorHAnsi" w:cstheme="minorHAnsi"/>
        </w:rPr>
      </w:pPr>
      <w:r w:rsidRPr="00EF1FE4">
        <w:rPr>
          <w:rFonts w:asciiTheme="minorHAnsi" w:hAnsiTheme="minorHAnsi" w:cstheme="minorHAnsi"/>
        </w:rPr>
        <w:t>The objective of this session is to gather information on these issues through the lens of Civil Society, and especially from the perspective of consumers.</w:t>
      </w:r>
    </w:p>
    <w:p w14:paraId="502941E5" w14:textId="77777777" w:rsidR="00506018" w:rsidRPr="00EF1FE4" w:rsidRDefault="00506018" w:rsidP="006E14F7">
      <w:pPr>
        <w:tabs>
          <w:tab w:val="left" w:pos="1191"/>
          <w:tab w:val="left" w:pos="1588"/>
          <w:tab w:val="left" w:pos="1985"/>
        </w:tabs>
        <w:bidi w:val="0"/>
        <w:spacing w:before="240"/>
        <w:rPr>
          <w:rFonts w:asciiTheme="minorHAnsi" w:hAnsiTheme="minorHAnsi" w:cstheme="minorHAnsi"/>
          <w:b/>
          <w:bCs/>
        </w:rPr>
      </w:pPr>
      <w:r w:rsidRPr="00EF1FE4">
        <w:rPr>
          <w:rFonts w:asciiTheme="minorHAnsi" w:hAnsiTheme="minorHAnsi" w:cstheme="minorHAnsi"/>
          <w:b/>
          <w:bCs/>
        </w:rPr>
        <w:t>Session 7 – Diversity of fiscal incentives in the world</w:t>
      </w:r>
    </w:p>
    <w:p w14:paraId="59D1C16F"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 xml:space="preserve">The 2011 ITU Workshop on “Taxation of Telecommunication Services and Related Products” examined the desirability of taxing telecommunications services, especially in developing countries, and discussed factors that should be considered </w:t>
      </w:r>
      <w:proofErr w:type="gramStart"/>
      <w:r w:rsidRPr="00EF1FE4">
        <w:rPr>
          <w:rFonts w:asciiTheme="minorHAnsi" w:hAnsiTheme="minorHAnsi" w:cstheme="minorHAnsi"/>
        </w:rPr>
        <w:t>in order to</w:t>
      </w:r>
      <w:proofErr w:type="gramEnd"/>
      <w:r w:rsidRPr="00EF1FE4">
        <w:rPr>
          <w:rFonts w:asciiTheme="minorHAnsi" w:hAnsiTheme="minorHAnsi" w:cstheme="minorHAnsi"/>
        </w:rPr>
        <w:t xml:space="preserve"> strike an appropriate balance between the goals of raising revenues and facilitating economic expansion throughout the telecommunications sector.</w:t>
      </w:r>
    </w:p>
    <w:p w14:paraId="5EF6B7F5" w14:textId="77777777" w:rsidR="00506018" w:rsidRPr="00EF1FE4" w:rsidRDefault="00506018" w:rsidP="006E14F7">
      <w:pPr>
        <w:pStyle w:val="ListParagraph"/>
        <w:bidi w:val="0"/>
        <w:spacing w:after="120"/>
        <w:rPr>
          <w:rFonts w:asciiTheme="minorHAnsi" w:hAnsiTheme="minorHAnsi" w:cstheme="minorHAnsi"/>
        </w:rPr>
      </w:pPr>
      <w:r w:rsidRPr="00EF1FE4">
        <w:rPr>
          <w:rFonts w:asciiTheme="minorHAnsi" w:hAnsiTheme="minorHAnsi" w:cstheme="minorHAnsi"/>
        </w:rPr>
        <w:t>That workshop received presentations from countries and ITU members reporting on their experiences with taxation of telecommunications. More than a decade later, there have been outstanding technological innovations and the emergence of new business models and new forms of taxation.</w:t>
      </w:r>
    </w:p>
    <w:p w14:paraId="39FC1CC7"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 xml:space="preserve">In this context, the objective of this session is to explore some of the various approaches to fiscal instruments that relate to telecommunications/ICT and OTTs in recent </w:t>
      </w:r>
      <w:proofErr w:type="gramStart"/>
      <w:r w:rsidRPr="00EF1FE4">
        <w:rPr>
          <w:rFonts w:asciiTheme="minorHAnsi" w:hAnsiTheme="minorHAnsi" w:cstheme="minorHAnsi"/>
        </w:rPr>
        <w:t>years, and</w:t>
      </w:r>
      <w:proofErr w:type="gramEnd"/>
      <w:r w:rsidRPr="00EF1FE4">
        <w:rPr>
          <w:rFonts w:asciiTheme="minorHAnsi" w:hAnsiTheme="minorHAnsi" w:cstheme="minorHAnsi"/>
        </w:rPr>
        <w:t xml:space="preserve"> considering how these national experiences can support collaboration at the regional and international levels.</w:t>
      </w:r>
    </w:p>
    <w:p w14:paraId="17E8D1EA" w14:textId="77777777" w:rsidR="00506018" w:rsidRPr="00EF1FE4" w:rsidRDefault="00506018" w:rsidP="006E14F7">
      <w:pPr>
        <w:tabs>
          <w:tab w:val="left" w:pos="1191"/>
          <w:tab w:val="left" w:pos="1588"/>
          <w:tab w:val="left" w:pos="1985"/>
        </w:tabs>
        <w:bidi w:val="0"/>
        <w:spacing w:before="240"/>
        <w:rPr>
          <w:rFonts w:asciiTheme="minorHAnsi" w:hAnsiTheme="minorHAnsi" w:cstheme="minorHAnsi"/>
          <w:b/>
          <w:bCs/>
        </w:rPr>
      </w:pPr>
      <w:r w:rsidRPr="00EF1FE4">
        <w:rPr>
          <w:rFonts w:asciiTheme="minorHAnsi" w:hAnsiTheme="minorHAnsi" w:cstheme="minorHAnsi"/>
          <w:b/>
          <w:bCs/>
        </w:rPr>
        <w:t>Session 8 – Research perspectives on challenges for the digital transformation</w:t>
      </w:r>
    </w:p>
    <w:p w14:paraId="59C9CCC2"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As the digital transformation advances, featuring in this context the emergence and development of OTTs, new forms of fiscal policy and regulatory apparatus have appeared, each based on different premises for how state intervention can be shaped to address pertinent public policy issues.</w:t>
      </w:r>
    </w:p>
    <w:p w14:paraId="2DC104A5"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Theoretically, these forms of economic and fiscal incentives should be based on their predicted impact on society. In this analysis, there is a space for the technical consideration of several issues that represent common international challenges. These issues may encompass competition and a level playing field, digital divide, macro and microeconomic effects of those state instruments, economic tax burden and others. Eventually, these various conclusions may lead to policy implications and best practices.</w:t>
      </w:r>
    </w:p>
    <w:p w14:paraId="60DC036F" w14:textId="77777777" w:rsidR="00506018" w:rsidRPr="00EF1FE4" w:rsidRDefault="00506018" w:rsidP="006E14F7">
      <w:pPr>
        <w:pStyle w:val="ListParagraph"/>
        <w:bidi w:val="0"/>
        <w:spacing w:after="120"/>
        <w:contextualSpacing w:val="0"/>
        <w:rPr>
          <w:rFonts w:asciiTheme="minorHAnsi" w:hAnsiTheme="minorHAnsi" w:cstheme="minorHAnsi"/>
        </w:rPr>
      </w:pPr>
      <w:r w:rsidRPr="00EF1FE4">
        <w:rPr>
          <w:rFonts w:asciiTheme="minorHAnsi" w:hAnsiTheme="minorHAnsi" w:cstheme="minorHAnsi"/>
        </w:rPr>
        <w:t>This session aims to explore some of these issues through the perspective of independent researchers, focusing on technical points relevant to this debate.</w:t>
      </w:r>
    </w:p>
    <w:p w14:paraId="737C9CD4" w14:textId="4F407BEC" w:rsidR="00506018" w:rsidRPr="00EF1FE4" w:rsidRDefault="00506018" w:rsidP="006E14F7">
      <w:pPr>
        <w:bidi w:val="0"/>
        <w:rPr>
          <w:rFonts w:asciiTheme="minorHAnsi" w:hAnsiTheme="minorHAnsi" w:cstheme="minorHAnsi"/>
          <w:b/>
          <w:bCs/>
          <w:rtl/>
        </w:rPr>
      </w:pPr>
      <w:r w:rsidRPr="00EF1FE4">
        <w:rPr>
          <w:rFonts w:asciiTheme="minorHAnsi" w:hAnsiTheme="minorHAnsi" w:cstheme="minorHAnsi"/>
          <w:b/>
          <w:bCs/>
        </w:rPr>
        <w:t>Session 9 – Closing.</w:t>
      </w:r>
    </w:p>
    <w:p w14:paraId="77DEFE06" w14:textId="5456AAA6" w:rsidR="00062446" w:rsidRPr="00EF1FE4" w:rsidRDefault="00062446" w:rsidP="00062446">
      <w:pPr>
        <w:bidi w:val="0"/>
        <w:rPr>
          <w:rFonts w:asciiTheme="minorHAnsi" w:hAnsiTheme="minorHAnsi" w:cstheme="minorHAnsi"/>
          <w:b/>
          <w:bCs/>
          <w:rtl/>
        </w:rPr>
      </w:pPr>
      <w:r w:rsidRPr="00EF1FE4">
        <w:rPr>
          <w:rFonts w:asciiTheme="minorHAnsi" w:hAnsiTheme="minorHAnsi" w:cstheme="minorHAnsi"/>
          <w:b/>
          <w:bCs/>
          <w:rtl/>
        </w:rPr>
        <w:br w:type="page"/>
      </w:r>
    </w:p>
    <w:p w14:paraId="0E995340" w14:textId="77777777" w:rsidR="00506018" w:rsidRPr="00EF1FE4" w:rsidRDefault="00506018" w:rsidP="00234652">
      <w:pPr>
        <w:pStyle w:val="AppendixNo"/>
        <w:rPr>
          <w:rFonts w:asciiTheme="minorHAnsi" w:hAnsiTheme="minorHAnsi" w:cstheme="minorHAnsi"/>
          <w:b/>
          <w:bCs/>
          <w:sz w:val="22"/>
          <w:szCs w:val="22"/>
        </w:rPr>
      </w:pPr>
      <w:r w:rsidRPr="00EF1FE4">
        <w:rPr>
          <w:rFonts w:asciiTheme="minorHAnsi" w:hAnsiTheme="minorHAnsi" w:cstheme="minorHAnsi"/>
          <w:b/>
          <w:bCs/>
          <w:sz w:val="22"/>
          <w:szCs w:val="22"/>
        </w:rPr>
        <w:lastRenderedPageBreak/>
        <w:t>Appendix – Background information</w:t>
      </w:r>
    </w:p>
    <w:p w14:paraId="2B1B76D3" w14:textId="77777777" w:rsidR="00506018" w:rsidRPr="00EF1FE4" w:rsidRDefault="00506018" w:rsidP="008E0A1A">
      <w:pPr>
        <w:bidi w:val="0"/>
        <w:rPr>
          <w:rFonts w:asciiTheme="minorHAnsi" w:hAnsiTheme="minorHAnsi" w:cstheme="minorHAnsi"/>
        </w:rPr>
      </w:pPr>
      <w:r w:rsidRPr="00EF1FE4">
        <w:rPr>
          <w:rFonts w:asciiTheme="minorHAnsi" w:hAnsiTheme="minorHAnsi" w:cstheme="minorHAnsi"/>
        </w:rPr>
        <w:t>In 2011, ITU held a workshop on “</w:t>
      </w:r>
      <w:hyperlink r:id="rId19" w:history="1">
        <w:r w:rsidRPr="00EF1FE4">
          <w:rPr>
            <w:rStyle w:val="Hyperlink"/>
            <w:rFonts w:asciiTheme="minorHAnsi" w:hAnsiTheme="minorHAnsi" w:cstheme="minorHAnsi"/>
          </w:rPr>
          <w:t>Taxation of Telecommunication Services and Related Products</w:t>
        </w:r>
      </w:hyperlink>
      <w:r w:rsidRPr="00EF1FE4">
        <w:rPr>
          <w:rFonts w:asciiTheme="minorHAnsi" w:hAnsiTheme="minorHAnsi" w:cstheme="minorHAnsi"/>
        </w:rPr>
        <w:t xml:space="preserve">”, which was organized jointly by the Telecommunications Development Bureau (BDT) and the Telecommunications Standardization Bureau (TSB). The workshop took place prior to the 2012 World Conference on International Telecommunications (WCIT), in preparation of inputs for provisions on taxation matters. This workshop considered the desirability of taxing telecommunication services, especially in developing countries, and discussed factors that should be </w:t>
      </w:r>
      <w:proofErr w:type="gramStart"/>
      <w:r w:rsidRPr="00EF1FE4">
        <w:rPr>
          <w:rFonts w:asciiTheme="minorHAnsi" w:hAnsiTheme="minorHAnsi" w:cstheme="minorHAnsi"/>
        </w:rPr>
        <w:t>taken into account</w:t>
      </w:r>
      <w:proofErr w:type="gramEnd"/>
      <w:r w:rsidRPr="00EF1FE4">
        <w:rPr>
          <w:rFonts w:asciiTheme="minorHAnsi" w:hAnsiTheme="minorHAnsi" w:cstheme="minorHAnsi"/>
        </w:rPr>
        <w:t xml:space="preserve"> in order to strike an appropriate balance between the goals of raising revenues and facilitating economic expansion throughout the telecommunication sector.</w:t>
      </w:r>
    </w:p>
    <w:p w14:paraId="57AA3572" w14:textId="77777777" w:rsidR="00506018" w:rsidRPr="00EF1FE4" w:rsidRDefault="00506018" w:rsidP="008E0A1A">
      <w:pPr>
        <w:bidi w:val="0"/>
        <w:rPr>
          <w:rFonts w:asciiTheme="minorHAnsi" w:hAnsiTheme="minorHAnsi" w:cstheme="minorHAnsi"/>
        </w:rPr>
      </w:pPr>
      <w:r w:rsidRPr="00EF1FE4">
        <w:rPr>
          <w:rFonts w:asciiTheme="minorHAnsi" w:hAnsiTheme="minorHAnsi" w:cstheme="minorHAnsi"/>
        </w:rPr>
        <w:t xml:space="preserve">The workshop recognized a wider variation in the level of telecommunication taxation across the world. The workshop also received presentations from countries and members reporting on their experiences with the taxation of telecommunications. The workshop recognized the specificality of the telecommunication sector in that it generates externalities, which are relevant for considering taxation but was also aware of the risk of over-taxing the ICT sector, </w:t>
      </w:r>
      <w:proofErr w:type="gramStart"/>
      <w:r w:rsidRPr="00EF1FE4">
        <w:rPr>
          <w:rFonts w:asciiTheme="minorHAnsi" w:hAnsiTheme="minorHAnsi" w:cstheme="minorHAnsi"/>
        </w:rPr>
        <w:t>in particular by</w:t>
      </w:r>
      <w:proofErr w:type="gramEnd"/>
      <w:r w:rsidRPr="00EF1FE4">
        <w:rPr>
          <w:rFonts w:asciiTheme="minorHAnsi" w:hAnsiTheme="minorHAnsi" w:cstheme="minorHAnsi"/>
        </w:rPr>
        <w:t xml:space="preserve"> using tax revenues on ICTs to develop the national ICT infrastructure. The workshop also identified that cross-border activities could be at risk of double </w:t>
      </w:r>
      <w:proofErr w:type="gramStart"/>
      <w:r w:rsidRPr="00EF1FE4">
        <w:rPr>
          <w:rFonts w:asciiTheme="minorHAnsi" w:hAnsiTheme="minorHAnsi" w:cstheme="minorHAnsi"/>
        </w:rPr>
        <w:t>taxation, and</w:t>
      </w:r>
      <w:proofErr w:type="gramEnd"/>
      <w:r w:rsidRPr="00EF1FE4">
        <w:rPr>
          <w:rFonts w:asciiTheme="minorHAnsi" w:hAnsiTheme="minorHAnsi" w:cstheme="minorHAnsi"/>
        </w:rPr>
        <w:t xml:space="preserve"> discussed some principal mechanisms for avoiding it.</w:t>
      </w:r>
    </w:p>
    <w:p w14:paraId="37D14A7B" w14:textId="77777777" w:rsidR="00506018" w:rsidRPr="00EF1FE4" w:rsidRDefault="00506018" w:rsidP="008E0A1A">
      <w:pPr>
        <w:bidi w:val="0"/>
        <w:rPr>
          <w:rFonts w:asciiTheme="minorHAnsi" w:hAnsiTheme="minorHAnsi" w:cstheme="minorHAnsi"/>
        </w:rPr>
      </w:pPr>
      <w:r w:rsidRPr="00EF1FE4">
        <w:rPr>
          <w:rFonts w:asciiTheme="minorHAnsi" w:hAnsiTheme="minorHAnsi" w:cstheme="minorHAnsi"/>
        </w:rPr>
        <w:t>Conclusions reached were to prefer simple and uniform tax regimes over regimes that include many special cases or exceptions. Public-private partnerships were felt likely to be the best method to ensure adequate investments in broadband infrastructure; in addition, this could be a better method than imposing excise taxes on telecommunications services and could include financial contributions from operators. It was concluded that governments should think carefully before imposing new telecommunications (or other) taxes, and only do so when there is no alternative way of increasing tax revenue that would be less damaging to the economy in terms of market distortions and negative impacts on economic growth. For the telecommunications industry to yield the maximum benefits as a source of growth, tax authorities, regulatory authorities and operators need to work together. Overall, more research and studies on taxation and the usage of tax revenues for telecommunications were deemed useful.</w:t>
      </w:r>
    </w:p>
    <w:p w14:paraId="73231205" w14:textId="77777777" w:rsidR="00506018" w:rsidRPr="00EF1FE4" w:rsidRDefault="00506018" w:rsidP="008E0A1A">
      <w:pPr>
        <w:bidi w:val="0"/>
        <w:rPr>
          <w:rFonts w:asciiTheme="minorHAnsi" w:hAnsiTheme="minorHAnsi" w:cstheme="minorHAnsi"/>
        </w:rPr>
      </w:pPr>
      <w:r w:rsidRPr="00EF1FE4">
        <w:rPr>
          <w:rFonts w:asciiTheme="minorHAnsi" w:hAnsiTheme="minorHAnsi" w:cstheme="minorHAnsi"/>
          <w:bdr w:val="none" w:sz="0" w:space="0" w:color="auto" w:frame="1"/>
        </w:rPr>
        <w:t xml:space="preserve">Since that time, the telecommunication/ICT market has evolved considerably, leading to interest in this topic in the ITU Telecommunication Standardization Sector (ITU-T) – particularly in ITU-T Study Group 3 – and in the ITU Telecommunication Development Sector (ITU-D). New market structures, business models in a data-driven economy for </w:t>
      </w:r>
      <w:r w:rsidRPr="00EF1FE4">
        <w:rPr>
          <w:rFonts w:asciiTheme="minorHAnsi" w:hAnsiTheme="minorHAnsi" w:cstheme="minorHAnsi"/>
        </w:rPr>
        <w:t xml:space="preserve">OTTs or </w:t>
      </w:r>
      <w:bookmarkStart w:id="1" w:name="_Hlk114587805"/>
      <w:r w:rsidRPr="00EF1FE4">
        <w:rPr>
          <w:rFonts w:asciiTheme="minorHAnsi" w:hAnsiTheme="minorHAnsi" w:cstheme="minorHAnsi"/>
        </w:rPr>
        <w:t xml:space="preserve">over-the-top services and new services and applications </w:t>
      </w:r>
      <w:bookmarkEnd w:id="1"/>
      <w:r w:rsidRPr="00EF1FE4">
        <w:rPr>
          <w:rFonts w:asciiTheme="minorHAnsi" w:hAnsiTheme="minorHAnsi" w:cstheme="minorHAnsi"/>
        </w:rPr>
        <w:t xml:space="preserve">have emerged on a </w:t>
      </w:r>
      <w:proofErr w:type="gramStart"/>
      <w:r w:rsidRPr="00EF1FE4">
        <w:rPr>
          <w:rFonts w:asciiTheme="minorHAnsi" w:hAnsiTheme="minorHAnsi" w:cstheme="minorHAnsi"/>
        </w:rPr>
        <w:t>massive  scale</w:t>
      </w:r>
      <w:proofErr w:type="gramEnd"/>
      <w:r w:rsidRPr="00EF1FE4">
        <w:rPr>
          <w:rFonts w:asciiTheme="minorHAnsi" w:hAnsiTheme="minorHAnsi" w:cstheme="minorHAnsi"/>
        </w:rPr>
        <w:t xml:space="preserve">; such over-the-top services and new services and applications are typically provided by “big technology content and service provider companies” and Internet Service Providers (ISPs). Discussions and debates by stakeholders and proponents, who are following </w:t>
      </w:r>
      <w:r w:rsidRPr="00EF1FE4">
        <w:rPr>
          <w:rFonts w:asciiTheme="minorHAnsi" w:eastAsia="SimSun" w:hAnsiTheme="minorHAnsi" w:cstheme="minorHAnsi"/>
        </w:rPr>
        <w:t xml:space="preserve">to apply the “sending-party-network-pays system” (SPNP), </w:t>
      </w:r>
      <w:r w:rsidRPr="00EF1FE4">
        <w:rPr>
          <w:rFonts w:asciiTheme="minorHAnsi" w:hAnsiTheme="minorHAnsi" w:cstheme="minorHAnsi"/>
        </w:rPr>
        <w:t>have called for some form of an Internet usage/traffic tax, levies or fees that are attributed to fair, equitable and proportionate cost recovery for the benefit of the telecom service providers, to be imposed to the “big technology content and service provider companies” and to ISPs.</w:t>
      </w:r>
    </w:p>
    <w:p w14:paraId="237732A5" w14:textId="77777777" w:rsidR="00506018" w:rsidRPr="00EF1FE4" w:rsidRDefault="00506018" w:rsidP="008E0A1A">
      <w:pPr>
        <w:bidi w:val="0"/>
        <w:rPr>
          <w:rFonts w:asciiTheme="minorHAnsi" w:hAnsiTheme="minorHAnsi" w:cstheme="minorHAnsi"/>
        </w:rPr>
      </w:pPr>
      <w:r w:rsidRPr="00EF1FE4">
        <w:rPr>
          <w:rFonts w:asciiTheme="minorHAnsi" w:hAnsiTheme="minorHAnsi" w:cstheme="minorHAnsi"/>
        </w:rPr>
        <w:t xml:space="preserve">Digital transformation and digitization in many sectors using all-IP platforms and tools, new IP-based applications and services, including those competing with traditional telecommunication communications services, Internet of Things (IoT), cloud computing services, new mobile communication technologies (4G, 5G) and high-speed </w:t>
      </w:r>
      <w:proofErr w:type="spellStart"/>
      <w:r w:rsidRPr="00EF1FE4">
        <w:rPr>
          <w:rFonts w:asciiTheme="minorHAnsi" w:hAnsiTheme="minorHAnsi" w:cstheme="minorHAnsi"/>
        </w:rPr>
        <w:t>fibre</w:t>
      </w:r>
      <w:proofErr w:type="spellEnd"/>
      <w:r w:rsidRPr="00EF1FE4">
        <w:rPr>
          <w:rFonts w:asciiTheme="minorHAnsi" w:hAnsiTheme="minorHAnsi" w:cstheme="minorHAnsi"/>
        </w:rPr>
        <w:t>/optical fixed networks, virtual mobile/network operators, video streaming with video now accounting for way more than half of the Internet protocol bandwidth, sophisticated online gaming applications and real-time, virtual reality applications in a “meta verse”, and a drastic ongoing increase of Internet traffic, are just a few among the many new developments and phenomena that the last decade has unleashed, and which put ambitious technical and economic requirements upon the underlying IP network and transport infrastructure.</w:t>
      </w:r>
    </w:p>
    <w:p w14:paraId="2EDE9BEA" w14:textId="77777777" w:rsidR="00506018" w:rsidRPr="00EF1FE4" w:rsidRDefault="00506018" w:rsidP="008E0A1A">
      <w:pPr>
        <w:bidi w:val="0"/>
        <w:rPr>
          <w:rFonts w:asciiTheme="minorHAnsi" w:hAnsiTheme="minorHAnsi" w:cstheme="minorHAnsi"/>
        </w:rPr>
      </w:pPr>
      <w:r w:rsidRPr="00EF1FE4">
        <w:rPr>
          <w:rFonts w:asciiTheme="minorHAnsi" w:hAnsiTheme="minorHAnsi" w:cstheme="minorHAnsi"/>
        </w:rPr>
        <w:t xml:space="preserve">Given the acceleration of this phenomena, various political and regulatory discussions are ongoing in several jurisdictions about the modification of the economic and fiscal landscape in response to this </w:t>
      </w:r>
      <w:proofErr w:type="spellStart"/>
      <w:r w:rsidRPr="00EF1FE4">
        <w:rPr>
          <w:rFonts w:asciiTheme="minorHAnsi" w:hAnsiTheme="minorHAnsi" w:cstheme="minorHAnsi"/>
        </w:rPr>
        <w:t>digitalisation</w:t>
      </w:r>
      <w:proofErr w:type="spellEnd"/>
      <w:r w:rsidRPr="00EF1FE4">
        <w:rPr>
          <w:rFonts w:asciiTheme="minorHAnsi" w:hAnsiTheme="minorHAnsi" w:cstheme="minorHAnsi"/>
        </w:rPr>
        <w:t>. Therefore, a new Workshop on these issues would serve as a relevant source of information as the previous one was more than a decade ago.</w:t>
      </w:r>
    </w:p>
    <w:p w14:paraId="2D102DC9" w14:textId="77777777" w:rsidR="00506018" w:rsidRPr="00EF1FE4" w:rsidRDefault="00506018" w:rsidP="008E0A1A">
      <w:pPr>
        <w:bidi w:val="0"/>
        <w:rPr>
          <w:rFonts w:asciiTheme="minorHAnsi" w:hAnsiTheme="minorHAnsi" w:cstheme="minorHAnsi"/>
        </w:rPr>
      </w:pPr>
      <w:r w:rsidRPr="00EF1FE4">
        <w:rPr>
          <w:rFonts w:asciiTheme="minorHAnsi" w:hAnsiTheme="minorHAnsi" w:cstheme="minorHAnsi"/>
        </w:rPr>
        <w:t>Various political and regulatory discussions are ongoing in several jurisdictions on the desire to tax OTTs or Big Techs such as by charging content and application providers for the use of the Internet infrastructure.</w:t>
      </w:r>
    </w:p>
    <w:p w14:paraId="6B035FCD" w14:textId="77777777" w:rsidR="00234652" w:rsidRPr="00EF1FE4" w:rsidRDefault="00234652" w:rsidP="00234652">
      <w:pPr>
        <w:spacing w:before="600"/>
        <w:jc w:val="center"/>
        <w:rPr>
          <w:rFonts w:asciiTheme="minorHAnsi" w:hAnsiTheme="minorHAnsi" w:cstheme="minorHAnsi"/>
          <w:rtl/>
          <w:lang w:bidi="ar-EG"/>
        </w:rPr>
      </w:pPr>
      <w:r w:rsidRPr="00EF1FE4">
        <w:rPr>
          <w:rFonts w:asciiTheme="minorHAnsi" w:hAnsiTheme="minorHAnsi" w:cstheme="minorHAnsi"/>
          <w:rtl/>
          <w:lang w:bidi="ar-EG"/>
        </w:rPr>
        <w:t>ــــــــــــــــــــــــــــــــــــــــــــــــــــــــــــــــــــــــــــــــــــــــــــــــ</w:t>
      </w:r>
    </w:p>
    <w:sectPr w:rsidR="00234652" w:rsidRPr="00EF1FE4"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E7C7" w14:textId="77777777" w:rsidR="00041D9B" w:rsidRDefault="00041D9B" w:rsidP="006C3242">
      <w:pPr>
        <w:spacing w:before="0" w:line="240" w:lineRule="auto"/>
      </w:pPr>
      <w:r>
        <w:separator/>
      </w:r>
    </w:p>
  </w:endnote>
  <w:endnote w:type="continuationSeparator" w:id="0">
    <w:p w14:paraId="4F3E405E" w14:textId="77777777" w:rsidR="00041D9B" w:rsidRDefault="00041D9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C18F" w14:textId="42695BBD"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B28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1CC7" w14:textId="77777777" w:rsidR="00041D9B" w:rsidRDefault="00041D9B" w:rsidP="006C3242">
      <w:pPr>
        <w:spacing w:before="0" w:line="240" w:lineRule="auto"/>
      </w:pPr>
      <w:r>
        <w:separator/>
      </w:r>
    </w:p>
  </w:footnote>
  <w:footnote w:type="continuationSeparator" w:id="0">
    <w:p w14:paraId="17D8E8F0" w14:textId="77777777" w:rsidR="00041D9B" w:rsidRDefault="00041D9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413A" w14:textId="09CF8DAC" w:rsidR="00447F32" w:rsidRPr="00EF1FE4" w:rsidRDefault="00596808" w:rsidP="00051336">
    <w:pPr>
      <w:pStyle w:val="Header"/>
      <w:spacing w:before="120" w:after="240" w:line="192" w:lineRule="auto"/>
      <w:jc w:val="center"/>
      <w:rPr>
        <w:rFonts w:asciiTheme="minorHAnsi" w:hAnsiTheme="minorHAnsi" w:cstheme="minorHAnsi"/>
        <w:sz w:val="18"/>
        <w:szCs w:val="18"/>
      </w:rPr>
    </w:pPr>
    <w:r w:rsidRPr="00EF1FE4">
      <w:rPr>
        <w:rFonts w:asciiTheme="minorHAnsi" w:hAnsiTheme="minorHAnsi" w:cstheme="minorHAnsi"/>
        <w:sz w:val="18"/>
        <w:szCs w:val="18"/>
      </w:rPr>
      <w:t xml:space="preserve">- </w:t>
    </w:r>
    <w:r w:rsidRPr="00EF1FE4">
      <w:rPr>
        <w:rFonts w:asciiTheme="minorHAnsi" w:hAnsiTheme="minorHAnsi" w:cstheme="minorHAnsi"/>
        <w:sz w:val="18"/>
        <w:szCs w:val="18"/>
      </w:rPr>
      <w:fldChar w:fldCharType="begin"/>
    </w:r>
    <w:r w:rsidRPr="00EF1FE4">
      <w:rPr>
        <w:rFonts w:asciiTheme="minorHAnsi" w:hAnsiTheme="minorHAnsi" w:cstheme="minorHAnsi"/>
        <w:sz w:val="18"/>
        <w:szCs w:val="18"/>
      </w:rPr>
      <w:instrText xml:space="preserve"> PAGE </w:instrText>
    </w:r>
    <w:r w:rsidRPr="00EF1FE4">
      <w:rPr>
        <w:rFonts w:asciiTheme="minorHAnsi" w:hAnsiTheme="minorHAnsi" w:cstheme="minorHAnsi"/>
        <w:sz w:val="18"/>
        <w:szCs w:val="18"/>
      </w:rPr>
      <w:fldChar w:fldCharType="separate"/>
    </w:r>
    <w:r w:rsidR="00751FF8" w:rsidRPr="00EF1FE4">
      <w:rPr>
        <w:rFonts w:asciiTheme="minorHAnsi" w:hAnsiTheme="minorHAnsi" w:cstheme="minorHAnsi"/>
        <w:noProof/>
        <w:sz w:val="18"/>
        <w:szCs w:val="18"/>
        <w:rtl/>
      </w:rPr>
      <w:t>2</w:t>
    </w:r>
    <w:r w:rsidRPr="00EF1FE4">
      <w:rPr>
        <w:rFonts w:asciiTheme="minorHAnsi" w:hAnsiTheme="minorHAnsi" w:cstheme="minorHAnsi"/>
        <w:sz w:val="18"/>
        <w:szCs w:val="18"/>
      </w:rPr>
      <w:fldChar w:fldCharType="end"/>
    </w:r>
    <w:r w:rsidRPr="00EF1FE4">
      <w:rPr>
        <w:rFonts w:asciiTheme="minorHAnsi" w:hAnsiTheme="minorHAnsi" w:cstheme="minorHAnsi"/>
        <w:sz w:val="18"/>
        <w:szCs w:val="18"/>
      </w:rPr>
      <w:t xml:space="preserve"> -</w:t>
    </w:r>
    <w:r w:rsidR="00E84438" w:rsidRPr="00EF1FE4">
      <w:rPr>
        <w:rFonts w:asciiTheme="minorHAnsi" w:hAnsiTheme="minorHAnsi" w:cstheme="minorHAnsi"/>
        <w:sz w:val="18"/>
        <w:szCs w:val="18"/>
        <w:rtl/>
      </w:rPr>
      <w:br/>
    </w:r>
    <w:r w:rsidR="006E14F7" w:rsidRPr="00EF1FE4">
      <w:rPr>
        <w:rFonts w:asciiTheme="minorHAnsi" w:hAnsiTheme="minorHAnsi" w:cstheme="minorHAnsi"/>
        <w:sz w:val="18"/>
        <w:szCs w:val="18"/>
        <w:rtl/>
        <w:lang w:bidi="ar-EG"/>
      </w:rPr>
      <w:t xml:space="preserve">الرسالة المعممة </w:t>
    </w:r>
    <w:r w:rsidR="006E14F7" w:rsidRPr="00EF1FE4">
      <w:rPr>
        <w:rFonts w:asciiTheme="minorHAnsi" w:hAnsiTheme="minorHAnsi" w:cstheme="minorHAnsi"/>
        <w:sz w:val="18"/>
        <w:szCs w:val="18"/>
        <w:rtl/>
        <w:lang w:val="en-GB"/>
      </w:rPr>
      <w:t>29 لمكتب تقييس الاتصالات</w:t>
    </w:r>
    <w:r w:rsidR="006E14F7" w:rsidRPr="00EF1FE4">
      <w:rPr>
        <w:rFonts w:asciiTheme="minorHAnsi" w:hAnsiTheme="minorHAnsi" w:cstheme="minorHAnsi"/>
        <w:sz w:val="18"/>
        <w:szCs w:val="18"/>
        <w:rtl/>
        <w:lang w:bidi="ar-EG"/>
      </w:rPr>
      <w:br/>
      <w:t>الرسالة المعممة 128 لمكتب تنمية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6987626">
    <w:abstractNumId w:val="9"/>
  </w:num>
  <w:num w:numId="2" w16cid:durableId="964392354">
    <w:abstractNumId w:val="7"/>
  </w:num>
  <w:num w:numId="3" w16cid:durableId="1140883088">
    <w:abstractNumId w:val="6"/>
  </w:num>
  <w:num w:numId="4" w16cid:durableId="1510295408">
    <w:abstractNumId w:val="5"/>
  </w:num>
  <w:num w:numId="5" w16cid:durableId="580524199">
    <w:abstractNumId w:val="4"/>
  </w:num>
  <w:num w:numId="6" w16cid:durableId="1571574404">
    <w:abstractNumId w:val="8"/>
  </w:num>
  <w:num w:numId="7" w16cid:durableId="219561929">
    <w:abstractNumId w:val="3"/>
  </w:num>
  <w:num w:numId="8" w16cid:durableId="886339015">
    <w:abstractNumId w:val="2"/>
  </w:num>
  <w:num w:numId="9" w16cid:durableId="1714766983">
    <w:abstractNumId w:val="1"/>
  </w:num>
  <w:num w:numId="10" w16cid:durableId="958998686">
    <w:abstractNumId w:val="0"/>
  </w:num>
  <w:num w:numId="11" w16cid:durableId="949552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B"/>
    <w:rsid w:val="00002A63"/>
    <w:rsid w:val="00041D9B"/>
    <w:rsid w:val="00051336"/>
    <w:rsid w:val="00062446"/>
    <w:rsid w:val="0006468A"/>
    <w:rsid w:val="0007310A"/>
    <w:rsid w:val="00090574"/>
    <w:rsid w:val="00092759"/>
    <w:rsid w:val="000C1C0E"/>
    <w:rsid w:val="000C548A"/>
    <w:rsid w:val="000E327F"/>
    <w:rsid w:val="00113BBD"/>
    <w:rsid w:val="00146FE2"/>
    <w:rsid w:val="001B1C2E"/>
    <w:rsid w:val="001C0169"/>
    <w:rsid w:val="001D1D50"/>
    <w:rsid w:val="001D6745"/>
    <w:rsid w:val="001E446E"/>
    <w:rsid w:val="002154EE"/>
    <w:rsid w:val="002276D2"/>
    <w:rsid w:val="0023283D"/>
    <w:rsid w:val="00234652"/>
    <w:rsid w:val="0026373E"/>
    <w:rsid w:val="00271C43"/>
    <w:rsid w:val="00280AC2"/>
    <w:rsid w:val="002838AF"/>
    <w:rsid w:val="002864CD"/>
    <w:rsid w:val="00290728"/>
    <w:rsid w:val="002978F4"/>
    <w:rsid w:val="002B028D"/>
    <w:rsid w:val="002E196B"/>
    <w:rsid w:val="002E6541"/>
    <w:rsid w:val="00334924"/>
    <w:rsid w:val="003409BC"/>
    <w:rsid w:val="00340D8D"/>
    <w:rsid w:val="00357185"/>
    <w:rsid w:val="00383829"/>
    <w:rsid w:val="003A3046"/>
    <w:rsid w:val="003E3773"/>
    <w:rsid w:val="003F4B29"/>
    <w:rsid w:val="00400EC6"/>
    <w:rsid w:val="00410C3D"/>
    <w:rsid w:val="00410D9C"/>
    <w:rsid w:val="00413C5D"/>
    <w:rsid w:val="0042686F"/>
    <w:rsid w:val="00427DFC"/>
    <w:rsid w:val="004317D8"/>
    <w:rsid w:val="00434183"/>
    <w:rsid w:val="00443869"/>
    <w:rsid w:val="00447F32"/>
    <w:rsid w:val="0048165F"/>
    <w:rsid w:val="004E11DC"/>
    <w:rsid w:val="00503E14"/>
    <w:rsid w:val="00506018"/>
    <w:rsid w:val="00525DDD"/>
    <w:rsid w:val="005409AC"/>
    <w:rsid w:val="0055516A"/>
    <w:rsid w:val="005731DD"/>
    <w:rsid w:val="0058491B"/>
    <w:rsid w:val="00592EA5"/>
    <w:rsid w:val="00595B52"/>
    <w:rsid w:val="00596808"/>
    <w:rsid w:val="005A3170"/>
    <w:rsid w:val="005D7DD7"/>
    <w:rsid w:val="005E0CD1"/>
    <w:rsid w:val="006635B2"/>
    <w:rsid w:val="00677396"/>
    <w:rsid w:val="0069200F"/>
    <w:rsid w:val="006931DF"/>
    <w:rsid w:val="006A65CB"/>
    <w:rsid w:val="006C1530"/>
    <w:rsid w:val="006C3242"/>
    <w:rsid w:val="006C7CC0"/>
    <w:rsid w:val="006D690C"/>
    <w:rsid w:val="006E1066"/>
    <w:rsid w:val="006E14F7"/>
    <w:rsid w:val="006E1BAD"/>
    <w:rsid w:val="006F2123"/>
    <w:rsid w:val="006F63F7"/>
    <w:rsid w:val="007025C7"/>
    <w:rsid w:val="00706D7A"/>
    <w:rsid w:val="00721481"/>
    <w:rsid w:val="00722F0D"/>
    <w:rsid w:val="00741151"/>
    <w:rsid w:val="0074420E"/>
    <w:rsid w:val="00751FF8"/>
    <w:rsid w:val="007739B9"/>
    <w:rsid w:val="00783E26"/>
    <w:rsid w:val="007B295F"/>
    <w:rsid w:val="007C3BC7"/>
    <w:rsid w:val="007C3BCD"/>
    <w:rsid w:val="007D4ACF"/>
    <w:rsid w:val="007F0787"/>
    <w:rsid w:val="00810B7B"/>
    <w:rsid w:val="0082358A"/>
    <w:rsid w:val="008235CD"/>
    <w:rsid w:val="008247DE"/>
    <w:rsid w:val="00840B10"/>
    <w:rsid w:val="008513CB"/>
    <w:rsid w:val="00873469"/>
    <w:rsid w:val="008A7F84"/>
    <w:rsid w:val="008E0A1A"/>
    <w:rsid w:val="0091702E"/>
    <w:rsid w:val="00923B0C"/>
    <w:rsid w:val="00923BB0"/>
    <w:rsid w:val="00926F44"/>
    <w:rsid w:val="0094021C"/>
    <w:rsid w:val="0094327E"/>
    <w:rsid w:val="0094432F"/>
    <w:rsid w:val="00952F86"/>
    <w:rsid w:val="009625A9"/>
    <w:rsid w:val="00973B8C"/>
    <w:rsid w:val="00982B28"/>
    <w:rsid w:val="009A3EB0"/>
    <w:rsid w:val="009D313F"/>
    <w:rsid w:val="009F675E"/>
    <w:rsid w:val="00A04F84"/>
    <w:rsid w:val="00A47A5A"/>
    <w:rsid w:val="00A6683B"/>
    <w:rsid w:val="00A77C90"/>
    <w:rsid w:val="00A9156F"/>
    <w:rsid w:val="00A97F94"/>
    <w:rsid w:val="00AA7EA2"/>
    <w:rsid w:val="00AF1503"/>
    <w:rsid w:val="00AF6B5C"/>
    <w:rsid w:val="00AF7872"/>
    <w:rsid w:val="00B03099"/>
    <w:rsid w:val="00B05BC8"/>
    <w:rsid w:val="00B64B47"/>
    <w:rsid w:val="00B6539D"/>
    <w:rsid w:val="00B916A7"/>
    <w:rsid w:val="00BB0F08"/>
    <w:rsid w:val="00BE2DC2"/>
    <w:rsid w:val="00BF611D"/>
    <w:rsid w:val="00C002DE"/>
    <w:rsid w:val="00C00316"/>
    <w:rsid w:val="00C53BF8"/>
    <w:rsid w:val="00C6392D"/>
    <w:rsid w:val="00C66157"/>
    <w:rsid w:val="00C674FE"/>
    <w:rsid w:val="00C67501"/>
    <w:rsid w:val="00C75633"/>
    <w:rsid w:val="00C80DCC"/>
    <w:rsid w:val="00CE1C08"/>
    <w:rsid w:val="00CE2EE1"/>
    <w:rsid w:val="00CE3349"/>
    <w:rsid w:val="00CE36E5"/>
    <w:rsid w:val="00CF27F5"/>
    <w:rsid w:val="00CF3FFD"/>
    <w:rsid w:val="00CF5145"/>
    <w:rsid w:val="00D10CCF"/>
    <w:rsid w:val="00D13FCA"/>
    <w:rsid w:val="00D22846"/>
    <w:rsid w:val="00D37AF9"/>
    <w:rsid w:val="00D517B2"/>
    <w:rsid w:val="00D60ADF"/>
    <w:rsid w:val="00D76170"/>
    <w:rsid w:val="00D77D0F"/>
    <w:rsid w:val="00D80C20"/>
    <w:rsid w:val="00DA1CF0"/>
    <w:rsid w:val="00DC1E02"/>
    <w:rsid w:val="00DC24B4"/>
    <w:rsid w:val="00DC5FB0"/>
    <w:rsid w:val="00DD1EBB"/>
    <w:rsid w:val="00DF16DC"/>
    <w:rsid w:val="00DF7CE5"/>
    <w:rsid w:val="00E11EB0"/>
    <w:rsid w:val="00E45211"/>
    <w:rsid w:val="00E473C5"/>
    <w:rsid w:val="00E62794"/>
    <w:rsid w:val="00E62F5D"/>
    <w:rsid w:val="00E84438"/>
    <w:rsid w:val="00E92863"/>
    <w:rsid w:val="00EB796D"/>
    <w:rsid w:val="00EB7C7C"/>
    <w:rsid w:val="00EF08CC"/>
    <w:rsid w:val="00EF1FE4"/>
    <w:rsid w:val="00F058DC"/>
    <w:rsid w:val="00F1514B"/>
    <w:rsid w:val="00F24FC4"/>
    <w:rsid w:val="00F2676C"/>
    <w:rsid w:val="00F52941"/>
    <w:rsid w:val="00F82056"/>
    <w:rsid w:val="00F84366"/>
    <w:rsid w:val="00F85089"/>
    <w:rsid w:val="00F974C5"/>
    <w:rsid w:val="00FA19BB"/>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60A6F"/>
  <w15:chartTrackingRefBased/>
  <w15:docId w15:val="{201179D5-9F52-42DC-9263-820B722C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locked/>
    <w:rsid w:val="00506018"/>
    <w:rPr>
      <w:rFonts w:ascii="Dubai" w:hAnsi="Dubai" w:cs="Dubai"/>
    </w:rPr>
  </w:style>
  <w:style w:type="character" w:styleId="UnresolvedMention">
    <w:name w:val="Unresolved Mention"/>
    <w:basedOn w:val="DefaultParagraphFont"/>
    <w:uiPriority w:val="99"/>
    <w:semiHidden/>
    <w:unhideWhenUsed/>
    <w:rsid w:val="005D7DD7"/>
    <w:rPr>
      <w:color w:val="605E5C"/>
      <w:shd w:val="clear" w:color="auto" w:fill="E1DFDD"/>
    </w:rPr>
  </w:style>
  <w:style w:type="paragraph" w:styleId="Revision">
    <w:name w:val="Revision"/>
    <w:hidden/>
    <w:uiPriority w:val="99"/>
    <w:semiHidden/>
    <w:rsid w:val="00B6539D"/>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ewm/Pages/ITU-Internet-Printer-Services.aspx" TargetMode="External"/><Relationship Id="rId18" Type="http://schemas.openxmlformats.org/officeDocument/2006/relationships/hyperlink" Target="https://www.itu.int/en/ITU-T/Workshops-and-Seminars/2022/1103/Pages/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net4/CRM/xreg/web/Login.aspx?src=Registration&amp;Event=C-00011717"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2/1103/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travel/" TargetMode="External"/><Relationship Id="rId23" Type="http://schemas.openxmlformats.org/officeDocument/2006/relationships/fontTable" Target="fontTable.xml"/><Relationship Id="rId10" Type="http://schemas.openxmlformats.org/officeDocument/2006/relationships/hyperlink" Target="https://www.itu.int/en/ITU-T/studygroups/2022-2024/03" TargetMode="External"/><Relationship Id="rId19" Type="http://schemas.openxmlformats.org/officeDocument/2006/relationships/hyperlink" Target="https://www.itu.int/ITU-D/finance/work-cost-tariffs/events/tariff-seminars/Geneva_Taxation/Agenda.htm"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trave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C754-4477-466D-90AA-5AEB5E69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Braud, Olivia</cp:lastModifiedBy>
  <cp:revision>40</cp:revision>
  <cp:lastPrinted>2022-12-15T13:56:00Z</cp:lastPrinted>
  <dcterms:created xsi:type="dcterms:W3CDTF">2022-09-28T12:46:00Z</dcterms:created>
  <dcterms:modified xsi:type="dcterms:W3CDTF">2022-12-15T13:56:00Z</dcterms:modified>
</cp:coreProperties>
</file>