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2" w:type="dxa"/>
        <w:tblInd w:w="8" w:type="dxa"/>
        <w:tblLayout w:type="fixed"/>
        <w:tblCellMar>
          <w:left w:w="0" w:type="dxa"/>
          <w:right w:w="0" w:type="dxa"/>
        </w:tblCellMar>
        <w:tblLook w:val="0000" w:firstRow="0" w:lastRow="0" w:firstColumn="0" w:lastColumn="0" w:noHBand="0" w:noVBand="0"/>
      </w:tblPr>
      <w:tblGrid>
        <w:gridCol w:w="993"/>
        <w:gridCol w:w="417"/>
        <w:gridCol w:w="3082"/>
        <w:gridCol w:w="5400"/>
      </w:tblGrid>
      <w:tr w:rsidR="007B6316" w:rsidRPr="00425AC0" w14:paraId="35007712" w14:textId="77777777" w:rsidTr="00F0124B">
        <w:trPr>
          <w:cantSplit/>
          <w:trHeight w:val="340"/>
        </w:trPr>
        <w:tc>
          <w:tcPr>
            <w:tcW w:w="1410" w:type="dxa"/>
            <w:gridSpan w:val="2"/>
          </w:tcPr>
          <w:p w14:paraId="21005F01" w14:textId="77777777" w:rsidR="007B6316" w:rsidRPr="00425AC0" w:rsidRDefault="007B6316" w:rsidP="00B868BA">
            <w:pPr>
              <w:tabs>
                <w:tab w:val="left" w:pos="4111"/>
              </w:tabs>
              <w:spacing w:before="10"/>
              <w:ind w:left="57"/>
              <w:rPr>
                <w:sz w:val="22"/>
              </w:rPr>
            </w:pPr>
            <w:r w:rsidRPr="00425AC0">
              <w:rPr>
                <w:noProof/>
                <w:lang w:eastAsia="zh-CN"/>
              </w:rPr>
              <w:drawing>
                <wp:inline distT="0" distB="0" distL="0" distR="0" wp14:anchorId="38B22C90" wp14:editId="26645D6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482" w:type="dxa"/>
            <w:gridSpan w:val="2"/>
            <w:vAlign w:val="center"/>
          </w:tcPr>
          <w:p w14:paraId="2649769E" w14:textId="77777777" w:rsidR="007B6316" w:rsidRPr="00425AC0" w:rsidRDefault="007B6316" w:rsidP="00B868BA">
            <w:pPr>
              <w:spacing w:before="0"/>
              <w:rPr>
                <w:rFonts w:cs="Times New Roman Bold"/>
                <w:b/>
                <w:bCs/>
                <w:smallCaps/>
                <w:sz w:val="26"/>
                <w:szCs w:val="26"/>
              </w:rPr>
            </w:pPr>
            <w:r w:rsidRPr="00425AC0">
              <w:rPr>
                <w:rFonts w:cs="Times New Roman Bold"/>
                <w:b/>
                <w:bCs/>
                <w:smallCaps/>
                <w:sz w:val="36"/>
                <w:szCs w:val="36"/>
              </w:rPr>
              <w:t>Unión Internacional de Telecomunicaciones</w:t>
            </w:r>
          </w:p>
          <w:p w14:paraId="6B584949" w14:textId="77777777" w:rsidR="007B6316" w:rsidRPr="00425AC0" w:rsidRDefault="007B6316" w:rsidP="00B868BA">
            <w:pPr>
              <w:spacing w:before="0"/>
            </w:pPr>
            <w:r w:rsidRPr="00425AC0">
              <w:rPr>
                <w:rFonts w:cs="Times New Roman Bold"/>
                <w:b/>
                <w:bCs/>
                <w:smallCaps/>
                <w:sz w:val="28"/>
                <w:szCs w:val="28"/>
              </w:rPr>
              <w:t>Oficina</w:t>
            </w:r>
            <w:r w:rsidRPr="00425AC0">
              <w:rPr>
                <w:rFonts w:cs="Times New Roman Bold"/>
                <w:b/>
                <w:bCs/>
                <w:iCs/>
                <w:smallCaps/>
                <w:sz w:val="22"/>
                <w:szCs w:val="22"/>
              </w:rPr>
              <w:t xml:space="preserve"> </w:t>
            </w:r>
            <w:r w:rsidRPr="00425AC0">
              <w:rPr>
                <w:rFonts w:cs="Times New Roman Bold"/>
                <w:b/>
                <w:bCs/>
                <w:iCs/>
                <w:smallCaps/>
                <w:sz w:val="28"/>
                <w:szCs w:val="28"/>
              </w:rPr>
              <w:t>de Normalización de las Telecomunicaciones</w:t>
            </w:r>
          </w:p>
        </w:tc>
      </w:tr>
      <w:tr w:rsidR="007B6316" w:rsidRPr="00425AC0" w14:paraId="7B4D4EA6" w14:textId="77777777" w:rsidTr="00F0124B">
        <w:trPr>
          <w:cantSplit/>
          <w:trHeight w:val="340"/>
        </w:trPr>
        <w:tc>
          <w:tcPr>
            <w:tcW w:w="993" w:type="dxa"/>
          </w:tcPr>
          <w:p w14:paraId="6DE4C9A0" w14:textId="77777777" w:rsidR="007B6316" w:rsidRPr="00425AC0" w:rsidRDefault="007B6316" w:rsidP="00B868BA">
            <w:pPr>
              <w:tabs>
                <w:tab w:val="left" w:pos="4111"/>
              </w:tabs>
              <w:spacing w:before="10"/>
              <w:ind w:left="57"/>
              <w:rPr>
                <w:b/>
                <w:bCs/>
                <w:sz w:val="22"/>
              </w:rPr>
            </w:pPr>
          </w:p>
        </w:tc>
        <w:tc>
          <w:tcPr>
            <w:tcW w:w="3499" w:type="dxa"/>
            <w:gridSpan w:val="2"/>
          </w:tcPr>
          <w:p w14:paraId="7D17E207" w14:textId="77777777" w:rsidR="007B6316" w:rsidRPr="00425AC0" w:rsidRDefault="007B6316" w:rsidP="00B868BA">
            <w:pPr>
              <w:tabs>
                <w:tab w:val="left" w:pos="4111"/>
              </w:tabs>
              <w:spacing w:before="0"/>
              <w:ind w:left="57"/>
              <w:rPr>
                <w:b/>
              </w:rPr>
            </w:pPr>
          </w:p>
        </w:tc>
        <w:tc>
          <w:tcPr>
            <w:tcW w:w="5400" w:type="dxa"/>
          </w:tcPr>
          <w:p w14:paraId="18471DC2" w14:textId="47F0053A" w:rsidR="007B6316" w:rsidRPr="00425AC0" w:rsidRDefault="00C51170" w:rsidP="00B868BA">
            <w:pPr>
              <w:tabs>
                <w:tab w:val="clear" w:pos="794"/>
                <w:tab w:val="clear" w:pos="1191"/>
                <w:tab w:val="clear" w:pos="1588"/>
                <w:tab w:val="clear" w:pos="1985"/>
                <w:tab w:val="left" w:pos="284"/>
              </w:tabs>
              <w:spacing w:after="120"/>
              <w:ind w:left="284" w:hanging="227"/>
              <w:rPr>
                <w:sz w:val="22"/>
                <w:szCs w:val="22"/>
              </w:rPr>
            </w:pPr>
            <w:r w:rsidRPr="00425AC0">
              <w:rPr>
                <w:sz w:val="22"/>
                <w:szCs w:val="22"/>
              </w:rPr>
              <w:t xml:space="preserve">Ginebra, </w:t>
            </w:r>
            <w:r w:rsidR="00B868BA" w:rsidRPr="00425AC0">
              <w:rPr>
                <w:sz w:val="22"/>
                <w:szCs w:val="22"/>
              </w:rPr>
              <w:t>30</w:t>
            </w:r>
            <w:r w:rsidRPr="00425AC0">
              <w:rPr>
                <w:sz w:val="22"/>
                <w:szCs w:val="22"/>
              </w:rPr>
              <w:t xml:space="preserve"> de </w:t>
            </w:r>
            <w:r w:rsidR="00B868BA" w:rsidRPr="00425AC0">
              <w:rPr>
                <w:sz w:val="22"/>
                <w:szCs w:val="22"/>
              </w:rPr>
              <w:t xml:space="preserve">mayo </w:t>
            </w:r>
            <w:r w:rsidRPr="00425AC0">
              <w:rPr>
                <w:sz w:val="22"/>
                <w:szCs w:val="22"/>
              </w:rPr>
              <w:t>de 202</w:t>
            </w:r>
            <w:r w:rsidR="00B868BA" w:rsidRPr="00425AC0">
              <w:rPr>
                <w:sz w:val="22"/>
                <w:szCs w:val="22"/>
              </w:rPr>
              <w:t>22</w:t>
            </w:r>
          </w:p>
        </w:tc>
      </w:tr>
      <w:tr w:rsidR="00C51170" w:rsidRPr="00425AC0" w14:paraId="4532C58B" w14:textId="77777777" w:rsidTr="00F0124B">
        <w:trPr>
          <w:cantSplit/>
          <w:trHeight w:val="340"/>
        </w:trPr>
        <w:tc>
          <w:tcPr>
            <w:tcW w:w="993" w:type="dxa"/>
          </w:tcPr>
          <w:p w14:paraId="5FCF38D4" w14:textId="77777777" w:rsidR="00C51170" w:rsidRPr="00425AC0" w:rsidRDefault="00C51170" w:rsidP="00B868BA">
            <w:pPr>
              <w:tabs>
                <w:tab w:val="left" w:pos="4111"/>
              </w:tabs>
              <w:spacing w:before="10"/>
              <w:ind w:left="57"/>
              <w:rPr>
                <w:b/>
                <w:bCs/>
                <w:sz w:val="22"/>
              </w:rPr>
            </w:pPr>
            <w:r w:rsidRPr="00425AC0">
              <w:rPr>
                <w:b/>
                <w:bCs/>
                <w:sz w:val="22"/>
              </w:rPr>
              <w:t>Ref.:</w:t>
            </w:r>
          </w:p>
          <w:p w14:paraId="2BC4070A" w14:textId="77777777" w:rsidR="00C51170" w:rsidRPr="00425AC0" w:rsidRDefault="00C51170" w:rsidP="00B868BA">
            <w:pPr>
              <w:tabs>
                <w:tab w:val="left" w:pos="4111"/>
              </w:tabs>
              <w:spacing w:before="10"/>
              <w:ind w:left="57"/>
              <w:rPr>
                <w:b/>
                <w:bCs/>
                <w:sz w:val="22"/>
              </w:rPr>
            </w:pPr>
          </w:p>
        </w:tc>
        <w:tc>
          <w:tcPr>
            <w:tcW w:w="3499" w:type="dxa"/>
            <w:gridSpan w:val="2"/>
          </w:tcPr>
          <w:p w14:paraId="745DEFE8" w14:textId="3E1AC1C4" w:rsidR="00C51170" w:rsidRPr="00425AC0" w:rsidRDefault="00C51170" w:rsidP="00B868BA">
            <w:pPr>
              <w:spacing w:before="40"/>
              <w:ind w:left="57"/>
              <w:rPr>
                <w:b/>
                <w:bCs/>
                <w:sz w:val="22"/>
                <w:szCs w:val="22"/>
              </w:rPr>
            </w:pPr>
            <w:r w:rsidRPr="00425AC0">
              <w:rPr>
                <w:b/>
                <w:bCs/>
                <w:sz w:val="22"/>
                <w:szCs w:val="22"/>
              </w:rPr>
              <w:t xml:space="preserve">Circular TSB </w:t>
            </w:r>
            <w:r w:rsidR="00B868BA" w:rsidRPr="00425AC0">
              <w:rPr>
                <w:b/>
                <w:bCs/>
                <w:sz w:val="22"/>
                <w:szCs w:val="22"/>
              </w:rPr>
              <w:t>21</w:t>
            </w:r>
          </w:p>
          <w:p w14:paraId="4CC0D1AD" w14:textId="08CBAAAE" w:rsidR="00C51170" w:rsidRPr="00425AC0" w:rsidRDefault="00C51170" w:rsidP="00B868BA">
            <w:pPr>
              <w:tabs>
                <w:tab w:val="left" w:pos="4111"/>
              </w:tabs>
              <w:spacing w:before="0"/>
              <w:ind w:left="57"/>
            </w:pPr>
            <w:r w:rsidRPr="00425AC0">
              <w:rPr>
                <w:sz w:val="22"/>
                <w:szCs w:val="22"/>
              </w:rPr>
              <w:t>SG</w:t>
            </w:r>
            <w:r w:rsidR="00B868BA" w:rsidRPr="00425AC0">
              <w:rPr>
                <w:sz w:val="22"/>
                <w:szCs w:val="22"/>
              </w:rPr>
              <w:t>3</w:t>
            </w:r>
            <w:r w:rsidRPr="00425AC0">
              <w:rPr>
                <w:sz w:val="22"/>
                <w:szCs w:val="22"/>
              </w:rPr>
              <w:t>/</w:t>
            </w:r>
            <w:r w:rsidR="00B868BA" w:rsidRPr="00425AC0">
              <w:rPr>
                <w:sz w:val="22"/>
                <w:szCs w:val="22"/>
              </w:rPr>
              <w:t>ME</w:t>
            </w:r>
          </w:p>
        </w:tc>
        <w:tc>
          <w:tcPr>
            <w:tcW w:w="5400" w:type="dxa"/>
            <w:vMerge w:val="restart"/>
          </w:tcPr>
          <w:p w14:paraId="5716EF53" w14:textId="77777777" w:rsidR="00C51170" w:rsidRPr="00425AC0" w:rsidRDefault="00C51170" w:rsidP="00B868BA">
            <w:pPr>
              <w:tabs>
                <w:tab w:val="clear" w:pos="794"/>
                <w:tab w:val="clear" w:pos="1191"/>
                <w:tab w:val="clear" w:pos="1588"/>
                <w:tab w:val="clear" w:pos="1985"/>
                <w:tab w:val="left" w:pos="284"/>
              </w:tabs>
              <w:spacing w:before="0"/>
              <w:ind w:left="284" w:hanging="227"/>
              <w:rPr>
                <w:b/>
                <w:bCs/>
                <w:sz w:val="22"/>
                <w:szCs w:val="22"/>
              </w:rPr>
            </w:pPr>
            <w:r w:rsidRPr="00425AC0">
              <w:rPr>
                <w:b/>
                <w:bCs/>
                <w:sz w:val="22"/>
                <w:szCs w:val="22"/>
              </w:rPr>
              <w:t>A:</w:t>
            </w:r>
          </w:p>
          <w:p w14:paraId="25E81C18" w14:textId="77777777" w:rsidR="00C51170" w:rsidRPr="00425AC0" w:rsidRDefault="00C51170" w:rsidP="00B868BA">
            <w:pPr>
              <w:tabs>
                <w:tab w:val="clear" w:pos="794"/>
                <w:tab w:val="clear" w:pos="1191"/>
                <w:tab w:val="clear" w:pos="1588"/>
                <w:tab w:val="clear" w:pos="1985"/>
                <w:tab w:val="left" w:pos="284"/>
              </w:tabs>
              <w:spacing w:before="0"/>
              <w:ind w:left="284" w:hanging="227"/>
              <w:rPr>
                <w:sz w:val="22"/>
                <w:szCs w:val="22"/>
              </w:rPr>
            </w:pPr>
            <w:r w:rsidRPr="00425AC0">
              <w:rPr>
                <w:sz w:val="22"/>
                <w:szCs w:val="22"/>
              </w:rPr>
              <w:t>–</w:t>
            </w:r>
            <w:r w:rsidRPr="00425AC0">
              <w:rPr>
                <w:sz w:val="22"/>
                <w:szCs w:val="22"/>
              </w:rPr>
              <w:tab/>
              <w:t xml:space="preserve">las Administraciones de los Estados Miembros </w:t>
            </w:r>
            <w:r w:rsidRPr="00425AC0">
              <w:rPr>
                <w:sz w:val="22"/>
                <w:szCs w:val="22"/>
              </w:rPr>
              <w:br/>
              <w:t>de la Unión</w:t>
            </w:r>
          </w:p>
          <w:p w14:paraId="548A8F7F" w14:textId="77777777" w:rsidR="00C51170" w:rsidRPr="00425AC0" w:rsidRDefault="00C51170" w:rsidP="00B868BA">
            <w:pPr>
              <w:tabs>
                <w:tab w:val="clear" w:pos="794"/>
                <w:tab w:val="clear" w:pos="1191"/>
                <w:tab w:val="clear" w:pos="1588"/>
                <w:tab w:val="clear" w:pos="1985"/>
                <w:tab w:val="left" w:pos="284"/>
              </w:tabs>
              <w:spacing w:before="0"/>
              <w:ind w:left="284" w:hanging="227"/>
              <w:rPr>
                <w:b/>
                <w:bCs/>
                <w:sz w:val="22"/>
                <w:szCs w:val="22"/>
              </w:rPr>
            </w:pPr>
            <w:r w:rsidRPr="00425AC0">
              <w:rPr>
                <w:b/>
                <w:bCs/>
                <w:sz w:val="22"/>
                <w:szCs w:val="22"/>
              </w:rPr>
              <w:t>Copia:</w:t>
            </w:r>
          </w:p>
          <w:p w14:paraId="62AFDF9D" w14:textId="77777777" w:rsidR="00C51170" w:rsidRPr="00425AC0" w:rsidRDefault="00C51170" w:rsidP="00B868BA">
            <w:pPr>
              <w:tabs>
                <w:tab w:val="clear" w:pos="794"/>
                <w:tab w:val="clear" w:pos="1191"/>
                <w:tab w:val="clear" w:pos="1588"/>
                <w:tab w:val="clear" w:pos="1985"/>
                <w:tab w:val="left" w:pos="284"/>
              </w:tabs>
              <w:spacing w:before="0"/>
              <w:ind w:left="284" w:hanging="227"/>
              <w:rPr>
                <w:sz w:val="22"/>
                <w:szCs w:val="22"/>
              </w:rPr>
            </w:pPr>
            <w:r w:rsidRPr="00425AC0">
              <w:rPr>
                <w:sz w:val="22"/>
                <w:szCs w:val="22"/>
              </w:rPr>
              <w:t>–</w:t>
            </w:r>
            <w:r w:rsidRPr="00425AC0">
              <w:rPr>
                <w:sz w:val="22"/>
                <w:szCs w:val="22"/>
              </w:rPr>
              <w:tab/>
              <w:t>a los Miembros de Sector del UIT-T;</w:t>
            </w:r>
          </w:p>
          <w:p w14:paraId="10227A22" w14:textId="046C273D" w:rsidR="00C51170" w:rsidRPr="00425AC0" w:rsidRDefault="00C51170" w:rsidP="00F0124B">
            <w:pPr>
              <w:tabs>
                <w:tab w:val="clear" w:pos="794"/>
                <w:tab w:val="clear" w:pos="1191"/>
                <w:tab w:val="clear" w:pos="1588"/>
                <w:tab w:val="clear" w:pos="1985"/>
                <w:tab w:val="left" w:pos="284"/>
              </w:tabs>
              <w:spacing w:before="0"/>
              <w:ind w:left="284" w:right="-177" w:hanging="227"/>
              <w:rPr>
                <w:sz w:val="22"/>
                <w:szCs w:val="22"/>
              </w:rPr>
            </w:pPr>
            <w:r w:rsidRPr="00425AC0">
              <w:rPr>
                <w:sz w:val="22"/>
                <w:szCs w:val="22"/>
              </w:rPr>
              <w:t>–</w:t>
            </w:r>
            <w:r w:rsidRPr="00425AC0">
              <w:rPr>
                <w:sz w:val="22"/>
                <w:szCs w:val="22"/>
              </w:rPr>
              <w:tab/>
              <w:t xml:space="preserve">a los Asociados de la Comisión de Estudio </w:t>
            </w:r>
            <w:r w:rsidR="00B868BA" w:rsidRPr="00425AC0">
              <w:rPr>
                <w:sz w:val="22"/>
                <w:szCs w:val="22"/>
              </w:rPr>
              <w:t>3</w:t>
            </w:r>
            <w:r w:rsidRPr="00425AC0">
              <w:rPr>
                <w:sz w:val="22"/>
                <w:szCs w:val="22"/>
              </w:rPr>
              <w:t xml:space="preserve"> del UIT-T;</w:t>
            </w:r>
          </w:p>
          <w:p w14:paraId="15B413A4" w14:textId="77777777" w:rsidR="00C51170" w:rsidRPr="00425AC0" w:rsidRDefault="00C51170" w:rsidP="00B868BA">
            <w:pPr>
              <w:tabs>
                <w:tab w:val="clear" w:pos="794"/>
                <w:tab w:val="clear" w:pos="1191"/>
                <w:tab w:val="clear" w:pos="1588"/>
                <w:tab w:val="clear" w:pos="1985"/>
                <w:tab w:val="left" w:pos="284"/>
              </w:tabs>
              <w:spacing w:before="0"/>
              <w:ind w:left="284" w:hanging="227"/>
              <w:rPr>
                <w:sz w:val="22"/>
                <w:szCs w:val="22"/>
              </w:rPr>
            </w:pPr>
            <w:r w:rsidRPr="00425AC0">
              <w:rPr>
                <w:sz w:val="22"/>
                <w:szCs w:val="22"/>
              </w:rPr>
              <w:t>–</w:t>
            </w:r>
            <w:r w:rsidRPr="00425AC0">
              <w:rPr>
                <w:sz w:val="22"/>
                <w:szCs w:val="22"/>
              </w:rPr>
              <w:tab/>
              <w:t>a las Instituciones Académicas de la UIT;</w:t>
            </w:r>
          </w:p>
          <w:p w14:paraId="38623147" w14:textId="1D276575" w:rsidR="00C51170" w:rsidRPr="00425AC0" w:rsidRDefault="00C51170" w:rsidP="00B868BA">
            <w:pPr>
              <w:tabs>
                <w:tab w:val="clear" w:pos="794"/>
                <w:tab w:val="clear" w:pos="1191"/>
                <w:tab w:val="clear" w:pos="1588"/>
                <w:tab w:val="clear" w:pos="1985"/>
                <w:tab w:val="left" w:pos="284"/>
              </w:tabs>
              <w:spacing w:before="0"/>
              <w:ind w:left="284" w:hanging="227"/>
              <w:rPr>
                <w:sz w:val="22"/>
                <w:szCs w:val="22"/>
              </w:rPr>
            </w:pPr>
            <w:r w:rsidRPr="00425AC0">
              <w:rPr>
                <w:sz w:val="22"/>
                <w:szCs w:val="22"/>
              </w:rPr>
              <w:t>–</w:t>
            </w:r>
            <w:r w:rsidRPr="00425AC0">
              <w:rPr>
                <w:sz w:val="22"/>
                <w:szCs w:val="22"/>
              </w:rPr>
              <w:tab/>
              <w:t>al Presidente y a los Vicepresidentes</w:t>
            </w:r>
            <w:r w:rsidRPr="00425AC0">
              <w:rPr>
                <w:sz w:val="22"/>
                <w:szCs w:val="22"/>
              </w:rPr>
              <w:br/>
              <w:t xml:space="preserve">de la Comisión de Estudio </w:t>
            </w:r>
            <w:r w:rsidR="00B868BA" w:rsidRPr="00425AC0">
              <w:rPr>
                <w:sz w:val="22"/>
                <w:szCs w:val="22"/>
              </w:rPr>
              <w:t>3</w:t>
            </w:r>
            <w:r w:rsidRPr="00425AC0">
              <w:rPr>
                <w:sz w:val="22"/>
                <w:szCs w:val="22"/>
              </w:rPr>
              <w:t xml:space="preserve"> del UIT-T;</w:t>
            </w:r>
          </w:p>
          <w:p w14:paraId="2A093B33" w14:textId="77777777" w:rsidR="00C51170" w:rsidRPr="00425AC0" w:rsidRDefault="00C51170" w:rsidP="00B868BA">
            <w:pPr>
              <w:tabs>
                <w:tab w:val="clear" w:pos="794"/>
                <w:tab w:val="clear" w:pos="1191"/>
                <w:tab w:val="clear" w:pos="1588"/>
                <w:tab w:val="clear" w:pos="1985"/>
                <w:tab w:val="left" w:pos="284"/>
              </w:tabs>
              <w:spacing w:before="0"/>
              <w:ind w:left="284" w:hanging="227"/>
              <w:rPr>
                <w:sz w:val="22"/>
                <w:szCs w:val="22"/>
              </w:rPr>
            </w:pPr>
            <w:r w:rsidRPr="00425AC0">
              <w:rPr>
                <w:sz w:val="22"/>
                <w:szCs w:val="22"/>
              </w:rPr>
              <w:t>–</w:t>
            </w:r>
            <w:r w:rsidRPr="00425AC0">
              <w:rPr>
                <w:sz w:val="22"/>
                <w:szCs w:val="22"/>
              </w:rPr>
              <w:tab/>
              <w:t>a la Directora de la Oficina de Desarrollo</w:t>
            </w:r>
            <w:r w:rsidRPr="00425AC0">
              <w:rPr>
                <w:sz w:val="22"/>
                <w:szCs w:val="22"/>
              </w:rPr>
              <w:br/>
              <w:t>de las Telecomunicaciones;</w:t>
            </w:r>
          </w:p>
          <w:p w14:paraId="1C38AC32" w14:textId="16B2DEAC" w:rsidR="00C51170" w:rsidRPr="00425AC0" w:rsidRDefault="00C51170" w:rsidP="00425AC0">
            <w:pPr>
              <w:tabs>
                <w:tab w:val="clear" w:pos="794"/>
                <w:tab w:val="clear" w:pos="1191"/>
                <w:tab w:val="clear" w:pos="1588"/>
                <w:tab w:val="clear" w:pos="1985"/>
                <w:tab w:val="left" w:pos="284"/>
              </w:tabs>
              <w:spacing w:before="0" w:after="120"/>
              <w:ind w:left="284" w:hanging="227"/>
              <w:rPr>
                <w:sz w:val="22"/>
                <w:szCs w:val="22"/>
              </w:rPr>
            </w:pPr>
            <w:r w:rsidRPr="00425AC0">
              <w:rPr>
                <w:sz w:val="22"/>
                <w:szCs w:val="22"/>
              </w:rPr>
              <w:t>–</w:t>
            </w:r>
            <w:r w:rsidRPr="00425AC0">
              <w:rPr>
                <w:sz w:val="22"/>
                <w:szCs w:val="22"/>
              </w:rPr>
              <w:tab/>
              <w:t>al Director de la Oficina de Radiocomunicaciones</w:t>
            </w:r>
          </w:p>
        </w:tc>
      </w:tr>
      <w:tr w:rsidR="00C51170" w:rsidRPr="00425AC0" w14:paraId="2B7D6C4D" w14:textId="77777777" w:rsidTr="00F0124B">
        <w:trPr>
          <w:cantSplit/>
        </w:trPr>
        <w:tc>
          <w:tcPr>
            <w:tcW w:w="993" w:type="dxa"/>
          </w:tcPr>
          <w:p w14:paraId="47D134FF" w14:textId="77777777" w:rsidR="00C51170" w:rsidRPr="00425AC0" w:rsidRDefault="00C51170" w:rsidP="00B868BA">
            <w:pPr>
              <w:tabs>
                <w:tab w:val="left" w:pos="4111"/>
              </w:tabs>
              <w:spacing w:before="10"/>
              <w:ind w:left="57"/>
              <w:rPr>
                <w:b/>
                <w:bCs/>
                <w:sz w:val="22"/>
              </w:rPr>
            </w:pPr>
            <w:r w:rsidRPr="00425AC0">
              <w:rPr>
                <w:b/>
                <w:bCs/>
                <w:sz w:val="22"/>
              </w:rPr>
              <w:t>Tel.:</w:t>
            </w:r>
          </w:p>
        </w:tc>
        <w:tc>
          <w:tcPr>
            <w:tcW w:w="3499" w:type="dxa"/>
            <w:gridSpan w:val="2"/>
          </w:tcPr>
          <w:p w14:paraId="3FEAE9C3" w14:textId="1709C777" w:rsidR="00C51170" w:rsidRPr="00425AC0" w:rsidRDefault="00C51170" w:rsidP="00B868BA">
            <w:pPr>
              <w:tabs>
                <w:tab w:val="left" w:pos="4111"/>
              </w:tabs>
              <w:spacing w:before="0"/>
              <w:ind w:left="57"/>
              <w:rPr>
                <w:rStyle w:val="Hyperlink"/>
              </w:rPr>
            </w:pPr>
            <w:r w:rsidRPr="00425AC0">
              <w:rPr>
                <w:sz w:val="22"/>
                <w:szCs w:val="22"/>
              </w:rPr>
              <w:t>+41 22 730 58</w:t>
            </w:r>
            <w:r w:rsidR="00B868BA" w:rsidRPr="00425AC0">
              <w:rPr>
                <w:sz w:val="22"/>
                <w:szCs w:val="22"/>
              </w:rPr>
              <w:t>66</w:t>
            </w:r>
          </w:p>
        </w:tc>
        <w:tc>
          <w:tcPr>
            <w:tcW w:w="5400" w:type="dxa"/>
            <w:vMerge/>
          </w:tcPr>
          <w:p w14:paraId="3216B07D" w14:textId="4EA13DB5" w:rsidR="00C51170" w:rsidRPr="00425AC0" w:rsidRDefault="00C51170" w:rsidP="00B868BA">
            <w:pPr>
              <w:tabs>
                <w:tab w:val="left" w:pos="226"/>
                <w:tab w:val="left" w:pos="510"/>
              </w:tabs>
              <w:spacing w:before="0"/>
              <w:ind w:left="226" w:hanging="169"/>
              <w:rPr>
                <w:b/>
              </w:rPr>
            </w:pPr>
          </w:p>
        </w:tc>
      </w:tr>
      <w:tr w:rsidR="00C51170" w:rsidRPr="00425AC0" w14:paraId="4B32B212" w14:textId="77777777" w:rsidTr="00F0124B">
        <w:trPr>
          <w:cantSplit/>
        </w:trPr>
        <w:tc>
          <w:tcPr>
            <w:tcW w:w="993" w:type="dxa"/>
          </w:tcPr>
          <w:p w14:paraId="05B084FE" w14:textId="77777777" w:rsidR="00C51170" w:rsidRPr="00425AC0" w:rsidRDefault="00C51170" w:rsidP="00B868BA">
            <w:pPr>
              <w:tabs>
                <w:tab w:val="left" w:pos="4111"/>
              </w:tabs>
              <w:spacing w:before="10"/>
              <w:ind w:left="57"/>
              <w:rPr>
                <w:b/>
                <w:bCs/>
                <w:sz w:val="22"/>
              </w:rPr>
            </w:pPr>
            <w:r w:rsidRPr="00425AC0">
              <w:rPr>
                <w:b/>
                <w:bCs/>
                <w:sz w:val="22"/>
              </w:rPr>
              <w:t>Fax:</w:t>
            </w:r>
          </w:p>
        </w:tc>
        <w:tc>
          <w:tcPr>
            <w:tcW w:w="3499" w:type="dxa"/>
            <w:gridSpan w:val="2"/>
          </w:tcPr>
          <w:p w14:paraId="5FEAAE88" w14:textId="21036ABA" w:rsidR="00C51170" w:rsidRPr="00425AC0" w:rsidRDefault="00C51170" w:rsidP="00B868BA">
            <w:pPr>
              <w:tabs>
                <w:tab w:val="left" w:pos="4111"/>
              </w:tabs>
              <w:spacing w:before="0"/>
              <w:ind w:left="57"/>
              <w:rPr>
                <w:rStyle w:val="Hyperlink"/>
              </w:rPr>
            </w:pPr>
            <w:r w:rsidRPr="00425AC0">
              <w:rPr>
                <w:sz w:val="22"/>
                <w:szCs w:val="22"/>
              </w:rPr>
              <w:t>+41 22 730 5853</w:t>
            </w:r>
          </w:p>
        </w:tc>
        <w:tc>
          <w:tcPr>
            <w:tcW w:w="5400" w:type="dxa"/>
            <w:vMerge/>
          </w:tcPr>
          <w:p w14:paraId="49368254" w14:textId="189D93B4" w:rsidR="00C51170" w:rsidRPr="00425AC0" w:rsidRDefault="00C51170" w:rsidP="00B868BA">
            <w:pPr>
              <w:tabs>
                <w:tab w:val="left" w:pos="226"/>
                <w:tab w:val="left" w:pos="510"/>
              </w:tabs>
              <w:spacing w:before="0"/>
              <w:ind w:left="226" w:hanging="169"/>
              <w:rPr>
                <w:b/>
              </w:rPr>
            </w:pPr>
          </w:p>
        </w:tc>
      </w:tr>
      <w:tr w:rsidR="00C51170" w:rsidRPr="00425AC0" w14:paraId="44D05ACB" w14:textId="77777777" w:rsidTr="00F0124B">
        <w:trPr>
          <w:cantSplit/>
        </w:trPr>
        <w:tc>
          <w:tcPr>
            <w:tcW w:w="993" w:type="dxa"/>
          </w:tcPr>
          <w:p w14:paraId="72E64968" w14:textId="77777777" w:rsidR="00C51170" w:rsidRPr="00425AC0" w:rsidRDefault="00C51170" w:rsidP="00B868BA">
            <w:pPr>
              <w:tabs>
                <w:tab w:val="left" w:pos="4111"/>
              </w:tabs>
              <w:spacing w:before="10"/>
              <w:ind w:left="57"/>
              <w:rPr>
                <w:b/>
                <w:bCs/>
                <w:sz w:val="22"/>
              </w:rPr>
            </w:pPr>
            <w:r w:rsidRPr="00425AC0">
              <w:rPr>
                <w:b/>
                <w:bCs/>
                <w:sz w:val="22"/>
              </w:rPr>
              <w:t>Correo-e:</w:t>
            </w:r>
          </w:p>
        </w:tc>
        <w:tc>
          <w:tcPr>
            <w:tcW w:w="3499" w:type="dxa"/>
            <w:gridSpan w:val="2"/>
          </w:tcPr>
          <w:p w14:paraId="079B1811" w14:textId="5B4B3FA4" w:rsidR="00C51170" w:rsidRPr="00425AC0" w:rsidRDefault="00614A75" w:rsidP="00B868BA">
            <w:pPr>
              <w:tabs>
                <w:tab w:val="left" w:pos="4111"/>
              </w:tabs>
              <w:spacing w:before="0"/>
              <w:ind w:left="57"/>
            </w:pPr>
            <w:hyperlink r:id="rId9" w:history="1">
              <w:r w:rsidR="00B868BA" w:rsidRPr="00425AC0">
                <w:rPr>
                  <w:rStyle w:val="Hyperlink"/>
                  <w:sz w:val="22"/>
                  <w:szCs w:val="22"/>
                </w:rPr>
                <w:t>tsbsg3@itu.int</w:t>
              </w:r>
            </w:hyperlink>
          </w:p>
        </w:tc>
        <w:tc>
          <w:tcPr>
            <w:tcW w:w="5400" w:type="dxa"/>
            <w:vMerge/>
          </w:tcPr>
          <w:p w14:paraId="4199D014" w14:textId="4F5E138C" w:rsidR="00C51170" w:rsidRPr="00425AC0" w:rsidRDefault="00C51170" w:rsidP="00B868BA">
            <w:pPr>
              <w:tabs>
                <w:tab w:val="clear" w:pos="794"/>
                <w:tab w:val="clear" w:pos="1191"/>
                <w:tab w:val="clear" w:pos="1588"/>
                <w:tab w:val="clear" w:pos="1985"/>
                <w:tab w:val="left" w:pos="226"/>
                <w:tab w:val="left" w:pos="510"/>
              </w:tabs>
              <w:spacing w:before="0"/>
              <w:ind w:left="226" w:hanging="169"/>
            </w:pPr>
          </w:p>
        </w:tc>
      </w:tr>
      <w:tr w:rsidR="00C51170" w:rsidRPr="00425AC0" w14:paraId="6FAD8A66" w14:textId="77777777" w:rsidTr="00F0124B">
        <w:trPr>
          <w:cantSplit/>
          <w:trHeight w:val="593"/>
        </w:trPr>
        <w:tc>
          <w:tcPr>
            <w:tcW w:w="993" w:type="dxa"/>
          </w:tcPr>
          <w:p w14:paraId="0837FB2F" w14:textId="12FFE3A3" w:rsidR="00C51170" w:rsidRPr="00425AC0" w:rsidRDefault="00C51170" w:rsidP="00B868BA">
            <w:pPr>
              <w:tabs>
                <w:tab w:val="left" w:pos="4111"/>
              </w:tabs>
              <w:spacing w:before="10"/>
              <w:ind w:left="57"/>
              <w:rPr>
                <w:b/>
                <w:bCs/>
                <w:sz w:val="22"/>
              </w:rPr>
            </w:pPr>
            <w:r w:rsidRPr="00425AC0">
              <w:rPr>
                <w:b/>
                <w:bCs/>
                <w:sz w:val="22"/>
                <w:szCs w:val="22"/>
              </w:rPr>
              <w:t>Asunto:</w:t>
            </w:r>
          </w:p>
        </w:tc>
        <w:tc>
          <w:tcPr>
            <w:tcW w:w="8899" w:type="dxa"/>
            <w:gridSpan w:val="3"/>
          </w:tcPr>
          <w:p w14:paraId="66AC00F4" w14:textId="56EABAD5" w:rsidR="00C51170" w:rsidRPr="00425AC0" w:rsidRDefault="00C51170" w:rsidP="00B868BA">
            <w:pPr>
              <w:tabs>
                <w:tab w:val="left" w:pos="4111"/>
              </w:tabs>
              <w:spacing w:before="0"/>
              <w:rPr>
                <w:b/>
              </w:rPr>
            </w:pPr>
            <w:r w:rsidRPr="00425AC0">
              <w:rPr>
                <w:b/>
                <w:bCs/>
                <w:sz w:val="22"/>
                <w:szCs w:val="22"/>
              </w:rPr>
              <w:t xml:space="preserve">Propuesta de supresión de la Recomendación UIT-T </w:t>
            </w:r>
            <w:r w:rsidR="00B868BA" w:rsidRPr="00425AC0">
              <w:rPr>
                <w:b/>
                <w:bCs/>
                <w:sz w:val="22"/>
                <w:szCs w:val="22"/>
              </w:rPr>
              <w:t>D</w:t>
            </w:r>
            <w:r w:rsidRPr="00425AC0">
              <w:rPr>
                <w:b/>
                <w:bCs/>
                <w:sz w:val="22"/>
                <w:szCs w:val="22"/>
              </w:rPr>
              <w:t>.</w:t>
            </w:r>
            <w:r w:rsidR="00B868BA" w:rsidRPr="00425AC0">
              <w:rPr>
                <w:b/>
                <w:bCs/>
                <w:sz w:val="22"/>
                <w:szCs w:val="22"/>
              </w:rPr>
              <w:t>28</w:t>
            </w:r>
            <w:r w:rsidRPr="00425AC0">
              <w:rPr>
                <w:b/>
                <w:bCs/>
                <w:sz w:val="22"/>
                <w:szCs w:val="22"/>
              </w:rPr>
              <w:t>0 acordada por la C</w:t>
            </w:r>
            <w:r w:rsidR="002C06A0" w:rsidRPr="00425AC0">
              <w:rPr>
                <w:b/>
                <w:bCs/>
                <w:sz w:val="22"/>
                <w:szCs w:val="22"/>
              </w:rPr>
              <w:t>E </w:t>
            </w:r>
            <w:r w:rsidR="00B868BA" w:rsidRPr="00425AC0">
              <w:rPr>
                <w:b/>
                <w:bCs/>
                <w:sz w:val="22"/>
                <w:szCs w:val="22"/>
              </w:rPr>
              <w:t>3</w:t>
            </w:r>
            <w:r w:rsidRPr="00425AC0">
              <w:rPr>
                <w:b/>
                <w:bCs/>
                <w:sz w:val="22"/>
                <w:szCs w:val="22"/>
              </w:rPr>
              <w:t xml:space="preserve"> </w:t>
            </w:r>
            <w:r w:rsidRPr="00425AC0">
              <w:rPr>
                <w:b/>
                <w:bCs/>
                <w:sz w:val="22"/>
                <w:szCs w:val="22"/>
              </w:rPr>
              <w:br/>
              <w:t xml:space="preserve">del UIT-T en su reunión del </w:t>
            </w:r>
            <w:r w:rsidR="00B868BA" w:rsidRPr="00425AC0">
              <w:rPr>
                <w:b/>
                <w:bCs/>
                <w:sz w:val="22"/>
                <w:szCs w:val="22"/>
              </w:rPr>
              <w:t>23</w:t>
            </w:r>
            <w:r w:rsidRPr="00425AC0">
              <w:rPr>
                <w:b/>
                <w:bCs/>
                <w:sz w:val="22"/>
                <w:szCs w:val="22"/>
              </w:rPr>
              <w:t xml:space="preserve"> al </w:t>
            </w:r>
            <w:r w:rsidR="00B868BA" w:rsidRPr="00425AC0">
              <w:rPr>
                <w:b/>
                <w:bCs/>
                <w:sz w:val="22"/>
                <w:szCs w:val="22"/>
              </w:rPr>
              <w:t>27</w:t>
            </w:r>
            <w:r w:rsidRPr="00425AC0">
              <w:rPr>
                <w:b/>
                <w:bCs/>
                <w:sz w:val="22"/>
                <w:szCs w:val="22"/>
              </w:rPr>
              <w:t xml:space="preserve"> de </w:t>
            </w:r>
            <w:r w:rsidR="00B868BA" w:rsidRPr="00425AC0">
              <w:rPr>
                <w:b/>
                <w:bCs/>
                <w:sz w:val="22"/>
                <w:szCs w:val="22"/>
              </w:rPr>
              <w:t xml:space="preserve">mayo </w:t>
            </w:r>
            <w:r w:rsidRPr="00425AC0">
              <w:rPr>
                <w:b/>
                <w:bCs/>
                <w:sz w:val="22"/>
                <w:szCs w:val="22"/>
              </w:rPr>
              <w:t>de 202</w:t>
            </w:r>
            <w:r w:rsidR="00B868BA" w:rsidRPr="00425AC0">
              <w:rPr>
                <w:b/>
                <w:bCs/>
                <w:sz w:val="22"/>
                <w:szCs w:val="22"/>
              </w:rPr>
              <w:t>2</w:t>
            </w:r>
          </w:p>
        </w:tc>
      </w:tr>
    </w:tbl>
    <w:p w14:paraId="6FA34B43" w14:textId="38616B3D" w:rsidR="00C34772" w:rsidRPr="00686519" w:rsidRDefault="00C34772" w:rsidP="00151F41">
      <w:pPr>
        <w:pStyle w:val="Normalaftertitle0"/>
        <w:rPr>
          <w:sz w:val="22"/>
          <w:szCs w:val="18"/>
        </w:rPr>
      </w:pPr>
      <w:bookmarkStart w:id="0" w:name="StartTyping_S"/>
      <w:bookmarkStart w:id="1" w:name="suitetext"/>
      <w:bookmarkStart w:id="2" w:name="text"/>
      <w:bookmarkEnd w:id="0"/>
      <w:bookmarkEnd w:id="1"/>
      <w:bookmarkEnd w:id="2"/>
      <w:r w:rsidRPr="00686519">
        <w:rPr>
          <w:sz w:val="22"/>
          <w:szCs w:val="18"/>
        </w:rPr>
        <w:t>Muy Señora mía/Muy Señor mío</w:t>
      </w:r>
      <w:r w:rsidR="00686519" w:rsidRPr="00686519">
        <w:rPr>
          <w:sz w:val="22"/>
          <w:szCs w:val="18"/>
        </w:rPr>
        <w:t>,</w:t>
      </w:r>
    </w:p>
    <w:p w14:paraId="7E09BFB8" w14:textId="23E99BF7" w:rsidR="00C51170" w:rsidRPr="00686519" w:rsidRDefault="00C51170" w:rsidP="00151F41">
      <w:pPr>
        <w:rPr>
          <w:sz w:val="22"/>
          <w:szCs w:val="18"/>
        </w:rPr>
      </w:pPr>
      <w:r w:rsidRPr="00686519">
        <w:rPr>
          <w:sz w:val="22"/>
          <w:szCs w:val="18"/>
        </w:rPr>
        <w:t>1</w:t>
      </w:r>
      <w:r w:rsidRPr="00686519">
        <w:rPr>
          <w:sz w:val="22"/>
          <w:szCs w:val="18"/>
        </w:rPr>
        <w:tab/>
        <w:t xml:space="preserve">A </w:t>
      </w:r>
      <w:r w:rsidR="00B868BA" w:rsidRPr="00686519">
        <w:rPr>
          <w:sz w:val="22"/>
          <w:szCs w:val="18"/>
        </w:rPr>
        <w:t xml:space="preserve">petición </w:t>
      </w:r>
      <w:r w:rsidRPr="00686519">
        <w:rPr>
          <w:sz w:val="22"/>
          <w:szCs w:val="18"/>
        </w:rPr>
        <w:t xml:space="preserve">del Presidente de la Comisión de Estudio </w:t>
      </w:r>
      <w:r w:rsidR="00B868BA" w:rsidRPr="00686519">
        <w:rPr>
          <w:sz w:val="22"/>
          <w:szCs w:val="18"/>
        </w:rPr>
        <w:t>3</w:t>
      </w:r>
      <w:r w:rsidRPr="00686519">
        <w:rPr>
          <w:sz w:val="22"/>
          <w:szCs w:val="18"/>
        </w:rPr>
        <w:t xml:space="preserve"> del UIT</w:t>
      </w:r>
      <w:r w:rsidRPr="00686519">
        <w:rPr>
          <w:sz w:val="22"/>
          <w:szCs w:val="18"/>
        </w:rPr>
        <w:noBreakHyphen/>
        <w:t>T (</w:t>
      </w:r>
      <w:r w:rsidR="00B868BA" w:rsidRPr="00686519">
        <w:rPr>
          <w:i/>
          <w:iCs/>
          <w:sz w:val="22"/>
          <w:szCs w:val="18"/>
        </w:rPr>
        <w:t>Principios de tarificación y contabilidad y cuestiones económicas y políticas de las telecomunicaciones/TIC internacionales</w:t>
      </w:r>
      <w:r w:rsidRPr="00686519">
        <w:rPr>
          <w:sz w:val="22"/>
          <w:szCs w:val="18"/>
        </w:rPr>
        <w:t xml:space="preserve">), tengo el honor de informarle que esta Comisión de Estudio, en su reunión del </w:t>
      </w:r>
      <w:r w:rsidR="00B868BA" w:rsidRPr="00686519">
        <w:rPr>
          <w:sz w:val="22"/>
          <w:szCs w:val="18"/>
        </w:rPr>
        <w:t>23</w:t>
      </w:r>
      <w:r w:rsidRPr="00686519">
        <w:rPr>
          <w:sz w:val="22"/>
          <w:szCs w:val="18"/>
        </w:rPr>
        <w:t xml:space="preserve"> al </w:t>
      </w:r>
      <w:r w:rsidR="00B868BA" w:rsidRPr="00686519">
        <w:rPr>
          <w:sz w:val="22"/>
          <w:szCs w:val="18"/>
        </w:rPr>
        <w:t>27</w:t>
      </w:r>
      <w:r w:rsidRPr="00686519">
        <w:rPr>
          <w:sz w:val="22"/>
          <w:szCs w:val="18"/>
        </w:rPr>
        <w:t xml:space="preserve"> de </w:t>
      </w:r>
      <w:r w:rsidR="00B868BA" w:rsidRPr="00686519">
        <w:rPr>
          <w:sz w:val="22"/>
          <w:szCs w:val="18"/>
        </w:rPr>
        <w:t>mayo</w:t>
      </w:r>
      <w:r w:rsidRPr="00686519">
        <w:rPr>
          <w:sz w:val="22"/>
          <w:szCs w:val="18"/>
        </w:rPr>
        <w:t xml:space="preserve"> de</w:t>
      </w:r>
      <w:r w:rsidR="00425AC0" w:rsidRPr="00686519">
        <w:rPr>
          <w:sz w:val="22"/>
          <w:szCs w:val="18"/>
        </w:rPr>
        <w:t> </w:t>
      </w:r>
      <w:r w:rsidRPr="00686519">
        <w:rPr>
          <w:sz w:val="22"/>
          <w:szCs w:val="18"/>
        </w:rPr>
        <w:t>202</w:t>
      </w:r>
      <w:r w:rsidR="00B868BA" w:rsidRPr="00686519">
        <w:rPr>
          <w:sz w:val="22"/>
          <w:szCs w:val="18"/>
        </w:rPr>
        <w:t>2</w:t>
      </w:r>
      <w:r w:rsidRPr="00686519">
        <w:rPr>
          <w:sz w:val="22"/>
          <w:szCs w:val="18"/>
        </w:rPr>
        <w:t xml:space="preserve">, acordó suprimir la Recomendación UIT-T </w:t>
      </w:r>
      <w:r w:rsidR="00B868BA" w:rsidRPr="00686519">
        <w:rPr>
          <w:sz w:val="22"/>
          <w:szCs w:val="18"/>
        </w:rPr>
        <w:t>arriba mencionada</w:t>
      </w:r>
      <w:r w:rsidRPr="00686519">
        <w:rPr>
          <w:sz w:val="22"/>
          <w:szCs w:val="18"/>
        </w:rPr>
        <w:t>, de acuerdo con las disposiciones de la Resolución 1 (Rev. </w:t>
      </w:r>
      <w:r w:rsidR="00454C73" w:rsidRPr="00686519">
        <w:rPr>
          <w:sz w:val="22"/>
          <w:szCs w:val="18"/>
        </w:rPr>
        <w:t>Ginebra</w:t>
      </w:r>
      <w:r w:rsidRPr="00686519">
        <w:rPr>
          <w:sz w:val="22"/>
          <w:szCs w:val="18"/>
        </w:rPr>
        <w:t>, 20</w:t>
      </w:r>
      <w:r w:rsidR="00454C73" w:rsidRPr="00686519">
        <w:rPr>
          <w:sz w:val="22"/>
          <w:szCs w:val="18"/>
        </w:rPr>
        <w:t>22</w:t>
      </w:r>
      <w:r w:rsidRPr="00686519">
        <w:rPr>
          <w:sz w:val="22"/>
          <w:szCs w:val="18"/>
        </w:rPr>
        <w:t>)</w:t>
      </w:r>
      <w:r w:rsidR="00454C73" w:rsidRPr="00686519">
        <w:rPr>
          <w:sz w:val="22"/>
          <w:szCs w:val="18"/>
        </w:rPr>
        <w:t xml:space="preserve"> de la AMNT</w:t>
      </w:r>
      <w:r w:rsidRPr="00686519">
        <w:rPr>
          <w:sz w:val="22"/>
          <w:szCs w:val="18"/>
        </w:rPr>
        <w:t xml:space="preserve">, Sección 9, § 9.8.2. </w:t>
      </w:r>
      <w:r w:rsidR="00F0124B" w:rsidRPr="00686519">
        <w:rPr>
          <w:sz w:val="22"/>
          <w:szCs w:val="18"/>
        </w:rPr>
        <w:t xml:space="preserve">No hubo objeciones a este acuerdo por los </w:t>
      </w:r>
      <w:r w:rsidRPr="00686519">
        <w:rPr>
          <w:sz w:val="22"/>
          <w:szCs w:val="18"/>
        </w:rPr>
        <w:t>Estados Miembros y Miembros de Sector</w:t>
      </w:r>
      <w:r w:rsidR="00F0124B" w:rsidRPr="00686519">
        <w:rPr>
          <w:sz w:val="22"/>
          <w:szCs w:val="18"/>
        </w:rPr>
        <w:t xml:space="preserve"> que participaron en la reunión</w:t>
      </w:r>
      <w:r w:rsidRPr="00686519">
        <w:rPr>
          <w:sz w:val="22"/>
          <w:szCs w:val="18"/>
        </w:rPr>
        <w:t>.</w:t>
      </w:r>
    </w:p>
    <w:p w14:paraId="570CFD3D" w14:textId="77777777" w:rsidR="00C51170" w:rsidRPr="00686519" w:rsidRDefault="00C51170" w:rsidP="00151F41">
      <w:pPr>
        <w:rPr>
          <w:sz w:val="22"/>
          <w:szCs w:val="18"/>
        </w:rPr>
      </w:pPr>
      <w:r w:rsidRPr="00686519">
        <w:rPr>
          <w:sz w:val="22"/>
          <w:szCs w:val="18"/>
        </w:rPr>
        <w:t>2</w:t>
      </w:r>
      <w:r w:rsidRPr="00686519">
        <w:rPr>
          <w:sz w:val="22"/>
          <w:szCs w:val="18"/>
        </w:rPr>
        <w:tab/>
        <w:t xml:space="preserve">En el </w:t>
      </w:r>
      <w:r w:rsidRPr="00686519">
        <w:rPr>
          <w:b/>
          <w:bCs/>
          <w:sz w:val="22"/>
          <w:szCs w:val="18"/>
        </w:rPr>
        <w:t>Anexo 1</w:t>
      </w:r>
      <w:r w:rsidRPr="00686519">
        <w:rPr>
          <w:sz w:val="22"/>
          <w:szCs w:val="18"/>
        </w:rPr>
        <w:t xml:space="preserve"> se facilita información sobre este acuerdo, incluido un resumen explicativo acerca de los motivos de la supresión.</w:t>
      </w:r>
    </w:p>
    <w:p w14:paraId="285BEFB1" w14:textId="06E7FB13" w:rsidR="00C51170" w:rsidRPr="00686519" w:rsidRDefault="00C51170" w:rsidP="00151F41">
      <w:pPr>
        <w:rPr>
          <w:sz w:val="22"/>
          <w:szCs w:val="18"/>
        </w:rPr>
      </w:pPr>
      <w:r w:rsidRPr="00686519">
        <w:rPr>
          <w:sz w:val="22"/>
          <w:szCs w:val="18"/>
        </w:rPr>
        <w:t>3</w:t>
      </w:r>
      <w:r w:rsidRPr="00686519">
        <w:rPr>
          <w:sz w:val="22"/>
          <w:szCs w:val="18"/>
        </w:rPr>
        <w:tab/>
        <w:t xml:space="preserve">Teniendo en cuenta las disposiciones de la Resolución 1, Sección 9, le agradecería que me comunicase antes de las 24.00 horas UTC del </w:t>
      </w:r>
      <w:r w:rsidR="00B868BA" w:rsidRPr="00686519">
        <w:rPr>
          <w:b/>
          <w:bCs/>
          <w:sz w:val="22"/>
          <w:szCs w:val="18"/>
        </w:rPr>
        <w:t>30</w:t>
      </w:r>
      <w:r w:rsidRPr="00686519">
        <w:rPr>
          <w:b/>
          <w:bCs/>
          <w:sz w:val="22"/>
          <w:szCs w:val="18"/>
        </w:rPr>
        <w:t xml:space="preserve"> de </w:t>
      </w:r>
      <w:r w:rsidR="00B868BA" w:rsidRPr="00686519">
        <w:rPr>
          <w:b/>
          <w:bCs/>
          <w:sz w:val="22"/>
          <w:szCs w:val="18"/>
        </w:rPr>
        <w:t xml:space="preserve">agosto </w:t>
      </w:r>
      <w:r w:rsidRPr="00686519">
        <w:rPr>
          <w:b/>
          <w:bCs/>
          <w:sz w:val="22"/>
          <w:szCs w:val="18"/>
        </w:rPr>
        <w:t>de 2022</w:t>
      </w:r>
      <w:r w:rsidRPr="00686519">
        <w:rPr>
          <w:sz w:val="22"/>
          <w:szCs w:val="18"/>
        </w:rPr>
        <w:t xml:space="preserve"> si su Administración/</w:t>
      </w:r>
      <w:r w:rsidR="008C12EB" w:rsidRPr="00686519">
        <w:rPr>
          <w:sz w:val="22"/>
          <w:szCs w:val="18"/>
        </w:rPr>
        <w:br/>
      </w:r>
      <w:r w:rsidRPr="00686519">
        <w:rPr>
          <w:sz w:val="22"/>
          <w:szCs w:val="18"/>
        </w:rPr>
        <w:t>organización aprueba o rechaza dicha supresión.</w:t>
      </w:r>
    </w:p>
    <w:p w14:paraId="6A072DAB" w14:textId="0678D6F1" w:rsidR="00C51170" w:rsidRPr="00686519" w:rsidRDefault="008C12EB" w:rsidP="00151F41">
      <w:pPr>
        <w:rPr>
          <w:sz w:val="22"/>
          <w:szCs w:val="18"/>
        </w:rPr>
      </w:pPr>
      <w:r w:rsidRPr="00686519">
        <w:rPr>
          <w:sz w:val="22"/>
          <w:szCs w:val="18"/>
        </w:rPr>
        <w:tab/>
      </w:r>
      <w:r w:rsidR="00C51170" w:rsidRPr="00686519">
        <w:rPr>
          <w:sz w:val="22"/>
          <w:szCs w:val="18"/>
        </w:rPr>
        <w:t>Si algunos Estados Miembros o Miembros de Sector consideran que no debe aceptarse la supresión, deberán comunicar los motivos de su oposición, tras lo cual el asunto volverá a la Comisión de Estudio.</w:t>
      </w:r>
    </w:p>
    <w:p w14:paraId="306FE731" w14:textId="1516028D" w:rsidR="00C51170" w:rsidRPr="00686519" w:rsidRDefault="00C51170" w:rsidP="008C12EB">
      <w:pPr>
        <w:rPr>
          <w:sz w:val="22"/>
          <w:szCs w:val="18"/>
        </w:rPr>
      </w:pPr>
      <w:r w:rsidRPr="00686519">
        <w:rPr>
          <w:sz w:val="22"/>
          <w:szCs w:val="18"/>
        </w:rPr>
        <w:t>4</w:t>
      </w:r>
      <w:r w:rsidRPr="00686519">
        <w:rPr>
          <w:sz w:val="22"/>
          <w:szCs w:val="18"/>
        </w:rPr>
        <w:tab/>
        <w:t xml:space="preserve">Tras cumplirse el plazo citado el </w:t>
      </w:r>
      <w:r w:rsidR="00B868BA" w:rsidRPr="00686519">
        <w:rPr>
          <w:b/>
          <w:bCs/>
          <w:sz w:val="22"/>
          <w:szCs w:val="18"/>
        </w:rPr>
        <w:t>30</w:t>
      </w:r>
      <w:r w:rsidRPr="00686519">
        <w:rPr>
          <w:b/>
          <w:bCs/>
          <w:sz w:val="22"/>
          <w:szCs w:val="18"/>
        </w:rPr>
        <w:t xml:space="preserve"> de </w:t>
      </w:r>
      <w:r w:rsidR="00B868BA" w:rsidRPr="00686519">
        <w:rPr>
          <w:b/>
          <w:bCs/>
          <w:sz w:val="22"/>
          <w:szCs w:val="18"/>
        </w:rPr>
        <w:t xml:space="preserve">agosto </w:t>
      </w:r>
      <w:r w:rsidRPr="00686519">
        <w:rPr>
          <w:b/>
          <w:bCs/>
          <w:sz w:val="22"/>
          <w:szCs w:val="18"/>
        </w:rPr>
        <w:t>de 2022</w:t>
      </w:r>
      <w:r w:rsidRPr="00686519">
        <w:rPr>
          <w:sz w:val="22"/>
          <w:szCs w:val="18"/>
        </w:rPr>
        <w:t>, el Director de la TSB notificará el resultado de la consulta en una Circular. Esta información también se publicará en el Boletín de Explotación de la UIT.</w:t>
      </w:r>
    </w:p>
    <w:p w14:paraId="2F48FD2E" w14:textId="3388FE55" w:rsidR="007B6316" w:rsidRPr="00686519" w:rsidRDefault="007B6316" w:rsidP="008C12EB">
      <w:pPr>
        <w:rPr>
          <w:sz w:val="22"/>
          <w:szCs w:val="18"/>
        </w:rPr>
      </w:pPr>
      <w:r w:rsidRPr="00686519">
        <w:rPr>
          <w:sz w:val="22"/>
          <w:szCs w:val="18"/>
        </w:rPr>
        <w:t>Atentamente,</w:t>
      </w:r>
    </w:p>
    <w:p w14:paraId="24017043" w14:textId="2991E1BB" w:rsidR="007B6316" w:rsidRPr="00686519" w:rsidRDefault="00614A75" w:rsidP="00686519">
      <w:pPr>
        <w:spacing w:before="960"/>
        <w:rPr>
          <w:sz w:val="22"/>
          <w:szCs w:val="18"/>
        </w:rPr>
      </w:pPr>
      <w:r>
        <w:rPr>
          <w:noProof/>
          <w:sz w:val="22"/>
          <w:szCs w:val="18"/>
        </w:rPr>
        <w:drawing>
          <wp:anchor distT="0" distB="0" distL="114300" distR="114300" simplePos="0" relativeHeight="251658240" behindDoc="1" locked="0" layoutInCell="1" allowOverlap="1" wp14:anchorId="6BE7E693" wp14:editId="55550B79">
            <wp:simplePos x="0" y="0"/>
            <wp:positionH relativeFrom="column">
              <wp:posOffset>3810</wp:posOffset>
            </wp:positionH>
            <wp:positionV relativeFrom="paragraph">
              <wp:posOffset>132715</wp:posOffset>
            </wp:positionV>
            <wp:extent cx="803652" cy="36195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7B6316" w:rsidRPr="00686519">
        <w:rPr>
          <w:sz w:val="22"/>
          <w:szCs w:val="18"/>
        </w:rPr>
        <w:t>Chaesub Lee</w:t>
      </w:r>
      <w:r w:rsidR="007B6316" w:rsidRPr="00686519">
        <w:rPr>
          <w:sz w:val="22"/>
          <w:szCs w:val="18"/>
        </w:rPr>
        <w:br/>
      </w:r>
      <w:proofErr w:type="gramStart"/>
      <w:r w:rsidR="007B6316" w:rsidRPr="00686519">
        <w:rPr>
          <w:sz w:val="22"/>
          <w:szCs w:val="18"/>
        </w:rPr>
        <w:t>Director</w:t>
      </w:r>
      <w:proofErr w:type="gramEnd"/>
      <w:r w:rsidR="007B6316" w:rsidRPr="00686519">
        <w:rPr>
          <w:sz w:val="22"/>
          <w:szCs w:val="18"/>
        </w:rPr>
        <w:t xml:space="preserve"> de la Oficina de </w:t>
      </w:r>
      <w:r w:rsidR="007B6316" w:rsidRPr="00686519">
        <w:rPr>
          <w:sz w:val="22"/>
          <w:szCs w:val="18"/>
        </w:rPr>
        <w:br/>
        <w:t>Normalización de las Telecomunicaciones</w:t>
      </w:r>
    </w:p>
    <w:p w14:paraId="663C771B" w14:textId="30A3B863" w:rsidR="00C51170" w:rsidRPr="00686519" w:rsidRDefault="00F0124B" w:rsidP="00B868BA">
      <w:pPr>
        <w:ind w:right="92"/>
        <w:rPr>
          <w:sz w:val="20"/>
        </w:rPr>
      </w:pPr>
      <w:r w:rsidRPr="00686519">
        <w:rPr>
          <w:b/>
          <w:sz w:val="20"/>
        </w:rPr>
        <w:t>Anexo</w:t>
      </w:r>
      <w:r w:rsidRPr="00686519">
        <w:rPr>
          <w:sz w:val="20"/>
        </w:rPr>
        <w:t>: 1</w:t>
      </w:r>
      <w:r w:rsidR="00C51170" w:rsidRPr="00686519">
        <w:rPr>
          <w:sz w:val="20"/>
        </w:rPr>
        <w:br w:type="page"/>
      </w:r>
    </w:p>
    <w:p w14:paraId="6DB9ACCF" w14:textId="02428FF7" w:rsidR="00003B6F" w:rsidRPr="00425AC0" w:rsidRDefault="00003B6F" w:rsidP="008C12EB">
      <w:pPr>
        <w:pStyle w:val="AnnexNotitle"/>
        <w:rPr>
          <w:lang w:eastAsia="ja-JP"/>
        </w:rPr>
      </w:pPr>
      <w:r w:rsidRPr="00425AC0">
        <w:lastRenderedPageBreak/>
        <w:t>A</w:t>
      </w:r>
      <w:r w:rsidR="00BA516E" w:rsidRPr="00425AC0">
        <w:t>nexo</w:t>
      </w:r>
      <w:r w:rsidRPr="00425AC0">
        <w:t xml:space="preserve"> 1</w:t>
      </w:r>
      <w:r w:rsidR="008C12EB" w:rsidRPr="00425AC0">
        <w:br/>
      </w:r>
      <w:r w:rsidRPr="00425AC0">
        <w:t>Recomenda</w:t>
      </w:r>
      <w:r w:rsidR="00A23352" w:rsidRPr="00425AC0">
        <w:t>c</w:t>
      </w:r>
      <w:r w:rsidRPr="00425AC0">
        <w:t>i</w:t>
      </w:r>
      <w:r w:rsidR="00F0124B" w:rsidRPr="00425AC0">
        <w:t>ón</w:t>
      </w:r>
      <w:r w:rsidRPr="00425AC0">
        <w:t xml:space="preserve"> </w:t>
      </w:r>
      <w:r w:rsidR="00A23352" w:rsidRPr="00425AC0">
        <w:t xml:space="preserve">cuya </w:t>
      </w:r>
      <w:r w:rsidR="00463EEA" w:rsidRPr="00425AC0">
        <w:t xml:space="preserve">supresión se </w:t>
      </w:r>
      <w:r w:rsidR="00F31936" w:rsidRPr="00425AC0">
        <w:t xml:space="preserve">ha </w:t>
      </w:r>
      <w:r w:rsidR="00463EEA" w:rsidRPr="00425AC0">
        <w:t>prop</w:t>
      </w:r>
      <w:r w:rsidR="00F31936" w:rsidRPr="00425AC0">
        <w:t>uesto</w:t>
      </w:r>
      <w:r w:rsidRPr="00425AC0">
        <w:t xml:space="preserve">: </w:t>
      </w:r>
      <w:r w:rsidR="00F31936" w:rsidRPr="00425AC0">
        <w:t>U</w:t>
      </w:r>
      <w:r w:rsidRPr="00425AC0">
        <w:t xml:space="preserve">IT-T </w:t>
      </w:r>
      <w:r w:rsidR="00463EEA" w:rsidRPr="00425AC0">
        <w:t>D.280</w:t>
      </w:r>
    </w:p>
    <w:p w14:paraId="5DED7C8B" w14:textId="57C6ABB7" w:rsidR="00D377DA" w:rsidRPr="00425AC0" w:rsidRDefault="00D377DA" w:rsidP="00BA516E">
      <w:pPr>
        <w:pStyle w:val="headingb"/>
        <w:rPr>
          <w:lang w:eastAsia="ja-JP"/>
        </w:rPr>
      </w:pPr>
      <w:r w:rsidRPr="00425AC0">
        <w:rPr>
          <w:lang w:eastAsia="ja-JP"/>
        </w:rPr>
        <w:t>Recomendación UIT-T D.280, Principios de tasación y facturación, contabilidad y reembolsos para telecomunicaciones personales universales</w:t>
      </w:r>
    </w:p>
    <w:p w14:paraId="7ACFD23C" w14:textId="175E5438" w:rsidR="00D377DA" w:rsidRPr="00425AC0" w:rsidRDefault="00D377DA" w:rsidP="00BA516E">
      <w:pPr>
        <w:pStyle w:val="headingb"/>
        <w:rPr>
          <w:lang w:eastAsia="ja-JP"/>
        </w:rPr>
      </w:pPr>
      <w:r w:rsidRPr="00425AC0">
        <w:rPr>
          <w:lang w:eastAsia="ja-JP"/>
        </w:rPr>
        <w:t>Fecha de aprobación:</w:t>
      </w:r>
      <w:r w:rsidRPr="00425AC0">
        <w:rPr>
          <w:lang w:eastAsia="ja-JP"/>
        </w:rPr>
        <w:tab/>
        <w:t>marzo de 1995</w:t>
      </w:r>
    </w:p>
    <w:p w14:paraId="11C13DAA" w14:textId="3F2D158E" w:rsidR="00D377DA" w:rsidRPr="00425AC0" w:rsidRDefault="00D377DA" w:rsidP="00BA516E">
      <w:pPr>
        <w:pStyle w:val="Headingi0"/>
      </w:pPr>
      <w:r w:rsidRPr="00425AC0">
        <w:t>Resumen:</w:t>
      </w:r>
      <w:r w:rsidRPr="00425AC0">
        <w:tab/>
        <w:t>(No existe un resumen de esta Recomendación; a continuación se reproduce el alcance)</w:t>
      </w:r>
    </w:p>
    <w:p w14:paraId="59B51B5D" w14:textId="3FA0C68C" w:rsidR="00D377DA" w:rsidRPr="00425AC0" w:rsidRDefault="00D377DA" w:rsidP="00D377DA">
      <w:r w:rsidRPr="00425AC0">
        <w:t>Esta Recomendación abarca los principios de tasación y la facturación correspondiente, la contabilidad y los reembolsos aplicables al servicio de telecomunicaciones personales universales (UPT, universal personal telecommunications) que se describe en las Recomendaciones de la serie F.850.</w:t>
      </w:r>
    </w:p>
    <w:p w14:paraId="3C77A317" w14:textId="1BA9BC9A" w:rsidR="00D377DA" w:rsidRPr="00425AC0" w:rsidRDefault="00D377DA" w:rsidP="00D377DA">
      <w:r w:rsidRPr="00425AC0">
        <w:t>En la presente Recomendación se dan orientaciones sobre:</w:t>
      </w:r>
    </w:p>
    <w:p w14:paraId="54B88BCF" w14:textId="7086BE8C" w:rsidR="00D377DA" w:rsidRPr="00425AC0" w:rsidRDefault="00D377DA" w:rsidP="00BA516E">
      <w:pPr>
        <w:pStyle w:val="enumlev1"/>
      </w:pPr>
      <w:r w:rsidRPr="00425AC0">
        <w:t>1)</w:t>
      </w:r>
      <w:r w:rsidR="00BA516E" w:rsidRPr="00425AC0">
        <w:tab/>
      </w:r>
      <w:r w:rsidRPr="00425AC0">
        <w:t>principios y opciones de tasación;</w:t>
      </w:r>
    </w:p>
    <w:p w14:paraId="46D877F7" w14:textId="166D2390" w:rsidR="00D377DA" w:rsidRPr="00425AC0" w:rsidRDefault="00D377DA" w:rsidP="00BA516E">
      <w:pPr>
        <w:pStyle w:val="enumlev1"/>
      </w:pPr>
      <w:r w:rsidRPr="00425AC0">
        <w:t>2)</w:t>
      </w:r>
      <w:r w:rsidR="00BA516E" w:rsidRPr="00425AC0">
        <w:tab/>
      </w:r>
      <w:r w:rsidRPr="00425AC0">
        <w:t>principios de contabilidad del tráfico;</w:t>
      </w:r>
    </w:p>
    <w:p w14:paraId="797F0A8E" w14:textId="5C53B327" w:rsidR="00D377DA" w:rsidRPr="00425AC0" w:rsidRDefault="00D377DA" w:rsidP="00BA516E">
      <w:pPr>
        <w:pStyle w:val="enumlev1"/>
      </w:pPr>
      <w:r w:rsidRPr="00425AC0">
        <w:t>3)</w:t>
      </w:r>
      <w:r w:rsidR="00BA516E" w:rsidRPr="00425AC0">
        <w:tab/>
      </w:r>
      <w:r w:rsidRPr="00425AC0">
        <w:t>principios de facturación de las llamadas UPT; y</w:t>
      </w:r>
    </w:p>
    <w:p w14:paraId="31414807" w14:textId="0E3646FD" w:rsidR="00D377DA" w:rsidRPr="00425AC0" w:rsidRDefault="00D377DA" w:rsidP="00BA516E">
      <w:pPr>
        <w:pStyle w:val="enumlev1"/>
      </w:pPr>
      <w:r w:rsidRPr="00425AC0">
        <w:t>4)</w:t>
      </w:r>
      <w:r w:rsidR="00BA516E" w:rsidRPr="00425AC0">
        <w:tab/>
      </w:r>
      <w:r w:rsidRPr="00425AC0">
        <w:t>requisitos para el reembolso entre proveedores de servicios, aplicables a los diversos tipos de llamada que</w:t>
      </w:r>
      <w:r w:rsidR="008C12EB" w:rsidRPr="00425AC0">
        <w:t xml:space="preserve"> </w:t>
      </w:r>
      <w:r w:rsidRPr="00425AC0">
        <w:t>pueden producirse en las UPT.</w:t>
      </w:r>
    </w:p>
    <w:p w14:paraId="78A49E2B" w14:textId="160333C9" w:rsidR="00D377DA" w:rsidRPr="00425AC0" w:rsidRDefault="00D377DA" w:rsidP="00D377DA">
      <w:r w:rsidRPr="00425AC0">
        <w:t>También se indican los principios de tasación relativos a las funciones de gestión del perfil de servicio UPT.</w:t>
      </w:r>
    </w:p>
    <w:p w14:paraId="5E54D93F" w14:textId="66B4B488" w:rsidR="00D377DA" w:rsidRPr="00425AC0" w:rsidRDefault="00F31936" w:rsidP="00BA516E">
      <w:pPr>
        <w:pStyle w:val="Headingi0"/>
        <w:rPr>
          <w:lang w:eastAsia="ja-JP"/>
        </w:rPr>
      </w:pPr>
      <w:r w:rsidRPr="00425AC0">
        <w:rPr>
          <w:lang w:eastAsia="ja-JP"/>
        </w:rPr>
        <w:t>Motivos para suprimir la Recomendación arriba indicada</w:t>
      </w:r>
      <w:r w:rsidR="00D377DA" w:rsidRPr="00425AC0">
        <w:rPr>
          <w:lang w:eastAsia="ja-JP"/>
        </w:rPr>
        <w:t>:</w:t>
      </w:r>
    </w:p>
    <w:p w14:paraId="2649D771" w14:textId="3D969D11" w:rsidR="00401C20" w:rsidRPr="00425AC0" w:rsidRDefault="00C2594F" w:rsidP="008C12EB">
      <w:pPr>
        <w:rPr>
          <w:szCs w:val="24"/>
          <w:lang w:eastAsia="ja-JP"/>
        </w:rPr>
      </w:pPr>
      <w:r w:rsidRPr="00425AC0">
        <w:rPr>
          <w:szCs w:val="24"/>
          <w:lang w:eastAsia="ja-JP"/>
        </w:rPr>
        <w:t xml:space="preserve">Cuando se aprobó esta Recomendación, el concepto de </w:t>
      </w:r>
      <w:r w:rsidRPr="00425AC0">
        <w:t xml:space="preserve">telecomunicaciones personales universales </w:t>
      </w:r>
      <w:r w:rsidRPr="00425AC0">
        <w:rPr>
          <w:szCs w:val="24"/>
          <w:lang w:eastAsia="ja-JP"/>
        </w:rPr>
        <w:t>utilizaba una tecnología y unos conceptos de servicio específicos. En las décadas transcurridas desde entonces, la tecnología ha evolucionado. Los servicios especificados en las Recomendaciones ya no se prestan tal y como se describe en estas especificaciones; de hecho, ya no se ofrecen tales servicios. Los principios fundamentales en los que se basaban los conceptos de servicio de UPT ya no son exclusivos de la UPT, y muchos tipos de servicios similares se prestan ahora utilizando las tecnologías basadas en el Protocolo de Internet (IP) y en la IoT que no forman parte de las Recomendaciones relacionadas con la UPT. Siguen existiendo otros recursos globales de numeración, denominación, direccionamiento e identificación que han demostrado ser más adecuados para estos servicios. Por consiguiente, el conjunto de Recomendaciones relacionadas con la UPT ha dejado de ser pertinentes. Habida cuenta de este razonamiento, la CE 3 ha recomendado al Director de la TSB que inicie el procedimiento para suprimir todas la Recomendación UIT-T D.280 relativas al UPT que es competencia de la CE 3.</w:t>
      </w:r>
    </w:p>
    <w:p w14:paraId="67898E6B" w14:textId="77777777" w:rsidR="008C12EB" w:rsidRPr="00425AC0" w:rsidRDefault="008C12EB" w:rsidP="00411C49">
      <w:pPr>
        <w:pStyle w:val="Reasons"/>
        <w:rPr>
          <w:lang w:val="es-ES_tradnl"/>
        </w:rPr>
      </w:pPr>
    </w:p>
    <w:p w14:paraId="23298CCB" w14:textId="77777777" w:rsidR="008C12EB" w:rsidRPr="00425AC0" w:rsidRDefault="008C12EB">
      <w:pPr>
        <w:jc w:val="center"/>
      </w:pPr>
      <w:r w:rsidRPr="00425AC0">
        <w:t>______________</w:t>
      </w:r>
    </w:p>
    <w:sectPr w:rsidR="008C12EB" w:rsidRPr="00425AC0"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9A89" w14:textId="77777777" w:rsidR="00216108" w:rsidRDefault="00216108">
      <w:r>
        <w:separator/>
      </w:r>
    </w:p>
  </w:endnote>
  <w:endnote w:type="continuationSeparator" w:id="0">
    <w:p w14:paraId="63A95E84" w14:textId="77777777" w:rsidR="00216108" w:rsidRDefault="002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7EB3" w14:textId="77777777" w:rsidR="0091322B" w:rsidRDefault="00913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B3E" w14:textId="2105329D" w:rsidR="006969B4" w:rsidRPr="0091322B" w:rsidRDefault="006969B4" w:rsidP="00913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A6D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AA75" w14:textId="77777777" w:rsidR="00216108" w:rsidRDefault="00216108">
      <w:r>
        <w:t>____________________</w:t>
      </w:r>
    </w:p>
  </w:footnote>
  <w:footnote w:type="continuationSeparator" w:id="0">
    <w:p w14:paraId="17E3CCFF" w14:textId="77777777" w:rsidR="00216108" w:rsidRDefault="0021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D805" w14:textId="77777777" w:rsidR="0091322B" w:rsidRDefault="0091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BD06" w14:textId="0DC8C864"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8C12EB">
      <w:rPr>
        <w:rStyle w:val="PageNumber"/>
        <w:sz w:val="18"/>
        <w:szCs w:val="18"/>
      </w:rPr>
      <w:br/>
      <w:t>Circular TSB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9A30" w14:textId="77777777" w:rsidR="0091322B" w:rsidRDefault="0091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29322452">
    <w:abstractNumId w:val="0"/>
  </w:num>
  <w:num w:numId="2" w16cid:durableId="1661037394">
    <w:abstractNumId w:val="3"/>
  </w:num>
  <w:num w:numId="3" w16cid:durableId="829447014">
    <w:abstractNumId w:val="2"/>
  </w:num>
  <w:num w:numId="4" w16cid:durableId="17978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70"/>
    <w:rsid w:val="00002529"/>
    <w:rsid w:val="00003B6F"/>
    <w:rsid w:val="00085662"/>
    <w:rsid w:val="000B5477"/>
    <w:rsid w:val="000C382F"/>
    <w:rsid w:val="001173CC"/>
    <w:rsid w:val="0014464D"/>
    <w:rsid w:val="00151F41"/>
    <w:rsid w:val="001A54CC"/>
    <w:rsid w:val="00216108"/>
    <w:rsid w:val="00257FB4"/>
    <w:rsid w:val="002C06A0"/>
    <w:rsid w:val="002E496E"/>
    <w:rsid w:val="00303D62"/>
    <w:rsid w:val="00335367"/>
    <w:rsid w:val="00370C2D"/>
    <w:rsid w:val="003D1E8D"/>
    <w:rsid w:val="003D673B"/>
    <w:rsid w:val="003F2855"/>
    <w:rsid w:val="00401C20"/>
    <w:rsid w:val="00425AC0"/>
    <w:rsid w:val="00433531"/>
    <w:rsid w:val="00454C73"/>
    <w:rsid w:val="00463EEA"/>
    <w:rsid w:val="004A7957"/>
    <w:rsid w:val="004B2603"/>
    <w:rsid w:val="004C4144"/>
    <w:rsid w:val="0055719E"/>
    <w:rsid w:val="005F50BB"/>
    <w:rsid w:val="00614A75"/>
    <w:rsid w:val="00686519"/>
    <w:rsid w:val="006969B4"/>
    <w:rsid w:val="006E4F7B"/>
    <w:rsid w:val="00780C6A"/>
    <w:rsid w:val="00781E2A"/>
    <w:rsid w:val="007933A2"/>
    <w:rsid w:val="00793703"/>
    <w:rsid w:val="007B6316"/>
    <w:rsid w:val="00814503"/>
    <w:rsid w:val="008258C2"/>
    <w:rsid w:val="008505BD"/>
    <w:rsid w:val="00850C78"/>
    <w:rsid w:val="00876165"/>
    <w:rsid w:val="00884D12"/>
    <w:rsid w:val="008C12EB"/>
    <w:rsid w:val="008C17AD"/>
    <w:rsid w:val="008D02CD"/>
    <w:rsid w:val="0091322B"/>
    <w:rsid w:val="0091370C"/>
    <w:rsid w:val="0095172A"/>
    <w:rsid w:val="009A0BA0"/>
    <w:rsid w:val="00A23352"/>
    <w:rsid w:val="00A54E47"/>
    <w:rsid w:val="00AB6E3A"/>
    <w:rsid w:val="00AE7093"/>
    <w:rsid w:val="00B422BC"/>
    <w:rsid w:val="00B43F77"/>
    <w:rsid w:val="00B55A3E"/>
    <w:rsid w:val="00B868BA"/>
    <w:rsid w:val="00B87E9E"/>
    <w:rsid w:val="00B93167"/>
    <w:rsid w:val="00B95F0A"/>
    <w:rsid w:val="00B96180"/>
    <w:rsid w:val="00BA516E"/>
    <w:rsid w:val="00C116FE"/>
    <w:rsid w:val="00C17AC0"/>
    <w:rsid w:val="00C2594F"/>
    <w:rsid w:val="00C34772"/>
    <w:rsid w:val="00C51170"/>
    <w:rsid w:val="00C5465A"/>
    <w:rsid w:val="00C95A1B"/>
    <w:rsid w:val="00D377DA"/>
    <w:rsid w:val="00D433D0"/>
    <w:rsid w:val="00D54642"/>
    <w:rsid w:val="00D6254C"/>
    <w:rsid w:val="00D834E7"/>
    <w:rsid w:val="00DD77C9"/>
    <w:rsid w:val="00DF3538"/>
    <w:rsid w:val="00E3741F"/>
    <w:rsid w:val="00E839B0"/>
    <w:rsid w:val="00E92C09"/>
    <w:rsid w:val="00F0124B"/>
    <w:rsid w:val="00F14380"/>
    <w:rsid w:val="00F31936"/>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DCF0A"/>
  <w15:docId w15:val="{D96C981B-2BF0-4D56-9C56-7A5FF497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h1,1st level,H1,h11,h12,h13,h14,h15,h16,h17,h111,h121,h131,h141,h151,h161,h18,h112,h122,h132,h142,h152,h162,h19,h113,h123,h133,h143,h153,h163,1,Normal + Font: Helvetica,Bold,Space Before 12 pt,Not Bold,Titre 1b,título 1,l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h1 Char,1st level Char,H1 Char,h11 Char,h12 Char,h13 Char,h14 Char,h15 Char,h16 Char,h17 Char,h111 Char,h121 Char,h131 Char,h141 Char,h151 Char,h161 Char,h18 Char,h112 Char,h122 Char,h132 Char,h142 Char,h152 Char,h162 Char,h19 Char,1 Char"/>
    <w:basedOn w:val="DefaultParagraphFont"/>
    <w:link w:val="Heading1"/>
    <w:rsid w:val="00003B6F"/>
    <w:rPr>
      <w:rFonts w:asciiTheme="minorHAnsi" w:hAnsiTheme="minorHAnsi"/>
      <w:b/>
      <w:sz w:val="24"/>
      <w:lang w:val="es-ES_tradnl" w:eastAsia="en-US"/>
    </w:rPr>
  </w:style>
  <w:style w:type="character" w:styleId="UnresolvedMention">
    <w:name w:val="Unresolved Mention"/>
    <w:basedOn w:val="DefaultParagraphFont"/>
    <w:uiPriority w:val="99"/>
    <w:semiHidden/>
    <w:unhideWhenUsed/>
    <w:rsid w:val="00B868BA"/>
    <w:rPr>
      <w:color w:val="605E5C"/>
      <w:shd w:val="clear" w:color="auto" w:fill="E1DFDD"/>
    </w:rPr>
  </w:style>
  <w:style w:type="character" w:styleId="CommentReference">
    <w:name w:val="annotation reference"/>
    <w:basedOn w:val="DefaultParagraphFont"/>
    <w:semiHidden/>
    <w:unhideWhenUsed/>
    <w:rsid w:val="002C06A0"/>
    <w:rPr>
      <w:sz w:val="16"/>
      <w:szCs w:val="16"/>
    </w:rPr>
  </w:style>
  <w:style w:type="paragraph" w:styleId="CommentText">
    <w:name w:val="annotation text"/>
    <w:basedOn w:val="Normal"/>
    <w:link w:val="CommentTextChar"/>
    <w:semiHidden/>
    <w:unhideWhenUsed/>
    <w:rsid w:val="002C06A0"/>
    <w:rPr>
      <w:sz w:val="20"/>
    </w:rPr>
  </w:style>
  <w:style w:type="character" w:customStyle="1" w:styleId="CommentTextChar">
    <w:name w:val="Comment Text Char"/>
    <w:basedOn w:val="DefaultParagraphFont"/>
    <w:link w:val="CommentText"/>
    <w:semiHidden/>
    <w:rsid w:val="002C06A0"/>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2C06A0"/>
    <w:rPr>
      <w:b/>
      <w:bCs/>
    </w:rPr>
  </w:style>
  <w:style w:type="character" w:customStyle="1" w:styleId="CommentSubjectChar">
    <w:name w:val="Comment Subject Char"/>
    <w:basedOn w:val="CommentTextChar"/>
    <w:link w:val="CommentSubject"/>
    <w:semiHidden/>
    <w:rsid w:val="002C06A0"/>
    <w:rPr>
      <w:rFonts w:asciiTheme="minorHAnsi" w:hAnsiTheme="minorHAnsi"/>
      <w:b/>
      <w:bCs/>
      <w:lang w:val="es-ES_tradnl" w:eastAsia="en-US"/>
    </w:rPr>
  </w:style>
  <w:style w:type="paragraph" w:customStyle="1" w:styleId="Reasons">
    <w:name w:val="Reasons"/>
    <w:basedOn w:val="Normal"/>
    <w:qFormat/>
    <w:rsid w:val="008C12E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74214">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Downloads\PS_TSBCIR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E327-4E43-4DF7-885C-E87AE65F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 (1).dotx</Template>
  <TotalTime>31</TotalTime>
  <Pages>2</Pages>
  <Words>713</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4618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13</cp:revision>
  <cp:lastPrinted>2022-06-07T11:45:00Z</cp:lastPrinted>
  <dcterms:created xsi:type="dcterms:W3CDTF">2022-06-01T07:14:00Z</dcterms:created>
  <dcterms:modified xsi:type="dcterms:W3CDTF">2022-06-07T11:46:00Z</dcterms:modified>
</cp:coreProperties>
</file>