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6D775C" w14:paraId="4FC72EF9" w14:textId="77777777" w:rsidTr="00D84BD4">
        <w:trPr>
          <w:trHeight w:val="1282"/>
        </w:trPr>
        <w:tc>
          <w:tcPr>
            <w:tcW w:w="1418" w:type="dxa"/>
            <w:gridSpan w:val="2"/>
            <w:shd w:val="clear" w:color="auto" w:fill="auto"/>
            <w:tcMar>
              <w:left w:w="0" w:type="dxa"/>
              <w:right w:w="0" w:type="dxa"/>
            </w:tcMar>
            <w:vAlign w:val="center"/>
          </w:tcPr>
          <w:p w14:paraId="6303E10F" w14:textId="77777777" w:rsidR="006D775C" w:rsidRDefault="00B049BB">
            <w:pPr>
              <w:pStyle w:val="Tabletext"/>
              <w:jc w:val="center"/>
            </w:pPr>
            <w:r w:rsidRPr="00B219A0">
              <w:rPr>
                <w:noProof/>
                <w:lang w:val="en-US" w:eastAsia="zh-CN"/>
              </w:rPr>
              <w:drawing>
                <wp:inline distT="0" distB="0" distL="0" distR="0" wp14:anchorId="52372410" wp14:editId="286F532B">
                  <wp:extent cx="805815" cy="805815"/>
                  <wp:effectExtent l="0" t="0" r="0" b="0"/>
                  <wp:docPr id="4" name="Picture 2" descr="The International Teleocmmunication Union - Connecting the World."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6DDEF64" w14:textId="77777777" w:rsidR="006D775C" w:rsidRDefault="00D40F22">
            <w:pPr>
              <w:spacing w:before="0"/>
              <w:rPr>
                <w:rFonts w:cs="Times New Roman Bold"/>
                <w:b/>
                <w:bCs/>
                <w:smallCaps/>
                <w:sz w:val="26"/>
                <w:szCs w:val="26"/>
              </w:rPr>
            </w:pPr>
            <w:r>
              <w:rPr>
                <w:rFonts w:cs="Times New Roman Bold"/>
                <w:b/>
                <w:bCs/>
                <w:smallCaps/>
                <w:sz w:val="36"/>
                <w:szCs w:val="36"/>
              </w:rPr>
              <w:t>International telecommunication union</w:t>
            </w:r>
          </w:p>
          <w:p w14:paraId="2B359B3B" w14:textId="77777777" w:rsidR="006D775C" w:rsidRDefault="00D40F2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42910059" w14:textId="77777777" w:rsidR="006D775C" w:rsidRDefault="0098769F" w:rsidP="00315F99">
            <w:pPr>
              <w:spacing w:before="0"/>
              <w:jc w:val="right"/>
              <w:rPr>
                <w:rFonts w:ascii="Verdana" w:hAnsi="Verdana"/>
                <w:color w:val="FFFFFF"/>
                <w:sz w:val="26"/>
                <w:szCs w:val="26"/>
              </w:rPr>
            </w:pPr>
            <w:hyperlink r:id="rId9" w:history="1"/>
          </w:p>
        </w:tc>
      </w:tr>
      <w:tr w:rsidR="006D775C" w:rsidRPr="00165A31" w14:paraId="12328938" w14:textId="77777777" w:rsidTr="00D84BD4">
        <w:trPr>
          <w:cantSplit/>
          <w:trHeight w:val="80"/>
        </w:trPr>
        <w:tc>
          <w:tcPr>
            <w:tcW w:w="4820" w:type="dxa"/>
            <w:gridSpan w:val="3"/>
            <w:vAlign w:val="center"/>
          </w:tcPr>
          <w:p w14:paraId="2761DBBA" w14:textId="77777777" w:rsidR="006D775C" w:rsidRPr="00165A31" w:rsidRDefault="006D775C">
            <w:pPr>
              <w:pStyle w:val="Tabletext"/>
              <w:jc w:val="right"/>
              <w:rPr>
                <w:sz w:val="22"/>
                <w:szCs w:val="18"/>
              </w:rPr>
            </w:pPr>
          </w:p>
        </w:tc>
        <w:tc>
          <w:tcPr>
            <w:tcW w:w="5103" w:type="dxa"/>
            <w:gridSpan w:val="2"/>
            <w:vAlign w:val="center"/>
          </w:tcPr>
          <w:p w14:paraId="70373D2B" w14:textId="18181AA1" w:rsidR="006D775C" w:rsidRPr="00165A31" w:rsidRDefault="00746EA0" w:rsidP="001501A1">
            <w:pPr>
              <w:pStyle w:val="Tabletext"/>
              <w:spacing w:before="120" w:after="120"/>
              <w:rPr>
                <w:sz w:val="22"/>
                <w:szCs w:val="18"/>
              </w:rPr>
            </w:pPr>
            <w:r w:rsidRPr="00165A31">
              <w:rPr>
                <w:sz w:val="22"/>
                <w:szCs w:val="18"/>
              </w:rPr>
              <w:t xml:space="preserve">Geneva, </w:t>
            </w:r>
            <w:r w:rsidR="007D62C6" w:rsidRPr="007D08F4">
              <w:rPr>
                <w:sz w:val="22"/>
                <w:szCs w:val="18"/>
              </w:rPr>
              <w:t>30 May 2022</w:t>
            </w:r>
          </w:p>
        </w:tc>
      </w:tr>
      <w:tr w:rsidR="006D775C" w:rsidRPr="00165A31" w14:paraId="2822328E" w14:textId="77777777" w:rsidTr="00D84BD4">
        <w:trPr>
          <w:cantSplit/>
          <w:trHeight w:val="746"/>
        </w:trPr>
        <w:tc>
          <w:tcPr>
            <w:tcW w:w="1276" w:type="dxa"/>
          </w:tcPr>
          <w:p w14:paraId="37C6E0B7" w14:textId="77777777" w:rsidR="006D775C" w:rsidRPr="00165A31" w:rsidRDefault="00D40F22">
            <w:pPr>
              <w:pStyle w:val="Tabletext"/>
              <w:rPr>
                <w:sz w:val="22"/>
                <w:szCs w:val="18"/>
              </w:rPr>
            </w:pPr>
            <w:r w:rsidRPr="00165A31">
              <w:rPr>
                <w:b/>
                <w:sz w:val="22"/>
                <w:szCs w:val="18"/>
              </w:rPr>
              <w:t>Ref:</w:t>
            </w:r>
          </w:p>
        </w:tc>
        <w:tc>
          <w:tcPr>
            <w:tcW w:w="3544" w:type="dxa"/>
            <w:gridSpan w:val="2"/>
          </w:tcPr>
          <w:p w14:paraId="63A7AF3C" w14:textId="7F4E0F47" w:rsidR="006D775C" w:rsidRPr="00165A31" w:rsidRDefault="00D40F22" w:rsidP="00315F99">
            <w:pPr>
              <w:pStyle w:val="Tabletext"/>
              <w:rPr>
                <w:b/>
                <w:bCs/>
                <w:sz w:val="22"/>
                <w:szCs w:val="18"/>
              </w:rPr>
            </w:pPr>
            <w:r w:rsidRPr="00165A31">
              <w:rPr>
                <w:b/>
                <w:bCs/>
                <w:sz w:val="22"/>
                <w:szCs w:val="18"/>
              </w:rPr>
              <w:t xml:space="preserve">TSB Circular </w:t>
            </w:r>
            <w:r w:rsidR="00472B3F">
              <w:rPr>
                <w:b/>
                <w:bCs/>
                <w:sz w:val="22"/>
                <w:szCs w:val="18"/>
              </w:rPr>
              <w:t>21</w:t>
            </w:r>
          </w:p>
          <w:p w14:paraId="32FA7A12" w14:textId="0A8F86CF" w:rsidR="006D775C" w:rsidRPr="00165A31" w:rsidRDefault="00315F99" w:rsidP="00315F99">
            <w:pPr>
              <w:pStyle w:val="Tabletext"/>
              <w:rPr>
                <w:sz w:val="22"/>
                <w:szCs w:val="18"/>
              </w:rPr>
            </w:pPr>
            <w:r w:rsidRPr="00165A31">
              <w:rPr>
                <w:sz w:val="22"/>
                <w:szCs w:val="18"/>
              </w:rPr>
              <w:t>SG</w:t>
            </w:r>
            <w:r w:rsidR="00892496">
              <w:rPr>
                <w:sz w:val="22"/>
                <w:szCs w:val="18"/>
              </w:rPr>
              <w:t>3</w:t>
            </w:r>
            <w:r w:rsidRPr="00165A31">
              <w:rPr>
                <w:sz w:val="22"/>
                <w:szCs w:val="18"/>
              </w:rPr>
              <w:t>/</w:t>
            </w:r>
            <w:r w:rsidR="00892496">
              <w:rPr>
                <w:sz w:val="22"/>
                <w:szCs w:val="18"/>
              </w:rPr>
              <w:t>ME</w:t>
            </w:r>
          </w:p>
        </w:tc>
        <w:tc>
          <w:tcPr>
            <w:tcW w:w="5103" w:type="dxa"/>
            <w:gridSpan w:val="2"/>
            <w:vMerge w:val="restart"/>
          </w:tcPr>
          <w:p w14:paraId="4E29E63F" w14:textId="77777777" w:rsidR="00315F99" w:rsidRPr="00165A31" w:rsidRDefault="00315F99" w:rsidP="00315F99">
            <w:pPr>
              <w:pStyle w:val="Tabletext"/>
              <w:rPr>
                <w:sz w:val="22"/>
                <w:szCs w:val="18"/>
              </w:rPr>
            </w:pPr>
            <w:r w:rsidRPr="00165A31">
              <w:rPr>
                <w:b/>
                <w:sz w:val="22"/>
                <w:szCs w:val="18"/>
              </w:rPr>
              <w:t>To:</w:t>
            </w:r>
          </w:p>
          <w:p w14:paraId="3103D493" w14:textId="77777777" w:rsidR="006D775C" w:rsidRDefault="00315F99" w:rsidP="00315F99">
            <w:pPr>
              <w:pStyle w:val="Tabletext"/>
              <w:ind w:left="283" w:hanging="283"/>
              <w:rPr>
                <w:sz w:val="22"/>
                <w:szCs w:val="18"/>
              </w:rPr>
            </w:pPr>
            <w:r w:rsidRPr="00165A31">
              <w:rPr>
                <w:sz w:val="22"/>
                <w:szCs w:val="18"/>
              </w:rPr>
              <w:t>-</w:t>
            </w:r>
            <w:r w:rsidRPr="00165A31">
              <w:rPr>
                <w:sz w:val="22"/>
                <w:szCs w:val="18"/>
              </w:rPr>
              <w:tab/>
              <w:t>Administrations of Member States of the Union</w:t>
            </w:r>
          </w:p>
          <w:p w14:paraId="7AFED833" w14:textId="77777777" w:rsidR="00165A31" w:rsidRPr="00165A31" w:rsidRDefault="00165A31" w:rsidP="00165A31">
            <w:pPr>
              <w:pStyle w:val="Tabletext"/>
              <w:rPr>
                <w:sz w:val="22"/>
                <w:szCs w:val="18"/>
              </w:rPr>
            </w:pPr>
            <w:r w:rsidRPr="00165A31">
              <w:rPr>
                <w:b/>
                <w:sz w:val="22"/>
                <w:szCs w:val="18"/>
              </w:rPr>
              <w:t>Copy to:</w:t>
            </w:r>
          </w:p>
          <w:p w14:paraId="1DB923B3" w14:textId="77777777"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 xml:space="preserve">ITU-T Sector </w:t>
            </w:r>
            <w:proofErr w:type="gramStart"/>
            <w:r w:rsidRPr="00165A31">
              <w:rPr>
                <w:sz w:val="22"/>
                <w:szCs w:val="18"/>
              </w:rPr>
              <w:t>Members;</w:t>
            </w:r>
            <w:proofErr w:type="gramEnd"/>
          </w:p>
          <w:p w14:paraId="629B5794" w14:textId="549B88FB"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 xml:space="preserve">Associates of ITU-T Study Group </w:t>
            </w:r>
            <w:proofErr w:type="gramStart"/>
            <w:r w:rsidR="00892496">
              <w:rPr>
                <w:sz w:val="22"/>
                <w:szCs w:val="18"/>
              </w:rPr>
              <w:t>3</w:t>
            </w:r>
            <w:r w:rsidRPr="00165A31">
              <w:rPr>
                <w:sz w:val="22"/>
                <w:szCs w:val="18"/>
              </w:rPr>
              <w:t>;</w:t>
            </w:r>
            <w:proofErr w:type="gramEnd"/>
          </w:p>
          <w:p w14:paraId="7C7BA287" w14:textId="77777777"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 xml:space="preserve">ITU </w:t>
            </w:r>
            <w:proofErr w:type="gramStart"/>
            <w:r w:rsidRPr="00165A31">
              <w:rPr>
                <w:sz w:val="22"/>
                <w:szCs w:val="18"/>
              </w:rPr>
              <w:t>Academia;</w:t>
            </w:r>
            <w:proofErr w:type="gramEnd"/>
          </w:p>
          <w:p w14:paraId="2E17061C" w14:textId="3475D0A3"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 xml:space="preserve">The Chairman and Vice-Chairmen of ITU-T Study Group </w:t>
            </w:r>
            <w:proofErr w:type="gramStart"/>
            <w:r w:rsidR="00892496">
              <w:rPr>
                <w:sz w:val="22"/>
                <w:szCs w:val="18"/>
              </w:rPr>
              <w:t>3</w:t>
            </w:r>
            <w:r w:rsidRPr="00165A31">
              <w:rPr>
                <w:sz w:val="22"/>
                <w:szCs w:val="18"/>
              </w:rPr>
              <w:t>;</w:t>
            </w:r>
            <w:proofErr w:type="gramEnd"/>
          </w:p>
          <w:p w14:paraId="44523DC2" w14:textId="77777777"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 xml:space="preserve">The Director of the Telecommunication Development </w:t>
            </w:r>
            <w:proofErr w:type="gramStart"/>
            <w:r w:rsidRPr="00165A31">
              <w:rPr>
                <w:sz w:val="22"/>
                <w:szCs w:val="18"/>
              </w:rPr>
              <w:t>Bureau;</w:t>
            </w:r>
            <w:proofErr w:type="gramEnd"/>
          </w:p>
          <w:p w14:paraId="3872D355" w14:textId="2218104C"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The Director of the Radiocommunication Bureau</w:t>
            </w:r>
          </w:p>
        </w:tc>
      </w:tr>
      <w:tr w:rsidR="00315F99" w:rsidRPr="00165A31" w14:paraId="22805FF0" w14:textId="77777777" w:rsidTr="00D84BD4">
        <w:trPr>
          <w:cantSplit/>
          <w:trHeight w:val="221"/>
        </w:trPr>
        <w:tc>
          <w:tcPr>
            <w:tcW w:w="1276" w:type="dxa"/>
          </w:tcPr>
          <w:p w14:paraId="42FA40C9" w14:textId="77777777" w:rsidR="00315F99" w:rsidRPr="00165A31" w:rsidRDefault="00315F99" w:rsidP="00315F99">
            <w:pPr>
              <w:pStyle w:val="Tabletext"/>
              <w:rPr>
                <w:sz w:val="22"/>
                <w:szCs w:val="18"/>
              </w:rPr>
            </w:pPr>
            <w:r w:rsidRPr="00165A31">
              <w:rPr>
                <w:b/>
                <w:sz w:val="22"/>
                <w:szCs w:val="18"/>
              </w:rPr>
              <w:t>Tel:</w:t>
            </w:r>
          </w:p>
        </w:tc>
        <w:tc>
          <w:tcPr>
            <w:tcW w:w="3544" w:type="dxa"/>
            <w:gridSpan w:val="2"/>
          </w:tcPr>
          <w:p w14:paraId="159438A3" w14:textId="38770E22" w:rsidR="00315F99" w:rsidRPr="00165A31" w:rsidRDefault="00315F99" w:rsidP="00315F99">
            <w:pPr>
              <w:pStyle w:val="Tabletext"/>
              <w:rPr>
                <w:b/>
                <w:sz w:val="22"/>
                <w:szCs w:val="18"/>
              </w:rPr>
            </w:pPr>
            <w:r w:rsidRPr="00165A31">
              <w:rPr>
                <w:sz w:val="22"/>
                <w:szCs w:val="18"/>
              </w:rPr>
              <w:t>+41 22 730 58</w:t>
            </w:r>
            <w:r w:rsidR="006A130F">
              <w:rPr>
                <w:sz w:val="22"/>
                <w:szCs w:val="18"/>
              </w:rPr>
              <w:t>66</w:t>
            </w:r>
          </w:p>
        </w:tc>
        <w:tc>
          <w:tcPr>
            <w:tcW w:w="5103" w:type="dxa"/>
            <w:gridSpan w:val="2"/>
            <w:vMerge/>
          </w:tcPr>
          <w:p w14:paraId="724D81FB" w14:textId="77777777" w:rsidR="00315F99" w:rsidRPr="00165A31" w:rsidRDefault="00315F99" w:rsidP="00315F99">
            <w:pPr>
              <w:pStyle w:val="Tabletext"/>
              <w:ind w:left="142" w:hanging="142"/>
              <w:rPr>
                <w:sz w:val="22"/>
                <w:szCs w:val="18"/>
              </w:rPr>
            </w:pPr>
          </w:p>
        </w:tc>
      </w:tr>
      <w:tr w:rsidR="00315F99" w:rsidRPr="00165A31" w14:paraId="2525B5C0" w14:textId="77777777" w:rsidTr="00D84BD4">
        <w:trPr>
          <w:cantSplit/>
          <w:trHeight w:val="2435"/>
        </w:trPr>
        <w:tc>
          <w:tcPr>
            <w:tcW w:w="1276" w:type="dxa"/>
          </w:tcPr>
          <w:p w14:paraId="3899C144" w14:textId="77777777" w:rsidR="00315F99" w:rsidRDefault="00315F99" w:rsidP="00315F99">
            <w:pPr>
              <w:pStyle w:val="Tabletext"/>
              <w:rPr>
                <w:b/>
                <w:sz w:val="22"/>
                <w:szCs w:val="18"/>
              </w:rPr>
            </w:pPr>
            <w:r w:rsidRPr="00165A31">
              <w:rPr>
                <w:b/>
                <w:sz w:val="22"/>
                <w:szCs w:val="18"/>
              </w:rPr>
              <w:t>Fax:</w:t>
            </w:r>
          </w:p>
          <w:p w14:paraId="31ED4771" w14:textId="7D981B1A" w:rsidR="00165A31" w:rsidRPr="00165A31" w:rsidRDefault="00165A31" w:rsidP="00315F99">
            <w:pPr>
              <w:pStyle w:val="Tabletext"/>
              <w:rPr>
                <w:sz w:val="22"/>
                <w:szCs w:val="18"/>
              </w:rPr>
            </w:pPr>
            <w:r w:rsidRPr="00165A31">
              <w:rPr>
                <w:b/>
                <w:sz w:val="22"/>
                <w:szCs w:val="18"/>
              </w:rPr>
              <w:t>E-mail:</w:t>
            </w:r>
          </w:p>
        </w:tc>
        <w:tc>
          <w:tcPr>
            <w:tcW w:w="3544" w:type="dxa"/>
            <w:gridSpan w:val="2"/>
          </w:tcPr>
          <w:p w14:paraId="197301F7" w14:textId="77777777" w:rsidR="00315F99" w:rsidRDefault="00315F99" w:rsidP="00315F99">
            <w:pPr>
              <w:pStyle w:val="Tabletext"/>
              <w:rPr>
                <w:sz w:val="22"/>
                <w:szCs w:val="18"/>
              </w:rPr>
            </w:pPr>
            <w:r w:rsidRPr="00165A31">
              <w:rPr>
                <w:sz w:val="22"/>
                <w:szCs w:val="18"/>
              </w:rPr>
              <w:t>+41 22 730 5853</w:t>
            </w:r>
          </w:p>
          <w:p w14:paraId="76DA77F0" w14:textId="06C87976" w:rsidR="00165A31" w:rsidRPr="00165A31" w:rsidRDefault="0098769F" w:rsidP="00315F99">
            <w:pPr>
              <w:pStyle w:val="Tabletext"/>
              <w:rPr>
                <w:b/>
                <w:sz w:val="22"/>
                <w:szCs w:val="18"/>
              </w:rPr>
            </w:pPr>
            <w:hyperlink r:id="rId10" w:history="1">
              <w:r w:rsidR="00892496" w:rsidRPr="00E436BF">
                <w:rPr>
                  <w:rStyle w:val="Hyperlink"/>
                  <w:sz w:val="22"/>
                  <w:szCs w:val="18"/>
                </w:rPr>
                <w:t>tsbsg3@itu.int</w:t>
              </w:r>
            </w:hyperlink>
          </w:p>
        </w:tc>
        <w:tc>
          <w:tcPr>
            <w:tcW w:w="5103" w:type="dxa"/>
            <w:gridSpan w:val="2"/>
            <w:vMerge/>
          </w:tcPr>
          <w:p w14:paraId="363833BD" w14:textId="77777777" w:rsidR="00315F99" w:rsidRPr="00165A31" w:rsidRDefault="00315F99" w:rsidP="00315F99">
            <w:pPr>
              <w:pStyle w:val="Tabletext"/>
              <w:ind w:left="142" w:hanging="142"/>
              <w:rPr>
                <w:sz w:val="22"/>
                <w:szCs w:val="18"/>
              </w:rPr>
            </w:pPr>
          </w:p>
        </w:tc>
      </w:tr>
      <w:tr w:rsidR="006D775C" w:rsidRPr="00165A31" w14:paraId="1F5DA09D" w14:textId="77777777" w:rsidTr="00D84BD4">
        <w:trPr>
          <w:cantSplit/>
          <w:trHeight w:val="854"/>
        </w:trPr>
        <w:tc>
          <w:tcPr>
            <w:tcW w:w="1276" w:type="dxa"/>
          </w:tcPr>
          <w:p w14:paraId="06A023BE" w14:textId="77777777" w:rsidR="006D775C" w:rsidRPr="00165A31" w:rsidRDefault="00D40F22">
            <w:pPr>
              <w:pStyle w:val="Tabletext"/>
              <w:rPr>
                <w:sz w:val="22"/>
                <w:szCs w:val="18"/>
              </w:rPr>
            </w:pPr>
            <w:r w:rsidRPr="00165A31">
              <w:rPr>
                <w:b/>
                <w:sz w:val="22"/>
                <w:szCs w:val="18"/>
              </w:rPr>
              <w:t>Subject:</w:t>
            </w:r>
          </w:p>
        </w:tc>
        <w:tc>
          <w:tcPr>
            <w:tcW w:w="8647" w:type="dxa"/>
            <w:gridSpan w:val="4"/>
          </w:tcPr>
          <w:p w14:paraId="4887DE07" w14:textId="098E39A7" w:rsidR="006D775C" w:rsidRPr="00165A31" w:rsidRDefault="00D40F22" w:rsidP="007D62C6">
            <w:pPr>
              <w:pStyle w:val="Tabletext"/>
              <w:rPr>
                <w:sz w:val="22"/>
                <w:szCs w:val="18"/>
              </w:rPr>
            </w:pPr>
            <w:r w:rsidRPr="00165A31">
              <w:rPr>
                <w:b/>
                <w:sz w:val="22"/>
                <w:szCs w:val="18"/>
              </w:rPr>
              <w:t xml:space="preserve">Proposed deletion of Recommendation ITU-T </w:t>
            </w:r>
            <w:r w:rsidR="00892496">
              <w:rPr>
                <w:b/>
                <w:sz w:val="22"/>
                <w:szCs w:val="18"/>
              </w:rPr>
              <w:t>D</w:t>
            </w:r>
            <w:r w:rsidR="007D62C6" w:rsidRPr="007D62C6">
              <w:rPr>
                <w:b/>
                <w:sz w:val="22"/>
                <w:szCs w:val="18"/>
              </w:rPr>
              <w:t>.</w:t>
            </w:r>
            <w:r w:rsidR="00892496">
              <w:rPr>
                <w:b/>
                <w:sz w:val="22"/>
                <w:szCs w:val="18"/>
              </w:rPr>
              <w:t>280</w:t>
            </w:r>
            <w:r w:rsidR="007D62C6">
              <w:rPr>
                <w:b/>
                <w:sz w:val="22"/>
                <w:szCs w:val="18"/>
              </w:rPr>
              <w:t xml:space="preserve"> </w:t>
            </w:r>
            <w:r w:rsidRPr="00165A31">
              <w:rPr>
                <w:b/>
                <w:sz w:val="22"/>
                <w:szCs w:val="18"/>
              </w:rPr>
              <w:t xml:space="preserve">agreed </w:t>
            </w:r>
            <w:r w:rsidR="005F755F" w:rsidRPr="00165A31">
              <w:rPr>
                <w:b/>
                <w:sz w:val="22"/>
                <w:szCs w:val="18"/>
              </w:rPr>
              <w:t xml:space="preserve">to </w:t>
            </w:r>
            <w:r w:rsidRPr="00165A31">
              <w:rPr>
                <w:b/>
                <w:sz w:val="22"/>
                <w:szCs w:val="18"/>
              </w:rPr>
              <w:t>by ITU-T SG</w:t>
            </w:r>
            <w:r w:rsidR="00892496">
              <w:rPr>
                <w:b/>
                <w:sz w:val="22"/>
                <w:szCs w:val="18"/>
              </w:rPr>
              <w:t>3</w:t>
            </w:r>
            <w:r w:rsidRPr="00165A31">
              <w:rPr>
                <w:b/>
                <w:sz w:val="22"/>
                <w:szCs w:val="18"/>
              </w:rPr>
              <w:t xml:space="preserve"> at its meeting </w:t>
            </w:r>
            <w:r w:rsidR="005638D8" w:rsidRPr="00165A31">
              <w:rPr>
                <w:b/>
                <w:sz w:val="22"/>
                <w:szCs w:val="18"/>
              </w:rPr>
              <w:t>from</w:t>
            </w:r>
            <w:r w:rsidRPr="00165A31">
              <w:rPr>
                <w:b/>
                <w:sz w:val="22"/>
                <w:szCs w:val="18"/>
              </w:rPr>
              <w:t xml:space="preserve"> </w:t>
            </w:r>
            <w:r w:rsidR="00892496">
              <w:rPr>
                <w:b/>
                <w:sz w:val="22"/>
                <w:szCs w:val="18"/>
              </w:rPr>
              <w:t>23</w:t>
            </w:r>
            <w:r w:rsidR="007D62C6">
              <w:rPr>
                <w:b/>
                <w:sz w:val="22"/>
                <w:szCs w:val="18"/>
              </w:rPr>
              <w:t xml:space="preserve"> to </w:t>
            </w:r>
            <w:r w:rsidR="00892496">
              <w:rPr>
                <w:b/>
                <w:sz w:val="22"/>
                <w:szCs w:val="18"/>
              </w:rPr>
              <w:t>27</w:t>
            </w:r>
            <w:r w:rsidR="007D62C6">
              <w:rPr>
                <w:b/>
                <w:sz w:val="22"/>
                <w:szCs w:val="18"/>
              </w:rPr>
              <w:t xml:space="preserve"> May 2022</w:t>
            </w:r>
          </w:p>
        </w:tc>
      </w:tr>
      <w:tr w:rsidR="00207382" w:rsidRPr="00165A31" w14:paraId="775B53CE" w14:textId="77777777" w:rsidTr="00C57543">
        <w:trPr>
          <w:cantSplit/>
          <w:trHeight w:val="854"/>
        </w:trPr>
        <w:tc>
          <w:tcPr>
            <w:tcW w:w="9923" w:type="dxa"/>
            <w:gridSpan w:val="5"/>
          </w:tcPr>
          <w:p w14:paraId="132DFEF8" w14:textId="77777777" w:rsidR="00207382" w:rsidRDefault="00207382" w:rsidP="00207382">
            <w:pPr>
              <w:rPr>
                <w:sz w:val="22"/>
                <w:szCs w:val="18"/>
              </w:rPr>
            </w:pPr>
            <w:r w:rsidRPr="00165A31">
              <w:rPr>
                <w:sz w:val="22"/>
                <w:szCs w:val="18"/>
              </w:rPr>
              <w:t>Dear Sir/Madam,</w:t>
            </w:r>
          </w:p>
          <w:p w14:paraId="669B3480" w14:textId="77777777" w:rsidR="00207382" w:rsidRPr="00165A31" w:rsidRDefault="00207382" w:rsidP="00207382">
            <w:pPr>
              <w:rPr>
                <w:sz w:val="22"/>
                <w:szCs w:val="18"/>
              </w:rPr>
            </w:pPr>
            <w:r w:rsidRPr="00165A31">
              <w:rPr>
                <w:sz w:val="22"/>
                <w:szCs w:val="18"/>
              </w:rPr>
              <w:t>1</w:t>
            </w:r>
            <w:r w:rsidRPr="00165A31">
              <w:rPr>
                <w:sz w:val="22"/>
                <w:szCs w:val="18"/>
              </w:rPr>
              <w:tab/>
              <w:t xml:space="preserve">At the request of the Chairman of Study Group </w:t>
            </w:r>
            <w:r>
              <w:rPr>
                <w:sz w:val="22"/>
                <w:szCs w:val="18"/>
              </w:rPr>
              <w:t>3</w:t>
            </w:r>
            <w:r w:rsidRPr="00165A31">
              <w:rPr>
                <w:sz w:val="22"/>
                <w:szCs w:val="18"/>
              </w:rPr>
              <w:t xml:space="preserve"> (</w:t>
            </w:r>
            <w:r w:rsidRPr="00892496">
              <w:rPr>
                <w:i/>
                <w:sz w:val="22"/>
                <w:szCs w:val="18"/>
              </w:rPr>
              <w:t>Tariff and accounting principles and international telecommunication/ICT economic and policy issues</w:t>
            </w:r>
            <w:r w:rsidRPr="00165A31">
              <w:rPr>
                <w:sz w:val="22"/>
                <w:szCs w:val="18"/>
              </w:rPr>
              <w:t xml:space="preserve">), I have the honour to inform you that this study group, in its meeting from </w:t>
            </w:r>
            <w:r>
              <w:rPr>
                <w:sz w:val="22"/>
                <w:szCs w:val="18"/>
              </w:rPr>
              <w:t>23 to 27 May 2022</w:t>
            </w:r>
            <w:r w:rsidRPr="00165A31">
              <w:rPr>
                <w:sz w:val="22"/>
                <w:szCs w:val="18"/>
              </w:rPr>
              <w:t xml:space="preserve">, </w:t>
            </w:r>
            <w:r>
              <w:rPr>
                <w:sz w:val="22"/>
                <w:szCs w:val="18"/>
              </w:rPr>
              <w:t>agreed</w:t>
            </w:r>
            <w:r w:rsidRPr="00165A31">
              <w:rPr>
                <w:sz w:val="22"/>
                <w:szCs w:val="18"/>
              </w:rPr>
              <w:t xml:space="preserve"> to </w:t>
            </w:r>
            <w:r>
              <w:rPr>
                <w:sz w:val="22"/>
                <w:szCs w:val="18"/>
              </w:rPr>
              <w:t>initiate the deletion of</w:t>
            </w:r>
            <w:r w:rsidRPr="00165A31">
              <w:rPr>
                <w:sz w:val="22"/>
                <w:szCs w:val="18"/>
              </w:rPr>
              <w:t xml:space="preserve"> </w:t>
            </w:r>
            <w:r>
              <w:rPr>
                <w:sz w:val="22"/>
                <w:szCs w:val="18"/>
              </w:rPr>
              <w:t xml:space="preserve">the above mentioned ITU-T </w:t>
            </w:r>
            <w:r w:rsidRPr="00165A31">
              <w:rPr>
                <w:sz w:val="22"/>
                <w:szCs w:val="18"/>
              </w:rPr>
              <w:t xml:space="preserve">Recommendation, in accordance with the provisions of Resolution 1, Section 9, § 9.8.2, of WTSA (Rev. </w:t>
            </w:r>
            <w:r>
              <w:rPr>
                <w:sz w:val="22"/>
                <w:szCs w:val="18"/>
              </w:rPr>
              <w:t>Geneva</w:t>
            </w:r>
            <w:r w:rsidRPr="00165A31">
              <w:rPr>
                <w:sz w:val="22"/>
                <w:szCs w:val="18"/>
              </w:rPr>
              <w:t xml:space="preserve">, </w:t>
            </w:r>
            <w:r>
              <w:rPr>
                <w:sz w:val="22"/>
                <w:szCs w:val="18"/>
              </w:rPr>
              <w:t>2022</w:t>
            </w:r>
            <w:r w:rsidRPr="00165A31">
              <w:rPr>
                <w:sz w:val="22"/>
                <w:szCs w:val="18"/>
              </w:rPr>
              <w:t xml:space="preserve">). </w:t>
            </w:r>
            <w:r>
              <w:rPr>
                <w:sz w:val="22"/>
                <w:szCs w:val="18"/>
              </w:rPr>
              <w:t>There was no opposition to this advice from the</w:t>
            </w:r>
            <w:r w:rsidRPr="00165A31">
              <w:rPr>
                <w:sz w:val="22"/>
                <w:szCs w:val="18"/>
              </w:rPr>
              <w:t xml:space="preserve"> Member States </w:t>
            </w:r>
            <w:r>
              <w:rPr>
                <w:sz w:val="22"/>
                <w:szCs w:val="18"/>
              </w:rPr>
              <w:t>or</w:t>
            </w:r>
            <w:r w:rsidRPr="00165A31">
              <w:rPr>
                <w:sz w:val="22"/>
                <w:szCs w:val="18"/>
              </w:rPr>
              <w:t xml:space="preserve"> Sector Members </w:t>
            </w:r>
            <w:r>
              <w:rPr>
                <w:sz w:val="22"/>
                <w:szCs w:val="18"/>
              </w:rPr>
              <w:t xml:space="preserve">who </w:t>
            </w:r>
            <w:r w:rsidRPr="00165A31">
              <w:rPr>
                <w:sz w:val="22"/>
                <w:szCs w:val="18"/>
              </w:rPr>
              <w:t>participated in the meeting.</w:t>
            </w:r>
          </w:p>
          <w:p w14:paraId="6B3A0C7B" w14:textId="77777777" w:rsidR="00207382" w:rsidRPr="00165A31" w:rsidRDefault="00207382" w:rsidP="00207382">
            <w:pPr>
              <w:rPr>
                <w:sz w:val="22"/>
                <w:szCs w:val="18"/>
              </w:rPr>
            </w:pPr>
            <w:r w:rsidRPr="00165A31">
              <w:rPr>
                <w:sz w:val="22"/>
                <w:szCs w:val="18"/>
              </w:rPr>
              <w:t>2</w:t>
            </w:r>
            <w:r w:rsidRPr="00165A31">
              <w:rPr>
                <w:sz w:val="22"/>
                <w:szCs w:val="18"/>
              </w:rPr>
              <w:tab/>
            </w:r>
            <w:r w:rsidRPr="00165A31">
              <w:rPr>
                <w:b/>
                <w:sz w:val="22"/>
                <w:szCs w:val="18"/>
              </w:rPr>
              <w:t>Annex 1</w:t>
            </w:r>
            <w:r w:rsidRPr="00165A31">
              <w:rPr>
                <w:sz w:val="22"/>
                <w:szCs w:val="18"/>
              </w:rPr>
              <w:t xml:space="preserve"> gives information about this agreement, including an explanatory summary about the reasons for the deletion.</w:t>
            </w:r>
          </w:p>
          <w:p w14:paraId="2CFDBFCC" w14:textId="77777777" w:rsidR="00207382" w:rsidRPr="007D08F4" w:rsidRDefault="00207382" w:rsidP="00207382">
            <w:pPr>
              <w:rPr>
                <w:sz w:val="22"/>
                <w:szCs w:val="18"/>
              </w:rPr>
            </w:pPr>
            <w:r w:rsidRPr="00165A31">
              <w:rPr>
                <w:sz w:val="22"/>
                <w:szCs w:val="18"/>
              </w:rPr>
              <w:t>3</w:t>
            </w:r>
            <w:r w:rsidRPr="00165A31">
              <w:rPr>
                <w:sz w:val="22"/>
                <w:szCs w:val="18"/>
              </w:rPr>
              <w:tab/>
              <w:t>Having regard to the provisions of Resolution 1, Section 9, I should be grateful if you would inform me by 2400 hours UTC</w:t>
            </w:r>
            <w:r w:rsidRPr="00165A31">
              <w:rPr>
                <w:b/>
                <w:sz w:val="22"/>
                <w:szCs w:val="18"/>
              </w:rPr>
              <w:t xml:space="preserve"> </w:t>
            </w:r>
            <w:r w:rsidRPr="00165A31">
              <w:rPr>
                <w:bCs/>
                <w:sz w:val="22"/>
                <w:szCs w:val="18"/>
              </w:rPr>
              <w:t>on</w:t>
            </w:r>
            <w:r w:rsidRPr="00165A31">
              <w:rPr>
                <w:b/>
                <w:sz w:val="22"/>
                <w:szCs w:val="18"/>
              </w:rPr>
              <w:t xml:space="preserve"> </w:t>
            </w:r>
            <w:r w:rsidRPr="007D08F4">
              <w:rPr>
                <w:b/>
                <w:sz w:val="22"/>
                <w:szCs w:val="18"/>
              </w:rPr>
              <w:t xml:space="preserve">30 August 2022 </w:t>
            </w:r>
            <w:r w:rsidRPr="007D08F4">
              <w:rPr>
                <w:sz w:val="22"/>
                <w:szCs w:val="18"/>
              </w:rPr>
              <w:t>whether your Administration/organization approves or rejects this deletion.</w:t>
            </w:r>
          </w:p>
          <w:p w14:paraId="1DB3CB5B" w14:textId="77777777" w:rsidR="00207382" w:rsidRPr="007D08F4" w:rsidRDefault="00207382" w:rsidP="00207382">
            <w:pPr>
              <w:rPr>
                <w:sz w:val="22"/>
                <w:szCs w:val="18"/>
              </w:rPr>
            </w:pPr>
            <w:r w:rsidRPr="007D08F4">
              <w:rPr>
                <w:sz w:val="22"/>
                <w:szCs w:val="18"/>
              </w:rPr>
              <w:tab/>
              <w:t xml:space="preserve">Should any Member States or Sector Members </w:t>
            </w:r>
            <w:proofErr w:type="gramStart"/>
            <w:r w:rsidRPr="007D08F4">
              <w:rPr>
                <w:sz w:val="22"/>
                <w:szCs w:val="18"/>
              </w:rPr>
              <w:t>be of the opinion that</w:t>
            </w:r>
            <w:proofErr w:type="gramEnd"/>
            <w:r w:rsidRPr="007D08F4">
              <w:rPr>
                <w:sz w:val="22"/>
                <w:szCs w:val="18"/>
              </w:rPr>
              <w:t xml:space="preserve"> deletion should not be accepted, they should advise their reasons for disapproving and the matter would be referred back to the study group.</w:t>
            </w:r>
          </w:p>
          <w:p w14:paraId="158D1829" w14:textId="77777777" w:rsidR="00207382" w:rsidRPr="00165A31" w:rsidRDefault="00207382" w:rsidP="00207382">
            <w:pPr>
              <w:tabs>
                <w:tab w:val="left" w:pos="1296"/>
                <w:tab w:val="left" w:pos="2160"/>
                <w:tab w:val="left" w:pos="3024"/>
                <w:tab w:val="left" w:pos="7056"/>
                <w:tab w:val="left" w:pos="8496"/>
              </w:tabs>
              <w:rPr>
                <w:sz w:val="22"/>
                <w:szCs w:val="18"/>
              </w:rPr>
            </w:pPr>
            <w:r w:rsidRPr="007D08F4">
              <w:rPr>
                <w:sz w:val="22"/>
                <w:szCs w:val="18"/>
              </w:rPr>
              <w:t>4</w:t>
            </w:r>
            <w:r w:rsidRPr="007D08F4">
              <w:rPr>
                <w:sz w:val="22"/>
                <w:szCs w:val="18"/>
              </w:rPr>
              <w:tab/>
              <w:t xml:space="preserve">After the above-mentioned deadline, </w:t>
            </w:r>
            <w:r w:rsidRPr="007D08F4">
              <w:rPr>
                <w:b/>
                <w:sz w:val="22"/>
                <w:szCs w:val="18"/>
              </w:rPr>
              <w:t>30 August 2022</w:t>
            </w:r>
            <w:r w:rsidRPr="007D08F4">
              <w:rPr>
                <w:bCs/>
                <w:sz w:val="22"/>
                <w:szCs w:val="18"/>
              </w:rPr>
              <w:t>,</w:t>
            </w:r>
            <w:r w:rsidRPr="00165A31">
              <w:rPr>
                <w:sz w:val="22"/>
                <w:szCs w:val="18"/>
              </w:rPr>
              <w:t xml:space="preserve"> the Director of TSB will notify, in a Circular, the result of the consultation. This information will also be published in the ITU Operational Bulletin.</w:t>
            </w:r>
          </w:p>
          <w:p w14:paraId="60E495EA" w14:textId="77777777" w:rsidR="00207382" w:rsidRPr="00165A31" w:rsidRDefault="00207382" w:rsidP="00207382">
            <w:pPr>
              <w:keepNext/>
              <w:keepLines/>
              <w:spacing w:before="240"/>
              <w:rPr>
                <w:sz w:val="22"/>
                <w:szCs w:val="18"/>
              </w:rPr>
            </w:pPr>
            <w:r w:rsidRPr="00165A31">
              <w:rPr>
                <w:sz w:val="22"/>
                <w:szCs w:val="18"/>
              </w:rPr>
              <w:t>Yours faithfully,</w:t>
            </w:r>
          </w:p>
          <w:p w14:paraId="3C58149D" w14:textId="77777777" w:rsidR="00207382" w:rsidRPr="00165A31" w:rsidRDefault="00207382" w:rsidP="00207382">
            <w:pPr>
              <w:keepNext/>
              <w:keepLines/>
              <w:spacing w:before="960"/>
              <w:rPr>
                <w:sz w:val="22"/>
                <w:szCs w:val="18"/>
              </w:rPr>
            </w:pPr>
            <w:r>
              <w:rPr>
                <w:noProof/>
                <w:sz w:val="22"/>
                <w:szCs w:val="18"/>
              </w:rPr>
              <w:drawing>
                <wp:anchor distT="0" distB="0" distL="114300" distR="114300" simplePos="0" relativeHeight="251659264" behindDoc="1" locked="0" layoutInCell="1" allowOverlap="1" wp14:anchorId="31CA7476" wp14:editId="3EE2A690">
                  <wp:simplePos x="0" y="0"/>
                  <wp:positionH relativeFrom="column">
                    <wp:posOffset>635</wp:posOffset>
                  </wp:positionH>
                  <wp:positionV relativeFrom="paragraph">
                    <wp:posOffset>177800</wp:posOffset>
                  </wp:positionV>
                  <wp:extent cx="603885" cy="255089"/>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03885" cy="255089"/>
                          </a:xfrm>
                          <a:prstGeom prst="rect">
                            <a:avLst/>
                          </a:prstGeom>
                        </pic:spPr>
                      </pic:pic>
                    </a:graphicData>
                  </a:graphic>
                  <wp14:sizeRelH relativeFrom="margin">
                    <wp14:pctWidth>0</wp14:pctWidth>
                  </wp14:sizeRelH>
                  <wp14:sizeRelV relativeFrom="margin">
                    <wp14:pctHeight>0</wp14:pctHeight>
                  </wp14:sizeRelV>
                </wp:anchor>
              </w:drawing>
            </w:r>
            <w:r w:rsidRPr="00165A31">
              <w:rPr>
                <w:sz w:val="22"/>
                <w:szCs w:val="18"/>
              </w:rPr>
              <w:t>Chaesub Lee</w:t>
            </w:r>
            <w:r w:rsidRPr="00165A31">
              <w:rPr>
                <w:sz w:val="22"/>
                <w:szCs w:val="18"/>
              </w:rPr>
              <w:br/>
              <w:t>Director of the Telecommunication</w:t>
            </w:r>
            <w:r w:rsidRPr="00165A31">
              <w:rPr>
                <w:sz w:val="22"/>
                <w:szCs w:val="18"/>
              </w:rPr>
              <w:br/>
              <w:t>Standardization Bureau</w:t>
            </w:r>
          </w:p>
          <w:p w14:paraId="70D35B1D" w14:textId="181CB809" w:rsidR="00207382" w:rsidRPr="00207382" w:rsidRDefault="00207382" w:rsidP="00207382">
            <w:pPr>
              <w:spacing w:before="360"/>
              <w:rPr>
                <w:b/>
                <w:bCs/>
                <w:sz w:val="22"/>
                <w:szCs w:val="18"/>
                <w:lang w:val="en-US"/>
              </w:rPr>
            </w:pPr>
            <w:r w:rsidRPr="00165A31">
              <w:rPr>
                <w:b/>
                <w:sz w:val="22"/>
                <w:szCs w:val="18"/>
              </w:rPr>
              <w:t>Annex</w:t>
            </w:r>
            <w:r w:rsidRPr="00165A31">
              <w:rPr>
                <w:sz w:val="22"/>
                <w:szCs w:val="18"/>
              </w:rPr>
              <w:t>: 1</w:t>
            </w:r>
          </w:p>
        </w:tc>
      </w:tr>
    </w:tbl>
    <w:p w14:paraId="6E455282" w14:textId="77777777" w:rsidR="00207382" w:rsidRDefault="002C29D2" w:rsidP="00092594">
      <w:pPr>
        <w:jc w:val="center"/>
      </w:pPr>
      <w:r>
        <w:br w:type="page"/>
      </w:r>
    </w:p>
    <w:p w14:paraId="334F5652" w14:textId="77777777" w:rsidR="00207382" w:rsidRDefault="00207382" w:rsidP="00092594">
      <w:pPr>
        <w:jc w:val="center"/>
      </w:pPr>
    </w:p>
    <w:p w14:paraId="0EE3A17F" w14:textId="747B2535" w:rsidR="00315F99" w:rsidRDefault="005638D8" w:rsidP="00092594">
      <w:pPr>
        <w:jc w:val="center"/>
        <w:rPr>
          <w:lang w:eastAsia="ja-JP"/>
        </w:rPr>
      </w:pPr>
      <w:r w:rsidRPr="005638D8">
        <w:rPr>
          <w:b/>
          <w:bCs/>
          <w:sz w:val="28"/>
          <w:szCs w:val="22"/>
          <w:lang w:val="en-US"/>
        </w:rPr>
        <w:t>A</w:t>
      </w:r>
      <w:r w:rsidR="00092594">
        <w:rPr>
          <w:b/>
          <w:bCs/>
          <w:sz w:val="28"/>
          <w:szCs w:val="22"/>
          <w:lang w:val="en-US"/>
        </w:rPr>
        <w:t>nnex</w:t>
      </w:r>
      <w:r w:rsidRPr="005638D8">
        <w:rPr>
          <w:b/>
          <w:bCs/>
          <w:sz w:val="28"/>
          <w:szCs w:val="22"/>
          <w:lang w:val="en-US"/>
        </w:rPr>
        <w:t xml:space="preserve"> 1</w:t>
      </w:r>
      <w:r w:rsidR="00092594">
        <w:rPr>
          <w:b/>
          <w:bCs/>
          <w:sz w:val="28"/>
          <w:szCs w:val="22"/>
          <w:lang w:val="en-US"/>
        </w:rPr>
        <w:br/>
      </w:r>
      <w:r w:rsidR="005F755F" w:rsidRPr="00092594">
        <w:rPr>
          <w:b/>
          <w:bCs/>
          <w:sz w:val="28"/>
          <w:szCs w:val="22"/>
          <w:lang w:val="en-US"/>
        </w:rPr>
        <w:t xml:space="preserve">Recommendation proposed for deletion: </w:t>
      </w:r>
      <w:r w:rsidR="007D62C6" w:rsidRPr="00092594">
        <w:rPr>
          <w:b/>
          <w:bCs/>
          <w:sz w:val="28"/>
          <w:szCs w:val="22"/>
          <w:lang w:val="en-US"/>
        </w:rPr>
        <w:t xml:space="preserve">ITU-T </w:t>
      </w:r>
      <w:r w:rsidR="00892496">
        <w:rPr>
          <w:b/>
          <w:bCs/>
          <w:sz w:val="28"/>
          <w:szCs w:val="22"/>
          <w:lang w:val="en-US"/>
        </w:rPr>
        <w:t>D</w:t>
      </w:r>
      <w:r w:rsidR="007D62C6" w:rsidRPr="00092594">
        <w:rPr>
          <w:b/>
          <w:bCs/>
          <w:sz w:val="28"/>
          <w:szCs w:val="22"/>
          <w:lang w:val="en-US"/>
        </w:rPr>
        <w:t>.</w:t>
      </w:r>
      <w:r w:rsidR="00892496">
        <w:rPr>
          <w:b/>
          <w:bCs/>
          <w:sz w:val="28"/>
          <w:szCs w:val="22"/>
          <w:lang w:val="en-US"/>
        </w:rPr>
        <w:t>280</w:t>
      </w:r>
    </w:p>
    <w:p w14:paraId="27C0E59A" w14:textId="407741C1" w:rsidR="007D62C6" w:rsidRPr="00092594" w:rsidRDefault="007D62C6" w:rsidP="00092594">
      <w:pPr>
        <w:spacing w:before="240"/>
        <w:rPr>
          <w:b/>
          <w:bCs/>
          <w:lang w:eastAsia="ja-JP"/>
        </w:rPr>
      </w:pPr>
      <w:r w:rsidRPr="00092594">
        <w:rPr>
          <w:b/>
          <w:bCs/>
          <w:lang w:eastAsia="ja-JP"/>
        </w:rPr>
        <w:t xml:space="preserve">Recommendation ITU-T </w:t>
      </w:r>
      <w:r w:rsidR="00892496">
        <w:rPr>
          <w:b/>
          <w:bCs/>
          <w:lang w:eastAsia="ja-JP"/>
        </w:rPr>
        <w:t>D</w:t>
      </w:r>
      <w:r w:rsidRPr="00092594">
        <w:rPr>
          <w:b/>
          <w:bCs/>
          <w:lang w:eastAsia="ja-JP"/>
        </w:rPr>
        <w:t>.</w:t>
      </w:r>
      <w:r w:rsidR="00892496">
        <w:rPr>
          <w:b/>
          <w:bCs/>
          <w:lang w:eastAsia="ja-JP"/>
        </w:rPr>
        <w:t>280</w:t>
      </w:r>
      <w:r w:rsidR="00092594" w:rsidRPr="00092594">
        <w:rPr>
          <w:b/>
          <w:bCs/>
          <w:lang w:eastAsia="ja-JP"/>
        </w:rPr>
        <w:t xml:space="preserve">, </w:t>
      </w:r>
      <w:r w:rsidR="00892496" w:rsidRPr="00892496">
        <w:rPr>
          <w:b/>
          <w:bCs/>
          <w:lang w:eastAsia="ja-JP"/>
        </w:rPr>
        <w:t xml:space="preserve">Principles for charging and billing, </w:t>
      </w:r>
      <w:proofErr w:type="gramStart"/>
      <w:r w:rsidR="00892496" w:rsidRPr="00892496">
        <w:rPr>
          <w:b/>
          <w:bCs/>
          <w:lang w:eastAsia="ja-JP"/>
        </w:rPr>
        <w:t>accounting</w:t>
      </w:r>
      <w:proofErr w:type="gramEnd"/>
      <w:r w:rsidR="00892496" w:rsidRPr="00892496">
        <w:rPr>
          <w:b/>
          <w:bCs/>
          <w:lang w:eastAsia="ja-JP"/>
        </w:rPr>
        <w:t xml:space="preserve"> and reimbursements for universal personal telecommunication</w:t>
      </w:r>
    </w:p>
    <w:p w14:paraId="3D371496" w14:textId="35FA4CC6" w:rsidR="00092594" w:rsidRPr="00092594" w:rsidRDefault="00092594" w:rsidP="00092594">
      <w:pPr>
        <w:rPr>
          <w:b/>
          <w:bCs/>
          <w:lang w:val="en-US" w:eastAsia="ja-JP"/>
        </w:rPr>
      </w:pPr>
      <w:r w:rsidRPr="00092594">
        <w:rPr>
          <w:b/>
          <w:bCs/>
          <w:lang w:eastAsia="ja-JP"/>
        </w:rPr>
        <w:t>Approval date:</w:t>
      </w:r>
      <w:r w:rsidRPr="00092594">
        <w:rPr>
          <w:b/>
          <w:bCs/>
          <w:lang w:eastAsia="ja-JP"/>
        </w:rPr>
        <w:tab/>
      </w:r>
      <w:r>
        <w:rPr>
          <w:b/>
          <w:bCs/>
          <w:lang w:eastAsia="ja-JP"/>
        </w:rPr>
        <w:t>Ma</w:t>
      </w:r>
      <w:r w:rsidR="00892496">
        <w:rPr>
          <w:b/>
          <w:bCs/>
          <w:lang w:eastAsia="ja-JP"/>
        </w:rPr>
        <w:t>rch</w:t>
      </w:r>
      <w:r>
        <w:rPr>
          <w:b/>
          <w:bCs/>
          <w:lang w:eastAsia="ja-JP"/>
        </w:rPr>
        <w:t xml:space="preserve"> </w:t>
      </w:r>
      <w:r w:rsidR="00892496">
        <w:rPr>
          <w:b/>
          <w:bCs/>
          <w:lang w:eastAsia="ja-JP"/>
        </w:rPr>
        <w:t>1995</w:t>
      </w:r>
    </w:p>
    <w:p w14:paraId="051D8B73" w14:textId="4D746E40" w:rsidR="00092594" w:rsidRPr="008062C6" w:rsidRDefault="008062C6" w:rsidP="008062C6">
      <w:pPr>
        <w:ind w:left="1191" w:hanging="1191"/>
      </w:pPr>
      <w:r w:rsidRPr="00443C67">
        <w:t xml:space="preserve">Summary: </w:t>
      </w:r>
      <w:r w:rsidRPr="00443C67">
        <w:tab/>
        <w:t xml:space="preserve">(No summary exists for this Recommendation – the following is the </w:t>
      </w:r>
      <w:r>
        <w:t>Scope</w:t>
      </w:r>
      <w:r w:rsidRPr="00443C67">
        <w:t>)</w:t>
      </w:r>
    </w:p>
    <w:p w14:paraId="27361422" w14:textId="6EA0ABCA" w:rsidR="00A70A1B" w:rsidRDefault="00A70A1B" w:rsidP="00A70A1B">
      <w:r>
        <w:t>This Recommendation covers the principles for charging and the associated billing, as well as the accounting and reimbursements for Universal Personal Telecommunication service (UPT), which is described in the F.850-Series Recommendations.</w:t>
      </w:r>
    </w:p>
    <w:p w14:paraId="60AF178B" w14:textId="77777777" w:rsidR="00A70A1B" w:rsidRDefault="00A70A1B" w:rsidP="00A70A1B">
      <w:r>
        <w:t>Included in this Recommendation is guidance on:</w:t>
      </w:r>
    </w:p>
    <w:p w14:paraId="38271C5E" w14:textId="77777777" w:rsidR="00A70A1B" w:rsidRDefault="00A70A1B" w:rsidP="00A70A1B">
      <w:r>
        <w:t xml:space="preserve">1) the charging principles and </w:t>
      </w:r>
      <w:proofErr w:type="gramStart"/>
      <w:r>
        <w:t>options;</w:t>
      </w:r>
      <w:proofErr w:type="gramEnd"/>
    </w:p>
    <w:p w14:paraId="4F781911" w14:textId="77777777" w:rsidR="00A70A1B" w:rsidRDefault="00A70A1B" w:rsidP="00A70A1B">
      <w:r>
        <w:t xml:space="preserve">2) the traffic accounting </w:t>
      </w:r>
      <w:proofErr w:type="gramStart"/>
      <w:r>
        <w:t>principles;</w:t>
      </w:r>
      <w:proofErr w:type="gramEnd"/>
    </w:p>
    <w:p w14:paraId="4D666FA0" w14:textId="77777777" w:rsidR="00A70A1B" w:rsidRDefault="00A70A1B" w:rsidP="00A70A1B">
      <w:r>
        <w:t>3) the principles for the billing of UPT calls; and</w:t>
      </w:r>
    </w:p>
    <w:p w14:paraId="264A37A3" w14:textId="72F21D85" w:rsidR="00A70A1B" w:rsidRDefault="00A70A1B" w:rsidP="00A70A1B">
      <w:r>
        <w:t>4) the requirements for reimbursements among service providers, which are applicable to the various call types which may be encountered in UPT.</w:t>
      </w:r>
    </w:p>
    <w:p w14:paraId="6B83E00C" w14:textId="4D635F77" w:rsidR="00092594" w:rsidRDefault="00A70A1B" w:rsidP="00A70A1B">
      <w:r>
        <w:t>Charging principles related to UPT service profile management functions are also provided.</w:t>
      </w:r>
    </w:p>
    <w:p w14:paraId="5455F41A" w14:textId="1C30BBC6" w:rsidR="005F755F" w:rsidRPr="00443C67" w:rsidRDefault="007C6A2C" w:rsidP="00092594">
      <w:pPr>
        <w:spacing w:before="360"/>
        <w:rPr>
          <w:i/>
          <w:iCs/>
          <w:lang w:eastAsia="ja-JP"/>
        </w:rPr>
      </w:pPr>
      <w:r>
        <w:rPr>
          <w:i/>
          <w:iCs/>
          <w:lang w:eastAsia="ja-JP"/>
        </w:rPr>
        <w:t>R</w:t>
      </w:r>
      <w:r w:rsidR="005F755F" w:rsidRPr="00443C67">
        <w:rPr>
          <w:i/>
          <w:iCs/>
          <w:lang w:eastAsia="ja-JP"/>
        </w:rPr>
        <w:t>easons for the deletion</w:t>
      </w:r>
      <w:r w:rsidR="00092594">
        <w:rPr>
          <w:i/>
          <w:iCs/>
          <w:lang w:eastAsia="ja-JP"/>
        </w:rPr>
        <w:t xml:space="preserve"> of the Recommendation listed above</w:t>
      </w:r>
      <w:r w:rsidR="005F755F" w:rsidRPr="00443C67">
        <w:rPr>
          <w:i/>
          <w:iCs/>
          <w:lang w:eastAsia="ja-JP"/>
        </w:rPr>
        <w:t>:</w:t>
      </w:r>
    </w:p>
    <w:p w14:paraId="00827C9D" w14:textId="0E88B3BB" w:rsidR="00CC752A" w:rsidRDefault="00092594" w:rsidP="002452CB">
      <w:pPr>
        <w:ind w:left="720"/>
        <w:rPr>
          <w:lang w:eastAsia="ja-JP"/>
        </w:rPr>
      </w:pPr>
      <w:r w:rsidRPr="00092594">
        <w:rPr>
          <w:lang w:eastAsia="ja-JP"/>
        </w:rPr>
        <w:t xml:space="preserve">At the time these Recommendations were approved, the concept of </w:t>
      </w:r>
      <w:r w:rsidR="00D72B7B" w:rsidRPr="00D72B7B">
        <w:rPr>
          <w:lang w:eastAsia="ja-JP"/>
        </w:rPr>
        <w:t xml:space="preserve">universal personal telecommunication </w:t>
      </w:r>
      <w:r w:rsidR="00D72B7B">
        <w:rPr>
          <w:lang w:eastAsia="ja-JP"/>
        </w:rPr>
        <w:t>(</w:t>
      </w:r>
      <w:r w:rsidRPr="00092594">
        <w:rPr>
          <w:lang w:eastAsia="ja-JP"/>
        </w:rPr>
        <w:t>UPT</w:t>
      </w:r>
      <w:r w:rsidR="00D72B7B">
        <w:rPr>
          <w:lang w:eastAsia="ja-JP"/>
        </w:rPr>
        <w:t>)</w:t>
      </w:r>
      <w:r w:rsidRPr="00092594">
        <w:rPr>
          <w:lang w:eastAsia="ja-JP"/>
        </w:rPr>
        <w:t xml:space="preserve"> utilized specific technology and service concepts. In the decades since then, the technology has evolved. The services specified in the Recommendations are no longer provided as specified, and in fact, there are no such services offered. The fundamental principles that underpinned the service concepts of UPT are no longer unique to UPT, and many similar types of services are now provided using the Internet Protocol (IP)- and IoT-based technologies that were not part of the UPT-related Recommendations. Other global numbering, naming, addressing, and identification resources remain available and have proven more appropriate for such services. As such, the suite of UPT-related Recommendations </w:t>
      </w:r>
      <w:proofErr w:type="gramStart"/>
      <w:r w:rsidRPr="00092594">
        <w:rPr>
          <w:lang w:eastAsia="ja-JP"/>
        </w:rPr>
        <w:t>are</w:t>
      </w:r>
      <w:proofErr w:type="gramEnd"/>
      <w:r w:rsidRPr="00092594">
        <w:rPr>
          <w:lang w:eastAsia="ja-JP"/>
        </w:rPr>
        <w:t xml:space="preserve"> no longer relevant. Given this rationale, SG</w:t>
      </w:r>
      <w:r w:rsidR="00133D40">
        <w:rPr>
          <w:lang w:eastAsia="ja-JP"/>
        </w:rPr>
        <w:t>3</w:t>
      </w:r>
      <w:r w:rsidRPr="00092594">
        <w:rPr>
          <w:lang w:eastAsia="ja-JP"/>
        </w:rPr>
        <w:t xml:space="preserve"> has advised the TSB Director to initiate the deletion of UPT Recommendation</w:t>
      </w:r>
      <w:r w:rsidR="00133D40">
        <w:rPr>
          <w:lang w:eastAsia="ja-JP"/>
        </w:rPr>
        <w:t xml:space="preserve"> ITU-T D.280</w:t>
      </w:r>
      <w:r w:rsidRPr="00092594">
        <w:rPr>
          <w:lang w:eastAsia="ja-JP"/>
        </w:rPr>
        <w:t xml:space="preserve"> under the purview of SG</w:t>
      </w:r>
      <w:r w:rsidR="00133D40">
        <w:rPr>
          <w:lang w:eastAsia="ja-JP"/>
        </w:rPr>
        <w:t>3</w:t>
      </w:r>
      <w:r w:rsidR="00855EAC">
        <w:t>.</w:t>
      </w:r>
    </w:p>
    <w:p w14:paraId="28F34D7B" w14:textId="77777777" w:rsidR="005F755F" w:rsidRDefault="005F755F" w:rsidP="005F755F">
      <w:pPr>
        <w:rPr>
          <w:lang w:eastAsia="ja-JP"/>
        </w:rPr>
      </w:pPr>
    </w:p>
    <w:p w14:paraId="18F0353D" w14:textId="77777777" w:rsidR="00633FD9" w:rsidRPr="005F755F" w:rsidRDefault="00633FD9" w:rsidP="00633FD9">
      <w:pPr>
        <w:jc w:val="center"/>
        <w:rPr>
          <w:lang w:eastAsia="ja-JP"/>
        </w:rPr>
      </w:pPr>
      <w:r>
        <w:rPr>
          <w:lang w:eastAsia="ja-JP"/>
        </w:rPr>
        <w:t>_______________</w:t>
      </w:r>
    </w:p>
    <w:sectPr w:rsidR="00633FD9" w:rsidRPr="005F755F" w:rsidSect="006D775C">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66EC" w14:textId="77777777" w:rsidR="0047324D" w:rsidRDefault="0047324D">
      <w:r>
        <w:separator/>
      </w:r>
    </w:p>
  </w:endnote>
  <w:endnote w:type="continuationSeparator" w:id="0">
    <w:p w14:paraId="62027A2A" w14:textId="77777777" w:rsidR="0047324D" w:rsidRDefault="0047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95B6" w14:textId="77777777" w:rsidR="006D775C" w:rsidRDefault="006D775C" w:rsidP="00CC752A">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79C" w14:textId="77777777" w:rsidR="006D775C" w:rsidRPr="00BA1F70" w:rsidRDefault="00D40F22">
    <w:pPr>
      <w:pStyle w:val="FirstFooter"/>
      <w:ind w:left="-397" w:right="-397"/>
      <w:jc w:val="center"/>
      <w:rPr>
        <w:color w:val="0070C0"/>
      </w:rPr>
    </w:pPr>
    <w:r w:rsidRPr="00BA1F70">
      <w:rPr>
        <w:color w:val="0070C0"/>
        <w:sz w:val="18"/>
        <w:szCs w:val="18"/>
      </w:rPr>
      <w:t>International Telecommunication Union • Place des Nations • CH-1211 Geneva 20 • Switzerland</w:t>
    </w:r>
    <w:r w:rsidRPr="00BA1F70">
      <w:rPr>
        <w:color w:val="0070C0"/>
        <w:sz w:val="18"/>
        <w:szCs w:val="18"/>
      </w:rPr>
      <w:br/>
      <w:t xml:space="preserve">Tel: +41 22 730 5111 • Fax: +41 22 733 7256 • E-mail: </w:t>
    </w:r>
    <w:hyperlink r:id="rId1" w:history="1">
      <w:r w:rsidRPr="00BA1F70">
        <w:rPr>
          <w:rStyle w:val="Hyperlink"/>
          <w:color w:val="0070C0"/>
          <w:sz w:val="18"/>
          <w:szCs w:val="18"/>
        </w:rPr>
        <w:t>itumail@itu.int</w:t>
      </w:r>
    </w:hyperlink>
    <w:r w:rsidRPr="00BA1F70">
      <w:rPr>
        <w:color w:val="0070C0"/>
        <w:sz w:val="18"/>
        <w:szCs w:val="18"/>
      </w:rPr>
      <w:t xml:space="preserve"> • </w:t>
    </w:r>
    <w:hyperlink r:id="rId2" w:history="1">
      <w:r w:rsidRPr="00BA1F70">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B9D0" w14:textId="77777777" w:rsidR="0047324D" w:rsidRDefault="0047324D">
      <w:r>
        <w:t>____________________</w:t>
      </w:r>
    </w:p>
  </w:footnote>
  <w:footnote w:type="continuationSeparator" w:id="0">
    <w:p w14:paraId="53A2BE11" w14:textId="77777777" w:rsidR="0047324D" w:rsidRDefault="0047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B36C" w14:textId="59908440" w:rsidR="005815AD" w:rsidRDefault="005815AD" w:rsidP="00BC730F">
    <w:pPr>
      <w:spacing w:before="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3C5AE7">
      <w:rPr>
        <w:noProof/>
        <w:sz w:val="18"/>
      </w:rPr>
      <w:t>3</w:t>
    </w:r>
    <w:r w:rsidRPr="00D8656F">
      <w:rPr>
        <w:noProof/>
        <w:sz w:val="18"/>
      </w:rPr>
      <w:fldChar w:fldCharType="end"/>
    </w:r>
    <w:r w:rsidRPr="00D8656F">
      <w:rPr>
        <w:noProof/>
        <w:sz w:val="18"/>
      </w:rPr>
      <w:t xml:space="preserve"> -</w:t>
    </w:r>
    <w:r w:rsidRPr="00D8656F">
      <w:rPr>
        <w:noProof/>
        <w:sz w:val="18"/>
      </w:rPr>
      <w:br/>
    </w:r>
    <w:r w:rsidRPr="00D8656F">
      <w:rPr>
        <w:sz w:val="18"/>
      </w:rPr>
      <w:t xml:space="preserve">TSB Circular </w:t>
    </w:r>
    <w:r w:rsidR="00472B3F">
      <w:rPr>
        <w:sz w:val="18"/>
      </w:rPr>
      <w:t>21</w:t>
    </w:r>
  </w:p>
  <w:p w14:paraId="048A0CB5" w14:textId="77777777" w:rsidR="006D775C" w:rsidRDefault="006D775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ï‚·"/>
      <w:lvlJc w:val="left"/>
      <w:pPr>
        <w:tabs>
          <w:tab w:val="num" w:pos="360"/>
        </w:tabs>
        <w:ind w:left="360" w:hanging="360"/>
      </w:pPr>
      <w:rPr>
        <w:rFonts w:ascii="Symbol" w:hAnsi="Symbol" w:hint="default"/>
      </w:rPr>
    </w:lvl>
  </w:abstractNum>
  <w:num w:numId="1" w16cid:durableId="279536436">
    <w:abstractNumId w:val="9"/>
  </w:num>
  <w:num w:numId="2" w16cid:durableId="459147979">
    <w:abstractNumId w:val="7"/>
  </w:num>
  <w:num w:numId="3" w16cid:durableId="1272737125">
    <w:abstractNumId w:val="6"/>
  </w:num>
  <w:num w:numId="4" w16cid:durableId="1718430948">
    <w:abstractNumId w:val="5"/>
  </w:num>
  <w:num w:numId="5" w16cid:durableId="1126853575">
    <w:abstractNumId w:val="4"/>
  </w:num>
  <w:num w:numId="6" w16cid:durableId="1698003511">
    <w:abstractNumId w:val="8"/>
  </w:num>
  <w:num w:numId="7" w16cid:durableId="732123106">
    <w:abstractNumId w:val="3"/>
  </w:num>
  <w:num w:numId="8" w16cid:durableId="1058091603">
    <w:abstractNumId w:val="2"/>
  </w:num>
  <w:num w:numId="9" w16cid:durableId="1334988281">
    <w:abstractNumId w:val="1"/>
  </w:num>
  <w:num w:numId="10" w16cid:durableId="116609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5C"/>
    <w:rsid w:val="000227D6"/>
    <w:rsid w:val="00083D23"/>
    <w:rsid w:val="00092594"/>
    <w:rsid w:val="00096EBE"/>
    <w:rsid w:val="000A0633"/>
    <w:rsid w:val="000F6929"/>
    <w:rsid w:val="00133D40"/>
    <w:rsid w:val="001501A1"/>
    <w:rsid w:val="00165A31"/>
    <w:rsid w:val="00207382"/>
    <w:rsid w:val="002452CB"/>
    <w:rsid w:val="00286E4C"/>
    <w:rsid w:val="002C29D2"/>
    <w:rsid w:val="00315F99"/>
    <w:rsid w:val="00332FB8"/>
    <w:rsid w:val="00367459"/>
    <w:rsid w:val="003C5AE7"/>
    <w:rsid w:val="003C757A"/>
    <w:rsid w:val="004254CA"/>
    <w:rsid w:val="00451E27"/>
    <w:rsid w:val="00472B3F"/>
    <w:rsid w:val="0047324D"/>
    <w:rsid w:val="00473ECD"/>
    <w:rsid w:val="004C1BA8"/>
    <w:rsid w:val="005308BC"/>
    <w:rsid w:val="00533D70"/>
    <w:rsid w:val="00547E35"/>
    <w:rsid w:val="005638D8"/>
    <w:rsid w:val="005641A3"/>
    <w:rsid w:val="005815AD"/>
    <w:rsid w:val="00592EA7"/>
    <w:rsid w:val="005A5D84"/>
    <w:rsid w:val="005F755F"/>
    <w:rsid w:val="00633FD9"/>
    <w:rsid w:val="0063653D"/>
    <w:rsid w:val="00653A8A"/>
    <w:rsid w:val="00653BB2"/>
    <w:rsid w:val="00690EE4"/>
    <w:rsid w:val="006A130F"/>
    <w:rsid w:val="006D775C"/>
    <w:rsid w:val="006F458F"/>
    <w:rsid w:val="00705DCA"/>
    <w:rsid w:val="00746EA0"/>
    <w:rsid w:val="007C067C"/>
    <w:rsid w:val="007C6A2C"/>
    <w:rsid w:val="007D08F4"/>
    <w:rsid w:val="007D62C6"/>
    <w:rsid w:val="007F1638"/>
    <w:rsid w:val="008062C6"/>
    <w:rsid w:val="00822DE4"/>
    <w:rsid w:val="00855EAC"/>
    <w:rsid w:val="00892496"/>
    <w:rsid w:val="008A50E0"/>
    <w:rsid w:val="008B00F6"/>
    <w:rsid w:val="008F16B1"/>
    <w:rsid w:val="00910DBF"/>
    <w:rsid w:val="009443EA"/>
    <w:rsid w:val="0096501C"/>
    <w:rsid w:val="00A70A1B"/>
    <w:rsid w:val="00AA4679"/>
    <w:rsid w:val="00B049BB"/>
    <w:rsid w:val="00B347F0"/>
    <w:rsid w:val="00B53441"/>
    <w:rsid w:val="00BA1F70"/>
    <w:rsid w:val="00BC730F"/>
    <w:rsid w:val="00BD4B85"/>
    <w:rsid w:val="00C02B28"/>
    <w:rsid w:val="00C8766D"/>
    <w:rsid w:val="00CC752A"/>
    <w:rsid w:val="00D07810"/>
    <w:rsid w:val="00D40F22"/>
    <w:rsid w:val="00D72B7B"/>
    <w:rsid w:val="00D82C10"/>
    <w:rsid w:val="00D84BD4"/>
    <w:rsid w:val="00E41008"/>
    <w:rsid w:val="00F441C6"/>
    <w:rsid w:val="00F51780"/>
    <w:rsid w:val="00F7366F"/>
    <w:rsid w:val="00FD23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 w:type="character" w:styleId="UnresolvedMention">
    <w:name w:val="Unresolved Mention"/>
    <w:basedOn w:val="DefaultParagraphFont"/>
    <w:uiPriority w:val="99"/>
    <w:semiHidden/>
    <w:unhideWhenUsed/>
    <w:rsid w:val="00892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204">
      <w:bodyDiv w:val="1"/>
      <w:marLeft w:val="0"/>
      <w:marRight w:val="0"/>
      <w:marTop w:val="0"/>
      <w:marBottom w:val="0"/>
      <w:divBdr>
        <w:top w:val="none" w:sz="0" w:space="0" w:color="auto"/>
        <w:left w:val="none" w:sz="0" w:space="0" w:color="auto"/>
        <w:bottom w:val="none" w:sz="0" w:space="0" w:color="auto"/>
        <w:right w:val="none" w:sz="0" w:space="0" w:color="auto"/>
      </w:divBdr>
      <w:divsChild>
        <w:div w:id="595093596">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384645023">
      <w:bodyDiv w:val="1"/>
      <w:marLeft w:val="0"/>
      <w:marRight w:val="0"/>
      <w:marTop w:val="0"/>
      <w:marBottom w:val="0"/>
      <w:divBdr>
        <w:top w:val="none" w:sz="0" w:space="0" w:color="auto"/>
        <w:left w:val="none" w:sz="0" w:space="0" w:color="auto"/>
        <w:bottom w:val="none" w:sz="0" w:space="0" w:color="auto"/>
        <w:right w:val="none" w:sz="0" w:space="0" w:color="auto"/>
      </w:divBdr>
      <w:divsChild>
        <w:div w:id="191844424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7379287">
      <w:bodyDiv w:val="1"/>
      <w:marLeft w:val="0"/>
      <w:marRight w:val="0"/>
      <w:marTop w:val="0"/>
      <w:marBottom w:val="0"/>
      <w:divBdr>
        <w:top w:val="none" w:sz="0" w:space="0" w:color="auto"/>
        <w:left w:val="none" w:sz="0" w:space="0" w:color="auto"/>
        <w:bottom w:val="none" w:sz="0" w:space="0" w:color="auto"/>
        <w:right w:val="none" w:sz="0" w:space="0" w:color="auto"/>
      </w:divBdr>
      <w:divsChild>
        <w:div w:id="816148627">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 w:id="1158620408">
      <w:bodyDiv w:val="1"/>
      <w:marLeft w:val="0"/>
      <w:marRight w:val="0"/>
      <w:marTop w:val="0"/>
      <w:marBottom w:val="0"/>
      <w:divBdr>
        <w:top w:val="none" w:sz="0" w:space="0" w:color="auto"/>
        <w:left w:val="none" w:sz="0" w:space="0" w:color="auto"/>
        <w:bottom w:val="none" w:sz="0" w:space="0" w:color="auto"/>
        <w:right w:val="none" w:sz="0" w:space="0" w:color="auto"/>
      </w:divBdr>
      <w:divsChild>
        <w:div w:id="208413580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172530945">
      <w:bodyDiv w:val="1"/>
      <w:marLeft w:val="0"/>
      <w:marRight w:val="0"/>
      <w:marTop w:val="0"/>
      <w:marBottom w:val="0"/>
      <w:divBdr>
        <w:top w:val="none" w:sz="0" w:space="0" w:color="auto"/>
        <w:left w:val="none" w:sz="0" w:space="0" w:color="auto"/>
        <w:bottom w:val="none" w:sz="0" w:space="0" w:color="auto"/>
        <w:right w:val="none" w:sz="0" w:space="0" w:color="auto"/>
      </w:divBdr>
      <w:divsChild>
        <w:div w:id="24642681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418208792">
      <w:bodyDiv w:val="1"/>
      <w:marLeft w:val="0"/>
      <w:marRight w:val="0"/>
      <w:marTop w:val="0"/>
      <w:marBottom w:val="0"/>
      <w:divBdr>
        <w:top w:val="none" w:sz="0" w:space="0" w:color="auto"/>
        <w:left w:val="none" w:sz="0" w:space="0" w:color="auto"/>
        <w:bottom w:val="none" w:sz="0" w:space="0" w:color="auto"/>
        <w:right w:val="none" w:sz="0" w:space="0" w:color="auto"/>
      </w:divBdr>
      <w:divsChild>
        <w:div w:id="2030909990">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62137345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56">
          <w:marLeft w:val="0"/>
          <w:marRight w:val="0"/>
          <w:marTop w:val="0"/>
          <w:marBottom w:val="0"/>
          <w:divBdr>
            <w:top w:val="single" w:sz="6" w:space="0" w:color="808080"/>
            <w:left w:val="single" w:sz="6" w:space="4" w:color="808080"/>
            <w:bottom w:val="single" w:sz="6" w:space="0" w:color="808080"/>
            <w:right w:val="single" w:sz="6" w:space="4" w:color="80808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sbsg3@itu.int" TargetMode="External"/><Relationship Id="rId4" Type="http://schemas.openxmlformats.org/officeDocument/2006/relationships/webSettings" Target="webSettings.xml"/><Relationship Id="rId9" Type="http://schemas.openxmlformats.org/officeDocument/2006/relationships/hyperlink" Target="http://www.itu.int/en/ITU-T/60/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Maguire, Mairéad</cp:lastModifiedBy>
  <cp:revision>2</cp:revision>
  <cp:lastPrinted>2021-11-22T09:19:00Z</cp:lastPrinted>
  <dcterms:created xsi:type="dcterms:W3CDTF">2022-05-30T12:58:00Z</dcterms:created>
  <dcterms:modified xsi:type="dcterms:W3CDTF">2022-05-30T12:58:00Z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0x0101009084DEBE2F564140BF968F7D2BBBC12B</vt:lpwstr>
  </property>
</Properties>
</file>