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Ind w:w="8" w:type="dxa"/>
        <w:tblLayout w:type="fixed"/>
        <w:tblCellMar>
          <w:left w:w="0" w:type="dxa"/>
          <w:right w:w="0" w:type="dxa"/>
        </w:tblCellMar>
        <w:tblLook w:val="0000" w:firstRow="0" w:lastRow="0" w:firstColumn="0" w:lastColumn="0" w:noHBand="0" w:noVBand="0"/>
      </w:tblPr>
      <w:tblGrid>
        <w:gridCol w:w="1409"/>
        <w:gridCol w:w="3470"/>
        <w:gridCol w:w="5327"/>
      </w:tblGrid>
      <w:tr w:rsidR="00C648D8" w:rsidRPr="007B3272" w14:paraId="1CAE2B49" w14:textId="77777777" w:rsidTr="00324364">
        <w:trPr>
          <w:cantSplit/>
          <w:trHeight w:val="340"/>
        </w:trPr>
        <w:tc>
          <w:tcPr>
            <w:tcW w:w="1409" w:type="dxa"/>
          </w:tcPr>
          <w:p w14:paraId="3E58EC14" w14:textId="77777777" w:rsidR="00C648D8" w:rsidRPr="007B3272" w:rsidRDefault="00C648D8" w:rsidP="00C648D8">
            <w:pPr>
              <w:tabs>
                <w:tab w:val="left" w:pos="4111"/>
              </w:tabs>
              <w:spacing w:before="10"/>
              <w:ind w:left="57"/>
              <w:rPr>
                <w:sz w:val="22"/>
              </w:rPr>
            </w:pPr>
            <w:r w:rsidRPr="007B3272">
              <w:rPr>
                <w:noProof/>
                <w:lang w:eastAsia="zh-CN"/>
              </w:rPr>
              <w:drawing>
                <wp:inline distT="0" distB="0" distL="0" distR="0" wp14:anchorId="4B257E70" wp14:editId="7870738A">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8797" w:type="dxa"/>
            <w:gridSpan w:val="2"/>
            <w:vAlign w:val="center"/>
          </w:tcPr>
          <w:p w14:paraId="746587FD" w14:textId="77777777" w:rsidR="00C648D8" w:rsidRPr="007B3272" w:rsidRDefault="00C648D8" w:rsidP="00C648D8">
            <w:pPr>
              <w:spacing w:before="0"/>
              <w:rPr>
                <w:rFonts w:cs="Times New Roman Bold"/>
                <w:b/>
                <w:bCs/>
                <w:smallCaps/>
                <w:sz w:val="26"/>
                <w:szCs w:val="26"/>
              </w:rPr>
            </w:pPr>
            <w:r w:rsidRPr="007B3272">
              <w:rPr>
                <w:rFonts w:cs="Times New Roman Bold"/>
                <w:b/>
                <w:bCs/>
                <w:smallCaps/>
                <w:sz w:val="36"/>
                <w:szCs w:val="36"/>
              </w:rPr>
              <w:t>Unión Internacional de Telecomunicaciones</w:t>
            </w:r>
          </w:p>
          <w:p w14:paraId="761EF51C" w14:textId="77777777" w:rsidR="00C648D8" w:rsidRPr="007B3272" w:rsidRDefault="00C648D8" w:rsidP="00C648D8">
            <w:pPr>
              <w:spacing w:before="0"/>
            </w:pPr>
            <w:r w:rsidRPr="007B3272">
              <w:rPr>
                <w:rFonts w:cs="Times New Roman Bold"/>
                <w:b/>
                <w:bCs/>
                <w:smallCaps/>
                <w:sz w:val="28"/>
                <w:szCs w:val="28"/>
              </w:rPr>
              <w:t>Oficina</w:t>
            </w:r>
            <w:r w:rsidRPr="007B3272">
              <w:rPr>
                <w:rFonts w:cs="Times New Roman Bold"/>
                <w:b/>
                <w:bCs/>
                <w:iCs/>
                <w:smallCaps/>
                <w:sz w:val="22"/>
                <w:szCs w:val="22"/>
              </w:rPr>
              <w:t xml:space="preserve"> </w:t>
            </w:r>
            <w:r w:rsidRPr="007B3272">
              <w:rPr>
                <w:rFonts w:cs="Times New Roman Bold"/>
                <w:b/>
                <w:bCs/>
                <w:iCs/>
                <w:smallCaps/>
                <w:sz w:val="28"/>
                <w:szCs w:val="28"/>
              </w:rPr>
              <w:t>de Normalización de las Telecomunicaciones</w:t>
            </w:r>
          </w:p>
        </w:tc>
      </w:tr>
      <w:tr w:rsidR="00C648D8" w:rsidRPr="007B3272" w14:paraId="74A9546C" w14:textId="77777777" w:rsidTr="00324364">
        <w:trPr>
          <w:cantSplit/>
          <w:trHeight w:val="340"/>
        </w:trPr>
        <w:tc>
          <w:tcPr>
            <w:tcW w:w="1409" w:type="dxa"/>
          </w:tcPr>
          <w:p w14:paraId="60BF4996" w14:textId="77777777" w:rsidR="00C648D8" w:rsidRPr="007B3272" w:rsidRDefault="00C648D8" w:rsidP="00C648D8">
            <w:pPr>
              <w:tabs>
                <w:tab w:val="left" w:pos="4111"/>
              </w:tabs>
              <w:spacing w:before="10"/>
              <w:ind w:left="57"/>
              <w:rPr>
                <w:b/>
                <w:bCs/>
                <w:sz w:val="22"/>
                <w:szCs w:val="22"/>
              </w:rPr>
            </w:pPr>
          </w:p>
        </w:tc>
        <w:tc>
          <w:tcPr>
            <w:tcW w:w="3470" w:type="dxa"/>
          </w:tcPr>
          <w:p w14:paraId="2576F6EE" w14:textId="77777777" w:rsidR="00C648D8" w:rsidRPr="007B3272" w:rsidRDefault="00C648D8" w:rsidP="00C648D8">
            <w:pPr>
              <w:tabs>
                <w:tab w:val="left" w:pos="4111"/>
              </w:tabs>
              <w:spacing w:before="0"/>
              <w:ind w:left="57"/>
              <w:rPr>
                <w:b/>
                <w:sz w:val="22"/>
                <w:szCs w:val="22"/>
              </w:rPr>
            </w:pPr>
          </w:p>
        </w:tc>
        <w:tc>
          <w:tcPr>
            <w:tcW w:w="5327" w:type="dxa"/>
          </w:tcPr>
          <w:p w14:paraId="5FEBD077" w14:textId="77777777" w:rsidR="00C648D8" w:rsidRPr="007B3272" w:rsidRDefault="00C648D8" w:rsidP="00C648D8">
            <w:pPr>
              <w:tabs>
                <w:tab w:val="clear" w:pos="794"/>
                <w:tab w:val="clear" w:pos="1191"/>
                <w:tab w:val="clear" w:pos="1588"/>
                <w:tab w:val="clear" w:pos="1985"/>
                <w:tab w:val="left" w:pos="284"/>
              </w:tabs>
              <w:spacing w:after="120"/>
              <w:ind w:left="284" w:hanging="227"/>
              <w:rPr>
                <w:sz w:val="22"/>
                <w:szCs w:val="22"/>
              </w:rPr>
            </w:pPr>
            <w:r w:rsidRPr="007B3272">
              <w:rPr>
                <w:sz w:val="22"/>
                <w:szCs w:val="22"/>
              </w:rPr>
              <w:t>Ginebra, 20 de abril de 2022</w:t>
            </w:r>
          </w:p>
        </w:tc>
      </w:tr>
      <w:tr w:rsidR="00C648D8" w:rsidRPr="007B3272" w14:paraId="5E3D20E1" w14:textId="77777777" w:rsidTr="00324364">
        <w:trPr>
          <w:cantSplit/>
        </w:trPr>
        <w:tc>
          <w:tcPr>
            <w:tcW w:w="1409" w:type="dxa"/>
          </w:tcPr>
          <w:p w14:paraId="1F18A25B" w14:textId="77777777" w:rsidR="00C648D8" w:rsidRPr="007B3272" w:rsidRDefault="00C648D8" w:rsidP="00C648D8">
            <w:pPr>
              <w:tabs>
                <w:tab w:val="left" w:pos="4111"/>
              </w:tabs>
              <w:spacing w:before="40" w:after="40"/>
              <w:ind w:left="-10"/>
              <w:rPr>
                <w:b/>
                <w:bCs/>
                <w:sz w:val="22"/>
                <w:szCs w:val="22"/>
              </w:rPr>
            </w:pPr>
            <w:r w:rsidRPr="007B3272">
              <w:rPr>
                <w:b/>
                <w:bCs/>
                <w:sz w:val="22"/>
                <w:szCs w:val="22"/>
              </w:rPr>
              <w:t>Ref.:</w:t>
            </w:r>
          </w:p>
        </w:tc>
        <w:tc>
          <w:tcPr>
            <w:tcW w:w="3470" w:type="dxa"/>
          </w:tcPr>
          <w:p w14:paraId="0F193EED" w14:textId="77777777" w:rsidR="00C648D8" w:rsidRPr="007B3272" w:rsidRDefault="00C648D8" w:rsidP="00C648D8">
            <w:pPr>
              <w:tabs>
                <w:tab w:val="left" w:pos="4111"/>
              </w:tabs>
              <w:spacing w:before="40" w:after="40"/>
              <w:ind w:left="57"/>
              <w:rPr>
                <w:b/>
                <w:bCs/>
                <w:sz w:val="22"/>
                <w:szCs w:val="22"/>
              </w:rPr>
            </w:pPr>
            <w:r w:rsidRPr="007B3272">
              <w:rPr>
                <w:b/>
                <w:bCs/>
                <w:sz w:val="22"/>
                <w:szCs w:val="22"/>
              </w:rPr>
              <w:t>Circular TSB 007</w:t>
            </w:r>
          </w:p>
          <w:p w14:paraId="568FB09C" w14:textId="19DBF351" w:rsidR="00C648D8" w:rsidRPr="007B3272" w:rsidRDefault="001C5A4C" w:rsidP="00C648D8">
            <w:pPr>
              <w:tabs>
                <w:tab w:val="left" w:pos="4111"/>
              </w:tabs>
              <w:spacing w:before="40" w:after="40"/>
              <w:ind w:left="57"/>
              <w:rPr>
                <w:sz w:val="22"/>
                <w:szCs w:val="22"/>
              </w:rPr>
            </w:pPr>
            <w:r w:rsidRPr="007B3272">
              <w:rPr>
                <w:sz w:val="22"/>
                <w:szCs w:val="22"/>
              </w:rPr>
              <w:t>GANT</w:t>
            </w:r>
            <w:r w:rsidR="00C648D8" w:rsidRPr="007B3272">
              <w:rPr>
                <w:sz w:val="22"/>
                <w:szCs w:val="22"/>
              </w:rPr>
              <w:t>/ME</w:t>
            </w:r>
          </w:p>
        </w:tc>
        <w:tc>
          <w:tcPr>
            <w:tcW w:w="5327" w:type="dxa"/>
            <w:vMerge w:val="restart"/>
          </w:tcPr>
          <w:p w14:paraId="61773872" w14:textId="77777777" w:rsidR="00C648D8" w:rsidRPr="007B3272" w:rsidRDefault="00C648D8" w:rsidP="00C648D8">
            <w:pPr>
              <w:tabs>
                <w:tab w:val="clear" w:pos="794"/>
                <w:tab w:val="clear" w:pos="1191"/>
                <w:tab w:val="clear" w:pos="1588"/>
                <w:tab w:val="clear" w:pos="1985"/>
                <w:tab w:val="left" w:pos="284"/>
              </w:tabs>
              <w:spacing w:before="40" w:after="40"/>
              <w:ind w:left="284" w:hanging="227"/>
              <w:rPr>
                <w:b/>
                <w:bCs/>
                <w:sz w:val="22"/>
                <w:szCs w:val="22"/>
              </w:rPr>
            </w:pPr>
            <w:bookmarkStart w:id="0" w:name="Addressee_S"/>
            <w:bookmarkEnd w:id="0"/>
            <w:r w:rsidRPr="007B3272">
              <w:rPr>
                <w:b/>
                <w:bCs/>
                <w:sz w:val="22"/>
                <w:szCs w:val="22"/>
              </w:rPr>
              <w:t>A:</w:t>
            </w:r>
          </w:p>
          <w:p w14:paraId="35BD5D35" w14:textId="77777777" w:rsidR="00C648D8" w:rsidRPr="007B3272" w:rsidRDefault="00C648D8" w:rsidP="00C648D8">
            <w:pPr>
              <w:tabs>
                <w:tab w:val="clear" w:pos="794"/>
                <w:tab w:val="left" w:pos="355"/>
                <w:tab w:val="left" w:pos="4111"/>
              </w:tabs>
              <w:spacing w:before="40" w:after="40"/>
              <w:ind w:left="355" w:hanging="298"/>
              <w:rPr>
                <w:sz w:val="22"/>
                <w:szCs w:val="22"/>
              </w:rPr>
            </w:pPr>
            <w:r w:rsidRPr="007B3272">
              <w:rPr>
                <w:sz w:val="22"/>
                <w:szCs w:val="22"/>
              </w:rPr>
              <w:t>–</w:t>
            </w:r>
            <w:r w:rsidRPr="007B3272">
              <w:rPr>
                <w:sz w:val="22"/>
                <w:szCs w:val="22"/>
              </w:rPr>
              <w:tab/>
              <w:t>las Administraciones de los Estados Miembros de la Unión;</w:t>
            </w:r>
          </w:p>
          <w:p w14:paraId="3CAD9465" w14:textId="77777777" w:rsidR="00C648D8" w:rsidRPr="007B3272" w:rsidRDefault="00C648D8" w:rsidP="00C648D8">
            <w:pPr>
              <w:tabs>
                <w:tab w:val="clear" w:pos="794"/>
                <w:tab w:val="left" w:pos="355"/>
                <w:tab w:val="left" w:pos="4111"/>
              </w:tabs>
              <w:spacing w:before="40" w:after="40"/>
              <w:ind w:left="57"/>
              <w:rPr>
                <w:sz w:val="22"/>
                <w:szCs w:val="22"/>
              </w:rPr>
            </w:pPr>
            <w:r w:rsidRPr="007B3272">
              <w:rPr>
                <w:sz w:val="22"/>
                <w:szCs w:val="22"/>
              </w:rPr>
              <w:t>–</w:t>
            </w:r>
            <w:r w:rsidRPr="007B3272">
              <w:rPr>
                <w:sz w:val="22"/>
                <w:szCs w:val="22"/>
              </w:rPr>
              <w:tab/>
              <w:t>los Miembros de Sector del UIT-T;</w:t>
            </w:r>
          </w:p>
          <w:p w14:paraId="6A22ADDF" w14:textId="77777777" w:rsidR="00C648D8" w:rsidRPr="007B3272" w:rsidRDefault="00C648D8" w:rsidP="00C648D8">
            <w:pPr>
              <w:tabs>
                <w:tab w:val="clear" w:pos="794"/>
                <w:tab w:val="left" w:pos="355"/>
                <w:tab w:val="left" w:pos="4111"/>
              </w:tabs>
              <w:spacing w:before="40" w:after="40"/>
              <w:ind w:left="57"/>
              <w:rPr>
                <w:sz w:val="22"/>
                <w:szCs w:val="22"/>
              </w:rPr>
            </w:pPr>
            <w:r w:rsidRPr="007B3272">
              <w:rPr>
                <w:sz w:val="22"/>
                <w:szCs w:val="22"/>
              </w:rPr>
              <w:t>–</w:t>
            </w:r>
            <w:r w:rsidRPr="007B3272">
              <w:rPr>
                <w:sz w:val="22"/>
                <w:szCs w:val="22"/>
              </w:rPr>
              <w:tab/>
              <w:t>los Asociados del UIT-T;</w:t>
            </w:r>
          </w:p>
          <w:p w14:paraId="4F753348" w14:textId="77777777" w:rsidR="00C648D8" w:rsidRPr="007B3272" w:rsidRDefault="00C648D8" w:rsidP="00C648D8">
            <w:pPr>
              <w:tabs>
                <w:tab w:val="clear" w:pos="794"/>
                <w:tab w:val="left" w:pos="355"/>
                <w:tab w:val="left" w:pos="4111"/>
              </w:tabs>
              <w:spacing w:before="40" w:after="40"/>
              <w:ind w:left="57"/>
              <w:rPr>
                <w:sz w:val="22"/>
                <w:szCs w:val="22"/>
              </w:rPr>
            </w:pPr>
            <w:r w:rsidRPr="007B3272">
              <w:rPr>
                <w:sz w:val="22"/>
                <w:szCs w:val="22"/>
              </w:rPr>
              <w:t>–</w:t>
            </w:r>
            <w:r w:rsidRPr="007B3272">
              <w:rPr>
                <w:sz w:val="22"/>
                <w:szCs w:val="22"/>
              </w:rPr>
              <w:tab/>
              <w:t>las Instituciones Académicas de la UIT</w:t>
            </w:r>
          </w:p>
        </w:tc>
      </w:tr>
      <w:tr w:rsidR="00C648D8" w:rsidRPr="007B3272" w14:paraId="751F6F10" w14:textId="77777777" w:rsidTr="00324364">
        <w:trPr>
          <w:cantSplit/>
        </w:trPr>
        <w:tc>
          <w:tcPr>
            <w:tcW w:w="1409" w:type="dxa"/>
          </w:tcPr>
          <w:p w14:paraId="6A233BC4" w14:textId="77777777" w:rsidR="00C648D8" w:rsidRPr="007B3272" w:rsidRDefault="00C648D8" w:rsidP="00C648D8">
            <w:pPr>
              <w:tabs>
                <w:tab w:val="left" w:pos="4111"/>
              </w:tabs>
              <w:spacing w:before="40" w:after="40"/>
              <w:ind w:left="-10"/>
              <w:rPr>
                <w:b/>
                <w:bCs/>
                <w:sz w:val="22"/>
                <w:szCs w:val="22"/>
              </w:rPr>
            </w:pPr>
          </w:p>
        </w:tc>
        <w:tc>
          <w:tcPr>
            <w:tcW w:w="3470" w:type="dxa"/>
          </w:tcPr>
          <w:p w14:paraId="64B8BAD9" w14:textId="77777777" w:rsidR="00C648D8" w:rsidRPr="007B3272" w:rsidRDefault="00C648D8" w:rsidP="00C648D8">
            <w:pPr>
              <w:tabs>
                <w:tab w:val="left" w:pos="4111"/>
              </w:tabs>
              <w:spacing w:before="40" w:after="40"/>
              <w:ind w:left="57"/>
              <w:rPr>
                <w:b/>
                <w:bCs/>
                <w:sz w:val="22"/>
                <w:szCs w:val="22"/>
              </w:rPr>
            </w:pPr>
          </w:p>
        </w:tc>
        <w:tc>
          <w:tcPr>
            <w:tcW w:w="5327" w:type="dxa"/>
            <w:vMerge/>
          </w:tcPr>
          <w:p w14:paraId="1DE4FF36" w14:textId="77777777" w:rsidR="00C648D8" w:rsidRPr="007B3272" w:rsidRDefault="00C648D8" w:rsidP="00C648D8">
            <w:pPr>
              <w:tabs>
                <w:tab w:val="clear" w:pos="794"/>
                <w:tab w:val="clear" w:pos="1191"/>
                <w:tab w:val="clear" w:pos="1588"/>
                <w:tab w:val="clear" w:pos="1985"/>
                <w:tab w:val="left" w:pos="284"/>
              </w:tabs>
              <w:spacing w:before="0"/>
              <w:ind w:left="284" w:hanging="227"/>
              <w:rPr>
                <w:sz w:val="22"/>
                <w:szCs w:val="22"/>
              </w:rPr>
            </w:pPr>
          </w:p>
        </w:tc>
      </w:tr>
      <w:tr w:rsidR="00C648D8" w:rsidRPr="007B3272" w14:paraId="37BA31FB" w14:textId="77777777" w:rsidTr="00324364">
        <w:trPr>
          <w:cantSplit/>
        </w:trPr>
        <w:tc>
          <w:tcPr>
            <w:tcW w:w="1409" w:type="dxa"/>
          </w:tcPr>
          <w:p w14:paraId="51F4BEB5" w14:textId="77777777" w:rsidR="00C648D8" w:rsidRPr="007B3272" w:rsidRDefault="00C648D8" w:rsidP="00C648D8">
            <w:pPr>
              <w:tabs>
                <w:tab w:val="left" w:pos="4111"/>
              </w:tabs>
              <w:spacing w:before="40" w:after="40"/>
              <w:ind w:left="-10"/>
              <w:rPr>
                <w:b/>
                <w:bCs/>
                <w:sz w:val="22"/>
                <w:szCs w:val="22"/>
              </w:rPr>
            </w:pPr>
            <w:r w:rsidRPr="007B3272">
              <w:rPr>
                <w:b/>
                <w:bCs/>
                <w:sz w:val="22"/>
                <w:szCs w:val="22"/>
              </w:rPr>
              <w:t>Tel.:</w:t>
            </w:r>
          </w:p>
        </w:tc>
        <w:tc>
          <w:tcPr>
            <w:tcW w:w="3470" w:type="dxa"/>
          </w:tcPr>
          <w:p w14:paraId="3545165F" w14:textId="77777777" w:rsidR="00C648D8" w:rsidRPr="007B3272" w:rsidRDefault="00C648D8" w:rsidP="00C648D8">
            <w:pPr>
              <w:tabs>
                <w:tab w:val="left" w:pos="4111"/>
              </w:tabs>
              <w:spacing w:before="40" w:after="40"/>
              <w:ind w:left="57"/>
              <w:rPr>
                <w:bCs/>
                <w:sz w:val="22"/>
                <w:szCs w:val="22"/>
              </w:rPr>
            </w:pPr>
            <w:r w:rsidRPr="007B3272">
              <w:rPr>
                <w:bCs/>
                <w:sz w:val="22"/>
                <w:szCs w:val="22"/>
              </w:rPr>
              <w:t>+41 22 730 6206</w:t>
            </w:r>
          </w:p>
        </w:tc>
        <w:tc>
          <w:tcPr>
            <w:tcW w:w="5327" w:type="dxa"/>
            <w:vMerge/>
          </w:tcPr>
          <w:p w14:paraId="36781494" w14:textId="77777777" w:rsidR="00C648D8" w:rsidRPr="007B3272" w:rsidRDefault="00C648D8" w:rsidP="00C648D8">
            <w:pPr>
              <w:tabs>
                <w:tab w:val="left" w:pos="4111"/>
              </w:tabs>
              <w:spacing w:before="0"/>
              <w:rPr>
                <w:b/>
                <w:sz w:val="22"/>
                <w:szCs w:val="22"/>
              </w:rPr>
            </w:pPr>
          </w:p>
        </w:tc>
      </w:tr>
      <w:tr w:rsidR="00C648D8" w:rsidRPr="007B3272" w14:paraId="01DA8CEB" w14:textId="77777777" w:rsidTr="00324364">
        <w:trPr>
          <w:cantSplit/>
        </w:trPr>
        <w:tc>
          <w:tcPr>
            <w:tcW w:w="1409" w:type="dxa"/>
          </w:tcPr>
          <w:p w14:paraId="7D1C3735" w14:textId="77777777" w:rsidR="00C648D8" w:rsidRPr="007B3272" w:rsidRDefault="00C648D8" w:rsidP="00C648D8">
            <w:pPr>
              <w:tabs>
                <w:tab w:val="left" w:pos="4111"/>
              </w:tabs>
              <w:spacing w:before="40" w:after="40"/>
              <w:ind w:left="-10"/>
              <w:rPr>
                <w:b/>
                <w:bCs/>
                <w:sz w:val="22"/>
                <w:szCs w:val="22"/>
              </w:rPr>
            </w:pPr>
            <w:r w:rsidRPr="007B3272">
              <w:rPr>
                <w:b/>
                <w:bCs/>
                <w:sz w:val="22"/>
                <w:szCs w:val="22"/>
              </w:rPr>
              <w:t>Fax:</w:t>
            </w:r>
          </w:p>
        </w:tc>
        <w:tc>
          <w:tcPr>
            <w:tcW w:w="3470" w:type="dxa"/>
          </w:tcPr>
          <w:p w14:paraId="3E7EE1F7" w14:textId="77777777" w:rsidR="00C648D8" w:rsidRPr="007B3272" w:rsidRDefault="00C648D8" w:rsidP="00C648D8">
            <w:pPr>
              <w:tabs>
                <w:tab w:val="left" w:pos="4111"/>
              </w:tabs>
              <w:spacing w:before="40" w:after="40"/>
              <w:ind w:left="57"/>
              <w:rPr>
                <w:bCs/>
                <w:sz w:val="22"/>
                <w:szCs w:val="22"/>
              </w:rPr>
            </w:pPr>
            <w:r w:rsidRPr="007B3272">
              <w:rPr>
                <w:bCs/>
                <w:sz w:val="22"/>
                <w:szCs w:val="22"/>
              </w:rPr>
              <w:t>+41 22 730 5853</w:t>
            </w:r>
          </w:p>
        </w:tc>
        <w:tc>
          <w:tcPr>
            <w:tcW w:w="5327" w:type="dxa"/>
            <w:vMerge/>
          </w:tcPr>
          <w:p w14:paraId="24AFA85C" w14:textId="77777777" w:rsidR="00C648D8" w:rsidRPr="007B3272" w:rsidRDefault="00C648D8" w:rsidP="00C648D8">
            <w:pPr>
              <w:tabs>
                <w:tab w:val="left" w:pos="4111"/>
              </w:tabs>
              <w:spacing w:before="0"/>
              <w:rPr>
                <w:b/>
                <w:sz w:val="22"/>
                <w:szCs w:val="22"/>
              </w:rPr>
            </w:pPr>
          </w:p>
        </w:tc>
      </w:tr>
      <w:tr w:rsidR="00C648D8" w:rsidRPr="007B3272" w14:paraId="779FD53F" w14:textId="77777777" w:rsidTr="00324364">
        <w:trPr>
          <w:cantSplit/>
        </w:trPr>
        <w:tc>
          <w:tcPr>
            <w:tcW w:w="1409" w:type="dxa"/>
          </w:tcPr>
          <w:p w14:paraId="385CCF64" w14:textId="77777777" w:rsidR="00C648D8" w:rsidRPr="007B3272" w:rsidRDefault="00C648D8" w:rsidP="00C648D8">
            <w:pPr>
              <w:tabs>
                <w:tab w:val="left" w:pos="4111"/>
              </w:tabs>
              <w:spacing w:before="40" w:after="40"/>
              <w:ind w:left="-10"/>
              <w:rPr>
                <w:b/>
                <w:bCs/>
                <w:sz w:val="22"/>
                <w:szCs w:val="22"/>
              </w:rPr>
            </w:pPr>
            <w:r w:rsidRPr="007B3272">
              <w:rPr>
                <w:b/>
                <w:bCs/>
                <w:sz w:val="22"/>
                <w:szCs w:val="22"/>
              </w:rPr>
              <w:t>Correo-e:</w:t>
            </w:r>
          </w:p>
        </w:tc>
        <w:tc>
          <w:tcPr>
            <w:tcW w:w="3470" w:type="dxa"/>
          </w:tcPr>
          <w:p w14:paraId="5B8CF5C3" w14:textId="77777777" w:rsidR="00C648D8" w:rsidRPr="007B3272" w:rsidRDefault="003011E0" w:rsidP="00C648D8">
            <w:pPr>
              <w:tabs>
                <w:tab w:val="left" w:pos="4111"/>
              </w:tabs>
              <w:spacing w:before="40" w:after="40"/>
              <w:ind w:left="57"/>
              <w:rPr>
                <w:bCs/>
                <w:sz w:val="22"/>
                <w:szCs w:val="22"/>
              </w:rPr>
            </w:pPr>
            <w:hyperlink r:id="rId9" w:history="1">
              <w:r w:rsidR="00C648D8" w:rsidRPr="007B3272">
                <w:rPr>
                  <w:color w:val="0000FF"/>
                  <w:sz w:val="22"/>
                  <w:szCs w:val="22"/>
                  <w:u w:val="single"/>
                </w:rPr>
                <w:t>tsbjcadcc@itu.int</w:t>
              </w:r>
            </w:hyperlink>
          </w:p>
        </w:tc>
        <w:tc>
          <w:tcPr>
            <w:tcW w:w="5327" w:type="dxa"/>
            <w:vMerge/>
          </w:tcPr>
          <w:p w14:paraId="49BD20CB" w14:textId="77777777" w:rsidR="00C648D8" w:rsidRPr="007B3272" w:rsidRDefault="00C648D8" w:rsidP="00C648D8">
            <w:pPr>
              <w:tabs>
                <w:tab w:val="left" w:pos="4111"/>
              </w:tabs>
              <w:spacing w:before="0"/>
              <w:rPr>
                <w:b/>
                <w:sz w:val="22"/>
                <w:szCs w:val="22"/>
              </w:rPr>
            </w:pPr>
          </w:p>
        </w:tc>
      </w:tr>
      <w:tr w:rsidR="00C648D8" w:rsidRPr="007B3272" w14:paraId="4F5B07D5" w14:textId="77777777" w:rsidTr="00324364">
        <w:trPr>
          <w:cantSplit/>
        </w:trPr>
        <w:tc>
          <w:tcPr>
            <w:tcW w:w="1409" w:type="dxa"/>
          </w:tcPr>
          <w:p w14:paraId="49C4D95B" w14:textId="77777777" w:rsidR="00C648D8" w:rsidRPr="007B3272" w:rsidRDefault="00C648D8" w:rsidP="00C648D8">
            <w:pPr>
              <w:tabs>
                <w:tab w:val="left" w:pos="4111"/>
              </w:tabs>
              <w:spacing w:before="40" w:after="40"/>
              <w:ind w:left="-10"/>
              <w:rPr>
                <w:b/>
                <w:bCs/>
                <w:sz w:val="22"/>
                <w:szCs w:val="22"/>
              </w:rPr>
            </w:pPr>
          </w:p>
        </w:tc>
        <w:tc>
          <w:tcPr>
            <w:tcW w:w="3470" w:type="dxa"/>
          </w:tcPr>
          <w:p w14:paraId="1FD3617C" w14:textId="77777777" w:rsidR="00C648D8" w:rsidRPr="007B3272" w:rsidRDefault="00C648D8" w:rsidP="00C648D8">
            <w:pPr>
              <w:tabs>
                <w:tab w:val="left" w:pos="4111"/>
              </w:tabs>
              <w:spacing w:before="40" w:after="40"/>
              <w:ind w:left="57"/>
              <w:rPr>
                <w:sz w:val="22"/>
                <w:szCs w:val="22"/>
              </w:rPr>
            </w:pPr>
          </w:p>
        </w:tc>
        <w:tc>
          <w:tcPr>
            <w:tcW w:w="5327" w:type="dxa"/>
          </w:tcPr>
          <w:p w14:paraId="0B4F9B55" w14:textId="77777777" w:rsidR="00C648D8" w:rsidRPr="007B3272" w:rsidRDefault="00C648D8" w:rsidP="00C648D8">
            <w:pPr>
              <w:tabs>
                <w:tab w:val="left" w:pos="4111"/>
              </w:tabs>
              <w:spacing w:before="40" w:after="40"/>
              <w:ind w:left="57"/>
              <w:rPr>
                <w:sz w:val="22"/>
                <w:szCs w:val="22"/>
              </w:rPr>
            </w:pPr>
            <w:r w:rsidRPr="007B3272">
              <w:rPr>
                <w:b/>
                <w:sz w:val="22"/>
                <w:szCs w:val="22"/>
              </w:rPr>
              <w:t>Copia</w:t>
            </w:r>
            <w:r w:rsidRPr="007B3272">
              <w:rPr>
                <w:sz w:val="22"/>
                <w:szCs w:val="22"/>
              </w:rPr>
              <w:t>:</w:t>
            </w:r>
          </w:p>
          <w:p w14:paraId="0806B1B9" w14:textId="37A67F76" w:rsidR="00C648D8" w:rsidRPr="007B3272" w:rsidRDefault="00C648D8" w:rsidP="00C648D8">
            <w:pPr>
              <w:tabs>
                <w:tab w:val="clear" w:pos="794"/>
                <w:tab w:val="left" w:pos="355"/>
                <w:tab w:val="left" w:pos="4111"/>
              </w:tabs>
              <w:spacing w:before="40" w:after="40"/>
              <w:ind w:left="355" w:hanging="298"/>
              <w:rPr>
                <w:sz w:val="22"/>
                <w:szCs w:val="22"/>
              </w:rPr>
            </w:pPr>
            <w:r w:rsidRPr="007B3272">
              <w:rPr>
                <w:sz w:val="22"/>
                <w:szCs w:val="22"/>
              </w:rPr>
              <w:t>–</w:t>
            </w:r>
            <w:r w:rsidRPr="007B3272">
              <w:rPr>
                <w:sz w:val="22"/>
                <w:szCs w:val="22"/>
              </w:rPr>
              <w:tab/>
              <w:t xml:space="preserve">a los </w:t>
            </w:r>
            <w:proofErr w:type="gramStart"/>
            <w:r w:rsidRPr="007B3272">
              <w:rPr>
                <w:sz w:val="22"/>
                <w:szCs w:val="22"/>
              </w:rPr>
              <w:t>Presidentes</w:t>
            </w:r>
            <w:proofErr w:type="gramEnd"/>
            <w:r w:rsidRPr="007B3272">
              <w:rPr>
                <w:sz w:val="22"/>
                <w:szCs w:val="22"/>
              </w:rPr>
              <w:t xml:space="preserve"> y Vicepresidentes de </w:t>
            </w:r>
            <w:r w:rsidR="001C5A4C" w:rsidRPr="007B3272">
              <w:rPr>
                <w:sz w:val="22"/>
                <w:szCs w:val="22"/>
              </w:rPr>
              <w:t xml:space="preserve">las </w:t>
            </w:r>
            <w:r w:rsidRPr="007B3272">
              <w:rPr>
                <w:sz w:val="22"/>
                <w:szCs w:val="22"/>
              </w:rPr>
              <w:t>Comisiones de Estudio;</w:t>
            </w:r>
          </w:p>
          <w:p w14:paraId="03DCAF46" w14:textId="77777777" w:rsidR="00C648D8" w:rsidRPr="007B3272" w:rsidRDefault="00C648D8" w:rsidP="00C648D8">
            <w:pPr>
              <w:tabs>
                <w:tab w:val="clear" w:pos="794"/>
                <w:tab w:val="left" w:pos="355"/>
                <w:tab w:val="left" w:pos="4111"/>
              </w:tabs>
              <w:spacing w:before="40" w:after="40"/>
              <w:ind w:left="355" w:hanging="298"/>
              <w:rPr>
                <w:sz w:val="22"/>
                <w:szCs w:val="22"/>
              </w:rPr>
            </w:pPr>
            <w:r w:rsidRPr="007B3272">
              <w:rPr>
                <w:sz w:val="22"/>
                <w:szCs w:val="22"/>
              </w:rPr>
              <w:t>–</w:t>
            </w:r>
            <w:r w:rsidRPr="007B3272">
              <w:rPr>
                <w:sz w:val="22"/>
                <w:szCs w:val="22"/>
              </w:rPr>
              <w:tab/>
              <w:t xml:space="preserve">a la </w:t>
            </w:r>
            <w:proofErr w:type="gramStart"/>
            <w:r w:rsidRPr="007B3272">
              <w:rPr>
                <w:sz w:val="22"/>
                <w:szCs w:val="22"/>
              </w:rPr>
              <w:t>Directora</w:t>
            </w:r>
            <w:proofErr w:type="gramEnd"/>
            <w:r w:rsidRPr="007B3272">
              <w:rPr>
                <w:sz w:val="22"/>
                <w:szCs w:val="22"/>
              </w:rPr>
              <w:t xml:space="preserve"> de la Oficina de Desarrollo de las Telecomunicaciones;</w:t>
            </w:r>
          </w:p>
          <w:p w14:paraId="443CB239" w14:textId="77777777" w:rsidR="00C648D8" w:rsidRPr="007B3272" w:rsidRDefault="00C648D8" w:rsidP="00C648D8">
            <w:pPr>
              <w:tabs>
                <w:tab w:val="clear" w:pos="794"/>
                <w:tab w:val="left" w:pos="355"/>
                <w:tab w:val="left" w:pos="4111"/>
              </w:tabs>
              <w:spacing w:before="40" w:after="40"/>
              <w:ind w:left="355" w:hanging="298"/>
              <w:rPr>
                <w:sz w:val="22"/>
                <w:szCs w:val="22"/>
              </w:rPr>
            </w:pPr>
            <w:r w:rsidRPr="007B3272">
              <w:rPr>
                <w:sz w:val="22"/>
                <w:szCs w:val="22"/>
              </w:rPr>
              <w:t>–</w:t>
            </w:r>
            <w:r w:rsidRPr="007B3272">
              <w:rPr>
                <w:sz w:val="22"/>
                <w:szCs w:val="22"/>
              </w:rPr>
              <w:tab/>
              <w:t xml:space="preserve">al </w:t>
            </w:r>
            <w:proofErr w:type="gramStart"/>
            <w:r w:rsidRPr="007B3272">
              <w:rPr>
                <w:sz w:val="22"/>
                <w:szCs w:val="22"/>
              </w:rPr>
              <w:t>Director</w:t>
            </w:r>
            <w:proofErr w:type="gramEnd"/>
            <w:r w:rsidRPr="007B3272">
              <w:rPr>
                <w:sz w:val="22"/>
                <w:szCs w:val="22"/>
              </w:rPr>
              <w:t xml:space="preserve"> de la Oficina de Radiocomunicaciones</w:t>
            </w:r>
          </w:p>
          <w:p w14:paraId="678E0B79" w14:textId="77777777" w:rsidR="00C648D8" w:rsidRPr="007B3272" w:rsidRDefault="00C648D8" w:rsidP="00C648D8">
            <w:pPr>
              <w:tabs>
                <w:tab w:val="clear" w:pos="794"/>
                <w:tab w:val="left" w:pos="355"/>
                <w:tab w:val="left" w:pos="4111"/>
              </w:tabs>
              <w:spacing w:before="40" w:after="40"/>
              <w:ind w:left="355" w:hanging="298"/>
              <w:rPr>
                <w:sz w:val="22"/>
                <w:szCs w:val="22"/>
              </w:rPr>
            </w:pPr>
            <w:r w:rsidRPr="007B3272">
              <w:rPr>
                <w:sz w:val="22"/>
                <w:szCs w:val="22"/>
              </w:rPr>
              <w:t>–</w:t>
            </w:r>
            <w:r w:rsidRPr="007B3272">
              <w:rPr>
                <w:sz w:val="22"/>
                <w:szCs w:val="22"/>
              </w:rPr>
              <w:tab/>
              <w:t xml:space="preserve">a los </w:t>
            </w:r>
            <w:proofErr w:type="gramStart"/>
            <w:r w:rsidRPr="007B3272">
              <w:rPr>
                <w:sz w:val="22"/>
                <w:szCs w:val="22"/>
              </w:rPr>
              <w:t>Directores</w:t>
            </w:r>
            <w:proofErr w:type="gramEnd"/>
            <w:r w:rsidRPr="007B3272">
              <w:rPr>
                <w:sz w:val="22"/>
                <w:szCs w:val="22"/>
              </w:rPr>
              <w:t xml:space="preserve"> de las Oficinas Regionales de la UIT</w:t>
            </w:r>
          </w:p>
        </w:tc>
      </w:tr>
      <w:tr w:rsidR="00C648D8" w:rsidRPr="007B3272" w14:paraId="7AE604F0" w14:textId="77777777" w:rsidTr="00324364">
        <w:trPr>
          <w:cantSplit/>
        </w:trPr>
        <w:tc>
          <w:tcPr>
            <w:tcW w:w="1409" w:type="dxa"/>
          </w:tcPr>
          <w:p w14:paraId="72485F47" w14:textId="77777777" w:rsidR="00C648D8" w:rsidRPr="007B3272" w:rsidRDefault="00C648D8" w:rsidP="00C648D8">
            <w:pPr>
              <w:ind w:left="-10"/>
              <w:rPr>
                <w:b/>
                <w:bCs/>
                <w:sz w:val="22"/>
                <w:szCs w:val="22"/>
              </w:rPr>
            </w:pPr>
            <w:r w:rsidRPr="007B3272">
              <w:rPr>
                <w:b/>
                <w:bCs/>
                <w:sz w:val="22"/>
                <w:szCs w:val="22"/>
              </w:rPr>
              <w:t>Asunto:</w:t>
            </w:r>
          </w:p>
        </w:tc>
        <w:tc>
          <w:tcPr>
            <w:tcW w:w="8797" w:type="dxa"/>
            <w:gridSpan w:val="2"/>
          </w:tcPr>
          <w:p w14:paraId="5D7C0C05" w14:textId="5737BB91" w:rsidR="00C648D8" w:rsidRPr="007B3272" w:rsidRDefault="00C648D8" w:rsidP="00C648D8">
            <w:pPr>
              <w:ind w:left="57"/>
              <w:rPr>
                <w:b/>
                <w:bCs/>
                <w:sz w:val="22"/>
                <w:szCs w:val="22"/>
              </w:rPr>
            </w:pPr>
            <w:r w:rsidRPr="007B3272">
              <w:rPr>
                <w:b/>
                <w:bCs/>
                <w:sz w:val="22"/>
                <w:szCs w:val="22"/>
              </w:rPr>
              <w:t>Creación de la Actividad Conjunta de Coordinación sobre certificados digitales COVID-19 (JCA</w:t>
            </w:r>
            <w:r w:rsidRPr="007B3272">
              <w:rPr>
                <w:b/>
                <w:bCs/>
                <w:sz w:val="22"/>
                <w:szCs w:val="22"/>
              </w:rPr>
              <w:noBreakHyphen/>
              <w:t xml:space="preserve">DCC) y primera reunión de </w:t>
            </w:r>
            <w:proofErr w:type="gramStart"/>
            <w:r w:rsidRPr="007B3272">
              <w:rPr>
                <w:b/>
                <w:bCs/>
                <w:sz w:val="22"/>
                <w:szCs w:val="22"/>
              </w:rPr>
              <w:t>la misma</w:t>
            </w:r>
            <w:proofErr w:type="gramEnd"/>
            <w:r w:rsidRPr="007B3272">
              <w:rPr>
                <w:b/>
                <w:bCs/>
                <w:sz w:val="22"/>
                <w:szCs w:val="22"/>
              </w:rPr>
              <w:t xml:space="preserve"> (reunión por medios electrónicos, 1 de junio de 2022)</w:t>
            </w:r>
          </w:p>
        </w:tc>
      </w:tr>
    </w:tbl>
    <w:p w14:paraId="65586552" w14:textId="20D56FCC" w:rsidR="00C648D8" w:rsidRPr="007B3272" w:rsidRDefault="00C648D8" w:rsidP="00C648D8">
      <w:pPr>
        <w:spacing w:before="360"/>
        <w:rPr>
          <w:szCs w:val="24"/>
        </w:rPr>
      </w:pPr>
      <w:bookmarkStart w:id="1" w:name="StartTyping_S"/>
      <w:bookmarkStart w:id="2" w:name="suitetext"/>
      <w:bookmarkStart w:id="3" w:name="text"/>
      <w:bookmarkEnd w:id="1"/>
      <w:bookmarkEnd w:id="2"/>
      <w:bookmarkEnd w:id="3"/>
      <w:r w:rsidRPr="007B3272">
        <w:rPr>
          <w:szCs w:val="24"/>
        </w:rPr>
        <w:t>Muy Señora mía/Muy Señor mío</w:t>
      </w:r>
      <w:r w:rsidR="001C5A4C" w:rsidRPr="007B3272">
        <w:rPr>
          <w:szCs w:val="24"/>
        </w:rPr>
        <w:t>:</w:t>
      </w:r>
    </w:p>
    <w:p w14:paraId="0B33D7A1" w14:textId="74D6406D" w:rsidR="00C648D8" w:rsidRPr="007B3272" w:rsidRDefault="00C648D8" w:rsidP="00C648D8">
      <w:pPr>
        <w:rPr>
          <w:szCs w:val="24"/>
        </w:rPr>
      </w:pPr>
      <w:r w:rsidRPr="007B3272">
        <w:rPr>
          <w:szCs w:val="24"/>
        </w:rPr>
        <w:t>1</w:t>
      </w:r>
      <w:r w:rsidRPr="007B3272">
        <w:rPr>
          <w:szCs w:val="24"/>
        </w:rPr>
        <w:tab/>
      </w:r>
      <w:proofErr w:type="gramStart"/>
      <w:r w:rsidRPr="007B3272">
        <w:rPr>
          <w:szCs w:val="24"/>
        </w:rPr>
        <w:t>Tras</w:t>
      </w:r>
      <w:proofErr w:type="gramEnd"/>
      <w:r w:rsidRPr="007B3272">
        <w:rPr>
          <w:szCs w:val="24"/>
        </w:rPr>
        <w:t xml:space="preserve"> el acuerdo alcanzado por el Grupo Asesor de Telecomunicaciones (GANT) de la UIT en su reunión celebrada por medios electrónicos del 10 al 17 de enero de 2022, me complace anunciar la creación de la </w:t>
      </w:r>
      <w:hyperlink r:id="rId10" w:history="1">
        <w:r w:rsidRPr="007B3272">
          <w:rPr>
            <w:color w:val="0000FF"/>
            <w:szCs w:val="24"/>
            <w:u w:val="single"/>
          </w:rPr>
          <w:t xml:space="preserve">Actividad Conjunta de Coordinación sobre </w:t>
        </w:r>
        <w:r w:rsidR="00942AF6" w:rsidRPr="007B3272">
          <w:rPr>
            <w:color w:val="0000FF"/>
            <w:szCs w:val="24"/>
            <w:u w:val="single"/>
          </w:rPr>
          <w:t>c</w:t>
        </w:r>
        <w:r w:rsidRPr="007B3272">
          <w:rPr>
            <w:color w:val="0000FF"/>
            <w:szCs w:val="24"/>
            <w:u w:val="single"/>
          </w:rPr>
          <w:t xml:space="preserve">ertificados </w:t>
        </w:r>
        <w:r w:rsidR="00942AF6" w:rsidRPr="007B3272">
          <w:rPr>
            <w:color w:val="0000FF"/>
            <w:szCs w:val="24"/>
            <w:u w:val="single"/>
          </w:rPr>
          <w:t>d</w:t>
        </w:r>
        <w:r w:rsidRPr="007B3272">
          <w:rPr>
            <w:color w:val="0000FF"/>
            <w:szCs w:val="24"/>
            <w:u w:val="single"/>
          </w:rPr>
          <w:t>igitales COVID</w:t>
        </w:r>
        <w:r w:rsidR="001C5A4C" w:rsidRPr="007B3272">
          <w:rPr>
            <w:color w:val="0000FF"/>
            <w:szCs w:val="24"/>
            <w:u w:val="single"/>
          </w:rPr>
          <w:noBreakHyphen/>
        </w:r>
        <w:r w:rsidRPr="007B3272">
          <w:rPr>
            <w:color w:val="0000FF"/>
            <w:szCs w:val="24"/>
            <w:u w:val="single"/>
          </w:rPr>
          <w:t>19 (JCA-DCC)</w:t>
        </w:r>
      </w:hyperlink>
      <w:r w:rsidRPr="007B3272">
        <w:rPr>
          <w:szCs w:val="24"/>
        </w:rPr>
        <w:t>.</w:t>
      </w:r>
    </w:p>
    <w:p w14:paraId="5EE3F0FC" w14:textId="77777777" w:rsidR="00C648D8" w:rsidRPr="007B3272" w:rsidRDefault="00C648D8" w:rsidP="00C648D8">
      <w:pPr>
        <w:rPr>
          <w:szCs w:val="24"/>
        </w:rPr>
      </w:pPr>
      <w:r w:rsidRPr="007B3272">
        <w:rPr>
          <w:szCs w:val="24"/>
        </w:rPr>
        <w:t>2</w:t>
      </w:r>
      <w:r w:rsidRPr="007B3272">
        <w:rPr>
          <w:szCs w:val="24"/>
        </w:rPr>
        <w:tab/>
      </w:r>
      <w:proofErr w:type="gramStart"/>
      <w:r w:rsidRPr="007B3272">
        <w:rPr>
          <w:szCs w:val="24"/>
        </w:rPr>
        <w:t>El</w:t>
      </w:r>
      <w:proofErr w:type="gramEnd"/>
      <w:r w:rsidRPr="007B3272">
        <w:rPr>
          <w:szCs w:val="24"/>
        </w:rPr>
        <w:t xml:space="preserve"> alcance de la JCA es la coordinación de los trabajos del UIT-T relacionados con el certificado COVID-19 digital (DCC) entre las correspondientes Comisiones de Estudio del UIT-T y las organizaciones y los foros externos, fomentando la utilización de arquitecturas de datos compatibles para la compartición de datos y promoviendo la interoperabilidad, la agilidad y la seguridad de los usuarios y de todas las partes interesadas pertinentes. El mandato se recoge en el </w:t>
      </w:r>
      <w:r w:rsidRPr="007B3272">
        <w:rPr>
          <w:b/>
          <w:bCs/>
          <w:szCs w:val="24"/>
        </w:rPr>
        <w:t>Anexo A</w:t>
      </w:r>
      <w:r w:rsidRPr="007B3272">
        <w:rPr>
          <w:szCs w:val="24"/>
        </w:rPr>
        <w:t>.</w:t>
      </w:r>
    </w:p>
    <w:p w14:paraId="69A0E7E9" w14:textId="7B14F13C" w:rsidR="00C648D8" w:rsidRPr="007B3272" w:rsidRDefault="00C648D8" w:rsidP="00C648D8">
      <w:pPr>
        <w:rPr>
          <w:szCs w:val="24"/>
        </w:rPr>
      </w:pPr>
      <w:r w:rsidRPr="007B3272">
        <w:rPr>
          <w:szCs w:val="24"/>
        </w:rPr>
        <w:t>3</w:t>
      </w:r>
      <w:r w:rsidRPr="007B3272">
        <w:rPr>
          <w:szCs w:val="24"/>
        </w:rPr>
        <w:tab/>
      </w:r>
      <w:proofErr w:type="gramStart"/>
      <w:r w:rsidRPr="007B3272">
        <w:rPr>
          <w:szCs w:val="24"/>
        </w:rPr>
        <w:t>La</w:t>
      </w:r>
      <w:proofErr w:type="gramEnd"/>
      <w:r w:rsidRPr="007B3272">
        <w:rPr>
          <w:szCs w:val="24"/>
        </w:rPr>
        <w:t xml:space="preserve"> reunión nombró al Sr. </w:t>
      </w:r>
      <w:proofErr w:type="spellStart"/>
      <w:r w:rsidRPr="007B3272">
        <w:rPr>
          <w:szCs w:val="24"/>
        </w:rPr>
        <w:t>Heung</w:t>
      </w:r>
      <w:proofErr w:type="spellEnd"/>
      <w:r w:rsidRPr="007B3272">
        <w:rPr>
          <w:szCs w:val="24"/>
        </w:rPr>
        <w:t xml:space="preserve"> </w:t>
      </w:r>
      <w:proofErr w:type="spellStart"/>
      <w:r w:rsidRPr="007B3272">
        <w:rPr>
          <w:szCs w:val="24"/>
        </w:rPr>
        <w:t>Youl</w:t>
      </w:r>
      <w:proofErr w:type="spellEnd"/>
      <w:r w:rsidRPr="007B3272">
        <w:rPr>
          <w:szCs w:val="24"/>
        </w:rPr>
        <w:t xml:space="preserve"> </w:t>
      </w:r>
      <w:proofErr w:type="spellStart"/>
      <w:r w:rsidRPr="007B3272">
        <w:rPr>
          <w:szCs w:val="24"/>
        </w:rPr>
        <w:t>Youm</w:t>
      </w:r>
      <w:proofErr w:type="spellEnd"/>
      <w:r w:rsidRPr="007B3272">
        <w:rPr>
          <w:szCs w:val="24"/>
        </w:rPr>
        <w:t xml:space="preserve"> (Corea, Rep. </w:t>
      </w:r>
      <w:r w:rsidR="00942AF6" w:rsidRPr="007B3272">
        <w:rPr>
          <w:szCs w:val="24"/>
        </w:rPr>
        <w:t>d</w:t>
      </w:r>
      <w:r w:rsidRPr="007B3272">
        <w:rPr>
          <w:szCs w:val="24"/>
        </w:rPr>
        <w:t>e) como Presidente de la JCA</w:t>
      </w:r>
      <w:r w:rsidR="00DA1B2A" w:rsidRPr="007B3272">
        <w:rPr>
          <w:szCs w:val="24"/>
        </w:rPr>
        <w:noBreakHyphen/>
      </w:r>
      <w:r w:rsidRPr="007B3272">
        <w:rPr>
          <w:szCs w:val="24"/>
        </w:rPr>
        <w:t>DCC.</w:t>
      </w:r>
    </w:p>
    <w:p w14:paraId="5CEDB2DB" w14:textId="74E86ECD" w:rsidR="00C648D8" w:rsidRPr="007B3272" w:rsidRDefault="00C648D8" w:rsidP="00C648D8">
      <w:pPr>
        <w:rPr>
          <w:szCs w:val="24"/>
        </w:rPr>
      </w:pPr>
      <w:r w:rsidRPr="007B3272">
        <w:rPr>
          <w:szCs w:val="24"/>
        </w:rPr>
        <w:t>4</w:t>
      </w:r>
      <w:r w:rsidRPr="007B3272">
        <w:rPr>
          <w:szCs w:val="24"/>
        </w:rPr>
        <w:tab/>
      </w:r>
      <w:proofErr w:type="gramStart"/>
      <w:r w:rsidRPr="007B3272">
        <w:rPr>
          <w:szCs w:val="24"/>
        </w:rPr>
        <w:t>La</w:t>
      </w:r>
      <w:proofErr w:type="gramEnd"/>
      <w:r w:rsidRPr="007B3272">
        <w:rPr>
          <w:szCs w:val="24"/>
        </w:rPr>
        <w:t xml:space="preserve"> participación en </w:t>
      </w:r>
      <w:r w:rsidR="00942AF6" w:rsidRPr="007B3272">
        <w:rPr>
          <w:szCs w:val="24"/>
        </w:rPr>
        <w:t xml:space="preserve">la </w:t>
      </w:r>
      <w:r w:rsidRPr="007B3272">
        <w:rPr>
          <w:szCs w:val="24"/>
        </w:rPr>
        <w:t>JCA-</w:t>
      </w:r>
      <w:r w:rsidR="00942AF6" w:rsidRPr="007B3272">
        <w:rPr>
          <w:szCs w:val="24"/>
        </w:rPr>
        <w:t>DCC</w:t>
      </w:r>
      <w:r w:rsidRPr="007B3272">
        <w:rPr>
          <w:szCs w:val="24"/>
        </w:rPr>
        <w:t xml:space="preserve"> es gratuita y está abierta a los </w:t>
      </w:r>
      <w:r w:rsidR="00942AF6" w:rsidRPr="007B3272">
        <w:rPr>
          <w:szCs w:val="24"/>
        </w:rPr>
        <w:t>m</w:t>
      </w:r>
      <w:r w:rsidRPr="007B3272">
        <w:rPr>
          <w:szCs w:val="24"/>
        </w:rPr>
        <w:t>iembros del UIT-T. También pueden formar parte de la JCA los expertos invitados y los representantes designados de otras organizaciones intergubernamentales, organizaciones de normalización y foros pertinentes.</w:t>
      </w:r>
    </w:p>
    <w:p w14:paraId="25F353E7" w14:textId="608BBE43" w:rsidR="00C648D8" w:rsidRPr="007B3272" w:rsidRDefault="00C648D8" w:rsidP="00C648D8">
      <w:pPr>
        <w:rPr>
          <w:szCs w:val="24"/>
        </w:rPr>
      </w:pPr>
      <w:bookmarkStart w:id="4" w:name="lt_pId062"/>
      <w:r w:rsidRPr="007B3272">
        <w:rPr>
          <w:szCs w:val="24"/>
        </w:rPr>
        <w:t>5</w:t>
      </w:r>
      <w:r w:rsidRPr="007B3272">
        <w:rPr>
          <w:szCs w:val="24"/>
        </w:rPr>
        <w:tab/>
      </w:r>
      <w:proofErr w:type="gramStart"/>
      <w:r w:rsidRPr="007B3272">
        <w:rPr>
          <w:szCs w:val="24"/>
        </w:rPr>
        <w:t>La</w:t>
      </w:r>
      <w:proofErr w:type="gramEnd"/>
      <w:r w:rsidRPr="007B3272">
        <w:rPr>
          <w:szCs w:val="24"/>
        </w:rPr>
        <w:t xml:space="preserve"> primera reunión de la JCA-DCC se celebrará por medios electrónicos el </w:t>
      </w:r>
      <w:r w:rsidRPr="007B3272">
        <w:rPr>
          <w:b/>
          <w:bCs/>
          <w:szCs w:val="24"/>
        </w:rPr>
        <w:t>1 de junio de 2022</w:t>
      </w:r>
      <w:r w:rsidRPr="007B3272">
        <w:rPr>
          <w:szCs w:val="24"/>
        </w:rPr>
        <w:t xml:space="preserve"> de</w:t>
      </w:r>
      <w:r w:rsidRPr="007B3272">
        <w:rPr>
          <w:b/>
          <w:bCs/>
          <w:szCs w:val="24"/>
        </w:rPr>
        <w:t xml:space="preserve"> </w:t>
      </w:r>
      <w:r w:rsidR="00942AF6" w:rsidRPr="007B3272">
        <w:rPr>
          <w:b/>
          <w:bCs/>
          <w:szCs w:val="24"/>
        </w:rPr>
        <w:t xml:space="preserve">las </w:t>
      </w:r>
      <w:r w:rsidRPr="007B3272">
        <w:rPr>
          <w:b/>
          <w:bCs/>
          <w:szCs w:val="24"/>
        </w:rPr>
        <w:t>13</w:t>
      </w:r>
      <w:r w:rsidR="00942AF6" w:rsidRPr="007B3272">
        <w:rPr>
          <w:b/>
          <w:bCs/>
          <w:szCs w:val="24"/>
        </w:rPr>
        <w:t>.</w:t>
      </w:r>
      <w:r w:rsidRPr="007B3272">
        <w:rPr>
          <w:b/>
          <w:bCs/>
          <w:szCs w:val="24"/>
        </w:rPr>
        <w:t xml:space="preserve">00 a </w:t>
      </w:r>
      <w:r w:rsidR="00942AF6" w:rsidRPr="007B3272">
        <w:rPr>
          <w:b/>
          <w:bCs/>
          <w:szCs w:val="24"/>
        </w:rPr>
        <w:t xml:space="preserve">las </w:t>
      </w:r>
      <w:r w:rsidRPr="007B3272">
        <w:rPr>
          <w:b/>
          <w:bCs/>
          <w:szCs w:val="24"/>
        </w:rPr>
        <w:t>16</w:t>
      </w:r>
      <w:r w:rsidR="00942AF6" w:rsidRPr="007B3272">
        <w:rPr>
          <w:b/>
          <w:bCs/>
          <w:szCs w:val="24"/>
        </w:rPr>
        <w:t>.</w:t>
      </w:r>
      <w:r w:rsidRPr="007B3272">
        <w:rPr>
          <w:b/>
          <w:bCs/>
          <w:szCs w:val="24"/>
        </w:rPr>
        <w:t>00 horas, hora de Ginebra</w:t>
      </w:r>
      <w:r w:rsidRPr="007B3272">
        <w:rPr>
          <w:szCs w:val="24"/>
        </w:rPr>
        <w:t xml:space="preserve">. Por favor, tenga en cuenta que la inscripción es obligatoria (a través del formulario de inscripción en línea en la </w:t>
      </w:r>
      <w:hyperlink r:id="rId11" w:history="1">
        <w:r w:rsidRPr="007B3272">
          <w:rPr>
            <w:color w:val="0000FF"/>
            <w:szCs w:val="24"/>
            <w:u w:val="single"/>
          </w:rPr>
          <w:t>página web de la JCA-DCC</w:t>
        </w:r>
      </w:hyperlink>
      <w:r w:rsidRPr="007B3272">
        <w:rPr>
          <w:szCs w:val="24"/>
        </w:rPr>
        <w:t>). Sin la inscripción no se podrá acceder a la herramienta de participación a distancia.</w:t>
      </w:r>
    </w:p>
    <w:p w14:paraId="02E67E51" w14:textId="77777777" w:rsidR="00C648D8" w:rsidRPr="007B3272" w:rsidRDefault="00C648D8" w:rsidP="00C648D8">
      <w:pPr>
        <w:rPr>
          <w:szCs w:val="24"/>
        </w:rPr>
      </w:pPr>
      <w:r w:rsidRPr="007B3272">
        <w:rPr>
          <w:szCs w:val="24"/>
        </w:rPr>
        <w:t>6</w:t>
      </w:r>
      <w:r w:rsidRPr="007B3272">
        <w:rPr>
          <w:szCs w:val="24"/>
        </w:rPr>
        <w:tab/>
      </w:r>
      <w:proofErr w:type="gramStart"/>
      <w:r w:rsidRPr="007B3272">
        <w:rPr>
          <w:szCs w:val="24"/>
        </w:rPr>
        <w:t>La</w:t>
      </w:r>
      <w:proofErr w:type="gramEnd"/>
      <w:r w:rsidRPr="007B3272">
        <w:rPr>
          <w:szCs w:val="24"/>
        </w:rPr>
        <w:t xml:space="preserve"> reunión se celebrará únicamente en inglés. </w:t>
      </w:r>
      <w:bookmarkEnd w:id="4"/>
    </w:p>
    <w:p w14:paraId="5F88A225" w14:textId="77777777" w:rsidR="00C648D8" w:rsidRPr="007B3272" w:rsidRDefault="00C648D8" w:rsidP="00942AF6">
      <w:pPr>
        <w:keepLines/>
        <w:rPr>
          <w:szCs w:val="24"/>
        </w:rPr>
      </w:pPr>
      <w:r w:rsidRPr="007B3272">
        <w:rPr>
          <w:szCs w:val="24"/>
        </w:rPr>
        <w:lastRenderedPageBreak/>
        <w:t>7</w:t>
      </w:r>
      <w:r w:rsidRPr="007B3272">
        <w:rPr>
          <w:szCs w:val="24"/>
        </w:rPr>
        <w:tab/>
      </w:r>
      <w:proofErr w:type="gramStart"/>
      <w:r w:rsidRPr="007B3272">
        <w:rPr>
          <w:szCs w:val="24"/>
        </w:rPr>
        <w:t>Se</w:t>
      </w:r>
      <w:proofErr w:type="gramEnd"/>
      <w:r w:rsidRPr="007B3272">
        <w:rPr>
          <w:szCs w:val="24"/>
        </w:rPr>
        <w:t xml:space="preserve"> ha creado una página web para la JCA-DCC, que puede encontrarse en la dirección </w:t>
      </w:r>
      <w:hyperlink r:id="rId12" w:history="1">
        <w:r w:rsidRPr="007B3272">
          <w:rPr>
            <w:color w:val="0000FF"/>
            <w:szCs w:val="24"/>
            <w:u w:val="single"/>
          </w:rPr>
          <w:t>http://itu.int/en/ITU-T/jca/dcc</w:t>
        </w:r>
      </w:hyperlink>
      <w:r w:rsidRPr="007B3272">
        <w:rPr>
          <w:szCs w:val="24"/>
        </w:rPr>
        <w:t xml:space="preserve">. La información relativa a su primera reunión, incluida la inscripción, el proyecto de orden del día y los documentos de la reunión estarán disponibles en la </w:t>
      </w:r>
      <w:hyperlink r:id="rId13" w:history="1">
        <w:r w:rsidRPr="007B3272">
          <w:rPr>
            <w:color w:val="0000FF"/>
            <w:szCs w:val="24"/>
            <w:u w:val="single"/>
          </w:rPr>
          <w:t>página web de la JCA-DCC</w:t>
        </w:r>
      </w:hyperlink>
      <w:r w:rsidRPr="007B3272">
        <w:rPr>
          <w:szCs w:val="24"/>
        </w:rPr>
        <w:t>.</w:t>
      </w:r>
    </w:p>
    <w:p w14:paraId="17C1528B" w14:textId="35D70F48" w:rsidR="00C648D8" w:rsidRPr="007B3272" w:rsidRDefault="00C648D8" w:rsidP="00C648D8">
      <w:pPr>
        <w:rPr>
          <w:szCs w:val="24"/>
        </w:rPr>
      </w:pPr>
      <w:r w:rsidRPr="007B3272">
        <w:rPr>
          <w:szCs w:val="24"/>
        </w:rPr>
        <w:t>8</w:t>
      </w:r>
      <w:r w:rsidRPr="007B3272">
        <w:rPr>
          <w:szCs w:val="24"/>
        </w:rPr>
        <w:tab/>
      </w:r>
      <w:proofErr w:type="gramStart"/>
      <w:r w:rsidRPr="007B3272">
        <w:rPr>
          <w:szCs w:val="24"/>
        </w:rPr>
        <w:t>Se</w:t>
      </w:r>
      <w:proofErr w:type="gramEnd"/>
      <w:r w:rsidRPr="007B3272">
        <w:rPr>
          <w:szCs w:val="24"/>
        </w:rPr>
        <w:t xml:space="preserve"> anima a los participantes a que envíen sus contribuciones a la JCA-DCC por correo electrónico a la dirección </w:t>
      </w:r>
      <w:hyperlink r:id="rId14" w:history="1">
        <w:r w:rsidRPr="007B3272">
          <w:rPr>
            <w:rStyle w:val="Hyperlink"/>
            <w:szCs w:val="24"/>
          </w:rPr>
          <w:t>tsbjcadcc@itu.int</w:t>
        </w:r>
      </w:hyperlink>
      <w:r w:rsidRPr="007B3272">
        <w:rPr>
          <w:szCs w:val="24"/>
        </w:rPr>
        <w:t xml:space="preserve">, utilizando la plantilla de documento disponible en la </w:t>
      </w:r>
      <w:hyperlink r:id="rId15" w:history="1">
        <w:r w:rsidRPr="007B3272">
          <w:rPr>
            <w:color w:val="0000FF"/>
            <w:szCs w:val="24"/>
            <w:u w:val="single"/>
          </w:rPr>
          <w:t>página web de la JCA-DCC</w:t>
        </w:r>
      </w:hyperlink>
      <w:r w:rsidRPr="007B3272">
        <w:rPr>
          <w:szCs w:val="24"/>
        </w:rPr>
        <w:t xml:space="preserve">. Con el fin de disponer de tiempo suficiente para la preparación de esta reunión, se ruega a los participantes que presenten sus contribuciones a más tardar el </w:t>
      </w:r>
      <w:r w:rsidRPr="007B3272">
        <w:rPr>
          <w:b/>
          <w:bCs/>
          <w:szCs w:val="24"/>
        </w:rPr>
        <w:t>20 de mayo de 2022</w:t>
      </w:r>
      <w:r w:rsidRPr="007B3272">
        <w:rPr>
          <w:szCs w:val="24"/>
        </w:rPr>
        <w:t>.</w:t>
      </w:r>
    </w:p>
    <w:p w14:paraId="6E885498" w14:textId="77777777" w:rsidR="00C648D8" w:rsidRPr="007B3272" w:rsidRDefault="00C648D8" w:rsidP="00C648D8">
      <w:pPr>
        <w:spacing w:after="120"/>
        <w:rPr>
          <w:rFonts w:ascii="Trebuchet MS" w:eastAsia="Batang" w:hAnsi="Trebuchet MS"/>
          <w:color w:val="000000"/>
          <w:szCs w:val="24"/>
          <w:shd w:val="clear" w:color="auto" w:fill="FFFFFF"/>
        </w:rPr>
      </w:pPr>
      <w:bookmarkStart w:id="5" w:name="lt_pId072"/>
      <w:r w:rsidRPr="007B3272">
        <w:rPr>
          <w:rFonts w:ascii="Calibri" w:eastAsia="Batang" w:hAnsi="Calibri"/>
          <w:b/>
          <w:bCs/>
          <w:szCs w:val="24"/>
        </w:rPr>
        <w:t>Plazos clave</w:t>
      </w:r>
      <w:r w:rsidRPr="007B3272">
        <w:rPr>
          <w:rFonts w:ascii="Calibri" w:eastAsia="Batang" w:hAnsi="Calibri"/>
          <w:szCs w:val="24"/>
        </w:rPr>
        <w:t>:</w:t>
      </w:r>
      <w:bookmarkEnd w:id="5"/>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642"/>
      </w:tblGrid>
      <w:tr w:rsidR="00C648D8" w:rsidRPr="007B3272" w14:paraId="2E8E3482" w14:textId="77777777" w:rsidTr="00324364">
        <w:tc>
          <w:tcPr>
            <w:tcW w:w="1418" w:type="dxa"/>
          </w:tcPr>
          <w:p w14:paraId="7F222A99" w14:textId="77777777" w:rsidR="00C648D8" w:rsidRPr="007B3272" w:rsidRDefault="00C648D8" w:rsidP="00C648D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Calibri" w:eastAsia="Batang" w:hAnsi="Calibri" w:cs="Calibri"/>
                <w:szCs w:val="24"/>
              </w:rPr>
            </w:pPr>
            <w:r w:rsidRPr="007B3272">
              <w:rPr>
                <w:rFonts w:ascii="Calibri" w:eastAsia="Batang" w:hAnsi="Calibri" w:cs="Calibri"/>
                <w:szCs w:val="24"/>
              </w:rPr>
              <w:t>27-05-2022</w:t>
            </w:r>
          </w:p>
        </w:tc>
        <w:tc>
          <w:tcPr>
            <w:tcW w:w="8642" w:type="dxa"/>
            <w:shd w:val="clear" w:color="auto" w:fill="auto"/>
          </w:tcPr>
          <w:p w14:paraId="5CC938A0" w14:textId="51928FA3" w:rsidR="00C648D8" w:rsidRPr="007B3272" w:rsidRDefault="001C5A4C" w:rsidP="00C648D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rPr>
                <w:rFonts w:ascii="Calibri" w:eastAsia="Batang" w:hAnsi="Calibri" w:cs="Calibri"/>
                <w:szCs w:val="24"/>
              </w:rPr>
            </w:pPr>
            <w:r w:rsidRPr="007B3272">
              <w:rPr>
                <w:rFonts w:ascii="Calibri" w:eastAsia="Batang" w:hAnsi="Calibri" w:cs="Calibri"/>
                <w:szCs w:val="24"/>
              </w:rPr>
              <w:t>–</w:t>
            </w:r>
            <w:r w:rsidR="00C648D8" w:rsidRPr="007B3272">
              <w:rPr>
                <w:rFonts w:ascii="Calibri" w:eastAsia="Batang" w:hAnsi="Calibri" w:cs="Calibri"/>
                <w:szCs w:val="24"/>
              </w:rPr>
              <w:tab/>
            </w:r>
            <w:bookmarkStart w:id="6" w:name="lt_pId075"/>
            <w:r w:rsidR="00C648D8" w:rsidRPr="007B3272">
              <w:rPr>
                <w:rFonts w:ascii="Calibri" w:eastAsia="Batang" w:hAnsi="Calibri" w:cs="Calibri"/>
                <w:szCs w:val="24"/>
              </w:rPr>
              <w:t xml:space="preserve">Preinscripción (mediante el formulario de inscripción en línea que figura en la </w:t>
            </w:r>
            <w:hyperlink r:id="rId16" w:history="1">
              <w:r w:rsidR="00C648D8" w:rsidRPr="007B3272">
                <w:rPr>
                  <w:rFonts w:ascii="Calibri" w:eastAsia="Batang" w:hAnsi="Calibri" w:cs="Calibri"/>
                  <w:color w:val="0000FF"/>
                  <w:szCs w:val="24"/>
                  <w:u w:val="single"/>
                </w:rPr>
                <w:t>página principal de la JCA-DCC</w:t>
              </w:r>
            </w:hyperlink>
            <w:r w:rsidR="00C648D8" w:rsidRPr="007B3272">
              <w:rPr>
                <w:rFonts w:ascii="Calibri" w:eastAsia="Batang" w:hAnsi="Calibri" w:cs="Calibri"/>
                <w:szCs w:val="24"/>
              </w:rPr>
              <w:t>)</w:t>
            </w:r>
            <w:bookmarkEnd w:id="6"/>
          </w:p>
        </w:tc>
      </w:tr>
      <w:tr w:rsidR="00C648D8" w:rsidRPr="007B3272" w14:paraId="19DDC68B" w14:textId="77777777" w:rsidTr="00324364">
        <w:tc>
          <w:tcPr>
            <w:tcW w:w="1418" w:type="dxa"/>
          </w:tcPr>
          <w:p w14:paraId="208125A9" w14:textId="77777777" w:rsidR="00C648D8" w:rsidRPr="007B3272" w:rsidRDefault="00C648D8" w:rsidP="00C648D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ascii="Calibri" w:eastAsia="Batang" w:hAnsi="Calibri" w:cs="Calibri"/>
                <w:szCs w:val="24"/>
              </w:rPr>
            </w:pPr>
            <w:r w:rsidRPr="007B3272">
              <w:rPr>
                <w:rFonts w:ascii="Calibri" w:eastAsia="Batang" w:hAnsi="Calibri" w:cs="Calibri"/>
                <w:szCs w:val="24"/>
              </w:rPr>
              <w:t>20-05-2022</w:t>
            </w:r>
          </w:p>
        </w:tc>
        <w:tc>
          <w:tcPr>
            <w:tcW w:w="8642" w:type="dxa"/>
            <w:shd w:val="clear" w:color="auto" w:fill="auto"/>
          </w:tcPr>
          <w:p w14:paraId="158E9459" w14:textId="740B62FF" w:rsidR="00C648D8" w:rsidRPr="007B3272" w:rsidRDefault="001C5A4C" w:rsidP="00C648D8">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rPr>
                <w:rFonts w:ascii="Calibri" w:eastAsia="Batang" w:hAnsi="Calibri" w:cs="Calibri"/>
                <w:szCs w:val="24"/>
              </w:rPr>
            </w:pPr>
            <w:r w:rsidRPr="007B3272">
              <w:rPr>
                <w:rFonts w:ascii="Calibri" w:eastAsia="Batang" w:hAnsi="Calibri" w:cs="Calibri"/>
                <w:szCs w:val="24"/>
              </w:rPr>
              <w:t>–</w:t>
            </w:r>
            <w:r w:rsidR="00C648D8" w:rsidRPr="007B3272">
              <w:rPr>
                <w:rFonts w:ascii="Calibri" w:eastAsia="Batang" w:hAnsi="Calibri"/>
                <w:szCs w:val="24"/>
              </w:rPr>
              <w:tab/>
            </w:r>
            <w:bookmarkStart w:id="7" w:name="lt_pId078"/>
            <w:r w:rsidR="00C648D8" w:rsidRPr="007B3272">
              <w:rPr>
                <w:rFonts w:ascii="Calibri" w:eastAsia="Batang" w:hAnsi="Calibri"/>
                <w:szCs w:val="24"/>
              </w:rPr>
              <w:t xml:space="preserve">Presentación de contribuciones a la JCA-DCC por correo electrónico a la dirección </w:t>
            </w:r>
            <w:hyperlink r:id="rId17" w:history="1">
              <w:r w:rsidR="00C648D8" w:rsidRPr="007B3272">
                <w:rPr>
                  <w:rFonts w:ascii="Calibri" w:eastAsia="Batang" w:hAnsi="Calibri"/>
                  <w:color w:val="0000FF"/>
                  <w:szCs w:val="24"/>
                  <w:u w:val="single"/>
                </w:rPr>
                <w:t>tsbjcadcc@itu.int</w:t>
              </w:r>
            </w:hyperlink>
            <w:bookmarkEnd w:id="7"/>
          </w:p>
        </w:tc>
      </w:tr>
    </w:tbl>
    <w:p w14:paraId="6C167C6A" w14:textId="2F7F021D" w:rsidR="00C648D8" w:rsidRPr="007B3272" w:rsidRDefault="00C648D8" w:rsidP="00C648D8">
      <w:pPr>
        <w:rPr>
          <w:rFonts w:ascii="Calibri" w:eastAsia="Batang" w:hAnsi="Calibri"/>
          <w:szCs w:val="24"/>
        </w:rPr>
      </w:pPr>
      <w:r w:rsidRPr="007B3272">
        <w:rPr>
          <w:rFonts w:ascii="Calibri" w:eastAsia="Batang" w:hAnsi="Calibri"/>
          <w:szCs w:val="24"/>
        </w:rPr>
        <w:t>9</w:t>
      </w:r>
      <w:r w:rsidRPr="007B3272">
        <w:rPr>
          <w:rFonts w:ascii="Calibri" w:eastAsia="Batang" w:hAnsi="Calibri"/>
          <w:szCs w:val="24"/>
        </w:rPr>
        <w:tab/>
      </w:r>
      <w:bookmarkStart w:id="8" w:name="lt_pId080"/>
      <w:proofErr w:type="gramStart"/>
      <w:r w:rsidRPr="007B3272">
        <w:rPr>
          <w:rFonts w:ascii="Calibri" w:eastAsia="Batang" w:hAnsi="Calibri"/>
          <w:szCs w:val="24"/>
        </w:rPr>
        <w:t>En</w:t>
      </w:r>
      <w:proofErr w:type="gramEnd"/>
      <w:r w:rsidRPr="007B3272">
        <w:rPr>
          <w:rFonts w:ascii="Calibri" w:eastAsia="Batang" w:hAnsi="Calibri"/>
          <w:szCs w:val="24"/>
        </w:rPr>
        <w:t xml:space="preserve"> el </w:t>
      </w:r>
      <w:r w:rsidRPr="007B3272">
        <w:rPr>
          <w:rFonts w:ascii="Calibri" w:eastAsia="Batang" w:hAnsi="Calibri"/>
          <w:b/>
          <w:bCs/>
          <w:szCs w:val="24"/>
        </w:rPr>
        <w:t>Anexo B</w:t>
      </w:r>
      <w:r w:rsidRPr="007B3272">
        <w:rPr>
          <w:rFonts w:ascii="Calibri" w:eastAsia="Batang" w:hAnsi="Calibri"/>
          <w:szCs w:val="24"/>
        </w:rPr>
        <w:t xml:space="preserve"> figura un proyecto de orden del día de la reunión, preparado por el Sr.</w:t>
      </w:r>
      <w:r w:rsidR="00942AF6" w:rsidRPr="007B3272">
        <w:rPr>
          <w:rFonts w:ascii="Calibri" w:eastAsia="Batang" w:hAnsi="Calibri"/>
          <w:szCs w:val="24"/>
        </w:rPr>
        <w:t> </w:t>
      </w:r>
      <w:proofErr w:type="spellStart"/>
      <w:r w:rsidRPr="007B3272">
        <w:rPr>
          <w:rFonts w:ascii="Calibri" w:eastAsia="Batang" w:hAnsi="Calibri"/>
          <w:szCs w:val="24"/>
        </w:rPr>
        <w:t>Heung</w:t>
      </w:r>
      <w:proofErr w:type="spellEnd"/>
      <w:r w:rsidRPr="007B3272">
        <w:rPr>
          <w:rFonts w:ascii="Calibri" w:eastAsia="Batang" w:hAnsi="Calibri"/>
          <w:szCs w:val="24"/>
        </w:rPr>
        <w:t xml:space="preserve"> </w:t>
      </w:r>
      <w:proofErr w:type="spellStart"/>
      <w:r w:rsidRPr="007B3272">
        <w:rPr>
          <w:rFonts w:ascii="Calibri" w:eastAsia="Batang" w:hAnsi="Calibri"/>
          <w:szCs w:val="24"/>
        </w:rPr>
        <w:t>Youl</w:t>
      </w:r>
      <w:proofErr w:type="spellEnd"/>
      <w:r w:rsidRPr="007B3272">
        <w:rPr>
          <w:rFonts w:ascii="Calibri" w:eastAsia="Batang" w:hAnsi="Calibri"/>
          <w:szCs w:val="24"/>
        </w:rPr>
        <w:t xml:space="preserve"> </w:t>
      </w:r>
      <w:proofErr w:type="spellStart"/>
      <w:r w:rsidRPr="007B3272">
        <w:rPr>
          <w:rFonts w:ascii="Calibri" w:eastAsia="Batang" w:hAnsi="Calibri"/>
          <w:szCs w:val="24"/>
        </w:rPr>
        <w:t>Youm</w:t>
      </w:r>
      <w:proofErr w:type="spellEnd"/>
      <w:r w:rsidRPr="007B3272">
        <w:rPr>
          <w:rFonts w:ascii="Calibri" w:eastAsia="Batang" w:hAnsi="Calibri"/>
          <w:szCs w:val="24"/>
        </w:rPr>
        <w:t>, Presidente de la JCA-DCC.</w:t>
      </w:r>
      <w:bookmarkEnd w:id="8"/>
    </w:p>
    <w:p w14:paraId="35FE94FA" w14:textId="77777777" w:rsidR="00C648D8" w:rsidRPr="007B3272" w:rsidRDefault="00C648D8" w:rsidP="00C648D8">
      <w:pPr>
        <w:rPr>
          <w:szCs w:val="24"/>
        </w:rPr>
      </w:pPr>
      <w:r w:rsidRPr="007B3272">
        <w:rPr>
          <w:szCs w:val="24"/>
        </w:rPr>
        <w:t>Le deseo una reunión agradable y productiva.</w:t>
      </w:r>
    </w:p>
    <w:p w14:paraId="02A602E8" w14:textId="36E051FE" w:rsidR="00C648D8" w:rsidRPr="007B3272" w:rsidRDefault="00C648D8" w:rsidP="00C648D8">
      <w:pPr>
        <w:rPr>
          <w:szCs w:val="24"/>
        </w:rPr>
      </w:pPr>
      <w:r w:rsidRPr="007B3272">
        <w:rPr>
          <w:szCs w:val="24"/>
        </w:rPr>
        <w:t>Atentamente,</w:t>
      </w:r>
    </w:p>
    <w:p w14:paraId="35CA27B8" w14:textId="56B656A9" w:rsidR="00C648D8" w:rsidRPr="007B3272" w:rsidRDefault="003011E0" w:rsidP="00C648D8">
      <w:pPr>
        <w:spacing w:before="960"/>
        <w:rPr>
          <w:szCs w:val="24"/>
        </w:rPr>
      </w:pPr>
      <w:r>
        <w:rPr>
          <w:noProof/>
          <w:szCs w:val="24"/>
        </w:rPr>
        <w:drawing>
          <wp:anchor distT="0" distB="0" distL="114300" distR="114300" simplePos="0" relativeHeight="251658240" behindDoc="1" locked="0" layoutInCell="1" allowOverlap="1" wp14:anchorId="7B167D86" wp14:editId="15BF6469">
            <wp:simplePos x="0" y="0"/>
            <wp:positionH relativeFrom="column">
              <wp:posOffset>-5080</wp:posOffset>
            </wp:positionH>
            <wp:positionV relativeFrom="paragraph">
              <wp:posOffset>124509</wp:posOffset>
            </wp:positionV>
            <wp:extent cx="831308" cy="374406"/>
            <wp:effectExtent l="0" t="0" r="6985" b="6985"/>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831308" cy="374406"/>
                    </a:xfrm>
                    <a:prstGeom prst="rect">
                      <a:avLst/>
                    </a:prstGeom>
                  </pic:spPr>
                </pic:pic>
              </a:graphicData>
            </a:graphic>
            <wp14:sizeRelH relativeFrom="margin">
              <wp14:pctWidth>0</wp14:pctWidth>
            </wp14:sizeRelH>
            <wp14:sizeRelV relativeFrom="margin">
              <wp14:pctHeight>0</wp14:pctHeight>
            </wp14:sizeRelV>
          </wp:anchor>
        </w:drawing>
      </w:r>
      <w:r w:rsidR="00C648D8" w:rsidRPr="007B3272">
        <w:rPr>
          <w:szCs w:val="24"/>
        </w:rPr>
        <w:t>Chaesub Lee</w:t>
      </w:r>
      <w:r w:rsidR="00C648D8" w:rsidRPr="007B3272">
        <w:rPr>
          <w:szCs w:val="24"/>
        </w:rPr>
        <w:br/>
      </w:r>
      <w:proofErr w:type="gramStart"/>
      <w:r w:rsidR="00C648D8" w:rsidRPr="007B3272">
        <w:rPr>
          <w:szCs w:val="24"/>
        </w:rPr>
        <w:t>Director</w:t>
      </w:r>
      <w:proofErr w:type="gramEnd"/>
      <w:r w:rsidR="00C648D8" w:rsidRPr="007B3272">
        <w:rPr>
          <w:szCs w:val="24"/>
        </w:rPr>
        <w:t xml:space="preserve"> de la Oficina de </w:t>
      </w:r>
      <w:r w:rsidR="00C648D8" w:rsidRPr="007B3272">
        <w:rPr>
          <w:szCs w:val="24"/>
        </w:rPr>
        <w:br/>
        <w:t>Normalización de las Telecomunicaciones</w:t>
      </w:r>
    </w:p>
    <w:p w14:paraId="2762827B" w14:textId="77777777" w:rsidR="00C648D8" w:rsidRPr="007B3272" w:rsidRDefault="00C648D8" w:rsidP="00C648D8">
      <w:pPr>
        <w:tabs>
          <w:tab w:val="clear" w:pos="794"/>
          <w:tab w:val="clear" w:pos="1191"/>
          <w:tab w:val="clear" w:pos="1588"/>
          <w:tab w:val="clear" w:pos="1985"/>
        </w:tabs>
        <w:overflowPunct/>
        <w:autoSpaceDE/>
        <w:autoSpaceDN/>
        <w:adjustRightInd/>
        <w:spacing w:before="0"/>
        <w:textAlignment w:val="auto"/>
        <w:rPr>
          <w:szCs w:val="24"/>
        </w:rPr>
      </w:pPr>
    </w:p>
    <w:p w14:paraId="093481DA" w14:textId="77777777" w:rsidR="00C648D8" w:rsidRPr="007B3272" w:rsidRDefault="00C648D8" w:rsidP="00C648D8">
      <w:pPr>
        <w:tabs>
          <w:tab w:val="clear" w:pos="794"/>
          <w:tab w:val="clear" w:pos="1191"/>
          <w:tab w:val="clear" w:pos="1588"/>
          <w:tab w:val="clear" w:pos="1985"/>
        </w:tabs>
        <w:overflowPunct/>
        <w:autoSpaceDE/>
        <w:autoSpaceDN/>
        <w:adjustRightInd/>
        <w:spacing w:before="0"/>
        <w:textAlignment w:val="auto"/>
        <w:rPr>
          <w:sz w:val="22"/>
          <w:szCs w:val="22"/>
        </w:rPr>
      </w:pPr>
      <w:r w:rsidRPr="007B3272">
        <w:rPr>
          <w:b/>
          <w:bCs/>
          <w:szCs w:val="24"/>
        </w:rPr>
        <w:t>Anexos</w:t>
      </w:r>
      <w:r w:rsidRPr="007B3272">
        <w:rPr>
          <w:szCs w:val="24"/>
        </w:rPr>
        <w:t>: 2</w:t>
      </w:r>
      <w:r w:rsidRPr="007B3272">
        <w:rPr>
          <w:szCs w:val="24"/>
        </w:rPr>
        <w:br w:type="page"/>
      </w:r>
    </w:p>
    <w:p w14:paraId="3E664184" w14:textId="77777777" w:rsidR="00C648D8" w:rsidRPr="007B3272" w:rsidRDefault="00C648D8" w:rsidP="00DA1B2A">
      <w:pPr>
        <w:pStyle w:val="AnnexNotitle"/>
        <w:rPr>
          <w:rFonts w:eastAsia="Batang"/>
        </w:rPr>
      </w:pPr>
      <w:r w:rsidRPr="007B3272">
        <w:rPr>
          <w:rFonts w:eastAsia="Batang"/>
        </w:rPr>
        <w:lastRenderedPageBreak/>
        <w:t>ANEXO A</w:t>
      </w:r>
    </w:p>
    <w:p w14:paraId="73EC3D11" w14:textId="77777777" w:rsidR="00C648D8" w:rsidRPr="007B3272" w:rsidRDefault="00C648D8" w:rsidP="00DA1B2A">
      <w:pPr>
        <w:pStyle w:val="AnnexTitle"/>
        <w:rPr>
          <w:rFonts w:ascii="Calibri" w:eastAsia="Batang" w:hAnsi="Calibri"/>
          <w:bCs/>
        </w:rPr>
      </w:pPr>
      <w:r w:rsidRPr="007B3272">
        <w:t>Mandato</w:t>
      </w:r>
      <w:r w:rsidRPr="007B3272">
        <w:rPr>
          <w:rFonts w:ascii="Calibri" w:eastAsia="Batang" w:hAnsi="Calibri"/>
          <w:bCs/>
        </w:rPr>
        <w:t xml:space="preserve"> de la Actividad Conjunta de Coordinación del UIT-T</w:t>
      </w:r>
      <w:r w:rsidRPr="007B3272">
        <w:rPr>
          <w:rFonts w:ascii="Calibri" w:eastAsia="Batang" w:hAnsi="Calibri"/>
          <w:bCs/>
        </w:rPr>
        <w:br/>
        <w:t>sobre el certificado COVID</w:t>
      </w:r>
      <w:r w:rsidRPr="007B3272">
        <w:rPr>
          <w:rFonts w:ascii="Calibri" w:eastAsia="Batang" w:hAnsi="Calibri"/>
          <w:bCs/>
        </w:rPr>
        <w:noBreakHyphen/>
        <w:t>19 digital (JCA-DCC)</w:t>
      </w:r>
    </w:p>
    <w:p w14:paraId="48EFA664" w14:textId="77777777" w:rsidR="00C648D8" w:rsidRPr="007B3272" w:rsidRDefault="00C648D8" w:rsidP="00EF0FEB">
      <w:pPr>
        <w:pStyle w:val="Heading1"/>
        <w:rPr>
          <w:rFonts w:eastAsia="SimSun"/>
          <w:lang w:eastAsia="ja-JP"/>
        </w:rPr>
      </w:pPr>
      <w:r w:rsidRPr="007B3272">
        <w:rPr>
          <w:rFonts w:eastAsia="SimSun"/>
          <w:lang w:eastAsia="ja-JP"/>
        </w:rPr>
        <w:t>1</w:t>
      </w:r>
      <w:r w:rsidRPr="007B3272">
        <w:rPr>
          <w:rFonts w:eastAsia="SimSun"/>
          <w:lang w:eastAsia="ja-JP"/>
        </w:rPr>
        <w:tab/>
      </w:r>
      <w:proofErr w:type="gramStart"/>
      <w:r w:rsidRPr="007B3272">
        <w:rPr>
          <w:rFonts w:eastAsia="SimSun"/>
          <w:lang w:eastAsia="ja-JP"/>
        </w:rPr>
        <w:t>Alcance</w:t>
      </w:r>
      <w:proofErr w:type="gramEnd"/>
    </w:p>
    <w:p w14:paraId="2CCF35DA" w14:textId="77777777" w:rsidR="00C648D8" w:rsidRPr="007B3272" w:rsidRDefault="00C648D8" w:rsidP="00EF0FEB">
      <w:pPr>
        <w:rPr>
          <w:rFonts w:eastAsia="SimSun"/>
          <w:lang w:eastAsia="ja-JP"/>
        </w:rPr>
      </w:pPr>
      <w:r w:rsidRPr="007B3272">
        <w:rPr>
          <w:rFonts w:eastAsia="SimSun"/>
          <w:lang w:eastAsia="ja-JP"/>
        </w:rPr>
        <w:t>La pandemia de COVID-19 ha hecho patente la necesidad de poder utilizar los certificados digitales, incluyendo datos de vacunación y otros, de manera interoperable entre organizaciones. El objetivo del certificado COVID-19 digital es proporcionar una prueba de que una persona ha sido vacunada contra la COVID-19, ha sido sometida a pruebas de detección del virus o se ha recuperado de la COVID-19. Se reconoce que los certificados digitales son adecuados para ser utilizado por sistemas existentes y nuevos, como los basados en una identidad descentralizada (DID).</w:t>
      </w:r>
    </w:p>
    <w:p w14:paraId="2451B8C6" w14:textId="77777777" w:rsidR="00C648D8" w:rsidRPr="007B3272" w:rsidRDefault="00C648D8" w:rsidP="00EF0FEB">
      <w:pPr>
        <w:rPr>
          <w:rFonts w:eastAsia="SimSun"/>
          <w:lang w:eastAsia="ja-JP"/>
        </w:rPr>
      </w:pPr>
      <w:bookmarkStart w:id="9" w:name="lt_pId471"/>
      <w:r w:rsidRPr="007B3272">
        <w:rPr>
          <w:rFonts w:eastAsia="SimSun"/>
          <w:lang w:eastAsia="ja-JP"/>
        </w:rPr>
        <w:t>Es necesario llevar a cabo actividades de coordinación entre las CE del UIT-T y las Organizaciones de Normalización conexas que trabajan en este importante asunto.</w:t>
      </w:r>
      <w:bookmarkEnd w:id="9"/>
      <w:r w:rsidRPr="007B3272">
        <w:rPr>
          <w:rFonts w:eastAsia="SimSun"/>
          <w:lang w:eastAsia="ja-JP"/>
        </w:rPr>
        <w:t xml:space="preserve"> El mandato de esta JCA se ajusta a lo dispuesto en la cláusula 5 de la Recomendación UIT-T A.1. El alcance de la JCA es la coordinación de los trabajos del UIT-T relacionados con el certificado COVID-19 digital (DCC) entre las Comisiones de Estudio del UIT-T y las organizaciones y foros externos, fomentando la utilización de arquitecturas de datos compatibles para la compartición de datos y promoviendo la interoperabilidad, la agilidad y la seguridad de los usuarios y de todas las partes interesadas.</w:t>
      </w:r>
    </w:p>
    <w:p w14:paraId="6E2A4FD4" w14:textId="77777777" w:rsidR="00C648D8" w:rsidRPr="007B3272" w:rsidRDefault="00C648D8" w:rsidP="00EF0FEB">
      <w:pPr>
        <w:rPr>
          <w:rFonts w:eastAsia="SimSun"/>
          <w:lang w:eastAsia="ja-JP"/>
        </w:rPr>
      </w:pPr>
      <w:bookmarkStart w:id="10" w:name="lt_pId474"/>
      <w:r w:rsidRPr="007B3272">
        <w:rPr>
          <w:rFonts w:eastAsia="SimSun"/>
          <w:lang w:eastAsia="ja-JP"/>
        </w:rPr>
        <w:t>La JCA-DCC debe tener en cuenta el Objetivo Sostenible 3 de las Naciones Unidas: BUENA SALUD Y BIENESTAR.</w:t>
      </w:r>
      <w:bookmarkEnd w:id="10"/>
    </w:p>
    <w:p w14:paraId="6845784A" w14:textId="77777777" w:rsidR="00C648D8" w:rsidRPr="007B3272" w:rsidRDefault="00C648D8" w:rsidP="00EF0FEB">
      <w:pPr>
        <w:rPr>
          <w:rFonts w:eastAsia="SimSun"/>
          <w:lang w:eastAsia="ja-JP"/>
        </w:rPr>
      </w:pPr>
      <w:r w:rsidRPr="007B3272">
        <w:rPr>
          <w:rFonts w:eastAsia="SimSun"/>
          <w:lang w:eastAsia="ja-JP"/>
        </w:rPr>
        <w:t>La JCA-DCC será una plataforma abierta a las partes interesadas pertinentes, como son las autoridades de salud pública, los organismos reguladores de las telecomunicaciones, las organizaciones de prestación de servicios sanitarios, los proveedores de servicios, los proveedores de plataformas, los operadores de redes, las organizaciones de viajeros, las organizaciones de usuarios de sistemas de salud, las organizaciones internacionales y los foros y consorcios sectoriales.</w:t>
      </w:r>
    </w:p>
    <w:p w14:paraId="4C24ADE3" w14:textId="77777777" w:rsidR="00C648D8" w:rsidRPr="007B3272" w:rsidRDefault="00C648D8" w:rsidP="00EF0FEB">
      <w:pPr>
        <w:pStyle w:val="Heading1"/>
        <w:rPr>
          <w:rFonts w:eastAsia="SimSun"/>
          <w:lang w:eastAsia="ja-JP"/>
        </w:rPr>
      </w:pPr>
      <w:r w:rsidRPr="007B3272">
        <w:rPr>
          <w:rFonts w:eastAsia="SimSun"/>
          <w:lang w:eastAsia="ja-JP"/>
        </w:rPr>
        <w:t>2</w:t>
      </w:r>
      <w:r w:rsidRPr="007B3272">
        <w:rPr>
          <w:rFonts w:eastAsia="SimSun"/>
          <w:lang w:eastAsia="ja-JP"/>
        </w:rPr>
        <w:tab/>
      </w:r>
      <w:proofErr w:type="gramStart"/>
      <w:r w:rsidRPr="007B3272">
        <w:rPr>
          <w:rFonts w:eastAsia="SimSun"/>
          <w:lang w:eastAsia="ja-JP"/>
        </w:rPr>
        <w:t>Objetivos</w:t>
      </w:r>
      <w:proofErr w:type="gramEnd"/>
    </w:p>
    <w:p w14:paraId="362FB2BC" w14:textId="77777777" w:rsidR="00C648D8" w:rsidRPr="007B3272" w:rsidRDefault="00C648D8" w:rsidP="00EF0FEB">
      <w:pPr>
        <w:pStyle w:val="enumlev1"/>
        <w:rPr>
          <w:rFonts w:eastAsia="SimSun"/>
          <w:lang w:eastAsia="ja-JP"/>
        </w:rPr>
      </w:pPr>
      <w:r w:rsidRPr="007B3272">
        <w:rPr>
          <w:rFonts w:eastAsia="SimSun"/>
          <w:lang w:eastAsia="ja-JP"/>
        </w:rPr>
        <w:t>–</w:t>
      </w:r>
      <w:r w:rsidRPr="007B3272">
        <w:rPr>
          <w:rFonts w:eastAsia="SimSun"/>
          <w:lang w:eastAsia="ja-JP"/>
        </w:rPr>
        <w:tab/>
        <w:t>La JCA-DCC velará por que los trabajos del UIT-T relacionados con el certificado COVID</w:t>
      </w:r>
      <w:r w:rsidRPr="007B3272">
        <w:rPr>
          <w:rFonts w:eastAsia="SimSun"/>
          <w:lang w:eastAsia="ja-JP"/>
        </w:rPr>
        <w:noBreakHyphen/>
        <w:t>19 digital avancen con la debida coordinación entre las Comisiones de Estudio. Las cuestiones relacionadas con la planificación pueden señalarse a la atención de la JCA</w:t>
      </w:r>
      <w:r w:rsidRPr="007B3272">
        <w:rPr>
          <w:rFonts w:eastAsia="SimSun"/>
          <w:lang w:eastAsia="ja-JP"/>
        </w:rPr>
        <w:noBreakHyphen/>
        <w:t>DCC. La JCA-DCC facilitará la distribución de trabajos entre las correspondientes Comisiones de Estudio cuando no resulte evidente en el marco de qué Cuestión debe realizarse una tarea, y recomendará una atribución de tareas.</w:t>
      </w:r>
    </w:p>
    <w:p w14:paraId="5EE8A4E5" w14:textId="77777777" w:rsidR="00C648D8" w:rsidRPr="007B3272" w:rsidRDefault="00C648D8" w:rsidP="00EF0FEB">
      <w:pPr>
        <w:pStyle w:val="enumlev1"/>
        <w:rPr>
          <w:rFonts w:eastAsia="SimSun"/>
          <w:lang w:eastAsia="ja-JP"/>
        </w:rPr>
      </w:pPr>
      <w:r w:rsidRPr="007B3272">
        <w:rPr>
          <w:rFonts w:eastAsia="SimSun"/>
          <w:lang w:eastAsia="ja-JP"/>
        </w:rPr>
        <w:t>–</w:t>
      </w:r>
      <w:r w:rsidRPr="007B3272">
        <w:rPr>
          <w:rFonts w:eastAsia="SimSun"/>
          <w:lang w:eastAsia="ja-JP"/>
        </w:rPr>
        <w:tab/>
        <w:t>La JCA-DCC analizará los temas de normalización del certificado COVID-19 digital y coordinará una hoja de ruta de normalización asociada.</w:t>
      </w:r>
    </w:p>
    <w:p w14:paraId="1E0AD3CA" w14:textId="7F5176DF" w:rsidR="00C648D8" w:rsidRPr="007B3272" w:rsidRDefault="00C648D8" w:rsidP="00EF0FEB">
      <w:pPr>
        <w:pStyle w:val="enumlev1"/>
        <w:rPr>
          <w:rFonts w:eastAsia="SimSun"/>
          <w:lang w:eastAsia="ja-JP"/>
        </w:rPr>
      </w:pPr>
      <w:r w:rsidRPr="007B3272">
        <w:rPr>
          <w:rFonts w:eastAsia="SimSun"/>
          <w:lang w:eastAsia="ja-JP"/>
        </w:rPr>
        <w:t>–</w:t>
      </w:r>
      <w:r w:rsidRPr="007B3272">
        <w:rPr>
          <w:rFonts w:eastAsia="SimSun"/>
          <w:lang w:eastAsia="ja-JP"/>
        </w:rPr>
        <w:tab/>
        <w:t>La JCA-DCC actuará como punto de contacto dentro del UIT-T sobre el certificado COVID</w:t>
      </w:r>
      <w:r w:rsidR="00341A62">
        <w:rPr>
          <w:rFonts w:eastAsia="SimSun"/>
          <w:lang w:eastAsia="ja-JP"/>
        </w:rPr>
        <w:noBreakHyphen/>
      </w:r>
      <w:r w:rsidRPr="007B3272">
        <w:rPr>
          <w:rFonts w:eastAsia="SimSun"/>
          <w:lang w:eastAsia="ja-JP"/>
        </w:rPr>
        <w:t xml:space="preserve">19 digital, así como con otras organizaciones intergubernamentales (en particular la OMS), la Comisión Europea así como organizaciones de normalización y </w:t>
      </w:r>
      <w:r w:rsidR="00DA1A71">
        <w:rPr>
          <w:rFonts w:eastAsia="SimSun"/>
          <w:lang w:eastAsia="ja-JP"/>
        </w:rPr>
        <w:t>f</w:t>
      </w:r>
      <w:r w:rsidRPr="007B3272">
        <w:rPr>
          <w:rFonts w:eastAsia="SimSun"/>
          <w:lang w:eastAsia="ja-JP"/>
        </w:rPr>
        <w:t xml:space="preserve">oros (en particular las SC 6, </w:t>
      </w:r>
      <w:r w:rsidR="003B4FB8">
        <w:rPr>
          <w:rFonts w:eastAsia="SimSun"/>
          <w:lang w:eastAsia="ja-JP"/>
        </w:rPr>
        <w:t>1</w:t>
      </w:r>
      <w:r w:rsidRPr="007B3272">
        <w:rPr>
          <w:rFonts w:eastAsia="SimSun"/>
          <w:lang w:eastAsia="ja-JP"/>
        </w:rPr>
        <w:t xml:space="preserve">7, 27, 35 y 37 del JTC1 de la ISO/CEI, W3C, el </w:t>
      </w:r>
      <w:r w:rsidR="00341A62">
        <w:rPr>
          <w:rFonts w:eastAsia="SimSun"/>
          <w:lang w:eastAsia="ja-JP"/>
        </w:rPr>
        <w:t xml:space="preserve">PC 317 y los </w:t>
      </w:r>
      <w:r w:rsidRPr="007B3272">
        <w:rPr>
          <w:rFonts w:eastAsia="SimSun"/>
          <w:lang w:eastAsia="ja-JP"/>
        </w:rPr>
        <w:t xml:space="preserve">TC </w:t>
      </w:r>
      <w:r w:rsidR="00341A62">
        <w:rPr>
          <w:rFonts w:eastAsia="SimSun"/>
          <w:lang w:eastAsia="ja-JP"/>
        </w:rPr>
        <w:t xml:space="preserve">215 y </w:t>
      </w:r>
      <w:r w:rsidRPr="007B3272">
        <w:rPr>
          <w:rFonts w:eastAsia="SimSun"/>
          <w:lang w:eastAsia="ja-JP"/>
        </w:rPr>
        <w:t>307 de la ISO, GSMA, EC, IEEE, etc.) para evitar la duplicación del trabajo y ayudar a coordinar las tareas relacionadas con el certificado COVID digital de las Comisiones de Estudio pertinentes.</w:t>
      </w:r>
    </w:p>
    <w:p w14:paraId="206BA3C2" w14:textId="77777777" w:rsidR="00C648D8" w:rsidRPr="007B3272" w:rsidRDefault="00C648D8" w:rsidP="00EF0FEB">
      <w:pPr>
        <w:pStyle w:val="enumlev1"/>
        <w:rPr>
          <w:rFonts w:eastAsia="SimSun"/>
          <w:lang w:eastAsia="ja-JP"/>
        </w:rPr>
      </w:pPr>
      <w:r w:rsidRPr="007B3272">
        <w:rPr>
          <w:rFonts w:eastAsia="SimSun"/>
          <w:lang w:eastAsia="ja-JP"/>
        </w:rPr>
        <w:lastRenderedPageBreak/>
        <w:t>–</w:t>
      </w:r>
      <w:r w:rsidRPr="007B3272">
        <w:rPr>
          <w:rFonts w:eastAsia="SimSun"/>
          <w:lang w:eastAsia="ja-JP"/>
        </w:rPr>
        <w:tab/>
        <w:t>De conformidad con la cláusula 5.3 de la Rec. UIT-T A.1, la JCA-DCC está abierta a la participación, pero debe estar limitada en principalmente a representantes oficiales de las Comisiones de Estudio interesadas que sean responsables de trabajos sobre el certificado COVID-19 digital. Una parte de cada reunión de la JCA-DCC puede dedicarse a la sensibilización respecto de los temas relacionados con el certificado COVID</w:t>
      </w:r>
      <w:r w:rsidRPr="007B3272">
        <w:rPr>
          <w:rFonts w:eastAsia="SimSun"/>
          <w:lang w:eastAsia="ja-JP"/>
        </w:rPr>
        <w:noBreakHyphen/>
        <w:t>19 digital tratados por otras Cuestiones de las Comisiones de Estudio del UIT-T y por organizaciones externas.</w:t>
      </w:r>
    </w:p>
    <w:p w14:paraId="5C7605DE" w14:textId="77777777" w:rsidR="00C648D8" w:rsidRPr="007B3272" w:rsidRDefault="00C648D8" w:rsidP="00EF0FEB">
      <w:pPr>
        <w:pStyle w:val="enumlev1"/>
        <w:rPr>
          <w:rFonts w:eastAsia="SimSun"/>
          <w:lang w:eastAsia="ja-JP"/>
        </w:rPr>
      </w:pPr>
      <w:r w:rsidRPr="007B3272">
        <w:rPr>
          <w:rFonts w:eastAsia="SimSun"/>
          <w:lang w:eastAsia="ja-JP"/>
        </w:rPr>
        <w:t>–</w:t>
      </w:r>
      <w:r w:rsidRPr="007B3272">
        <w:rPr>
          <w:rFonts w:eastAsia="SimSun"/>
          <w:lang w:eastAsia="ja-JP"/>
        </w:rPr>
        <w:tab/>
        <w:t>La JCA-DCC podrá invitar a expertos y debería invitar a representantes de otras organizaciones intergubernamentales (por ejemplo, la OMS) y de organizaciones de normalización/Foros reconocidos pertinentes (en particular los Comités de la ISO y la CEI como se ha señalado anteriormente) según convenga.</w:t>
      </w:r>
    </w:p>
    <w:p w14:paraId="36CBFEEC" w14:textId="77777777" w:rsidR="00C648D8" w:rsidRPr="007B3272" w:rsidRDefault="00C648D8" w:rsidP="00EF0FEB">
      <w:pPr>
        <w:pStyle w:val="enumlev1"/>
        <w:rPr>
          <w:rFonts w:eastAsia="SimSun"/>
          <w:lang w:eastAsia="ja-JP"/>
        </w:rPr>
      </w:pPr>
      <w:r w:rsidRPr="007B3272">
        <w:rPr>
          <w:rFonts w:eastAsia="SimSun"/>
          <w:lang w:eastAsia="ja-JP"/>
        </w:rPr>
        <w:t>–</w:t>
      </w:r>
      <w:r w:rsidRPr="007B3272">
        <w:rPr>
          <w:rFonts w:eastAsia="SimSun"/>
          <w:lang w:eastAsia="ja-JP"/>
        </w:rPr>
        <w:tab/>
        <w:t>La JCA debe esforzarse en alentar la actividad conjunta con las organizaciones de normalización (en particular los Comités de la ISO y la CEI como se ha señalado anteriormente) y organizaciones pertinentes.</w:t>
      </w:r>
    </w:p>
    <w:p w14:paraId="4AFF8571" w14:textId="77777777" w:rsidR="00C648D8" w:rsidRPr="007B3272" w:rsidRDefault="00C648D8" w:rsidP="00EF0FEB">
      <w:pPr>
        <w:pStyle w:val="Heading1"/>
        <w:rPr>
          <w:rFonts w:eastAsia="SimSun"/>
          <w:lang w:eastAsia="ja-JP"/>
        </w:rPr>
      </w:pPr>
      <w:r w:rsidRPr="007B3272">
        <w:rPr>
          <w:rFonts w:eastAsia="SimSun"/>
          <w:lang w:eastAsia="ja-JP"/>
        </w:rPr>
        <w:t>3</w:t>
      </w:r>
      <w:r w:rsidRPr="007B3272">
        <w:rPr>
          <w:rFonts w:eastAsia="SimSun"/>
          <w:lang w:eastAsia="ja-JP"/>
        </w:rPr>
        <w:tab/>
      </w:r>
      <w:proofErr w:type="gramStart"/>
      <w:r w:rsidRPr="007B3272">
        <w:rPr>
          <w:rFonts w:eastAsia="SimSun"/>
          <w:lang w:eastAsia="ja-JP"/>
        </w:rPr>
        <w:t>Apoyo</w:t>
      </w:r>
      <w:proofErr w:type="gramEnd"/>
      <w:r w:rsidRPr="007B3272">
        <w:rPr>
          <w:rFonts w:eastAsia="SimSun"/>
          <w:lang w:eastAsia="ja-JP"/>
        </w:rPr>
        <w:t xml:space="preserve"> administrativo</w:t>
      </w:r>
    </w:p>
    <w:p w14:paraId="47AF147F" w14:textId="77777777" w:rsidR="00C648D8" w:rsidRPr="007B3272" w:rsidRDefault="00C648D8" w:rsidP="00EF0FEB">
      <w:pPr>
        <w:rPr>
          <w:rFonts w:eastAsia="SimSun"/>
          <w:lang w:eastAsia="ja-JP"/>
        </w:rPr>
      </w:pPr>
      <w:r w:rsidRPr="007B3272">
        <w:rPr>
          <w:rFonts w:eastAsia="SimSun"/>
          <w:lang w:eastAsia="ja-JP"/>
        </w:rPr>
        <w:t>La TSB dará apoyo a la JCA-DCC dentro de los límites de los recursos disponibles.</w:t>
      </w:r>
    </w:p>
    <w:p w14:paraId="22B21AD0" w14:textId="77777777" w:rsidR="00C648D8" w:rsidRPr="007B3272" w:rsidRDefault="00C648D8" w:rsidP="00EF0FEB">
      <w:pPr>
        <w:pStyle w:val="Heading1"/>
        <w:rPr>
          <w:rFonts w:eastAsia="SimSun"/>
          <w:lang w:eastAsia="ja-JP"/>
        </w:rPr>
      </w:pPr>
      <w:r w:rsidRPr="007B3272">
        <w:rPr>
          <w:rFonts w:eastAsia="SimSun"/>
          <w:lang w:eastAsia="ja-JP"/>
        </w:rPr>
        <w:t>4</w:t>
      </w:r>
      <w:r w:rsidRPr="007B3272">
        <w:rPr>
          <w:rFonts w:eastAsia="SimSun"/>
          <w:lang w:eastAsia="ja-JP"/>
        </w:rPr>
        <w:tab/>
      </w:r>
      <w:proofErr w:type="gramStart"/>
      <w:r w:rsidRPr="007B3272">
        <w:rPr>
          <w:rFonts w:eastAsia="SimSun"/>
          <w:lang w:eastAsia="ja-JP"/>
        </w:rPr>
        <w:t>Reuniones</w:t>
      </w:r>
      <w:proofErr w:type="gramEnd"/>
    </w:p>
    <w:p w14:paraId="25BB6CC3" w14:textId="77777777" w:rsidR="00C648D8" w:rsidRPr="007B3272" w:rsidRDefault="00C648D8" w:rsidP="00EF0FEB">
      <w:pPr>
        <w:rPr>
          <w:rFonts w:eastAsia="SimSun"/>
          <w:lang w:eastAsia="ja-JP"/>
        </w:rPr>
      </w:pPr>
      <w:r w:rsidRPr="007B3272">
        <w:rPr>
          <w:rFonts w:eastAsia="SimSun"/>
          <w:lang w:eastAsia="ja-JP"/>
        </w:rPr>
        <w:t>Los trabajos en el marco de la JCA-DCC se realizarán por medios electrónicos mediante teleconferencias y en reuniones presenciales, según las necesidades. Las reuniones se celebrarán según lo determine la JCA-DCC y se anunciarán a sus participantes, además de divulgarse en el sitio web del UIT-T. De ser necesario, la JCA-DCC se reunirá durante la reunión del GANT.</w:t>
      </w:r>
    </w:p>
    <w:p w14:paraId="22484E75" w14:textId="77777777" w:rsidR="00C648D8" w:rsidRPr="007B3272" w:rsidRDefault="00C648D8" w:rsidP="00EF0FEB">
      <w:pPr>
        <w:pStyle w:val="Heading1"/>
        <w:rPr>
          <w:rFonts w:eastAsia="SimSun"/>
          <w:lang w:eastAsia="ja-JP"/>
        </w:rPr>
      </w:pPr>
      <w:r w:rsidRPr="007B3272">
        <w:rPr>
          <w:rFonts w:eastAsia="SimSun"/>
          <w:lang w:eastAsia="ja-JP"/>
        </w:rPr>
        <w:t>5</w:t>
      </w:r>
      <w:r w:rsidRPr="007B3272">
        <w:rPr>
          <w:rFonts w:eastAsia="SimSun"/>
          <w:lang w:eastAsia="ja-JP"/>
        </w:rPr>
        <w:tab/>
      </w:r>
      <w:proofErr w:type="gramStart"/>
      <w:r w:rsidRPr="007B3272">
        <w:rPr>
          <w:rFonts w:eastAsia="SimSun"/>
          <w:lang w:eastAsia="ja-JP"/>
        </w:rPr>
        <w:t>Informes</w:t>
      </w:r>
      <w:proofErr w:type="gramEnd"/>
      <w:r w:rsidRPr="007B3272">
        <w:rPr>
          <w:rFonts w:eastAsia="SimSun"/>
          <w:lang w:eastAsia="ja-JP"/>
        </w:rPr>
        <w:t xml:space="preserve"> del avance de los trabajos</w:t>
      </w:r>
    </w:p>
    <w:p w14:paraId="4AF69B45" w14:textId="77777777" w:rsidR="00C648D8" w:rsidRPr="007B3272" w:rsidRDefault="00C648D8" w:rsidP="00EF0FEB">
      <w:pPr>
        <w:rPr>
          <w:rFonts w:eastAsia="SimSun"/>
          <w:lang w:eastAsia="ja-JP"/>
        </w:rPr>
      </w:pPr>
      <w:r w:rsidRPr="007B3272">
        <w:rPr>
          <w:rFonts w:eastAsia="SimSun"/>
          <w:lang w:eastAsia="ja-JP"/>
        </w:rPr>
        <w:t>La JCA-DCC informará al GANT en sus reuniones. Se enviarán informes del avance de los trabajos y propuestas a las Comisiones de Estudio pertinentes, según las necesidades y de acuerdo con la cláusula 5.7 de la Recomendación UIT-T A.1.</w:t>
      </w:r>
    </w:p>
    <w:p w14:paraId="71AF8BD1" w14:textId="77777777" w:rsidR="00C648D8" w:rsidRPr="007B3272" w:rsidRDefault="00C648D8" w:rsidP="00EF0FEB">
      <w:pPr>
        <w:pStyle w:val="Heading1"/>
        <w:rPr>
          <w:rFonts w:eastAsia="SimSun"/>
          <w:lang w:eastAsia="ja-JP"/>
        </w:rPr>
      </w:pPr>
      <w:r w:rsidRPr="007B3272">
        <w:rPr>
          <w:rFonts w:eastAsia="SimSun"/>
          <w:lang w:eastAsia="ja-JP"/>
        </w:rPr>
        <w:t>6</w:t>
      </w:r>
      <w:r w:rsidRPr="007B3272">
        <w:rPr>
          <w:rFonts w:eastAsia="SimSun"/>
          <w:lang w:eastAsia="ja-JP"/>
        </w:rPr>
        <w:tab/>
      </w:r>
      <w:proofErr w:type="gramStart"/>
      <w:r w:rsidRPr="007B3272">
        <w:rPr>
          <w:rFonts w:eastAsia="SimSun"/>
          <w:lang w:eastAsia="ja-JP"/>
        </w:rPr>
        <w:t>Liderazgo</w:t>
      </w:r>
      <w:proofErr w:type="gramEnd"/>
    </w:p>
    <w:p w14:paraId="7693C463" w14:textId="77777777" w:rsidR="00C648D8" w:rsidRPr="007B3272" w:rsidRDefault="00C648D8" w:rsidP="00EF0FEB">
      <w:pPr>
        <w:rPr>
          <w:rFonts w:eastAsia="SimSun"/>
          <w:lang w:eastAsia="ja-JP"/>
        </w:rPr>
      </w:pPr>
      <w:r w:rsidRPr="007B3272">
        <w:rPr>
          <w:rFonts w:eastAsia="SimSun"/>
          <w:lang w:eastAsia="ja-JP"/>
        </w:rPr>
        <w:t>Presidente: Sr. </w:t>
      </w:r>
      <w:proofErr w:type="spellStart"/>
      <w:r w:rsidRPr="007B3272">
        <w:rPr>
          <w:rFonts w:eastAsia="SimSun"/>
          <w:lang w:eastAsia="ja-JP"/>
        </w:rPr>
        <w:t>Heung</w:t>
      </w:r>
      <w:proofErr w:type="spellEnd"/>
      <w:r w:rsidRPr="007B3272">
        <w:rPr>
          <w:rFonts w:eastAsia="SimSun"/>
          <w:lang w:eastAsia="ja-JP"/>
        </w:rPr>
        <w:t xml:space="preserve"> </w:t>
      </w:r>
      <w:proofErr w:type="spellStart"/>
      <w:r w:rsidRPr="007B3272">
        <w:rPr>
          <w:rFonts w:eastAsia="SimSun"/>
          <w:lang w:eastAsia="ja-JP"/>
        </w:rPr>
        <w:t>Youl</w:t>
      </w:r>
      <w:proofErr w:type="spellEnd"/>
      <w:r w:rsidRPr="007B3272">
        <w:rPr>
          <w:rFonts w:eastAsia="SimSun"/>
          <w:lang w:eastAsia="ja-JP"/>
        </w:rPr>
        <w:t xml:space="preserve"> </w:t>
      </w:r>
      <w:proofErr w:type="spellStart"/>
      <w:r w:rsidRPr="007B3272">
        <w:rPr>
          <w:rFonts w:eastAsia="SimSun"/>
          <w:lang w:eastAsia="ja-JP"/>
        </w:rPr>
        <w:t>Youm</w:t>
      </w:r>
      <w:proofErr w:type="spellEnd"/>
      <w:r w:rsidRPr="007B3272">
        <w:rPr>
          <w:rFonts w:eastAsia="SimSun"/>
          <w:lang w:eastAsia="ja-JP"/>
        </w:rPr>
        <w:t xml:space="preserve"> (Rep. de Corea).</w:t>
      </w:r>
    </w:p>
    <w:p w14:paraId="1DE206B9" w14:textId="77777777" w:rsidR="00C648D8" w:rsidRPr="007B3272" w:rsidRDefault="00C648D8" w:rsidP="00EF0FEB">
      <w:pPr>
        <w:pStyle w:val="Heading1"/>
        <w:rPr>
          <w:rFonts w:eastAsia="SimSun"/>
          <w:lang w:eastAsia="ja-JP"/>
        </w:rPr>
      </w:pPr>
      <w:r w:rsidRPr="007B3272">
        <w:rPr>
          <w:rFonts w:eastAsia="SimSun"/>
          <w:lang w:eastAsia="ja-JP"/>
        </w:rPr>
        <w:t>7</w:t>
      </w:r>
      <w:r w:rsidRPr="007B3272">
        <w:rPr>
          <w:rFonts w:eastAsia="SimSun"/>
          <w:lang w:eastAsia="ja-JP"/>
        </w:rPr>
        <w:tab/>
      </w:r>
      <w:proofErr w:type="gramStart"/>
      <w:r w:rsidRPr="007B3272">
        <w:rPr>
          <w:rFonts w:eastAsia="SimSun"/>
          <w:lang w:eastAsia="ja-JP"/>
        </w:rPr>
        <w:t>Otros</w:t>
      </w:r>
      <w:proofErr w:type="gramEnd"/>
      <w:r w:rsidRPr="007B3272">
        <w:rPr>
          <w:rFonts w:eastAsia="SimSun"/>
          <w:lang w:eastAsia="ja-JP"/>
        </w:rPr>
        <w:t xml:space="preserve"> contactos</w:t>
      </w:r>
    </w:p>
    <w:p w14:paraId="0328AB52" w14:textId="77777777" w:rsidR="00C648D8" w:rsidRPr="007B3272" w:rsidRDefault="00C648D8" w:rsidP="00EF0FEB">
      <w:pPr>
        <w:rPr>
          <w:rFonts w:eastAsia="SimSun"/>
          <w:lang w:eastAsia="ja-JP"/>
        </w:rPr>
      </w:pPr>
      <w:r w:rsidRPr="007B3272">
        <w:rPr>
          <w:rFonts w:eastAsia="SimSun"/>
          <w:lang w:eastAsia="ja-JP"/>
        </w:rPr>
        <w:t>Secretaría de la JCA-DCC (</w:t>
      </w:r>
      <w:hyperlink r:id="rId19" w:history="1">
        <w:r w:rsidRPr="007B3272">
          <w:rPr>
            <w:rStyle w:val="Hyperlink"/>
            <w:rFonts w:eastAsia="SimSun"/>
            <w:lang w:eastAsia="ja-JP"/>
          </w:rPr>
          <w:t>tsbjcadcc@itu.int</w:t>
        </w:r>
      </w:hyperlink>
      <w:r w:rsidRPr="007B3272">
        <w:rPr>
          <w:rFonts w:eastAsia="SimSun"/>
          <w:lang w:eastAsia="ja-JP"/>
        </w:rPr>
        <w:t>).</w:t>
      </w:r>
    </w:p>
    <w:p w14:paraId="4A412089" w14:textId="77777777" w:rsidR="00C648D8" w:rsidRPr="007B3272" w:rsidRDefault="00C648D8" w:rsidP="00EF0FEB">
      <w:pPr>
        <w:pStyle w:val="Heading1"/>
        <w:rPr>
          <w:rFonts w:eastAsia="SimSun"/>
          <w:lang w:eastAsia="ja-JP"/>
        </w:rPr>
      </w:pPr>
      <w:r w:rsidRPr="007B3272">
        <w:rPr>
          <w:rFonts w:eastAsia="SimSun"/>
          <w:lang w:eastAsia="ja-JP"/>
        </w:rPr>
        <w:t>8</w:t>
      </w:r>
      <w:r w:rsidRPr="007B3272">
        <w:rPr>
          <w:rFonts w:eastAsia="SimSun"/>
          <w:lang w:eastAsia="ja-JP"/>
        </w:rPr>
        <w:tab/>
      </w:r>
      <w:proofErr w:type="gramStart"/>
      <w:r w:rsidRPr="007B3272">
        <w:rPr>
          <w:rFonts w:eastAsia="SimSun"/>
          <w:lang w:eastAsia="ja-JP"/>
        </w:rPr>
        <w:t>Duración</w:t>
      </w:r>
      <w:proofErr w:type="gramEnd"/>
    </w:p>
    <w:p w14:paraId="3F8A0702" w14:textId="77777777" w:rsidR="00C648D8" w:rsidRPr="007B3272" w:rsidRDefault="00C648D8" w:rsidP="00EF0FEB">
      <w:pPr>
        <w:rPr>
          <w:rFonts w:eastAsia="SimSun"/>
          <w:lang w:eastAsia="ja-JP"/>
        </w:rPr>
      </w:pPr>
      <w:r w:rsidRPr="007B3272">
        <w:rPr>
          <w:rFonts w:eastAsia="SimSun"/>
          <w:lang w:eastAsia="ja-JP"/>
        </w:rPr>
        <w:t>Véase la cláusula 5.10 de la Recomendación UIT-T A.1.</w:t>
      </w:r>
    </w:p>
    <w:p w14:paraId="2D3B9D09" w14:textId="77777777" w:rsidR="00C648D8" w:rsidRPr="007B3272" w:rsidRDefault="00C648D8" w:rsidP="00C648D8">
      <w:pPr>
        <w:tabs>
          <w:tab w:val="clear" w:pos="794"/>
          <w:tab w:val="clear" w:pos="1191"/>
          <w:tab w:val="clear" w:pos="1588"/>
          <w:tab w:val="clear" w:pos="1985"/>
        </w:tabs>
        <w:overflowPunct/>
        <w:autoSpaceDE/>
        <w:autoSpaceDN/>
        <w:adjustRightInd/>
        <w:spacing w:before="0"/>
        <w:textAlignment w:val="auto"/>
        <w:rPr>
          <w:rFonts w:ascii="Times New Roman" w:eastAsia="SimSun" w:hAnsi="Times New Roman"/>
          <w:b/>
          <w:sz w:val="28"/>
          <w:szCs w:val="24"/>
          <w:lang w:eastAsia="ja-JP"/>
        </w:rPr>
      </w:pPr>
      <w:r w:rsidRPr="007B3272">
        <w:rPr>
          <w:rFonts w:ascii="Times New Roman" w:eastAsia="SimSun" w:hAnsi="Times New Roman"/>
          <w:szCs w:val="24"/>
          <w:lang w:eastAsia="ja-JP"/>
        </w:rPr>
        <w:br w:type="page"/>
      </w:r>
    </w:p>
    <w:p w14:paraId="63043CC8" w14:textId="77777777" w:rsidR="00C648D8" w:rsidRPr="007B3272" w:rsidRDefault="00C648D8" w:rsidP="00EF0FEB">
      <w:pPr>
        <w:pStyle w:val="AnnexNotitle"/>
        <w:rPr>
          <w:rFonts w:eastAsia="Batang"/>
          <w:bCs/>
          <w:szCs w:val="28"/>
        </w:rPr>
      </w:pPr>
      <w:bookmarkStart w:id="11" w:name="lt_pId132"/>
      <w:r w:rsidRPr="007B3272">
        <w:rPr>
          <w:rFonts w:eastAsia="Batang"/>
        </w:rPr>
        <w:lastRenderedPageBreak/>
        <w:t>ANEXO B</w:t>
      </w:r>
      <w:bookmarkEnd w:id="11"/>
    </w:p>
    <w:p w14:paraId="6C1515FD" w14:textId="7EC5091B" w:rsidR="00EF0FEB" w:rsidRPr="007B3272" w:rsidRDefault="00C648D8" w:rsidP="007B3272">
      <w:pPr>
        <w:pStyle w:val="AnnexTitle"/>
        <w:rPr>
          <w:rFonts w:eastAsia="Batang"/>
        </w:rPr>
      </w:pPr>
      <w:bookmarkStart w:id="12" w:name="lt_pId133"/>
      <w:r w:rsidRPr="007B3272">
        <w:rPr>
          <w:rFonts w:eastAsia="Batang"/>
        </w:rPr>
        <w:t>Proyecto de orden del día para la primera reunión de la JCA-DCC</w:t>
      </w:r>
      <w:bookmarkStart w:id="13" w:name="lt_pId134"/>
      <w:bookmarkEnd w:id="12"/>
      <w:r w:rsidR="00EF0FEB" w:rsidRPr="007B3272">
        <w:rPr>
          <w:rFonts w:eastAsia="Batang"/>
        </w:rPr>
        <w:br/>
      </w:r>
      <w:r w:rsidRPr="007B3272">
        <w:rPr>
          <w:rFonts w:eastAsia="Batang"/>
        </w:rPr>
        <w:t>(reunión por medios electrónicos, 1 de junio de 2022)</w:t>
      </w:r>
      <w:bookmarkEnd w:id="13"/>
    </w:p>
    <w:p w14:paraId="3948460C" w14:textId="77777777" w:rsidR="009424C9" w:rsidRPr="007B3272" w:rsidRDefault="009424C9" w:rsidP="007B3272">
      <w:pPr>
        <w:pStyle w:val="Normalaftertitle"/>
        <w:rPr>
          <w:rFonts w:eastAsia="Batang"/>
        </w:rPr>
      </w:pPr>
      <w:r w:rsidRPr="007B3272">
        <w:rPr>
          <w:rFonts w:eastAsia="Batang"/>
        </w:rPr>
        <w:t>1</w:t>
      </w:r>
      <w:r w:rsidRPr="007B3272">
        <w:rPr>
          <w:rFonts w:eastAsia="Batang"/>
        </w:rPr>
        <w:tab/>
      </w:r>
      <w:proofErr w:type="gramStart"/>
      <w:r w:rsidR="00C648D8" w:rsidRPr="007B3272">
        <w:rPr>
          <w:rFonts w:eastAsia="Batang"/>
        </w:rPr>
        <w:t>Apertura</w:t>
      </w:r>
      <w:proofErr w:type="gramEnd"/>
      <w:r w:rsidR="00C648D8" w:rsidRPr="007B3272">
        <w:rPr>
          <w:rFonts w:eastAsia="Batang"/>
        </w:rPr>
        <w:t xml:space="preserve"> de la reunión</w:t>
      </w:r>
    </w:p>
    <w:p w14:paraId="66A7C29C" w14:textId="77777777" w:rsidR="009424C9" w:rsidRPr="007B3272" w:rsidRDefault="009424C9" w:rsidP="007B3272">
      <w:pPr>
        <w:rPr>
          <w:rFonts w:ascii="Calibri" w:eastAsia="Batang" w:hAnsi="Calibri"/>
        </w:rPr>
      </w:pPr>
      <w:r w:rsidRPr="007B3272">
        <w:rPr>
          <w:rFonts w:ascii="Calibri" w:eastAsia="Batang" w:hAnsi="Calibri"/>
        </w:rPr>
        <w:t>2</w:t>
      </w:r>
      <w:r w:rsidRPr="007B3272">
        <w:rPr>
          <w:rFonts w:ascii="Calibri" w:eastAsia="Batang" w:hAnsi="Calibri"/>
        </w:rPr>
        <w:tab/>
      </w:r>
      <w:proofErr w:type="gramStart"/>
      <w:r w:rsidR="00C648D8" w:rsidRPr="007B3272">
        <w:rPr>
          <w:rFonts w:ascii="Calibri" w:eastAsia="Batang" w:hAnsi="Calibri"/>
        </w:rPr>
        <w:t>Aprobación</w:t>
      </w:r>
      <w:proofErr w:type="gramEnd"/>
      <w:r w:rsidR="00C648D8" w:rsidRPr="007B3272">
        <w:rPr>
          <w:rFonts w:ascii="Calibri" w:eastAsia="Batang" w:hAnsi="Calibri"/>
        </w:rPr>
        <w:t xml:space="preserve"> del orden del día</w:t>
      </w:r>
      <w:bookmarkStart w:id="14" w:name="lt_pId137"/>
    </w:p>
    <w:p w14:paraId="05113582" w14:textId="77777777" w:rsidR="009424C9" w:rsidRPr="007B3272" w:rsidRDefault="009424C9" w:rsidP="007B3272">
      <w:pPr>
        <w:rPr>
          <w:rFonts w:ascii="Calibri" w:eastAsia="Batang" w:hAnsi="Calibri"/>
        </w:rPr>
      </w:pPr>
      <w:r w:rsidRPr="007B3272">
        <w:rPr>
          <w:rFonts w:eastAsia="Batang"/>
        </w:rPr>
        <w:t>3</w:t>
      </w:r>
      <w:r w:rsidRPr="007B3272">
        <w:rPr>
          <w:rFonts w:ascii="Calibri" w:eastAsia="Batang" w:hAnsi="Calibri"/>
        </w:rPr>
        <w:tab/>
      </w:r>
      <w:proofErr w:type="gramStart"/>
      <w:r w:rsidR="00C648D8" w:rsidRPr="007B3272">
        <w:rPr>
          <w:rFonts w:ascii="Calibri" w:eastAsia="Batang" w:hAnsi="Calibri"/>
        </w:rPr>
        <w:t>Examen</w:t>
      </w:r>
      <w:proofErr w:type="gramEnd"/>
      <w:r w:rsidR="00C648D8" w:rsidRPr="007B3272">
        <w:rPr>
          <w:rFonts w:ascii="Calibri" w:eastAsia="Batang" w:hAnsi="Calibri"/>
        </w:rPr>
        <w:t xml:space="preserve"> del mandato de la JCA-DCC</w:t>
      </w:r>
      <w:bookmarkStart w:id="15" w:name="lt_pId138"/>
      <w:bookmarkEnd w:id="14"/>
    </w:p>
    <w:p w14:paraId="037C442C" w14:textId="77777777" w:rsidR="009424C9" w:rsidRPr="007B3272" w:rsidRDefault="009424C9" w:rsidP="007B3272">
      <w:pPr>
        <w:rPr>
          <w:rFonts w:ascii="Calibri" w:eastAsia="Batang" w:hAnsi="Calibri"/>
        </w:rPr>
      </w:pPr>
      <w:r w:rsidRPr="007B3272">
        <w:rPr>
          <w:rFonts w:ascii="Calibri" w:eastAsia="Batang" w:hAnsi="Calibri"/>
        </w:rPr>
        <w:t>4</w:t>
      </w:r>
      <w:r w:rsidRPr="007B3272">
        <w:rPr>
          <w:rFonts w:ascii="Calibri" w:eastAsia="Batang" w:hAnsi="Calibri"/>
        </w:rPr>
        <w:tab/>
      </w:r>
      <w:proofErr w:type="gramStart"/>
      <w:r w:rsidR="00C648D8" w:rsidRPr="007B3272">
        <w:rPr>
          <w:rFonts w:ascii="Calibri" w:eastAsia="Batang" w:hAnsi="Calibri"/>
        </w:rPr>
        <w:t>Examen</w:t>
      </w:r>
      <w:proofErr w:type="gramEnd"/>
      <w:r w:rsidR="00C648D8" w:rsidRPr="007B3272">
        <w:rPr>
          <w:rFonts w:ascii="Calibri" w:eastAsia="Batang" w:hAnsi="Calibri"/>
        </w:rPr>
        <w:t xml:space="preserve"> de los métodos de trabajo de la JCA-DCC </w:t>
      </w:r>
      <w:bookmarkStart w:id="16" w:name="lt_pId139"/>
      <w:bookmarkStart w:id="17" w:name="_Hlk101256097"/>
      <w:bookmarkEnd w:id="15"/>
    </w:p>
    <w:p w14:paraId="26E7E2BF" w14:textId="77777777" w:rsidR="009424C9" w:rsidRPr="007B3272" w:rsidRDefault="009424C9" w:rsidP="007B3272">
      <w:pPr>
        <w:ind w:left="794" w:hanging="794"/>
        <w:rPr>
          <w:rFonts w:ascii="Calibri" w:eastAsia="MS Mincho" w:hAnsi="Calibri"/>
        </w:rPr>
      </w:pPr>
      <w:r w:rsidRPr="007B3272">
        <w:rPr>
          <w:rFonts w:ascii="Calibri" w:eastAsia="Batang" w:hAnsi="Calibri"/>
        </w:rPr>
        <w:t>5</w:t>
      </w:r>
      <w:r w:rsidRPr="007B3272">
        <w:rPr>
          <w:rFonts w:ascii="Calibri" w:eastAsia="Batang" w:hAnsi="Calibri"/>
        </w:rPr>
        <w:tab/>
      </w:r>
      <w:proofErr w:type="gramStart"/>
      <w:r w:rsidR="00C648D8" w:rsidRPr="007B3272">
        <w:rPr>
          <w:rFonts w:ascii="Calibri" w:eastAsia="MS Mincho" w:hAnsi="Calibri"/>
        </w:rPr>
        <w:t>Examen</w:t>
      </w:r>
      <w:proofErr w:type="gramEnd"/>
      <w:r w:rsidR="00C648D8" w:rsidRPr="007B3272">
        <w:rPr>
          <w:rFonts w:ascii="Calibri" w:eastAsia="MS Mincho" w:hAnsi="Calibri"/>
        </w:rPr>
        <w:t xml:space="preserve"> de los esfuerzos de normalización en las Comisiones de Estudio del UIT-T, en otras organizaciones y foros de normalización</w:t>
      </w:r>
      <w:bookmarkStart w:id="18" w:name="lt_pId140"/>
      <w:bookmarkEnd w:id="16"/>
      <w:bookmarkEnd w:id="17"/>
    </w:p>
    <w:p w14:paraId="1540D64E" w14:textId="77777777" w:rsidR="009424C9" w:rsidRPr="007B3272" w:rsidRDefault="009424C9" w:rsidP="007B3272">
      <w:pPr>
        <w:rPr>
          <w:rFonts w:ascii="Calibri" w:eastAsia="Batang" w:hAnsi="Calibri"/>
        </w:rPr>
      </w:pPr>
      <w:r w:rsidRPr="007B3272">
        <w:rPr>
          <w:rFonts w:ascii="Calibri" w:eastAsia="MS Mincho" w:hAnsi="Calibri"/>
        </w:rPr>
        <w:t>6</w:t>
      </w:r>
      <w:r w:rsidRPr="007B3272">
        <w:rPr>
          <w:rFonts w:ascii="Calibri" w:eastAsia="MS Mincho" w:hAnsi="Calibri"/>
        </w:rPr>
        <w:tab/>
      </w:r>
      <w:proofErr w:type="gramStart"/>
      <w:r w:rsidR="00C648D8" w:rsidRPr="007B3272">
        <w:rPr>
          <w:rFonts w:ascii="Calibri" w:eastAsia="Batang" w:hAnsi="Calibri"/>
        </w:rPr>
        <w:t>Examen</w:t>
      </w:r>
      <w:proofErr w:type="gramEnd"/>
      <w:r w:rsidR="00C648D8" w:rsidRPr="007B3272">
        <w:rPr>
          <w:rFonts w:ascii="Calibri" w:eastAsia="Batang" w:hAnsi="Calibri"/>
        </w:rPr>
        <w:t xml:space="preserve"> de las contribuciones y de las declaraciones de coordinación entrantes</w:t>
      </w:r>
      <w:bookmarkStart w:id="19" w:name="lt_pId141"/>
      <w:bookmarkEnd w:id="18"/>
    </w:p>
    <w:p w14:paraId="236C247D" w14:textId="77777777" w:rsidR="009424C9" w:rsidRPr="007B3272" w:rsidRDefault="009424C9" w:rsidP="007B3272">
      <w:pPr>
        <w:rPr>
          <w:rFonts w:ascii="Calibri" w:eastAsia="MS Mincho" w:hAnsi="Calibri"/>
        </w:rPr>
      </w:pPr>
      <w:r w:rsidRPr="007B3272">
        <w:rPr>
          <w:rFonts w:ascii="Calibri" w:eastAsia="Batang" w:hAnsi="Calibri"/>
        </w:rPr>
        <w:t>7</w:t>
      </w:r>
      <w:r w:rsidRPr="007B3272">
        <w:rPr>
          <w:rFonts w:ascii="Calibri" w:eastAsia="Batang" w:hAnsi="Calibri"/>
        </w:rPr>
        <w:tab/>
      </w:r>
      <w:proofErr w:type="gramStart"/>
      <w:r w:rsidR="00C648D8" w:rsidRPr="007B3272">
        <w:rPr>
          <w:rFonts w:ascii="Calibri" w:eastAsia="MS Mincho" w:hAnsi="Calibri"/>
        </w:rPr>
        <w:t>Asuntos</w:t>
      </w:r>
      <w:proofErr w:type="gramEnd"/>
      <w:r w:rsidR="00C648D8" w:rsidRPr="007B3272">
        <w:rPr>
          <w:rFonts w:ascii="Calibri" w:eastAsia="MS Mincho" w:hAnsi="Calibri"/>
        </w:rPr>
        <w:t xml:space="preserve"> que requieren coordinación</w:t>
      </w:r>
      <w:bookmarkStart w:id="20" w:name="lt_pId142"/>
      <w:bookmarkEnd w:id="19"/>
    </w:p>
    <w:p w14:paraId="037DDABB" w14:textId="77777777" w:rsidR="009424C9" w:rsidRPr="007B3272" w:rsidRDefault="009424C9" w:rsidP="007B3272">
      <w:pPr>
        <w:rPr>
          <w:rFonts w:ascii="Calibri" w:eastAsia="MS Mincho" w:hAnsi="Calibri"/>
        </w:rPr>
      </w:pPr>
      <w:r w:rsidRPr="007B3272">
        <w:rPr>
          <w:rFonts w:eastAsia="Batang"/>
        </w:rPr>
        <w:t>8</w:t>
      </w:r>
      <w:r w:rsidRPr="007B3272">
        <w:rPr>
          <w:rFonts w:ascii="Calibri" w:eastAsia="MS Mincho" w:hAnsi="Calibri"/>
        </w:rPr>
        <w:tab/>
      </w:r>
      <w:proofErr w:type="gramStart"/>
      <w:r w:rsidR="00C648D8" w:rsidRPr="007B3272">
        <w:rPr>
          <w:rFonts w:ascii="Calibri" w:eastAsia="MS Mincho" w:hAnsi="Calibri"/>
        </w:rPr>
        <w:t>Creación</w:t>
      </w:r>
      <w:proofErr w:type="gramEnd"/>
      <w:r w:rsidR="00C648D8" w:rsidRPr="007B3272">
        <w:rPr>
          <w:rFonts w:ascii="Calibri" w:eastAsia="MS Mincho" w:hAnsi="Calibri"/>
        </w:rPr>
        <w:t xml:space="preserve"> de una hoja de ruta para la normalización de los DCC</w:t>
      </w:r>
      <w:bookmarkStart w:id="21" w:name="lt_pId143"/>
      <w:bookmarkEnd w:id="20"/>
    </w:p>
    <w:p w14:paraId="0CBE192B" w14:textId="77777777" w:rsidR="009424C9" w:rsidRPr="007B3272" w:rsidRDefault="009424C9" w:rsidP="007B3272">
      <w:pPr>
        <w:ind w:left="794" w:hanging="794"/>
        <w:rPr>
          <w:rFonts w:eastAsia="Batang"/>
        </w:rPr>
      </w:pPr>
      <w:r w:rsidRPr="007B3272">
        <w:rPr>
          <w:rFonts w:eastAsia="Batang"/>
        </w:rPr>
        <w:t>9</w:t>
      </w:r>
      <w:r w:rsidRPr="007B3272">
        <w:rPr>
          <w:rFonts w:eastAsia="Batang"/>
        </w:rPr>
        <w:tab/>
      </w:r>
      <w:proofErr w:type="gramStart"/>
      <w:r w:rsidR="00C648D8" w:rsidRPr="007B3272">
        <w:rPr>
          <w:rFonts w:eastAsia="Batang"/>
        </w:rPr>
        <w:t>Discusión</w:t>
      </w:r>
      <w:proofErr w:type="gramEnd"/>
      <w:r w:rsidR="00C648D8" w:rsidRPr="007B3272">
        <w:rPr>
          <w:rFonts w:eastAsia="Batang"/>
        </w:rPr>
        <w:t xml:space="preserve"> acerca de los productos finales de la JCA-DCC y, de ser necesario, nombramiento de editores</w:t>
      </w:r>
      <w:bookmarkEnd w:id="21"/>
    </w:p>
    <w:p w14:paraId="06E756D5" w14:textId="77777777" w:rsidR="009424C9" w:rsidRPr="007B3272" w:rsidRDefault="009424C9" w:rsidP="007B3272">
      <w:pPr>
        <w:rPr>
          <w:rFonts w:ascii="Calibri" w:eastAsia="Batang" w:hAnsi="Calibri"/>
        </w:rPr>
      </w:pPr>
      <w:r w:rsidRPr="007B3272">
        <w:rPr>
          <w:rFonts w:ascii="Calibri" w:eastAsia="Batang" w:hAnsi="Calibri"/>
        </w:rPr>
        <w:t>10</w:t>
      </w:r>
      <w:r w:rsidRPr="007B3272">
        <w:rPr>
          <w:rFonts w:ascii="Calibri" w:eastAsia="Batang" w:hAnsi="Calibri"/>
        </w:rPr>
        <w:tab/>
      </w:r>
      <w:proofErr w:type="gramStart"/>
      <w:r w:rsidR="00C648D8" w:rsidRPr="007B3272">
        <w:rPr>
          <w:rFonts w:ascii="Calibri" w:eastAsia="Batang" w:hAnsi="Calibri"/>
        </w:rPr>
        <w:t>Próximos</w:t>
      </w:r>
      <w:proofErr w:type="gramEnd"/>
      <w:r w:rsidR="00C648D8" w:rsidRPr="007B3272">
        <w:rPr>
          <w:rFonts w:ascii="Calibri" w:eastAsia="Batang" w:hAnsi="Calibri"/>
        </w:rPr>
        <w:t xml:space="preserve"> pasos</w:t>
      </w:r>
      <w:bookmarkStart w:id="22" w:name="lt_pId145"/>
    </w:p>
    <w:p w14:paraId="1C2301C5" w14:textId="77777777" w:rsidR="009424C9" w:rsidRPr="007B3272" w:rsidRDefault="009424C9" w:rsidP="007B3272">
      <w:pPr>
        <w:rPr>
          <w:rFonts w:ascii="Calibri" w:eastAsia="Batang" w:hAnsi="Calibri"/>
        </w:rPr>
      </w:pPr>
      <w:r w:rsidRPr="007B3272">
        <w:rPr>
          <w:rFonts w:ascii="Calibri" w:eastAsia="Batang" w:hAnsi="Calibri"/>
        </w:rPr>
        <w:t>11</w:t>
      </w:r>
      <w:r w:rsidRPr="007B3272">
        <w:rPr>
          <w:rFonts w:ascii="Calibri" w:eastAsia="Batang" w:hAnsi="Calibri"/>
        </w:rPr>
        <w:tab/>
      </w:r>
      <w:proofErr w:type="gramStart"/>
      <w:r w:rsidR="00C648D8" w:rsidRPr="007B3272">
        <w:rPr>
          <w:rFonts w:ascii="Calibri" w:eastAsia="Batang" w:hAnsi="Calibri"/>
        </w:rPr>
        <w:t>Aprobación</w:t>
      </w:r>
      <w:proofErr w:type="gramEnd"/>
      <w:r w:rsidR="00C648D8" w:rsidRPr="007B3272">
        <w:rPr>
          <w:rFonts w:ascii="Calibri" w:eastAsia="Batang" w:hAnsi="Calibri"/>
        </w:rPr>
        <w:t xml:space="preserve"> de declaraciones de coordinación salientes</w:t>
      </w:r>
      <w:bookmarkStart w:id="23" w:name="lt_pId146"/>
      <w:bookmarkEnd w:id="22"/>
    </w:p>
    <w:p w14:paraId="7EF03D05" w14:textId="77777777" w:rsidR="009424C9" w:rsidRPr="007B3272" w:rsidRDefault="009424C9" w:rsidP="007B3272">
      <w:pPr>
        <w:rPr>
          <w:rFonts w:ascii="Calibri" w:eastAsia="MS Mincho" w:hAnsi="Calibri"/>
        </w:rPr>
      </w:pPr>
      <w:r w:rsidRPr="007B3272">
        <w:rPr>
          <w:rFonts w:ascii="Calibri" w:eastAsia="Batang" w:hAnsi="Calibri"/>
        </w:rPr>
        <w:t>12</w:t>
      </w:r>
      <w:r w:rsidRPr="007B3272">
        <w:rPr>
          <w:rFonts w:ascii="Calibri" w:eastAsia="Batang" w:hAnsi="Calibri"/>
        </w:rPr>
        <w:tab/>
      </w:r>
      <w:proofErr w:type="gramStart"/>
      <w:r w:rsidR="00C648D8" w:rsidRPr="007B3272">
        <w:rPr>
          <w:rFonts w:ascii="Calibri" w:eastAsia="MS Mincho" w:hAnsi="Calibri"/>
        </w:rPr>
        <w:t>Reuniones</w:t>
      </w:r>
      <w:proofErr w:type="gramEnd"/>
      <w:r w:rsidR="00C648D8" w:rsidRPr="007B3272">
        <w:rPr>
          <w:rFonts w:ascii="Calibri" w:eastAsia="MS Mincho" w:hAnsi="Calibri"/>
        </w:rPr>
        <w:t xml:space="preserve"> y eventos futuros</w:t>
      </w:r>
      <w:bookmarkEnd w:id="23"/>
    </w:p>
    <w:p w14:paraId="1401197A" w14:textId="77777777" w:rsidR="009424C9" w:rsidRPr="007B3272" w:rsidRDefault="009424C9" w:rsidP="007B3272">
      <w:pPr>
        <w:rPr>
          <w:rFonts w:ascii="Calibri" w:eastAsia="Batang" w:hAnsi="Calibri"/>
        </w:rPr>
      </w:pPr>
      <w:r w:rsidRPr="007B3272">
        <w:rPr>
          <w:rFonts w:ascii="Calibri" w:eastAsia="MS Mincho" w:hAnsi="Calibri"/>
        </w:rPr>
        <w:t>13</w:t>
      </w:r>
      <w:r w:rsidRPr="007B3272">
        <w:rPr>
          <w:rFonts w:ascii="Calibri" w:eastAsia="MS Mincho" w:hAnsi="Calibri"/>
        </w:rPr>
        <w:tab/>
      </w:r>
      <w:proofErr w:type="gramStart"/>
      <w:r w:rsidR="00C648D8" w:rsidRPr="007B3272">
        <w:rPr>
          <w:rFonts w:ascii="Calibri" w:eastAsia="MS Mincho" w:hAnsi="Calibri"/>
        </w:rPr>
        <w:t>Otros</w:t>
      </w:r>
      <w:proofErr w:type="gramEnd"/>
      <w:r w:rsidR="00C648D8" w:rsidRPr="007B3272">
        <w:rPr>
          <w:rFonts w:ascii="Calibri" w:eastAsia="MS Mincho" w:hAnsi="Calibri"/>
        </w:rPr>
        <w:t xml:space="preserve"> asuntos</w:t>
      </w:r>
    </w:p>
    <w:p w14:paraId="68EC65A1" w14:textId="15874C47" w:rsidR="00C648D8" w:rsidRPr="007B3272" w:rsidRDefault="009424C9" w:rsidP="007B3272">
      <w:pPr>
        <w:rPr>
          <w:rFonts w:ascii="Calibri" w:eastAsia="Batang" w:hAnsi="Calibri"/>
        </w:rPr>
      </w:pPr>
      <w:r w:rsidRPr="007B3272">
        <w:rPr>
          <w:rFonts w:ascii="Calibri" w:eastAsia="Batang" w:hAnsi="Calibri"/>
        </w:rPr>
        <w:t>14</w:t>
      </w:r>
      <w:r w:rsidRPr="007B3272">
        <w:rPr>
          <w:rFonts w:ascii="Calibri" w:eastAsia="Batang" w:hAnsi="Calibri"/>
        </w:rPr>
        <w:tab/>
      </w:r>
      <w:proofErr w:type="gramStart"/>
      <w:r w:rsidR="00C648D8" w:rsidRPr="007B3272">
        <w:rPr>
          <w:rFonts w:ascii="Calibri" w:eastAsia="Batang" w:hAnsi="Calibri"/>
        </w:rPr>
        <w:t>Clausura</w:t>
      </w:r>
      <w:proofErr w:type="gramEnd"/>
      <w:r w:rsidR="00C648D8" w:rsidRPr="007B3272">
        <w:rPr>
          <w:rFonts w:ascii="Calibri" w:eastAsia="Batang" w:hAnsi="Calibri"/>
        </w:rPr>
        <w:t xml:space="preserve"> de la reunión</w:t>
      </w:r>
    </w:p>
    <w:p w14:paraId="07AF37EB" w14:textId="77777777" w:rsidR="00C648D8" w:rsidRPr="007B3272" w:rsidRDefault="00C648D8" w:rsidP="00411C49">
      <w:pPr>
        <w:pStyle w:val="Reasons"/>
        <w:rPr>
          <w:lang w:val="es-ES_tradnl"/>
        </w:rPr>
      </w:pPr>
    </w:p>
    <w:p w14:paraId="6800F5BB" w14:textId="77777777" w:rsidR="00C648D8" w:rsidRPr="007B3272" w:rsidRDefault="00C648D8">
      <w:pPr>
        <w:jc w:val="center"/>
      </w:pPr>
      <w:r w:rsidRPr="007B3272">
        <w:t>______________</w:t>
      </w:r>
    </w:p>
    <w:sectPr w:rsidR="00C648D8" w:rsidRPr="007B3272" w:rsidSect="00B87E9E">
      <w:headerReference w:type="default" r:id="rId20"/>
      <w:footerReference w:type="first" r:id="rId21"/>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E17E3" w14:textId="77777777" w:rsidR="001C347C" w:rsidRDefault="001C347C">
      <w:r>
        <w:separator/>
      </w:r>
    </w:p>
  </w:endnote>
  <w:endnote w:type="continuationSeparator" w:id="0">
    <w:p w14:paraId="3DF3E1F2" w14:textId="77777777" w:rsidR="001C347C" w:rsidRDefault="001C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Trebuchet MS">
    <w:panose1 w:val="020B0603020202020204"/>
    <w:charset w:val="00"/>
    <w:family w:val="swiss"/>
    <w:pitch w:val="variable"/>
    <w:sig w:usb0="00000687" w:usb1="00000000" w:usb2="00000000" w:usb3="00000000" w:csb0="0000009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8039F" w14:textId="126F69BA" w:rsidR="0014464D" w:rsidRPr="00D834E7" w:rsidRDefault="0014464D" w:rsidP="00FC416A">
    <w:pPr>
      <w:pStyle w:val="FirstFooter"/>
      <w:ind w:left="-397" w:right="-397"/>
      <w:jc w:val="center"/>
      <w:rPr>
        <w:color w:val="0070C0"/>
        <w:szCs w:val="18"/>
        <w:lang w:val="es-ES"/>
      </w:rPr>
    </w:pPr>
    <w:r w:rsidRPr="00D834E7">
      <w:rPr>
        <w:color w:val="0070C0"/>
        <w:szCs w:val="18"/>
        <w:lang w:val="es-ES"/>
      </w:rPr>
      <w:t xml:space="preserve">Unión Internacional de Telecomunicaciones • Place des </w:t>
    </w:r>
    <w:proofErr w:type="spellStart"/>
    <w:r w:rsidRPr="00D834E7">
      <w:rPr>
        <w:color w:val="0070C0"/>
        <w:szCs w:val="18"/>
        <w:lang w:val="es-ES"/>
      </w:rPr>
      <w:t>Nations</w:t>
    </w:r>
    <w:proofErr w:type="spellEnd"/>
    <w:r w:rsidRPr="00D834E7">
      <w:rPr>
        <w:color w:val="0070C0"/>
        <w:szCs w:val="18"/>
        <w:lang w:val="es-ES"/>
      </w:rPr>
      <w:t>, CH</w:t>
    </w:r>
    <w:r w:rsidRPr="00D834E7">
      <w:rPr>
        <w:color w:val="0070C0"/>
        <w:szCs w:val="18"/>
        <w:lang w:val="es-ES"/>
      </w:rPr>
      <w:noBreakHyphen/>
      <w:t xml:space="preserve">1211 Ginebra 20, Suiza </w:t>
    </w:r>
    <w:r w:rsidRPr="00D834E7">
      <w:rPr>
        <w:color w:val="0070C0"/>
        <w:szCs w:val="18"/>
        <w:lang w:val="es-ES"/>
      </w:rPr>
      <w:br/>
      <w:t xml:space="preserve">Tel: +41 22 730 5111 • Fax: +41 22 733 7256 • Correo-e: </w:t>
    </w:r>
    <w:hyperlink r:id="rId1" w:history="1">
      <w:r w:rsidRPr="00D834E7">
        <w:rPr>
          <w:rStyle w:val="Hyperlink"/>
          <w:color w:val="0070C0"/>
          <w:lang w:val="es-ES"/>
        </w:rPr>
        <w:t>itumail@itu.int</w:t>
      </w:r>
    </w:hyperlink>
    <w:r w:rsidRPr="00D834E7">
      <w:rPr>
        <w:color w:val="0070C0"/>
        <w:szCs w:val="18"/>
        <w:lang w:val="es-ES"/>
      </w:rPr>
      <w:t xml:space="preserve"> • </w:t>
    </w:r>
    <w:hyperlink r:id="rId2" w:history="1">
      <w:r w:rsidRPr="00D834E7">
        <w:rPr>
          <w:rStyle w:val="Hyperlink"/>
          <w:color w:val="0070C0"/>
          <w:lang w:val="es-ES"/>
        </w:rPr>
        <w:t>www.itu.int</w:t>
      </w:r>
    </w:hyperlink>
    <w:r w:rsidRPr="00D834E7">
      <w:rPr>
        <w:color w:val="0070C0"/>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D3E60" w14:textId="77777777" w:rsidR="001C347C" w:rsidRDefault="001C347C">
      <w:r>
        <w:t>____________________</w:t>
      </w:r>
    </w:p>
  </w:footnote>
  <w:footnote w:type="continuationSeparator" w:id="0">
    <w:p w14:paraId="1962A9AC" w14:textId="77777777" w:rsidR="001C347C" w:rsidRDefault="001C3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68547" w14:textId="1F3D285B" w:rsidR="006969B4" w:rsidRDefault="006969B4">
    <w:pPr>
      <w:pStyle w:val="Header"/>
      <w:rPr>
        <w:rStyle w:val="PageNumbe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7B6316">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p w14:paraId="0841F4DE" w14:textId="3017FDAB" w:rsidR="00DA1B2A" w:rsidRPr="00303D62" w:rsidRDefault="00DA1B2A">
    <w:pPr>
      <w:pStyle w:val="Header"/>
      <w:rPr>
        <w:sz w:val="18"/>
        <w:szCs w:val="18"/>
      </w:rPr>
    </w:pPr>
    <w:r>
      <w:rPr>
        <w:rStyle w:val="PageNumber"/>
        <w:sz w:val="18"/>
        <w:szCs w:val="18"/>
      </w:rPr>
      <w:t>Circular TSB 007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5C50016"/>
    <w:multiLevelType w:val="hybridMultilevel"/>
    <w:tmpl w:val="4C886816"/>
    <w:lvl w:ilvl="0" w:tplc="BE3EF63E">
      <w:start w:val="1"/>
      <w:numFmt w:val="decimal"/>
      <w:lvlText w:val="%1."/>
      <w:lvlJc w:val="left"/>
      <w:pPr>
        <w:ind w:left="720" w:hanging="360"/>
      </w:pPr>
    </w:lvl>
    <w:lvl w:ilvl="1" w:tplc="7368DD5A">
      <w:start w:val="1"/>
      <w:numFmt w:val="lowerLetter"/>
      <w:lvlText w:val="%2."/>
      <w:lvlJc w:val="left"/>
      <w:pPr>
        <w:ind w:left="1440" w:hanging="360"/>
      </w:pPr>
    </w:lvl>
    <w:lvl w:ilvl="2" w:tplc="7EDAF244" w:tentative="1">
      <w:start w:val="1"/>
      <w:numFmt w:val="lowerRoman"/>
      <w:lvlText w:val="%3."/>
      <w:lvlJc w:val="right"/>
      <w:pPr>
        <w:ind w:left="2160" w:hanging="180"/>
      </w:pPr>
    </w:lvl>
    <w:lvl w:ilvl="3" w:tplc="C2607EE8" w:tentative="1">
      <w:start w:val="1"/>
      <w:numFmt w:val="decimal"/>
      <w:lvlText w:val="%4."/>
      <w:lvlJc w:val="left"/>
      <w:pPr>
        <w:ind w:left="2880" w:hanging="360"/>
      </w:pPr>
    </w:lvl>
    <w:lvl w:ilvl="4" w:tplc="0E5E9A7E" w:tentative="1">
      <w:start w:val="1"/>
      <w:numFmt w:val="lowerLetter"/>
      <w:lvlText w:val="%5."/>
      <w:lvlJc w:val="left"/>
      <w:pPr>
        <w:ind w:left="3600" w:hanging="360"/>
      </w:pPr>
    </w:lvl>
    <w:lvl w:ilvl="5" w:tplc="83A6E1D0" w:tentative="1">
      <w:start w:val="1"/>
      <w:numFmt w:val="lowerRoman"/>
      <w:lvlText w:val="%6."/>
      <w:lvlJc w:val="right"/>
      <w:pPr>
        <w:ind w:left="4320" w:hanging="180"/>
      </w:pPr>
    </w:lvl>
    <w:lvl w:ilvl="6" w:tplc="7C400216" w:tentative="1">
      <w:start w:val="1"/>
      <w:numFmt w:val="decimal"/>
      <w:lvlText w:val="%7."/>
      <w:lvlJc w:val="left"/>
      <w:pPr>
        <w:ind w:left="5040" w:hanging="360"/>
      </w:pPr>
    </w:lvl>
    <w:lvl w:ilvl="7" w:tplc="6BFAC152" w:tentative="1">
      <w:start w:val="1"/>
      <w:numFmt w:val="lowerLetter"/>
      <w:lvlText w:val="%8."/>
      <w:lvlJc w:val="left"/>
      <w:pPr>
        <w:ind w:left="5760" w:hanging="360"/>
      </w:pPr>
    </w:lvl>
    <w:lvl w:ilvl="8" w:tplc="E2CC3AF8" w:tentative="1">
      <w:start w:val="1"/>
      <w:numFmt w:val="lowerRoman"/>
      <w:lvlText w:val="%9."/>
      <w:lvlJc w:val="right"/>
      <w:pPr>
        <w:ind w:left="6480" w:hanging="180"/>
      </w:pPr>
    </w:lvl>
  </w:abstractNum>
  <w:abstractNum w:abstractNumId="3"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16cid:durableId="2050453065">
    <w:abstractNumId w:val="0"/>
  </w:num>
  <w:num w:numId="2" w16cid:durableId="1802308361">
    <w:abstractNumId w:val="4"/>
  </w:num>
  <w:num w:numId="3" w16cid:durableId="1904366201">
    <w:abstractNumId w:val="3"/>
  </w:num>
  <w:num w:numId="4" w16cid:durableId="226959605">
    <w:abstractNumId w:val="1"/>
  </w:num>
  <w:num w:numId="5" w16cid:durableId="1094517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47C"/>
    <w:rsid w:val="00002529"/>
    <w:rsid w:val="00085662"/>
    <w:rsid w:val="000C382F"/>
    <w:rsid w:val="001173CC"/>
    <w:rsid w:val="0014464D"/>
    <w:rsid w:val="001A54CC"/>
    <w:rsid w:val="001C347C"/>
    <w:rsid w:val="001C5A4C"/>
    <w:rsid w:val="00257FB4"/>
    <w:rsid w:val="002E496E"/>
    <w:rsid w:val="003011E0"/>
    <w:rsid w:val="00303D62"/>
    <w:rsid w:val="00335367"/>
    <w:rsid w:val="00341A62"/>
    <w:rsid w:val="00370C2D"/>
    <w:rsid w:val="003B4FB8"/>
    <w:rsid w:val="003C19B7"/>
    <w:rsid w:val="003D1E8D"/>
    <w:rsid w:val="003D673B"/>
    <w:rsid w:val="003F2855"/>
    <w:rsid w:val="00401C20"/>
    <w:rsid w:val="004A7957"/>
    <w:rsid w:val="004C4144"/>
    <w:rsid w:val="0055719E"/>
    <w:rsid w:val="00690A59"/>
    <w:rsid w:val="006969B4"/>
    <w:rsid w:val="006E4F7B"/>
    <w:rsid w:val="00781E2A"/>
    <w:rsid w:val="007933A2"/>
    <w:rsid w:val="007B3272"/>
    <w:rsid w:val="007B6316"/>
    <w:rsid w:val="00814503"/>
    <w:rsid w:val="008258C2"/>
    <w:rsid w:val="008505BD"/>
    <w:rsid w:val="00850C78"/>
    <w:rsid w:val="00876165"/>
    <w:rsid w:val="00884D12"/>
    <w:rsid w:val="008A6C29"/>
    <w:rsid w:val="008C17AD"/>
    <w:rsid w:val="008D02CD"/>
    <w:rsid w:val="0091370C"/>
    <w:rsid w:val="00917149"/>
    <w:rsid w:val="009424C9"/>
    <w:rsid w:val="00942AF6"/>
    <w:rsid w:val="0095172A"/>
    <w:rsid w:val="009A0BA0"/>
    <w:rsid w:val="009D0E50"/>
    <w:rsid w:val="00A54E47"/>
    <w:rsid w:val="00AB6E3A"/>
    <w:rsid w:val="00AE7093"/>
    <w:rsid w:val="00B422BC"/>
    <w:rsid w:val="00B43F77"/>
    <w:rsid w:val="00B55A3E"/>
    <w:rsid w:val="00B87E9E"/>
    <w:rsid w:val="00B95F0A"/>
    <w:rsid w:val="00B96180"/>
    <w:rsid w:val="00C116FE"/>
    <w:rsid w:val="00C17AC0"/>
    <w:rsid w:val="00C34772"/>
    <w:rsid w:val="00C5465A"/>
    <w:rsid w:val="00C648D8"/>
    <w:rsid w:val="00D54642"/>
    <w:rsid w:val="00D6294E"/>
    <w:rsid w:val="00D834E7"/>
    <w:rsid w:val="00DA1A71"/>
    <w:rsid w:val="00DA1B2A"/>
    <w:rsid w:val="00DD77C9"/>
    <w:rsid w:val="00DF3538"/>
    <w:rsid w:val="00E839B0"/>
    <w:rsid w:val="00E92C09"/>
    <w:rsid w:val="00EF0FEB"/>
    <w:rsid w:val="00F14380"/>
    <w:rsid w:val="00F6461F"/>
    <w:rsid w:val="00F66EAC"/>
    <w:rsid w:val="00FC416A"/>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A4C6F5"/>
  <w15:docId w15:val="{95DCD19B-CEC5-4255-95AE-9898EFA46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Reasons">
    <w:name w:val="Reasons"/>
    <w:basedOn w:val="Normal"/>
    <w:qFormat/>
    <w:rsid w:val="00C648D8"/>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UnresolvedMention">
    <w:name w:val="Unresolved Mention"/>
    <w:basedOn w:val="DefaultParagraphFont"/>
    <w:uiPriority w:val="99"/>
    <w:semiHidden/>
    <w:unhideWhenUsed/>
    <w:rsid w:val="00942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en/ITU-T/jca/dcc"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itu.int/en/ITU-T/jca/dcc" TargetMode="External"/><Relationship Id="rId17" Type="http://schemas.openxmlformats.org/officeDocument/2006/relationships/hyperlink" Target="mailto:tsbjcadcc@itu.int" TargetMode="External"/><Relationship Id="rId2" Type="http://schemas.openxmlformats.org/officeDocument/2006/relationships/numbering" Target="numbering.xml"/><Relationship Id="rId16" Type="http://schemas.openxmlformats.org/officeDocument/2006/relationships/hyperlink" Target="http://itu.int/en/ITU-T/jca/dc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en/ITU-T/jca/dcc" TargetMode="External"/><Relationship Id="rId5" Type="http://schemas.openxmlformats.org/officeDocument/2006/relationships/webSettings" Target="webSettings.xml"/><Relationship Id="rId15" Type="http://schemas.openxmlformats.org/officeDocument/2006/relationships/hyperlink" Target="http://itu.int/en/ITU-T/jca/dcc" TargetMode="External"/><Relationship Id="rId23" Type="http://schemas.openxmlformats.org/officeDocument/2006/relationships/theme" Target="theme/theme1.xml"/><Relationship Id="rId10" Type="http://schemas.openxmlformats.org/officeDocument/2006/relationships/hyperlink" Target="https://www.itu.int/en/ITU-T/jca/dcc/Pages/default.aspx" TargetMode="External"/><Relationship Id="rId19" Type="http://schemas.openxmlformats.org/officeDocument/2006/relationships/hyperlink" Target="mailto:tsbjcadcc@itu.int" TargetMode="External"/><Relationship Id="rId4" Type="http://schemas.openxmlformats.org/officeDocument/2006/relationships/settings" Target="settings.xml"/><Relationship Id="rId9" Type="http://schemas.openxmlformats.org/officeDocument/2006/relationships/hyperlink" Target="mailto:tsbjcadcc@itu.int" TargetMode="External"/><Relationship Id="rId14" Type="http://schemas.openxmlformats.org/officeDocument/2006/relationships/hyperlink" Target="mailto:tsbjcadcc@itu.int"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itu.int/es/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enavente\AppData\Roaming\Microsoft\Templates\POOL%20S%20-%20ITU\PS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27D5-7057-4C1D-9DB1-7B326968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PS_TSBCIRC.dotx</Template>
  <TotalTime>70</TotalTime>
  <Pages>5</Pages>
  <Words>1512</Words>
  <Characters>8603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10095</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Spanish</dc:creator>
  <cp:lastModifiedBy>Braud, Olivia</cp:lastModifiedBy>
  <cp:revision>10</cp:revision>
  <cp:lastPrinted>2022-05-23T08:32:00Z</cp:lastPrinted>
  <dcterms:created xsi:type="dcterms:W3CDTF">2022-05-03T08:02:00Z</dcterms:created>
  <dcterms:modified xsi:type="dcterms:W3CDTF">2022-05-23T08:32:00Z</dcterms:modified>
</cp:coreProperties>
</file>