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4" w:type="dxa"/>
        <w:tblLayout w:type="fixed"/>
        <w:tblLook w:val="0000" w:firstRow="0" w:lastRow="0" w:firstColumn="0" w:lastColumn="0" w:noHBand="0" w:noVBand="0"/>
      </w:tblPr>
      <w:tblGrid>
        <w:gridCol w:w="1218"/>
        <w:gridCol w:w="200"/>
        <w:gridCol w:w="3467"/>
        <w:gridCol w:w="5329"/>
      </w:tblGrid>
      <w:tr w:rsidR="007B6316" w:rsidRPr="00065D39" w14:paraId="1799C185" w14:textId="77777777" w:rsidTr="00E55C8E">
        <w:trPr>
          <w:cantSplit/>
          <w:trHeight w:val="340"/>
        </w:trPr>
        <w:tc>
          <w:tcPr>
            <w:tcW w:w="1418" w:type="dxa"/>
            <w:gridSpan w:val="2"/>
          </w:tcPr>
          <w:p w14:paraId="5C5FA909" w14:textId="77777777" w:rsidR="007B6316" w:rsidRPr="00065D3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65D39">
              <w:rPr>
                <w:noProof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065D39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65D3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065D39" w:rsidRDefault="007B6316" w:rsidP="00DD6F23">
            <w:pPr>
              <w:spacing w:before="0"/>
            </w:pPr>
            <w:r w:rsidRPr="00065D3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65D3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65D3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C0B9A" w14:paraId="7E61B152" w14:textId="77777777" w:rsidTr="00E55C8E">
        <w:trPr>
          <w:cantSplit/>
          <w:trHeight w:val="340"/>
        </w:trPr>
        <w:tc>
          <w:tcPr>
            <w:tcW w:w="1218" w:type="dxa"/>
          </w:tcPr>
          <w:p w14:paraId="00A1BBF3" w14:textId="77777777" w:rsidR="007B6316" w:rsidRPr="004C0B9A" w:rsidRDefault="007B6316" w:rsidP="00565ABB">
            <w:pPr>
              <w:spacing w:after="120"/>
            </w:pPr>
          </w:p>
        </w:tc>
        <w:tc>
          <w:tcPr>
            <w:tcW w:w="3667" w:type="dxa"/>
            <w:gridSpan w:val="2"/>
          </w:tcPr>
          <w:p w14:paraId="57B40855" w14:textId="77777777" w:rsidR="007B6316" w:rsidRPr="004C0B9A" w:rsidRDefault="007B6316" w:rsidP="00565ABB"/>
        </w:tc>
        <w:tc>
          <w:tcPr>
            <w:tcW w:w="5329" w:type="dxa"/>
          </w:tcPr>
          <w:p w14:paraId="30B0816B" w14:textId="470877AA" w:rsidR="007B6316" w:rsidRPr="004C0B9A" w:rsidRDefault="007B6316" w:rsidP="00E55C8E">
            <w:r w:rsidRPr="004C0B9A">
              <w:t>Ginebra,</w:t>
            </w:r>
            <w:r w:rsidR="003F25BC" w:rsidRPr="004C0B9A">
              <w:t xml:space="preserve"> </w:t>
            </w:r>
            <w:r w:rsidR="00103210">
              <w:t>29</w:t>
            </w:r>
            <w:r w:rsidR="00103210" w:rsidRPr="004C0B9A">
              <w:t xml:space="preserve"> </w:t>
            </w:r>
            <w:r w:rsidR="003F25BC" w:rsidRPr="004C0B9A">
              <w:t xml:space="preserve">de </w:t>
            </w:r>
            <w:r w:rsidR="00103210">
              <w:t>marzo</w:t>
            </w:r>
            <w:r w:rsidR="00103210" w:rsidRPr="004C0B9A">
              <w:t xml:space="preserve"> </w:t>
            </w:r>
            <w:r w:rsidR="003F25BC" w:rsidRPr="004C0B9A">
              <w:t>de 202</w:t>
            </w:r>
            <w:r w:rsidR="0096546D" w:rsidRPr="004C0B9A">
              <w:t>2</w:t>
            </w:r>
          </w:p>
        </w:tc>
      </w:tr>
      <w:tr w:rsidR="007B6316" w:rsidRPr="004C0B9A" w14:paraId="2828E5EA" w14:textId="77777777" w:rsidTr="00E55C8E">
        <w:trPr>
          <w:cantSplit/>
          <w:trHeight w:val="340"/>
        </w:trPr>
        <w:tc>
          <w:tcPr>
            <w:tcW w:w="1218" w:type="dxa"/>
          </w:tcPr>
          <w:p w14:paraId="1D1805EB" w14:textId="6CB48BAB" w:rsidR="007B6316" w:rsidRPr="00B97932" w:rsidRDefault="007B6316" w:rsidP="00E55C8E">
            <w:r w:rsidRPr="00B97932">
              <w:t>Ref.:</w:t>
            </w:r>
          </w:p>
        </w:tc>
        <w:tc>
          <w:tcPr>
            <w:tcW w:w="3667" w:type="dxa"/>
            <w:gridSpan w:val="2"/>
          </w:tcPr>
          <w:p w14:paraId="643E8ADD" w14:textId="2BEB5947" w:rsidR="007B6316" w:rsidRPr="00E55C8E" w:rsidRDefault="003F25BC" w:rsidP="00E55C8E">
            <w:pPr>
              <w:rPr>
                <w:b/>
                <w:bCs/>
              </w:rPr>
            </w:pPr>
            <w:r w:rsidRPr="00E55C8E">
              <w:rPr>
                <w:b/>
                <w:bCs/>
              </w:rPr>
              <w:t xml:space="preserve">Circular TSB </w:t>
            </w:r>
            <w:r w:rsidR="00103210" w:rsidRPr="00E55C8E">
              <w:rPr>
                <w:b/>
                <w:bCs/>
              </w:rPr>
              <w:t>005</w:t>
            </w:r>
          </w:p>
        </w:tc>
        <w:tc>
          <w:tcPr>
            <w:tcW w:w="5329" w:type="dxa"/>
            <w:vMerge w:val="restart"/>
          </w:tcPr>
          <w:p w14:paraId="1F07187C" w14:textId="77777777" w:rsidR="00E55C8E" w:rsidRPr="00E55C8E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E55C8E">
              <w:rPr>
                <w:b/>
                <w:bCs/>
              </w:rPr>
              <w:t>A:</w:t>
            </w:r>
          </w:p>
          <w:p w14:paraId="400AD461" w14:textId="6E431700" w:rsidR="003F25BC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7B6316" w:rsidRPr="004C0B9A">
              <w:tab/>
            </w:r>
            <w:r w:rsidR="003F25BC" w:rsidRPr="004C0B9A">
              <w:t>las Administraciones de los Estados Miembros de</w:t>
            </w:r>
            <w:r w:rsidR="00846DAD" w:rsidRPr="004C0B9A">
              <w:t xml:space="preserve"> </w:t>
            </w:r>
            <w:r w:rsidR="003F25BC" w:rsidRPr="004C0B9A">
              <w:t>la Unión;</w:t>
            </w:r>
          </w:p>
          <w:p w14:paraId="7A8275AF" w14:textId="1BD8E796" w:rsidR="003F25BC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  <w:t>los Miembros de Sector del UIT</w:t>
            </w:r>
            <w:r w:rsidR="003F25BC" w:rsidRPr="004C0B9A">
              <w:noBreakHyphen/>
              <w:t>T;</w:t>
            </w:r>
          </w:p>
          <w:p w14:paraId="79E9C2B7" w14:textId="6B391F8F" w:rsidR="003F25BC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  <w:t>los Asociados del UIT</w:t>
            </w:r>
            <w:r w:rsidR="003F25BC" w:rsidRPr="004C0B9A">
              <w:noBreakHyphen/>
              <w:t>T;</w:t>
            </w:r>
          </w:p>
          <w:p w14:paraId="4E62321A" w14:textId="097CA863" w:rsidR="007B6316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  <w:t>las Instituciones Académicas de la UIT</w:t>
            </w:r>
          </w:p>
        </w:tc>
      </w:tr>
      <w:tr w:rsidR="007B6316" w:rsidRPr="004C0B9A" w14:paraId="5AF146B0" w14:textId="77777777" w:rsidTr="00E55C8E">
        <w:trPr>
          <w:cantSplit/>
        </w:trPr>
        <w:tc>
          <w:tcPr>
            <w:tcW w:w="1218" w:type="dxa"/>
          </w:tcPr>
          <w:p w14:paraId="44090D03" w14:textId="77777777" w:rsidR="007B6316" w:rsidRPr="00B97932" w:rsidRDefault="007B6316" w:rsidP="00E55C8E">
            <w:r w:rsidRPr="00B97932">
              <w:t>Tel.:</w:t>
            </w:r>
          </w:p>
        </w:tc>
        <w:tc>
          <w:tcPr>
            <w:tcW w:w="3667" w:type="dxa"/>
            <w:gridSpan w:val="2"/>
          </w:tcPr>
          <w:p w14:paraId="2A44FF1D" w14:textId="0AB44B0C" w:rsidR="007B6316" w:rsidRPr="00E55C8E" w:rsidRDefault="007B6316" w:rsidP="00E55C8E">
            <w:r w:rsidRPr="00E55C8E">
              <w:t>+41 22 730</w:t>
            </w:r>
            <w:r w:rsidR="00F87524" w:rsidRPr="00E55C8E">
              <w:t xml:space="preserve"> 6301</w:t>
            </w:r>
          </w:p>
        </w:tc>
        <w:tc>
          <w:tcPr>
            <w:tcW w:w="5329" w:type="dxa"/>
            <w:vMerge/>
          </w:tcPr>
          <w:p w14:paraId="33FBB8E7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4C0B9A" w14:paraId="5DA7AE6E" w14:textId="77777777" w:rsidTr="00E55C8E">
        <w:trPr>
          <w:cantSplit/>
        </w:trPr>
        <w:tc>
          <w:tcPr>
            <w:tcW w:w="1218" w:type="dxa"/>
          </w:tcPr>
          <w:p w14:paraId="7531C6CB" w14:textId="77777777" w:rsidR="007B6316" w:rsidRPr="00B97932" w:rsidRDefault="007B6316" w:rsidP="00E55C8E">
            <w:r w:rsidRPr="00B97932">
              <w:t>Fax:</w:t>
            </w:r>
          </w:p>
        </w:tc>
        <w:tc>
          <w:tcPr>
            <w:tcW w:w="3667" w:type="dxa"/>
            <w:gridSpan w:val="2"/>
          </w:tcPr>
          <w:p w14:paraId="11A4596D" w14:textId="77777777" w:rsidR="007B6316" w:rsidRPr="00E55C8E" w:rsidRDefault="007B6316" w:rsidP="00E55C8E">
            <w:r w:rsidRPr="004C0B9A"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4C0B9A" w14:paraId="0BAFEFC0" w14:textId="77777777" w:rsidTr="00E55C8E">
        <w:trPr>
          <w:cantSplit/>
        </w:trPr>
        <w:tc>
          <w:tcPr>
            <w:tcW w:w="1218" w:type="dxa"/>
          </w:tcPr>
          <w:p w14:paraId="04DBA3EE" w14:textId="77777777" w:rsidR="00C34772" w:rsidRPr="00B97932" w:rsidRDefault="00C34772" w:rsidP="00E55C8E">
            <w:r w:rsidRPr="00B97932">
              <w:t>Correo-e:</w:t>
            </w:r>
          </w:p>
        </w:tc>
        <w:tc>
          <w:tcPr>
            <w:tcW w:w="3667" w:type="dxa"/>
            <w:gridSpan w:val="2"/>
          </w:tcPr>
          <w:p w14:paraId="792C9F80" w14:textId="37020F52" w:rsidR="00C34772" w:rsidRPr="004C0B9A" w:rsidRDefault="00936D4C" w:rsidP="00E55C8E">
            <w:hyperlink r:id="rId9" w:history="1">
              <w:r w:rsidR="00E55C8E" w:rsidRPr="00B42258">
                <w:rPr>
                  <w:rStyle w:val="Hyperlink"/>
                </w:rPr>
                <w:t>u4ssc@itu.int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E55C8E" w:rsidRDefault="00C34772" w:rsidP="00E55C8E">
            <w:pPr>
              <w:rPr>
                <w:b/>
                <w:bCs/>
              </w:rPr>
            </w:pPr>
            <w:r w:rsidRPr="00E55C8E">
              <w:rPr>
                <w:b/>
                <w:bCs/>
              </w:rPr>
              <w:t>Copia:</w:t>
            </w:r>
          </w:p>
          <w:p w14:paraId="7FBAB35A" w14:textId="60E4C3B6" w:rsidR="003F25BC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</w:r>
            <w:r>
              <w:t>a</w:t>
            </w:r>
            <w:r w:rsidR="003F25BC" w:rsidRPr="004C0B9A">
              <w:t xml:space="preserve"> los Presidentes y Vicepresidentes de las Comisiones de Estudio;</w:t>
            </w:r>
          </w:p>
          <w:p w14:paraId="387F7477" w14:textId="55678FCF" w:rsidR="003F25BC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</w:r>
            <w:r>
              <w:t>a</w:t>
            </w:r>
            <w:r w:rsidR="003F25BC" w:rsidRPr="004C0B9A">
              <w:t xml:space="preserve"> la Directora de la Oficina de Desarrollo de las Telecomunicaciones;</w:t>
            </w:r>
          </w:p>
          <w:p w14:paraId="1B2F9691" w14:textId="3153B74C" w:rsidR="00C34772" w:rsidRPr="004C0B9A" w:rsidRDefault="00E55C8E" w:rsidP="00E55C8E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</w:pPr>
            <w:r>
              <w:t>–</w:t>
            </w:r>
            <w:r w:rsidR="003F25BC" w:rsidRPr="004C0B9A">
              <w:tab/>
            </w:r>
            <w:r>
              <w:t>a</w:t>
            </w:r>
            <w:r w:rsidR="003F25BC" w:rsidRPr="004C0B9A">
              <w:t>l Director de la Oficina de Radiocomunicaciones</w:t>
            </w:r>
          </w:p>
        </w:tc>
      </w:tr>
      <w:tr w:rsidR="007B6316" w:rsidRPr="004C0B9A" w14:paraId="178F5A2C" w14:textId="77777777" w:rsidTr="00E55C8E">
        <w:trPr>
          <w:cantSplit/>
        </w:trPr>
        <w:tc>
          <w:tcPr>
            <w:tcW w:w="1218" w:type="dxa"/>
          </w:tcPr>
          <w:p w14:paraId="778D5FA1" w14:textId="77777777" w:rsidR="007B6316" w:rsidRPr="00E55C8E" w:rsidRDefault="007B6316" w:rsidP="00E55C8E">
            <w:pPr>
              <w:rPr>
                <w:b/>
                <w:bCs/>
              </w:rPr>
            </w:pPr>
            <w:r w:rsidRPr="00E55C8E">
              <w:rPr>
                <w:b/>
                <w:bCs/>
              </w:rPr>
              <w:t>Asunto:</w:t>
            </w:r>
          </w:p>
        </w:tc>
        <w:tc>
          <w:tcPr>
            <w:tcW w:w="8996" w:type="dxa"/>
            <w:gridSpan w:val="3"/>
          </w:tcPr>
          <w:p w14:paraId="059A9D40" w14:textId="65D579ED" w:rsidR="007B6316" w:rsidRPr="00565ABB" w:rsidRDefault="003F25BC" w:rsidP="00E55C8E">
            <w:pPr>
              <w:rPr>
                <w:b/>
                <w:bCs/>
              </w:rPr>
            </w:pPr>
            <w:bookmarkStart w:id="1" w:name="_Hlk56593723"/>
            <w:r w:rsidRPr="00565ABB">
              <w:rPr>
                <w:b/>
                <w:bCs/>
              </w:rPr>
              <w:t>S</w:t>
            </w:r>
            <w:r w:rsidR="004709A6" w:rsidRPr="00565ABB">
              <w:rPr>
                <w:b/>
                <w:bCs/>
              </w:rPr>
              <w:t>erie de</w:t>
            </w:r>
            <w:r w:rsidRPr="00565ABB">
              <w:rPr>
                <w:b/>
                <w:bCs/>
              </w:rPr>
              <w:t xml:space="preserve"> web</w:t>
            </w:r>
            <w:r w:rsidR="008F3047" w:rsidRPr="00565ABB">
              <w:rPr>
                <w:b/>
                <w:bCs/>
              </w:rPr>
              <w:t>inarios</w:t>
            </w:r>
            <w:r w:rsidRPr="00565ABB">
              <w:rPr>
                <w:b/>
                <w:bCs/>
              </w:rPr>
              <w:t xml:space="preserve"> sobre </w:t>
            </w:r>
            <w:r w:rsidR="004709A6" w:rsidRPr="00565ABB">
              <w:rPr>
                <w:b/>
                <w:bCs/>
              </w:rPr>
              <w:t>t</w:t>
            </w:r>
            <w:r w:rsidR="00345457" w:rsidRPr="00565ABB">
              <w:rPr>
                <w:b/>
                <w:bCs/>
              </w:rPr>
              <w:t>ransformación digital de ciudades y comunidades</w:t>
            </w:r>
            <w:bookmarkEnd w:id="1"/>
            <w:r w:rsidRPr="00565ABB">
              <w:rPr>
                <w:b/>
                <w:bCs/>
              </w:rPr>
              <w:t xml:space="preserve"> </w:t>
            </w:r>
            <w:r w:rsidR="00E55C8E" w:rsidRPr="00565ABB">
              <w:rPr>
                <w:b/>
                <w:bCs/>
              </w:rPr>
              <w:br/>
            </w:r>
            <w:r w:rsidR="00F43AD6" w:rsidRPr="00FD05F1">
              <w:rPr>
                <w:b/>
                <w:bCs/>
                <w:u w:val="single"/>
              </w:rPr>
              <w:t>Nuevo episodio</w:t>
            </w:r>
            <w:r w:rsidR="00F43AD6" w:rsidRPr="00565ABB">
              <w:rPr>
                <w:b/>
                <w:bCs/>
              </w:rPr>
              <w:t xml:space="preserve">: </w:t>
            </w:r>
            <w:r w:rsidR="00103210" w:rsidRPr="00565ABB">
              <w:rPr>
                <w:b/>
                <w:bCs/>
              </w:rPr>
              <w:t>Plataformas de ciudad inteligente para una gestión integrada en las ciudades inteligentes y sostenibles</w:t>
            </w:r>
            <w:bookmarkStart w:id="2" w:name="lt_pId049"/>
            <w:r w:rsidR="0096546D" w:rsidRPr="00565ABB">
              <w:rPr>
                <w:b/>
                <w:bCs/>
              </w:rPr>
              <w:t xml:space="preserve">, </w:t>
            </w:r>
            <w:r w:rsidR="00103210" w:rsidRPr="00565ABB">
              <w:rPr>
                <w:b/>
                <w:bCs/>
              </w:rPr>
              <w:t xml:space="preserve">28 </w:t>
            </w:r>
            <w:r w:rsidR="0096546D" w:rsidRPr="00565ABB">
              <w:rPr>
                <w:b/>
                <w:bCs/>
              </w:rPr>
              <w:t xml:space="preserve">de </w:t>
            </w:r>
            <w:r w:rsidR="00103210" w:rsidRPr="00565ABB">
              <w:rPr>
                <w:b/>
                <w:bCs/>
              </w:rPr>
              <w:t xml:space="preserve">abril </w:t>
            </w:r>
            <w:r w:rsidR="0096546D" w:rsidRPr="00565ABB">
              <w:rPr>
                <w:b/>
                <w:bCs/>
              </w:rPr>
              <w:t xml:space="preserve">de </w:t>
            </w:r>
            <w:r w:rsidR="00F43AD6" w:rsidRPr="00565ABB">
              <w:rPr>
                <w:b/>
                <w:bCs/>
              </w:rPr>
              <w:t>2022</w:t>
            </w:r>
            <w:bookmarkEnd w:id="2"/>
          </w:p>
        </w:tc>
      </w:tr>
    </w:tbl>
    <w:p w14:paraId="71830D1E" w14:textId="6136A5D3" w:rsidR="00C34772" w:rsidRPr="004C0B9A" w:rsidRDefault="00C34772" w:rsidP="00E55C8E">
      <w:pPr>
        <w:pStyle w:val="Normalaftertitle0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4C0B9A">
        <w:t>Muy Señora mía/Muy Señor mío</w:t>
      </w:r>
      <w:r w:rsidR="00E55C8E">
        <w:t>:</w:t>
      </w:r>
    </w:p>
    <w:p w14:paraId="7BCFB016" w14:textId="43E75613" w:rsidR="002A26FC" w:rsidRPr="004C0B9A" w:rsidRDefault="00345457" w:rsidP="00E55C8E">
      <w:r w:rsidRPr="004C0B9A">
        <w:t>1</w:t>
      </w:r>
      <w:r w:rsidRPr="004C0B9A">
        <w:tab/>
      </w:r>
      <w:r w:rsidR="00F43AD6" w:rsidRPr="004C0B9A">
        <w:t xml:space="preserve">Me complace informarle que la Unión Internacional de Telecomunicaciones (UIT) está organizando un episodio adicional de la serie de webinarios sobre </w:t>
      </w:r>
      <w:r w:rsidR="00F43AD6" w:rsidRPr="004C0B9A">
        <w:rPr>
          <w:b/>
          <w:bCs/>
        </w:rPr>
        <w:t>Transformación digital de ciudades y comunidades</w:t>
      </w:r>
      <w:r w:rsidR="00F43AD6" w:rsidRPr="004C0B9A">
        <w:t>, cuyo objetivo es debatir temas emergentes relacionados con la transformación digital, facilitar la colaboración entre las partes interesadas de las ciudades y explorar el papel de la normalización en el proceso.</w:t>
      </w:r>
      <w:r w:rsidR="002A26FC" w:rsidRPr="004C0B9A">
        <w:t xml:space="preserve"> La serie también servirá como una nueva plataforma para destacar los últimos trabajos y resultados de la </w:t>
      </w:r>
      <w:hyperlink r:id="rId10" w:history="1">
        <w:r w:rsidR="00565ABB" w:rsidRPr="00565ABB">
          <w:rPr>
            <w:rStyle w:val="Hyperlink"/>
            <w:szCs w:val="24"/>
          </w:rPr>
          <w:t xml:space="preserve">Comisión de Estudio 20 del UIT-T "Internet de las cosas (IoT) y </w:t>
        </w:r>
        <w:r w:rsidR="006372E7" w:rsidRPr="00565ABB">
          <w:rPr>
            <w:rStyle w:val="Hyperlink"/>
            <w:szCs w:val="24"/>
          </w:rPr>
          <w:t>c</w:t>
        </w:r>
        <w:r w:rsidR="00565ABB" w:rsidRPr="00565ABB">
          <w:rPr>
            <w:rStyle w:val="Hyperlink"/>
            <w:szCs w:val="24"/>
          </w:rPr>
          <w:t xml:space="preserve">iudades y </w:t>
        </w:r>
        <w:r w:rsidR="006372E7" w:rsidRPr="00565ABB">
          <w:rPr>
            <w:rStyle w:val="Hyperlink"/>
            <w:szCs w:val="24"/>
          </w:rPr>
          <w:t>c</w:t>
        </w:r>
        <w:r w:rsidR="00565ABB" w:rsidRPr="00565ABB">
          <w:rPr>
            <w:rStyle w:val="Hyperlink"/>
            <w:szCs w:val="24"/>
          </w:rPr>
          <w:t xml:space="preserve">omunidades </w:t>
        </w:r>
        <w:r w:rsidR="006372E7" w:rsidRPr="00565ABB">
          <w:rPr>
            <w:rStyle w:val="Hyperlink"/>
            <w:szCs w:val="24"/>
          </w:rPr>
          <w:t>i</w:t>
        </w:r>
        <w:r w:rsidR="00565ABB" w:rsidRPr="00565ABB">
          <w:rPr>
            <w:rStyle w:val="Hyperlink"/>
            <w:szCs w:val="24"/>
          </w:rPr>
          <w:t>nteligentes (C+CI)"</w:t>
        </w:r>
      </w:hyperlink>
      <w:r w:rsidR="002A26FC" w:rsidRPr="004C0B9A">
        <w:t>.</w:t>
      </w:r>
    </w:p>
    <w:p w14:paraId="54E353EB" w14:textId="78BE709C" w:rsidR="005F5C04" w:rsidRPr="004C0B9A" w:rsidRDefault="002A26FC" w:rsidP="00E55C8E">
      <w:r w:rsidRPr="004C0B9A">
        <w:t xml:space="preserve">Este episodio sobre </w:t>
      </w:r>
      <w:r w:rsidR="00565ABB">
        <w:t>"</w:t>
      </w:r>
      <w:r w:rsidR="00103210" w:rsidRPr="00565ABB">
        <w:rPr>
          <w:b/>
          <w:bCs/>
        </w:rPr>
        <w:t>Plataformas de ciudad inteligente para una gestión integrada en las ciudades inteligentes y sostenibles</w:t>
      </w:r>
      <w:r w:rsidR="00565ABB">
        <w:t>"</w:t>
      </w:r>
      <w:r w:rsidRPr="004C0B9A">
        <w:t xml:space="preserve"> tendrá lugar virtualmente el </w:t>
      </w:r>
      <w:r w:rsidR="00103210" w:rsidRPr="006372E7">
        <w:rPr>
          <w:b/>
          <w:bCs/>
        </w:rPr>
        <w:t xml:space="preserve">28 </w:t>
      </w:r>
      <w:r w:rsidRPr="006372E7">
        <w:rPr>
          <w:b/>
          <w:bCs/>
        </w:rPr>
        <w:t xml:space="preserve">de </w:t>
      </w:r>
      <w:r w:rsidR="00103210" w:rsidRPr="006372E7">
        <w:rPr>
          <w:b/>
          <w:bCs/>
        </w:rPr>
        <w:t xml:space="preserve">abril </w:t>
      </w:r>
      <w:r w:rsidRPr="006372E7">
        <w:rPr>
          <w:b/>
          <w:bCs/>
        </w:rPr>
        <w:t>de 2022</w:t>
      </w:r>
      <w:r w:rsidRPr="004C0B9A">
        <w:t xml:space="preserve"> de las </w:t>
      </w:r>
      <w:r w:rsidR="005F5C04" w:rsidRPr="004C0B9A">
        <w:t>13</w:t>
      </w:r>
      <w:r w:rsidR="00565ABB">
        <w:t>.</w:t>
      </w:r>
      <w:r w:rsidR="005F5C04" w:rsidRPr="004C0B9A">
        <w:t>00</w:t>
      </w:r>
      <w:r w:rsidR="00565ABB">
        <w:t> </w:t>
      </w:r>
      <w:r w:rsidR="005F5C04" w:rsidRPr="004C0B9A">
        <w:t xml:space="preserve">a </w:t>
      </w:r>
      <w:r w:rsidR="00103210">
        <w:t>13</w:t>
      </w:r>
      <w:r w:rsidR="00565ABB">
        <w:t>.</w:t>
      </w:r>
      <w:r w:rsidR="00103210">
        <w:t>45</w:t>
      </w:r>
      <w:r w:rsidR="005F5C04" w:rsidRPr="004C0B9A">
        <w:t xml:space="preserve"> horas, hora de Ginebra.</w:t>
      </w:r>
    </w:p>
    <w:p w14:paraId="43D207C4" w14:textId="2A5F01E6" w:rsidR="00345457" w:rsidRPr="004C0B9A" w:rsidRDefault="00345457" w:rsidP="00E55C8E">
      <w:r w:rsidRPr="004C0B9A">
        <w:t>2</w:t>
      </w:r>
      <w:r w:rsidRPr="004C0B9A">
        <w:tab/>
      </w:r>
      <w:bookmarkStart w:id="6" w:name="lt_pId054"/>
      <w:r w:rsidR="002A26FC" w:rsidRPr="004C0B9A">
        <w:t>Esta reunión se celebrará únicamente en inglés.</w:t>
      </w:r>
      <w:bookmarkEnd w:id="6"/>
    </w:p>
    <w:p w14:paraId="32B561D3" w14:textId="203C6F22" w:rsidR="00407F0C" w:rsidRPr="004C0B9A" w:rsidRDefault="00345457" w:rsidP="00E55C8E">
      <w:r w:rsidRPr="004C0B9A">
        <w:t>3</w:t>
      </w:r>
      <w:r w:rsidRPr="004C0B9A">
        <w:tab/>
      </w:r>
      <w:r w:rsidR="0020583A" w:rsidRPr="0020583A">
        <w:t>Las plataformas de ciudad inteligente son una infraestructura digital fundamental que permite la aplicación de soluciones digitales y estrategias de ciudades inteligentes. Las plataformas de ciudad inteligente proporcionan a las ciudades la infraestructura necesaria para coordinar la gestión de los datos y facilitar la interoperabilidad entre los distintos sectores. Son cruciales para resolver los retos que plantea la fragmentación de las operaciones y avanzar hacia un enfoque integrado de la gestión con los datos como principal activo</w:t>
      </w:r>
      <w:r w:rsidR="00565ABB">
        <w:t>.</w:t>
      </w:r>
    </w:p>
    <w:p w14:paraId="0128DA25" w14:textId="41543A51" w:rsidR="00D253A5" w:rsidRPr="004C0B9A" w:rsidRDefault="00EA5409" w:rsidP="00CF1066">
      <w:pPr>
        <w:keepNext/>
        <w:keepLines/>
      </w:pPr>
      <w:r w:rsidRPr="00EA5409">
        <w:lastRenderedPageBreak/>
        <w:t xml:space="preserve">Este </w:t>
      </w:r>
      <w:r w:rsidR="00CF1066" w:rsidRPr="00CF1066">
        <w:t>webinario</w:t>
      </w:r>
      <w:r w:rsidRPr="00EA5409">
        <w:t xml:space="preserve"> ofrecerá una visión general del papel de las plataformas urbanas para facilitar las estrategias de las ciudades inteligentes. El </w:t>
      </w:r>
      <w:r w:rsidR="00CF1066" w:rsidRPr="00CF1066">
        <w:t>webinario</w:t>
      </w:r>
      <w:r w:rsidRPr="00EA5409">
        <w:t xml:space="preserve"> también ofrecerá la oportunidad de presentar los últimos productos finales de U4SSC: </w:t>
      </w:r>
      <w:r w:rsidR="00565ABB">
        <w:t>"</w:t>
      </w:r>
      <w:r w:rsidRPr="00EA5409">
        <w:t>Soluciones digitales para la gestión integrada de las ciudades y casos de uso</w:t>
      </w:r>
      <w:r w:rsidR="00565ABB">
        <w:t>"</w:t>
      </w:r>
      <w:r w:rsidRPr="00EA5409">
        <w:t xml:space="preserve"> y </w:t>
      </w:r>
      <w:r w:rsidR="00565ABB">
        <w:t>"</w:t>
      </w:r>
      <w:r w:rsidRPr="00EA5409">
        <w:t>Compendio de resultados de encuestas sobre soluciones digitales integradas</w:t>
      </w:r>
      <w:r w:rsidR="00565ABB">
        <w:t>"</w:t>
      </w:r>
      <w:r w:rsidRPr="00EA5409">
        <w:t>. Estos productos finales mostrarán las experiencias de las ciudades en la implementación de plataformas de ciudad inteligente y la transformación que han experimentado como resultado</w:t>
      </w:r>
      <w:r w:rsidR="00D253A5" w:rsidRPr="004C0B9A">
        <w:t>.</w:t>
      </w:r>
    </w:p>
    <w:p w14:paraId="5686C0A3" w14:textId="5462EC13" w:rsidR="00C74780" w:rsidRPr="004C0B9A" w:rsidRDefault="00345457" w:rsidP="00E55C8E">
      <w:r w:rsidRPr="004C0B9A">
        <w:t>4</w:t>
      </w:r>
      <w:r w:rsidRPr="004C0B9A">
        <w:tab/>
      </w:r>
      <w:bookmarkStart w:id="7" w:name="lt_pId066"/>
      <w:r w:rsidR="00C74780" w:rsidRPr="004C0B9A">
        <w:t xml:space="preserve">La participación en </w:t>
      </w:r>
      <w:r w:rsidR="00580475" w:rsidRPr="004C0B9A">
        <w:t xml:space="preserve">el </w:t>
      </w:r>
      <w:r w:rsidR="00CF1066" w:rsidRPr="00CF1066">
        <w:t>webinario</w:t>
      </w:r>
      <w:r w:rsidR="00C74780" w:rsidRPr="004C0B9A">
        <w:t xml:space="preserve"> está abierta a los Estados Miembros, a los Miembros de Sector, a los Asociados, a las Instituciones Académicas de la UIT, y a cualquier persona de un país que sea </w:t>
      </w:r>
      <w:r w:rsidR="00846DAD" w:rsidRPr="004C0B9A">
        <w:t xml:space="preserve">Miembro </w:t>
      </w:r>
      <w:r w:rsidR="00C74780" w:rsidRPr="004C0B9A">
        <w:t>de la UIT y desee contribuir a los trabajos. Esto incluye a las personas que también sean miembros de organizaciones nacionales, regionales e internacionales. La participación es gratuita.</w:t>
      </w:r>
    </w:p>
    <w:bookmarkEnd w:id="7"/>
    <w:p w14:paraId="2865BDE8" w14:textId="09DD403A" w:rsidR="00345457" w:rsidRPr="004C0B9A" w:rsidRDefault="00345457" w:rsidP="00E55C8E">
      <w:r w:rsidRPr="004C0B9A">
        <w:t>5</w:t>
      </w:r>
      <w:r w:rsidRPr="004C0B9A">
        <w:tab/>
      </w:r>
      <w:r w:rsidR="00C74780" w:rsidRPr="004C0B9A">
        <w:t>La información relativa a esta reunión, incluido el proyecto de programa, los oradores, los detalles de la conexión a distancia, el enlace de inscripción, etc., estará disponible en el sitio web del evento en la dirección</w:t>
      </w:r>
      <w:r w:rsidR="00580475" w:rsidRPr="004C0B9A">
        <w:t>:</w:t>
      </w:r>
      <w:r w:rsidR="00565ABB" w:rsidRPr="00FE53E1">
        <w:rPr>
          <w:rFonts w:ascii="Calibri" w:eastAsia="Batang" w:hAnsi="Calibri"/>
          <w:lang w:val="es-ES"/>
        </w:rPr>
        <w:t xml:space="preserve"> </w:t>
      </w:r>
      <w:hyperlink r:id="rId11" w:history="1">
        <w:r w:rsidR="00565ABB" w:rsidRPr="00FE53E1">
          <w:rPr>
            <w:rStyle w:val="Hyperlink"/>
            <w:rFonts w:ascii="Calibri" w:eastAsia="Batang" w:hAnsi="Calibri"/>
            <w:lang w:val="es-ES"/>
          </w:rPr>
          <w:t>https://www.itu.int/en/ITU-T/webinars/DT4CC/20220428/Pages/default.aspx</w:t>
        </w:r>
      </w:hyperlink>
      <w:r w:rsidR="00E9306C" w:rsidRPr="004C0B9A">
        <w:t xml:space="preserve">. </w:t>
      </w:r>
      <w:r w:rsidR="00C74780" w:rsidRPr="004C0B9A">
        <w:t xml:space="preserve">Este sitio web se actualizará periódicamente a medida que se disponga de información nueva o modificada. Se invita a los participantes a consultar periódicamente el sitio web para actualizar su información. Rogamos tenga presente que la inscripción a este </w:t>
      </w:r>
      <w:r w:rsidR="00E9306C" w:rsidRPr="00CF1066">
        <w:t>webinario</w:t>
      </w:r>
      <w:r w:rsidR="00C74780" w:rsidRPr="004C0B9A">
        <w:t xml:space="preserve"> es obligatoria</w:t>
      </w:r>
      <w:r w:rsidRPr="004C0B9A">
        <w:t>.</w:t>
      </w:r>
    </w:p>
    <w:p w14:paraId="617EA341" w14:textId="3E92A62B" w:rsidR="00830F3A" w:rsidRPr="004C0B9A" w:rsidRDefault="00345457" w:rsidP="00565ABB">
      <w:r w:rsidRPr="004C0B9A">
        <w:t>6</w:t>
      </w:r>
      <w:r w:rsidRPr="004C0B9A">
        <w:tab/>
      </w:r>
      <w:r w:rsidR="00E9306C" w:rsidRPr="004C0B9A">
        <w:t xml:space="preserve">Para ver los episodios anteriores de esta serie de </w:t>
      </w:r>
      <w:r w:rsidR="00965EC9" w:rsidRPr="00CF1066">
        <w:t>web</w:t>
      </w:r>
      <w:r w:rsidR="005F11EA" w:rsidRPr="00CF1066">
        <w:t>inarios</w:t>
      </w:r>
      <w:r w:rsidR="005F11EA" w:rsidRPr="004C0B9A">
        <w:t xml:space="preserve"> </w:t>
      </w:r>
      <w:r w:rsidR="00E9306C" w:rsidRPr="004C0B9A">
        <w:t xml:space="preserve">sobre la </w:t>
      </w:r>
      <w:r w:rsidR="00846DAD" w:rsidRPr="004C0B9A">
        <w:rPr>
          <w:b/>
          <w:bCs/>
        </w:rPr>
        <w:t xml:space="preserve">Transformación </w:t>
      </w:r>
      <w:r w:rsidR="00E9306C" w:rsidRPr="004C0B9A">
        <w:rPr>
          <w:b/>
          <w:bCs/>
        </w:rPr>
        <w:t>digital de ciudades y comunidades</w:t>
      </w:r>
      <w:r w:rsidR="00E9306C" w:rsidRPr="004C0B9A">
        <w:t xml:space="preserve">, consulte las grabaciones siguiendo los enlaces respectivos disponibles en la página principal que se encuentra </w:t>
      </w:r>
      <w:hyperlink r:id="rId12" w:history="1">
        <w:r w:rsidR="00E9306C" w:rsidRPr="00565ABB">
          <w:rPr>
            <w:rStyle w:val="Hyperlink"/>
          </w:rPr>
          <w:t>aquí</w:t>
        </w:r>
      </w:hyperlink>
      <w:r w:rsidRPr="004C0B9A">
        <w:t>.</w:t>
      </w:r>
    </w:p>
    <w:p w14:paraId="0552B928" w14:textId="54C2D2FB" w:rsidR="007B6316" w:rsidRDefault="007B6316" w:rsidP="00565ABB">
      <w:pPr>
        <w:rPr>
          <w:rFonts w:cstheme="minorHAnsi"/>
        </w:rPr>
      </w:pPr>
      <w:r w:rsidRPr="004C0B9A">
        <w:t>Atentamente</w:t>
      </w:r>
      <w:r w:rsidRPr="004C0B9A">
        <w:rPr>
          <w:rFonts w:cstheme="minorHAnsi"/>
        </w:rPr>
        <w:t>,</w:t>
      </w:r>
    </w:p>
    <w:p w14:paraId="62F74AF7" w14:textId="5124BB54" w:rsidR="001F4284" w:rsidRPr="004C0B9A" w:rsidRDefault="00936D4C" w:rsidP="006673A3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0DB2B6" wp14:editId="0B9BF601">
            <wp:simplePos x="0" y="0"/>
            <wp:positionH relativeFrom="column">
              <wp:posOffset>3810</wp:posOffset>
            </wp:positionH>
            <wp:positionV relativeFrom="paragraph">
              <wp:posOffset>135255</wp:posOffset>
            </wp:positionV>
            <wp:extent cx="676275" cy="304582"/>
            <wp:effectExtent l="0" t="0" r="0" b="63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9" cy="30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4C0B9A">
        <w:t>Chaesub Lee</w:t>
      </w:r>
      <w:r w:rsidR="007B6316" w:rsidRPr="004C0B9A">
        <w:br/>
      </w:r>
      <w:proofErr w:type="gramStart"/>
      <w:r w:rsidR="007B6316" w:rsidRPr="004C0B9A">
        <w:t>Director</w:t>
      </w:r>
      <w:proofErr w:type="gramEnd"/>
      <w:r w:rsidR="007B6316" w:rsidRPr="004C0B9A">
        <w:t xml:space="preserve"> de la Oficina de </w:t>
      </w:r>
      <w:r w:rsidR="007B6316" w:rsidRPr="004C0B9A">
        <w:br/>
        <w:t>Normalización de las Telecomunicaciones</w:t>
      </w:r>
    </w:p>
    <w:sectPr w:rsidR="001F4284" w:rsidRPr="004C0B9A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4241" w14:textId="77777777" w:rsidR="00CD43FD" w:rsidRDefault="00CD43FD">
      <w:r>
        <w:separator/>
      </w:r>
    </w:p>
  </w:endnote>
  <w:endnote w:type="continuationSeparator" w:id="0">
    <w:p w14:paraId="461B37D5" w14:textId="77777777" w:rsidR="00CD43FD" w:rsidRDefault="00C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64B926F1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E55C8E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185F" w14:textId="77777777" w:rsidR="00CD43FD" w:rsidRDefault="00CD43FD">
      <w:r>
        <w:t>____________________</w:t>
      </w:r>
    </w:p>
  </w:footnote>
  <w:footnote w:type="continuationSeparator" w:id="0">
    <w:p w14:paraId="0153581A" w14:textId="77777777" w:rsidR="00CD43FD" w:rsidRDefault="00CD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1E833597" w:rsidR="006969B4" w:rsidRPr="004C0B9A" w:rsidRDefault="006969B4">
    <w:pPr>
      <w:pStyle w:val="Header"/>
      <w:rPr>
        <w:rStyle w:val="PageNumber"/>
        <w:rFonts w:cstheme="minorHAnsi"/>
        <w:sz w:val="18"/>
        <w:szCs w:val="18"/>
      </w:rPr>
    </w:pPr>
    <w:r w:rsidRPr="004C0B9A">
      <w:rPr>
        <w:rFonts w:cstheme="minorHAnsi"/>
        <w:sz w:val="18"/>
        <w:szCs w:val="18"/>
      </w:rPr>
      <w:t xml:space="preserve">- </w:t>
    </w:r>
    <w:r w:rsidR="00B87E9E" w:rsidRPr="004C0B9A">
      <w:rPr>
        <w:rStyle w:val="PageNumber"/>
        <w:rFonts w:cstheme="minorHAnsi"/>
        <w:sz w:val="18"/>
        <w:szCs w:val="18"/>
      </w:rPr>
      <w:fldChar w:fldCharType="begin"/>
    </w:r>
    <w:r w:rsidRPr="004C0B9A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4C0B9A">
      <w:rPr>
        <w:rStyle w:val="PageNumber"/>
        <w:rFonts w:cstheme="minorHAnsi"/>
        <w:sz w:val="18"/>
        <w:szCs w:val="18"/>
      </w:rPr>
      <w:fldChar w:fldCharType="separate"/>
    </w:r>
    <w:r w:rsidR="00C65DCB" w:rsidRPr="004C0B9A">
      <w:rPr>
        <w:rStyle w:val="PageNumber"/>
        <w:rFonts w:cstheme="minorHAnsi"/>
        <w:noProof/>
        <w:sz w:val="18"/>
        <w:szCs w:val="18"/>
      </w:rPr>
      <w:t>2</w:t>
    </w:r>
    <w:r w:rsidR="00B87E9E" w:rsidRPr="004C0B9A">
      <w:rPr>
        <w:rStyle w:val="PageNumber"/>
        <w:rFonts w:cstheme="minorHAnsi"/>
        <w:sz w:val="18"/>
        <w:szCs w:val="18"/>
      </w:rPr>
      <w:fldChar w:fldCharType="end"/>
    </w:r>
    <w:r w:rsidRPr="004C0B9A">
      <w:rPr>
        <w:rStyle w:val="PageNumber"/>
        <w:rFonts w:cstheme="minorHAnsi"/>
        <w:sz w:val="18"/>
        <w:szCs w:val="18"/>
      </w:rPr>
      <w:t xml:space="preserve"> -</w:t>
    </w:r>
  </w:p>
  <w:p w14:paraId="17DAEEF5" w14:textId="5C1E0636" w:rsidR="000A50D5" w:rsidRPr="004C0B9A" w:rsidRDefault="000A50D5">
    <w:pPr>
      <w:pStyle w:val="Header"/>
      <w:rPr>
        <w:rFonts w:cstheme="minorHAnsi"/>
        <w:sz w:val="18"/>
        <w:szCs w:val="18"/>
      </w:rPr>
    </w:pPr>
    <w:r w:rsidRPr="004C0B9A">
      <w:rPr>
        <w:rFonts w:cstheme="minorHAnsi"/>
        <w:sz w:val="18"/>
        <w:szCs w:val="18"/>
        <w:lang w:val="en-GB"/>
      </w:rPr>
      <w:t xml:space="preserve">Circular TSB </w:t>
    </w:r>
    <w:r w:rsidR="00EA5409">
      <w:rPr>
        <w:rFonts w:cstheme="minorHAnsi"/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503130004">
    <w:abstractNumId w:val="1"/>
  </w:num>
  <w:num w:numId="2" w16cid:durableId="220943163">
    <w:abstractNumId w:val="4"/>
  </w:num>
  <w:num w:numId="3" w16cid:durableId="1856379396">
    <w:abstractNumId w:val="3"/>
  </w:num>
  <w:num w:numId="4" w16cid:durableId="1366908713">
    <w:abstractNumId w:val="2"/>
  </w:num>
  <w:num w:numId="5" w16cid:durableId="140418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65D39"/>
    <w:rsid w:val="00085662"/>
    <w:rsid w:val="000A50D5"/>
    <w:rsid w:val="000C382F"/>
    <w:rsid w:val="000F5A6C"/>
    <w:rsid w:val="00103210"/>
    <w:rsid w:val="001173CC"/>
    <w:rsid w:val="0014464D"/>
    <w:rsid w:val="00162338"/>
    <w:rsid w:val="001A54CC"/>
    <w:rsid w:val="001D229A"/>
    <w:rsid w:val="001F4284"/>
    <w:rsid w:val="0020583A"/>
    <w:rsid w:val="00257FB4"/>
    <w:rsid w:val="0027092F"/>
    <w:rsid w:val="002A26FC"/>
    <w:rsid w:val="002C5AF6"/>
    <w:rsid w:val="002E496E"/>
    <w:rsid w:val="00303D62"/>
    <w:rsid w:val="00335367"/>
    <w:rsid w:val="00345457"/>
    <w:rsid w:val="00370C2D"/>
    <w:rsid w:val="0038244E"/>
    <w:rsid w:val="003B029C"/>
    <w:rsid w:val="003D1E8D"/>
    <w:rsid w:val="003D4682"/>
    <w:rsid w:val="003D649D"/>
    <w:rsid w:val="003D673B"/>
    <w:rsid w:val="003F25BC"/>
    <w:rsid w:val="003F2855"/>
    <w:rsid w:val="00401C20"/>
    <w:rsid w:val="00402F79"/>
    <w:rsid w:val="0040691F"/>
    <w:rsid w:val="00407F0C"/>
    <w:rsid w:val="004709A6"/>
    <w:rsid w:val="004A345B"/>
    <w:rsid w:val="004A7957"/>
    <w:rsid w:val="004C0B9A"/>
    <w:rsid w:val="004C4144"/>
    <w:rsid w:val="0055719E"/>
    <w:rsid w:val="00564E97"/>
    <w:rsid w:val="00565ABB"/>
    <w:rsid w:val="00580475"/>
    <w:rsid w:val="005A7C20"/>
    <w:rsid w:val="005F11EA"/>
    <w:rsid w:val="005F5C04"/>
    <w:rsid w:val="00624127"/>
    <w:rsid w:val="006372E7"/>
    <w:rsid w:val="006673A3"/>
    <w:rsid w:val="006741C6"/>
    <w:rsid w:val="006969B4"/>
    <w:rsid w:val="006E4F7B"/>
    <w:rsid w:val="007335F0"/>
    <w:rsid w:val="00781E2A"/>
    <w:rsid w:val="007933A2"/>
    <w:rsid w:val="007B6316"/>
    <w:rsid w:val="00814503"/>
    <w:rsid w:val="008258C2"/>
    <w:rsid w:val="00830F3A"/>
    <w:rsid w:val="00846DAD"/>
    <w:rsid w:val="008505BD"/>
    <w:rsid w:val="00850C78"/>
    <w:rsid w:val="008538B8"/>
    <w:rsid w:val="00876165"/>
    <w:rsid w:val="00884D12"/>
    <w:rsid w:val="008C17AD"/>
    <w:rsid w:val="008D02CD"/>
    <w:rsid w:val="008D5A16"/>
    <w:rsid w:val="008F3047"/>
    <w:rsid w:val="0090142B"/>
    <w:rsid w:val="0091370C"/>
    <w:rsid w:val="00920437"/>
    <w:rsid w:val="00936D4C"/>
    <w:rsid w:val="0095172A"/>
    <w:rsid w:val="0096546D"/>
    <w:rsid w:val="00965EC9"/>
    <w:rsid w:val="00980582"/>
    <w:rsid w:val="009A0BA0"/>
    <w:rsid w:val="009C7B6E"/>
    <w:rsid w:val="00A54E47"/>
    <w:rsid w:val="00A6095D"/>
    <w:rsid w:val="00A94FA0"/>
    <w:rsid w:val="00AB6E3A"/>
    <w:rsid w:val="00AC59A9"/>
    <w:rsid w:val="00AD770D"/>
    <w:rsid w:val="00AE7093"/>
    <w:rsid w:val="00B1253C"/>
    <w:rsid w:val="00B422BC"/>
    <w:rsid w:val="00B43F77"/>
    <w:rsid w:val="00B55A3E"/>
    <w:rsid w:val="00B87E9E"/>
    <w:rsid w:val="00B95F0A"/>
    <w:rsid w:val="00B96180"/>
    <w:rsid w:val="00B97932"/>
    <w:rsid w:val="00BA19FF"/>
    <w:rsid w:val="00BF2E09"/>
    <w:rsid w:val="00C116FE"/>
    <w:rsid w:val="00C17AC0"/>
    <w:rsid w:val="00C30BCA"/>
    <w:rsid w:val="00C34772"/>
    <w:rsid w:val="00C5465A"/>
    <w:rsid w:val="00C65DCB"/>
    <w:rsid w:val="00C71397"/>
    <w:rsid w:val="00C74780"/>
    <w:rsid w:val="00C8795D"/>
    <w:rsid w:val="00CA5B54"/>
    <w:rsid w:val="00CD43FD"/>
    <w:rsid w:val="00CF1066"/>
    <w:rsid w:val="00D06031"/>
    <w:rsid w:val="00D253A5"/>
    <w:rsid w:val="00D54642"/>
    <w:rsid w:val="00D834E7"/>
    <w:rsid w:val="00DD6F23"/>
    <w:rsid w:val="00DD77C9"/>
    <w:rsid w:val="00DE4B2D"/>
    <w:rsid w:val="00DF3538"/>
    <w:rsid w:val="00E0793F"/>
    <w:rsid w:val="00E55C8E"/>
    <w:rsid w:val="00E664DA"/>
    <w:rsid w:val="00E839B0"/>
    <w:rsid w:val="00E92C09"/>
    <w:rsid w:val="00E9306C"/>
    <w:rsid w:val="00EA52D7"/>
    <w:rsid w:val="00EA5409"/>
    <w:rsid w:val="00EF57A5"/>
    <w:rsid w:val="00F14380"/>
    <w:rsid w:val="00F43AD6"/>
    <w:rsid w:val="00F6461F"/>
    <w:rsid w:val="00F77F67"/>
    <w:rsid w:val="00F87524"/>
    <w:rsid w:val="00FA5271"/>
    <w:rsid w:val="00FC416A"/>
    <w:rsid w:val="00FD05F1"/>
    <w:rsid w:val="00FD2B2D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47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7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t4c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T4CC/2022042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22-2024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3856-9D85-489F-9C9D-48C66973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45</TotalTime>
  <Pages>2</Pages>
  <Words>612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4462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12</cp:revision>
  <cp:lastPrinted>2022-04-22T09:40:00Z</cp:lastPrinted>
  <dcterms:created xsi:type="dcterms:W3CDTF">2022-04-14T13:47:00Z</dcterms:created>
  <dcterms:modified xsi:type="dcterms:W3CDTF">2022-04-22T09:42:00Z</dcterms:modified>
</cp:coreProperties>
</file>