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1126"/>
        <w:gridCol w:w="284"/>
        <w:gridCol w:w="567"/>
        <w:gridCol w:w="2693"/>
        <w:gridCol w:w="3119"/>
        <w:gridCol w:w="2126"/>
        <w:gridCol w:w="8"/>
      </w:tblGrid>
      <w:tr w:rsidR="00036F4F" w:rsidRPr="00756568" w14:paraId="6A695DF1" w14:textId="77777777" w:rsidTr="00136101">
        <w:trPr>
          <w:gridAfter w:val="1"/>
          <w:wAfter w:w="8" w:type="dxa"/>
          <w:cantSplit/>
          <w:jc w:val="center"/>
        </w:trPr>
        <w:tc>
          <w:tcPr>
            <w:tcW w:w="1418" w:type="dxa"/>
            <w:gridSpan w:val="3"/>
            <w:vAlign w:val="center"/>
          </w:tcPr>
          <w:p w14:paraId="34BB2A8A" w14:textId="77777777" w:rsidR="00036F4F" w:rsidRPr="00756568" w:rsidRDefault="00036F4F" w:rsidP="00D14F31">
            <w:pPr>
              <w:tabs>
                <w:tab w:val="right" w:pos="8732"/>
              </w:tabs>
              <w:spacing w:before="0"/>
              <w:rPr>
                <w:b/>
                <w:bCs/>
                <w:iCs/>
                <w:color w:val="FFFFFF"/>
                <w:sz w:val="30"/>
                <w:szCs w:val="30"/>
              </w:rPr>
            </w:pPr>
            <w:r w:rsidRPr="00756568">
              <w:rPr>
                <w:noProof/>
                <w:lang w:val="en-US"/>
              </w:rPr>
              <w:drawing>
                <wp:inline distT="0" distB="0" distL="0" distR="0" wp14:anchorId="4464FD08" wp14:editId="714C0374">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0B5BC149" w14:textId="77777777" w:rsidR="00036F4F" w:rsidRPr="00756568" w:rsidRDefault="00036F4F" w:rsidP="00D14F31">
            <w:pPr>
              <w:spacing w:before="0"/>
              <w:rPr>
                <w:rFonts w:cs="Times New Roman Bold"/>
                <w:b/>
                <w:bCs/>
                <w:iCs/>
                <w:smallCaps/>
                <w:sz w:val="34"/>
                <w:szCs w:val="34"/>
              </w:rPr>
            </w:pPr>
            <w:r w:rsidRPr="00756568">
              <w:rPr>
                <w:rFonts w:cs="Times New Roman Bold"/>
                <w:b/>
                <w:bCs/>
                <w:iCs/>
                <w:smallCaps/>
                <w:sz w:val="34"/>
                <w:szCs w:val="34"/>
              </w:rPr>
              <w:t>Union internationale des télécommunications</w:t>
            </w:r>
          </w:p>
          <w:p w14:paraId="5A12B621" w14:textId="77777777" w:rsidR="00036F4F" w:rsidRPr="00756568" w:rsidRDefault="00036F4F" w:rsidP="00D14F31">
            <w:pPr>
              <w:tabs>
                <w:tab w:val="right" w:pos="8732"/>
              </w:tabs>
              <w:spacing w:before="0"/>
              <w:rPr>
                <w:b/>
                <w:bCs/>
                <w:iCs/>
                <w:color w:val="FFFFFF"/>
                <w:sz w:val="30"/>
                <w:szCs w:val="30"/>
              </w:rPr>
            </w:pPr>
            <w:r w:rsidRPr="00756568">
              <w:rPr>
                <w:rFonts w:cs="Times New Roman Bold"/>
                <w:b/>
                <w:bCs/>
                <w:iCs/>
                <w:smallCaps/>
                <w:sz w:val="28"/>
                <w:szCs w:val="28"/>
              </w:rPr>
              <w:t>B</w:t>
            </w:r>
            <w:r w:rsidRPr="00756568">
              <w:rPr>
                <w:b/>
                <w:bCs/>
                <w:iCs/>
                <w:smallCaps/>
                <w:sz w:val="28"/>
                <w:szCs w:val="28"/>
              </w:rPr>
              <w:t>ureau de la Normalisation des Télécommunications</w:t>
            </w:r>
          </w:p>
        </w:tc>
        <w:tc>
          <w:tcPr>
            <w:tcW w:w="2126" w:type="dxa"/>
            <w:vAlign w:val="center"/>
          </w:tcPr>
          <w:p w14:paraId="1AE1FB10" w14:textId="77777777" w:rsidR="00036F4F" w:rsidRPr="00756568" w:rsidRDefault="00036F4F" w:rsidP="00D14F31">
            <w:pPr>
              <w:spacing w:before="0"/>
              <w:jc w:val="right"/>
              <w:rPr>
                <w:color w:val="FFFFFF"/>
                <w:sz w:val="26"/>
                <w:szCs w:val="26"/>
              </w:rPr>
            </w:pPr>
          </w:p>
        </w:tc>
      </w:tr>
      <w:tr w:rsidR="00036F4F" w:rsidRPr="00374C3D" w14:paraId="76313AD3" w14:textId="77777777" w:rsidTr="00136101">
        <w:trPr>
          <w:gridBefore w:val="1"/>
          <w:wBefore w:w="8" w:type="dxa"/>
          <w:cantSplit/>
          <w:jc w:val="center"/>
        </w:trPr>
        <w:tc>
          <w:tcPr>
            <w:tcW w:w="1977" w:type="dxa"/>
            <w:gridSpan w:val="3"/>
          </w:tcPr>
          <w:p w14:paraId="6745CB2D" w14:textId="77777777" w:rsidR="00036F4F" w:rsidRPr="00374C3D" w:rsidRDefault="00036F4F" w:rsidP="00A5280F">
            <w:pPr>
              <w:tabs>
                <w:tab w:val="left" w:pos="4111"/>
              </w:tabs>
              <w:spacing w:before="10"/>
              <w:ind w:left="57"/>
              <w:rPr>
                <w:rFonts w:cstheme="minorHAnsi"/>
                <w:sz w:val="22"/>
                <w:szCs w:val="22"/>
              </w:rPr>
            </w:pPr>
          </w:p>
        </w:tc>
        <w:tc>
          <w:tcPr>
            <w:tcW w:w="2693" w:type="dxa"/>
          </w:tcPr>
          <w:p w14:paraId="7B907B60" w14:textId="77777777" w:rsidR="00036F4F" w:rsidRPr="00374C3D" w:rsidRDefault="00036F4F" w:rsidP="00A5280F">
            <w:pPr>
              <w:tabs>
                <w:tab w:val="left" w:pos="4111"/>
              </w:tabs>
              <w:spacing w:before="10"/>
              <w:ind w:left="57"/>
              <w:rPr>
                <w:rFonts w:cstheme="minorHAnsi"/>
                <w:b/>
                <w:sz w:val="22"/>
                <w:szCs w:val="22"/>
              </w:rPr>
            </w:pPr>
          </w:p>
        </w:tc>
        <w:tc>
          <w:tcPr>
            <w:tcW w:w="5253" w:type="dxa"/>
            <w:gridSpan w:val="3"/>
          </w:tcPr>
          <w:p w14:paraId="70D9FFA4" w14:textId="0BC68779" w:rsidR="00036F4F" w:rsidRPr="00374C3D" w:rsidRDefault="00036F4F" w:rsidP="00A5645A">
            <w:pPr>
              <w:tabs>
                <w:tab w:val="clear" w:pos="794"/>
                <w:tab w:val="clear" w:pos="1191"/>
                <w:tab w:val="clear" w:pos="1588"/>
                <w:tab w:val="clear" w:pos="1985"/>
                <w:tab w:val="left" w:pos="284"/>
              </w:tabs>
              <w:spacing w:after="120"/>
              <w:ind w:left="284" w:hanging="227"/>
              <w:rPr>
                <w:rFonts w:cstheme="minorHAnsi"/>
                <w:sz w:val="22"/>
                <w:szCs w:val="22"/>
              </w:rPr>
            </w:pPr>
            <w:r w:rsidRPr="00374C3D">
              <w:rPr>
                <w:rFonts w:cstheme="minorHAnsi"/>
                <w:sz w:val="22"/>
                <w:szCs w:val="22"/>
              </w:rPr>
              <w:t>Genève, le</w:t>
            </w:r>
            <w:r w:rsidR="000F6C80" w:rsidRPr="00374C3D">
              <w:rPr>
                <w:rFonts w:cstheme="minorHAnsi"/>
                <w:sz w:val="22"/>
                <w:szCs w:val="22"/>
              </w:rPr>
              <w:t xml:space="preserve"> 28 mars 2022</w:t>
            </w:r>
          </w:p>
        </w:tc>
      </w:tr>
      <w:tr w:rsidR="00036F4F" w:rsidRPr="00374C3D" w14:paraId="7F1BDD27" w14:textId="77777777" w:rsidTr="00136101">
        <w:trPr>
          <w:gridBefore w:val="1"/>
          <w:wBefore w:w="8" w:type="dxa"/>
          <w:cantSplit/>
          <w:trHeight w:val="340"/>
          <w:jc w:val="center"/>
        </w:trPr>
        <w:tc>
          <w:tcPr>
            <w:tcW w:w="1126" w:type="dxa"/>
          </w:tcPr>
          <w:p w14:paraId="59AAA16B" w14:textId="77777777" w:rsidR="00036F4F" w:rsidRPr="00374C3D" w:rsidRDefault="00036F4F" w:rsidP="00A5280F">
            <w:pPr>
              <w:tabs>
                <w:tab w:val="left" w:pos="4111"/>
              </w:tabs>
              <w:spacing w:before="10"/>
              <w:ind w:left="57"/>
              <w:rPr>
                <w:rFonts w:cstheme="minorHAnsi"/>
                <w:b/>
                <w:bCs/>
                <w:sz w:val="22"/>
                <w:szCs w:val="22"/>
              </w:rPr>
            </w:pPr>
            <w:proofErr w:type="gramStart"/>
            <w:r w:rsidRPr="00374C3D">
              <w:rPr>
                <w:rFonts w:cstheme="minorHAnsi"/>
                <w:b/>
                <w:bCs/>
                <w:sz w:val="22"/>
                <w:szCs w:val="22"/>
              </w:rPr>
              <w:t>Réf.:</w:t>
            </w:r>
            <w:proofErr w:type="gramEnd"/>
          </w:p>
          <w:p w14:paraId="01FF6DF3" w14:textId="77777777" w:rsidR="00036F4F" w:rsidRPr="00374C3D" w:rsidRDefault="00036F4F" w:rsidP="00036F4F">
            <w:pPr>
              <w:tabs>
                <w:tab w:val="left" w:pos="4111"/>
              </w:tabs>
              <w:spacing w:before="10"/>
              <w:ind w:left="57"/>
              <w:rPr>
                <w:rFonts w:cstheme="minorHAnsi"/>
                <w:b/>
                <w:bCs/>
                <w:sz w:val="22"/>
                <w:szCs w:val="22"/>
              </w:rPr>
            </w:pPr>
          </w:p>
        </w:tc>
        <w:tc>
          <w:tcPr>
            <w:tcW w:w="3544" w:type="dxa"/>
            <w:gridSpan w:val="3"/>
          </w:tcPr>
          <w:p w14:paraId="3F29C238" w14:textId="0424B7DC" w:rsidR="00036F4F" w:rsidRPr="00374C3D" w:rsidRDefault="00036F4F" w:rsidP="00A5280F">
            <w:pPr>
              <w:tabs>
                <w:tab w:val="left" w:pos="4111"/>
              </w:tabs>
              <w:spacing w:before="10"/>
              <w:ind w:left="57"/>
              <w:rPr>
                <w:rFonts w:cstheme="minorHAnsi"/>
                <w:b/>
                <w:sz w:val="22"/>
                <w:szCs w:val="22"/>
              </w:rPr>
            </w:pPr>
            <w:r w:rsidRPr="00374C3D">
              <w:rPr>
                <w:rFonts w:cstheme="minorHAnsi"/>
                <w:b/>
                <w:sz w:val="22"/>
                <w:szCs w:val="22"/>
              </w:rPr>
              <w:t xml:space="preserve">Circulaire TSB </w:t>
            </w:r>
            <w:r w:rsidR="000F6C80" w:rsidRPr="00374C3D">
              <w:rPr>
                <w:rFonts w:cstheme="minorHAnsi"/>
                <w:b/>
                <w:bCs/>
                <w:sz w:val="22"/>
                <w:szCs w:val="22"/>
              </w:rPr>
              <w:t>003</w:t>
            </w:r>
          </w:p>
          <w:p w14:paraId="400CA800" w14:textId="1F6CED3F" w:rsidR="00036F4F" w:rsidRPr="00374C3D" w:rsidRDefault="000F6C80" w:rsidP="00036F4F">
            <w:pPr>
              <w:tabs>
                <w:tab w:val="left" w:pos="4111"/>
              </w:tabs>
              <w:spacing w:before="10"/>
              <w:ind w:left="57"/>
              <w:rPr>
                <w:rFonts w:cstheme="minorHAnsi"/>
                <w:b/>
                <w:sz w:val="22"/>
                <w:szCs w:val="22"/>
              </w:rPr>
            </w:pPr>
            <w:r w:rsidRPr="00374C3D">
              <w:rPr>
                <w:rFonts w:cstheme="minorHAnsi"/>
                <w:sz w:val="22"/>
                <w:szCs w:val="22"/>
              </w:rPr>
              <w:t>Manifestations du TSB/XY</w:t>
            </w:r>
          </w:p>
        </w:tc>
        <w:tc>
          <w:tcPr>
            <w:tcW w:w="5253" w:type="dxa"/>
            <w:gridSpan w:val="3"/>
            <w:vMerge w:val="restart"/>
          </w:tcPr>
          <w:p w14:paraId="4095E7AF" w14:textId="2CE6421A" w:rsidR="00036F4F" w:rsidRPr="00374C3D" w:rsidRDefault="00036F4F" w:rsidP="00756568">
            <w:pPr>
              <w:tabs>
                <w:tab w:val="clear" w:pos="794"/>
                <w:tab w:val="clear" w:pos="1191"/>
                <w:tab w:val="clear" w:pos="1588"/>
                <w:tab w:val="clear" w:pos="1985"/>
              </w:tabs>
              <w:spacing w:before="0"/>
              <w:ind w:left="284" w:hanging="227"/>
              <w:rPr>
                <w:rFonts w:cstheme="minorHAnsi"/>
                <w:sz w:val="22"/>
                <w:szCs w:val="22"/>
              </w:rPr>
            </w:pPr>
            <w:bookmarkStart w:id="0" w:name="Addressee_F"/>
            <w:bookmarkEnd w:id="0"/>
            <w:r w:rsidRPr="00374C3D">
              <w:rPr>
                <w:rFonts w:cstheme="minorHAnsi"/>
                <w:sz w:val="22"/>
                <w:szCs w:val="22"/>
              </w:rPr>
              <w:t>-</w:t>
            </w:r>
            <w:r w:rsidRPr="00374C3D">
              <w:rPr>
                <w:rFonts w:cstheme="minorHAnsi"/>
                <w:sz w:val="22"/>
                <w:szCs w:val="22"/>
              </w:rPr>
              <w:tab/>
              <w:t xml:space="preserve">Aux </w:t>
            </w:r>
            <w:r w:rsidR="00B13436" w:rsidRPr="00374C3D">
              <w:rPr>
                <w:rFonts w:cstheme="minorHAnsi"/>
                <w:sz w:val="22"/>
                <w:szCs w:val="22"/>
              </w:rPr>
              <w:t>A</w:t>
            </w:r>
            <w:r w:rsidRPr="00374C3D">
              <w:rPr>
                <w:rFonts w:cstheme="minorHAnsi"/>
                <w:sz w:val="22"/>
                <w:szCs w:val="22"/>
              </w:rPr>
              <w:t xml:space="preserve">dministrations des </w:t>
            </w:r>
            <w:r w:rsidR="00B12642" w:rsidRPr="00374C3D">
              <w:rPr>
                <w:rFonts w:cstheme="minorHAnsi"/>
                <w:sz w:val="22"/>
                <w:szCs w:val="22"/>
              </w:rPr>
              <w:t>États</w:t>
            </w:r>
            <w:r w:rsidRPr="00374C3D">
              <w:rPr>
                <w:rFonts w:cstheme="minorHAnsi"/>
                <w:sz w:val="22"/>
                <w:szCs w:val="22"/>
              </w:rPr>
              <w:t xml:space="preserve"> Membres de </w:t>
            </w:r>
            <w:proofErr w:type="gramStart"/>
            <w:r w:rsidRPr="00374C3D">
              <w:rPr>
                <w:rFonts w:cstheme="minorHAnsi"/>
                <w:sz w:val="22"/>
                <w:szCs w:val="22"/>
              </w:rPr>
              <w:t>l'Union</w:t>
            </w:r>
            <w:r w:rsidR="00756568" w:rsidRPr="00374C3D">
              <w:rPr>
                <w:rFonts w:cstheme="minorHAnsi"/>
                <w:sz w:val="22"/>
                <w:szCs w:val="22"/>
              </w:rPr>
              <w:t>;</w:t>
            </w:r>
            <w:proofErr w:type="gramEnd"/>
          </w:p>
          <w:p w14:paraId="65C3ECF6" w14:textId="77777777" w:rsidR="000F6C80" w:rsidRPr="00374C3D" w:rsidRDefault="000F6C80" w:rsidP="00756568">
            <w:pPr>
              <w:tabs>
                <w:tab w:val="clear" w:pos="794"/>
                <w:tab w:val="clear" w:pos="1191"/>
                <w:tab w:val="clear" w:pos="1588"/>
                <w:tab w:val="clear" w:pos="1985"/>
              </w:tabs>
              <w:spacing w:before="0"/>
              <w:ind w:left="284" w:hanging="227"/>
              <w:rPr>
                <w:rFonts w:cstheme="minorHAnsi"/>
                <w:sz w:val="22"/>
                <w:szCs w:val="22"/>
              </w:rPr>
            </w:pPr>
            <w:r w:rsidRPr="00374C3D">
              <w:rPr>
                <w:rFonts w:cstheme="minorHAnsi"/>
                <w:sz w:val="22"/>
                <w:szCs w:val="22"/>
              </w:rPr>
              <w:t>-</w:t>
            </w:r>
            <w:r w:rsidRPr="00374C3D">
              <w:rPr>
                <w:rFonts w:cstheme="minorHAnsi"/>
                <w:sz w:val="22"/>
                <w:szCs w:val="22"/>
              </w:rPr>
              <w:tab/>
              <w:t>aux Membres du Secteur UIT-</w:t>
            </w:r>
            <w:proofErr w:type="gramStart"/>
            <w:r w:rsidRPr="00374C3D">
              <w:rPr>
                <w:rFonts w:cstheme="minorHAnsi"/>
                <w:sz w:val="22"/>
                <w:szCs w:val="22"/>
              </w:rPr>
              <w:t>T;</w:t>
            </w:r>
            <w:proofErr w:type="gramEnd"/>
          </w:p>
          <w:p w14:paraId="28667BAD" w14:textId="77777777" w:rsidR="000F6C80" w:rsidRPr="00374C3D" w:rsidRDefault="000F6C80" w:rsidP="00756568">
            <w:pPr>
              <w:tabs>
                <w:tab w:val="clear" w:pos="794"/>
                <w:tab w:val="clear" w:pos="1191"/>
                <w:tab w:val="clear" w:pos="1588"/>
                <w:tab w:val="clear" w:pos="1985"/>
              </w:tabs>
              <w:spacing w:before="0"/>
              <w:ind w:left="284" w:hanging="227"/>
              <w:rPr>
                <w:rFonts w:cstheme="minorHAnsi"/>
                <w:sz w:val="22"/>
                <w:szCs w:val="22"/>
              </w:rPr>
            </w:pPr>
            <w:r w:rsidRPr="00374C3D">
              <w:rPr>
                <w:rFonts w:cstheme="minorHAnsi"/>
                <w:sz w:val="22"/>
                <w:szCs w:val="22"/>
              </w:rPr>
              <w:t>-</w:t>
            </w:r>
            <w:r w:rsidRPr="00374C3D">
              <w:rPr>
                <w:rFonts w:cstheme="minorHAnsi"/>
                <w:sz w:val="22"/>
                <w:szCs w:val="22"/>
              </w:rPr>
              <w:tab/>
              <w:t>aux Associés de l'UIT-</w:t>
            </w:r>
            <w:proofErr w:type="gramStart"/>
            <w:r w:rsidRPr="00374C3D">
              <w:rPr>
                <w:rFonts w:cstheme="minorHAnsi"/>
                <w:sz w:val="22"/>
                <w:szCs w:val="22"/>
              </w:rPr>
              <w:t>T;</w:t>
            </w:r>
            <w:proofErr w:type="gramEnd"/>
          </w:p>
          <w:p w14:paraId="51E5FCB0" w14:textId="2EC1CF96" w:rsidR="00036F4F" w:rsidRPr="00374C3D" w:rsidRDefault="000F6C80" w:rsidP="00756568">
            <w:pPr>
              <w:tabs>
                <w:tab w:val="clear" w:pos="794"/>
                <w:tab w:val="clear" w:pos="1191"/>
                <w:tab w:val="clear" w:pos="1588"/>
                <w:tab w:val="clear" w:pos="1985"/>
              </w:tabs>
              <w:spacing w:before="0" w:after="120"/>
              <w:ind w:left="284" w:hanging="227"/>
              <w:rPr>
                <w:rFonts w:cstheme="minorHAnsi"/>
                <w:sz w:val="22"/>
                <w:szCs w:val="22"/>
              </w:rPr>
            </w:pPr>
            <w:r w:rsidRPr="00374C3D">
              <w:rPr>
                <w:rFonts w:cstheme="minorHAnsi"/>
                <w:sz w:val="22"/>
                <w:szCs w:val="22"/>
              </w:rPr>
              <w:t>-</w:t>
            </w:r>
            <w:r w:rsidRPr="00374C3D">
              <w:rPr>
                <w:rFonts w:cstheme="minorHAnsi"/>
                <w:sz w:val="22"/>
                <w:szCs w:val="22"/>
              </w:rPr>
              <w:tab/>
              <w:t>aux établissements universitaires participant aux travaux de l'UIT</w:t>
            </w:r>
          </w:p>
        </w:tc>
      </w:tr>
      <w:tr w:rsidR="000F6C80" w:rsidRPr="00374C3D" w14:paraId="04F8ACBE" w14:textId="77777777" w:rsidTr="00136101">
        <w:trPr>
          <w:gridBefore w:val="1"/>
          <w:wBefore w:w="8" w:type="dxa"/>
          <w:cantSplit/>
          <w:trHeight w:val="340"/>
          <w:jc w:val="center"/>
        </w:trPr>
        <w:tc>
          <w:tcPr>
            <w:tcW w:w="1126" w:type="dxa"/>
          </w:tcPr>
          <w:p w14:paraId="6D51CA9A" w14:textId="204F29DB" w:rsidR="000F6C80" w:rsidRPr="00374C3D" w:rsidRDefault="000F6C80" w:rsidP="000F6C80">
            <w:pPr>
              <w:tabs>
                <w:tab w:val="left" w:pos="4111"/>
              </w:tabs>
              <w:spacing w:before="10"/>
              <w:ind w:left="57"/>
              <w:rPr>
                <w:rFonts w:cstheme="minorHAnsi"/>
                <w:b/>
                <w:bCs/>
                <w:sz w:val="22"/>
                <w:szCs w:val="22"/>
              </w:rPr>
            </w:pPr>
            <w:proofErr w:type="gramStart"/>
            <w:r w:rsidRPr="00374C3D">
              <w:rPr>
                <w:rFonts w:cstheme="minorHAnsi"/>
                <w:b/>
                <w:bCs/>
                <w:sz w:val="22"/>
                <w:szCs w:val="22"/>
              </w:rPr>
              <w:t>Contact:</w:t>
            </w:r>
            <w:proofErr w:type="gramEnd"/>
          </w:p>
        </w:tc>
        <w:tc>
          <w:tcPr>
            <w:tcW w:w="3544" w:type="dxa"/>
            <w:gridSpan w:val="3"/>
          </w:tcPr>
          <w:p w14:paraId="75D678EB" w14:textId="18058277" w:rsidR="000F6C80" w:rsidRPr="00374C3D" w:rsidRDefault="000F6C80" w:rsidP="000F6C80">
            <w:pPr>
              <w:tabs>
                <w:tab w:val="left" w:pos="4111"/>
              </w:tabs>
              <w:spacing w:before="10"/>
              <w:ind w:left="57"/>
              <w:rPr>
                <w:rFonts w:cstheme="minorHAnsi"/>
                <w:b/>
                <w:sz w:val="22"/>
                <w:szCs w:val="22"/>
              </w:rPr>
            </w:pPr>
            <w:r w:rsidRPr="00374C3D">
              <w:rPr>
                <w:rFonts w:cstheme="minorHAnsi"/>
                <w:b/>
                <w:bCs/>
                <w:sz w:val="22"/>
                <w:szCs w:val="22"/>
              </w:rPr>
              <w:t>Xiaoya Yang</w:t>
            </w:r>
          </w:p>
        </w:tc>
        <w:tc>
          <w:tcPr>
            <w:tcW w:w="5253" w:type="dxa"/>
            <w:gridSpan w:val="3"/>
            <w:vMerge/>
          </w:tcPr>
          <w:p w14:paraId="3FE9BCB1" w14:textId="77777777" w:rsidR="000F6C80" w:rsidRPr="00374C3D" w:rsidRDefault="000F6C80" w:rsidP="00756568">
            <w:pPr>
              <w:tabs>
                <w:tab w:val="clear" w:pos="794"/>
                <w:tab w:val="clear" w:pos="1191"/>
                <w:tab w:val="clear" w:pos="1588"/>
                <w:tab w:val="clear" w:pos="1985"/>
              </w:tabs>
              <w:spacing w:before="0"/>
              <w:ind w:left="284" w:hanging="227"/>
              <w:rPr>
                <w:rFonts w:cstheme="minorHAnsi"/>
                <w:sz w:val="22"/>
                <w:szCs w:val="22"/>
              </w:rPr>
            </w:pPr>
          </w:p>
        </w:tc>
      </w:tr>
      <w:tr w:rsidR="000F6C80" w:rsidRPr="00374C3D" w14:paraId="478A0604" w14:textId="77777777" w:rsidTr="00136101">
        <w:trPr>
          <w:gridBefore w:val="1"/>
          <w:wBefore w:w="8" w:type="dxa"/>
          <w:cantSplit/>
          <w:jc w:val="center"/>
        </w:trPr>
        <w:tc>
          <w:tcPr>
            <w:tcW w:w="1126" w:type="dxa"/>
          </w:tcPr>
          <w:p w14:paraId="6B000C9D" w14:textId="77777777" w:rsidR="000F6C80" w:rsidRPr="00374C3D" w:rsidRDefault="000F6C80" w:rsidP="000F6C80">
            <w:pPr>
              <w:tabs>
                <w:tab w:val="left" w:pos="4111"/>
              </w:tabs>
              <w:spacing w:before="10"/>
              <w:ind w:left="57"/>
              <w:rPr>
                <w:rFonts w:cstheme="minorHAnsi"/>
                <w:b/>
                <w:bCs/>
                <w:sz w:val="22"/>
                <w:szCs w:val="22"/>
              </w:rPr>
            </w:pPr>
            <w:proofErr w:type="gramStart"/>
            <w:r w:rsidRPr="00374C3D">
              <w:rPr>
                <w:rFonts w:cstheme="minorHAnsi"/>
                <w:b/>
                <w:bCs/>
                <w:sz w:val="22"/>
                <w:szCs w:val="22"/>
              </w:rPr>
              <w:t>Tél.:</w:t>
            </w:r>
            <w:proofErr w:type="gramEnd"/>
          </w:p>
        </w:tc>
        <w:tc>
          <w:tcPr>
            <w:tcW w:w="3544" w:type="dxa"/>
            <w:gridSpan w:val="3"/>
          </w:tcPr>
          <w:p w14:paraId="7BF0CF27" w14:textId="663D6A37" w:rsidR="000F6C80" w:rsidRPr="00374C3D" w:rsidRDefault="000F6C80" w:rsidP="000F6C80">
            <w:pPr>
              <w:tabs>
                <w:tab w:val="left" w:pos="4111"/>
              </w:tabs>
              <w:spacing w:before="0"/>
              <w:ind w:left="57"/>
              <w:rPr>
                <w:rFonts w:cstheme="minorHAnsi"/>
                <w:sz w:val="22"/>
                <w:szCs w:val="22"/>
              </w:rPr>
            </w:pPr>
            <w:r w:rsidRPr="00374C3D">
              <w:rPr>
                <w:rFonts w:cstheme="minorHAnsi"/>
                <w:sz w:val="22"/>
                <w:szCs w:val="22"/>
              </w:rPr>
              <w:t>+41 22 730 6206</w:t>
            </w:r>
          </w:p>
        </w:tc>
        <w:tc>
          <w:tcPr>
            <w:tcW w:w="5253" w:type="dxa"/>
            <w:gridSpan w:val="3"/>
            <w:vMerge/>
          </w:tcPr>
          <w:p w14:paraId="60480F91" w14:textId="77777777" w:rsidR="000F6C80" w:rsidRPr="00374C3D" w:rsidRDefault="000F6C80" w:rsidP="00756568">
            <w:pPr>
              <w:tabs>
                <w:tab w:val="left" w:pos="4111"/>
              </w:tabs>
              <w:spacing w:before="0"/>
              <w:ind w:left="284" w:hanging="227"/>
              <w:rPr>
                <w:rFonts w:cstheme="minorHAnsi"/>
                <w:b/>
                <w:sz w:val="22"/>
                <w:szCs w:val="22"/>
              </w:rPr>
            </w:pPr>
          </w:p>
        </w:tc>
      </w:tr>
      <w:tr w:rsidR="000F6C80" w:rsidRPr="00374C3D" w14:paraId="1EF9BA16" w14:textId="77777777" w:rsidTr="00136101">
        <w:trPr>
          <w:gridBefore w:val="1"/>
          <w:wBefore w:w="8" w:type="dxa"/>
          <w:cantSplit/>
          <w:jc w:val="center"/>
        </w:trPr>
        <w:tc>
          <w:tcPr>
            <w:tcW w:w="1126" w:type="dxa"/>
          </w:tcPr>
          <w:p w14:paraId="1515A737" w14:textId="0CDAAFBF" w:rsidR="000F6C80" w:rsidRPr="00374C3D" w:rsidRDefault="000F6C80" w:rsidP="000F6C80">
            <w:pPr>
              <w:tabs>
                <w:tab w:val="left" w:pos="4111"/>
              </w:tabs>
              <w:spacing w:before="10"/>
              <w:ind w:left="57"/>
              <w:rPr>
                <w:rFonts w:cstheme="minorHAnsi"/>
                <w:b/>
                <w:bCs/>
                <w:sz w:val="22"/>
                <w:szCs w:val="22"/>
              </w:rPr>
            </w:pPr>
            <w:proofErr w:type="gramStart"/>
            <w:r w:rsidRPr="00374C3D">
              <w:rPr>
                <w:rFonts w:cstheme="minorHAnsi"/>
                <w:b/>
                <w:bCs/>
                <w:sz w:val="22"/>
                <w:szCs w:val="22"/>
              </w:rPr>
              <w:t>Télécopie:</w:t>
            </w:r>
            <w:proofErr w:type="gramEnd"/>
          </w:p>
        </w:tc>
        <w:tc>
          <w:tcPr>
            <w:tcW w:w="3544" w:type="dxa"/>
            <w:gridSpan w:val="3"/>
          </w:tcPr>
          <w:p w14:paraId="7ABCA1B3" w14:textId="77777777" w:rsidR="000F6C80" w:rsidRPr="00374C3D" w:rsidRDefault="000F6C80" w:rsidP="000F6C80">
            <w:pPr>
              <w:tabs>
                <w:tab w:val="left" w:pos="4111"/>
              </w:tabs>
              <w:spacing w:before="0"/>
              <w:ind w:left="57"/>
              <w:rPr>
                <w:rFonts w:cstheme="minorHAnsi"/>
                <w:sz w:val="22"/>
                <w:szCs w:val="22"/>
              </w:rPr>
            </w:pPr>
            <w:r w:rsidRPr="00374C3D">
              <w:rPr>
                <w:rFonts w:cstheme="minorHAnsi"/>
                <w:sz w:val="22"/>
                <w:szCs w:val="22"/>
              </w:rPr>
              <w:t>+41 22 730 5853</w:t>
            </w:r>
          </w:p>
        </w:tc>
        <w:tc>
          <w:tcPr>
            <w:tcW w:w="5253" w:type="dxa"/>
            <w:gridSpan w:val="3"/>
            <w:vMerge/>
          </w:tcPr>
          <w:p w14:paraId="31943D20" w14:textId="77777777" w:rsidR="000F6C80" w:rsidRPr="00374C3D" w:rsidRDefault="000F6C80" w:rsidP="00756568">
            <w:pPr>
              <w:tabs>
                <w:tab w:val="left" w:pos="4111"/>
              </w:tabs>
              <w:spacing w:before="0"/>
              <w:ind w:left="284" w:hanging="227"/>
              <w:rPr>
                <w:rFonts w:cstheme="minorHAnsi"/>
                <w:b/>
                <w:sz w:val="22"/>
                <w:szCs w:val="22"/>
              </w:rPr>
            </w:pPr>
          </w:p>
        </w:tc>
      </w:tr>
      <w:tr w:rsidR="000F6C80" w:rsidRPr="00374C3D" w14:paraId="6A8373C9" w14:textId="77777777" w:rsidTr="00136101">
        <w:trPr>
          <w:gridBefore w:val="1"/>
          <w:wBefore w:w="8" w:type="dxa"/>
          <w:cantSplit/>
          <w:jc w:val="center"/>
        </w:trPr>
        <w:tc>
          <w:tcPr>
            <w:tcW w:w="1126" w:type="dxa"/>
          </w:tcPr>
          <w:p w14:paraId="6D64A014" w14:textId="7953A41B" w:rsidR="000F6C80" w:rsidRPr="00374C3D" w:rsidRDefault="000F6C80" w:rsidP="000F6C80">
            <w:pPr>
              <w:tabs>
                <w:tab w:val="left" w:pos="4111"/>
              </w:tabs>
              <w:spacing w:before="10"/>
              <w:ind w:left="57"/>
              <w:rPr>
                <w:rFonts w:cstheme="minorHAnsi"/>
                <w:b/>
                <w:bCs/>
                <w:sz w:val="22"/>
                <w:szCs w:val="22"/>
              </w:rPr>
            </w:pPr>
            <w:proofErr w:type="gramStart"/>
            <w:r w:rsidRPr="00374C3D">
              <w:rPr>
                <w:rFonts w:cstheme="minorHAnsi"/>
                <w:b/>
                <w:bCs/>
                <w:sz w:val="22"/>
                <w:szCs w:val="22"/>
              </w:rPr>
              <w:t>Courriel:</w:t>
            </w:r>
            <w:proofErr w:type="gramEnd"/>
          </w:p>
        </w:tc>
        <w:tc>
          <w:tcPr>
            <w:tcW w:w="3544" w:type="dxa"/>
            <w:gridSpan w:val="3"/>
          </w:tcPr>
          <w:p w14:paraId="485E010C" w14:textId="3409CA1D" w:rsidR="000F6C80" w:rsidRPr="00374C3D" w:rsidRDefault="00F56B2D" w:rsidP="000F6C80">
            <w:pPr>
              <w:tabs>
                <w:tab w:val="left" w:pos="4111"/>
              </w:tabs>
              <w:spacing w:before="0"/>
              <w:ind w:left="57"/>
              <w:rPr>
                <w:rFonts w:cstheme="minorHAnsi"/>
                <w:sz w:val="22"/>
                <w:szCs w:val="22"/>
              </w:rPr>
            </w:pPr>
            <w:hyperlink r:id="rId9" w:history="1">
              <w:r w:rsidR="000F6C80" w:rsidRPr="00374C3D">
                <w:rPr>
                  <w:rStyle w:val="Hyperlink"/>
                  <w:rFonts w:cstheme="minorHAnsi"/>
                  <w:sz w:val="22"/>
                  <w:szCs w:val="22"/>
                </w:rPr>
                <w:t>tsbevents@itu.int</w:t>
              </w:r>
            </w:hyperlink>
          </w:p>
        </w:tc>
        <w:tc>
          <w:tcPr>
            <w:tcW w:w="5253" w:type="dxa"/>
            <w:gridSpan w:val="3"/>
          </w:tcPr>
          <w:p w14:paraId="595B04D8" w14:textId="77777777" w:rsidR="000F6C80" w:rsidRPr="00374C3D" w:rsidRDefault="000F6C80" w:rsidP="00756568">
            <w:pPr>
              <w:tabs>
                <w:tab w:val="left" w:pos="4111"/>
              </w:tabs>
              <w:spacing w:before="0"/>
              <w:ind w:left="284" w:hanging="227"/>
              <w:rPr>
                <w:rFonts w:cstheme="minorHAnsi"/>
                <w:sz w:val="22"/>
                <w:szCs w:val="22"/>
              </w:rPr>
            </w:pPr>
            <w:proofErr w:type="gramStart"/>
            <w:r w:rsidRPr="00374C3D">
              <w:rPr>
                <w:rFonts w:cstheme="minorHAnsi"/>
                <w:b/>
                <w:sz w:val="22"/>
                <w:szCs w:val="22"/>
              </w:rPr>
              <w:t>Copie</w:t>
            </w:r>
            <w:r w:rsidRPr="00374C3D">
              <w:rPr>
                <w:rFonts w:cstheme="minorHAnsi"/>
                <w:sz w:val="22"/>
                <w:szCs w:val="22"/>
              </w:rPr>
              <w:t>:</w:t>
            </w:r>
            <w:proofErr w:type="gramEnd"/>
          </w:p>
          <w:p w14:paraId="7027DBDA" w14:textId="61F64080" w:rsidR="000F6C80" w:rsidRPr="00374C3D" w:rsidRDefault="000F6C80" w:rsidP="00756568">
            <w:pPr>
              <w:tabs>
                <w:tab w:val="clear" w:pos="794"/>
                <w:tab w:val="left" w:pos="4111"/>
              </w:tabs>
              <w:spacing w:before="0"/>
              <w:ind w:left="284" w:hanging="227"/>
              <w:rPr>
                <w:rFonts w:cstheme="minorHAnsi"/>
                <w:sz w:val="22"/>
                <w:szCs w:val="22"/>
              </w:rPr>
            </w:pPr>
            <w:r w:rsidRPr="00374C3D">
              <w:rPr>
                <w:rFonts w:cstheme="minorHAnsi"/>
                <w:sz w:val="22"/>
                <w:szCs w:val="22"/>
              </w:rPr>
              <w:t>-</w:t>
            </w:r>
            <w:r w:rsidRPr="00374C3D">
              <w:rPr>
                <w:rFonts w:cstheme="minorHAnsi"/>
                <w:sz w:val="22"/>
                <w:szCs w:val="22"/>
              </w:rPr>
              <w:tab/>
              <w:t xml:space="preserve">Aux Présidents et Vice-Présidents des commissions </w:t>
            </w:r>
            <w:proofErr w:type="gramStart"/>
            <w:r w:rsidRPr="00374C3D">
              <w:rPr>
                <w:rFonts w:cstheme="minorHAnsi"/>
                <w:sz w:val="22"/>
                <w:szCs w:val="22"/>
              </w:rPr>
              <w:t>d'études;</w:t>
            </w:r>
            <w:proofErr w:type="gramEnd"/>
          </w:p>
          <w:p w14:paraId="442A2079" w14:textId="77777777" w:rsidR="000F6C80" w:rsidRPr="00374C3D" w:rsidRDefault="000F6C80" w:rsidP="00756568">
            <w:pPr>
              <w:tabs>
                <w:tab w:val="clear" w:pos="794"/>
                <w:tab w:val="left" w:pos="4111"/>
              </w:tabs>
              <w:spacing w:before="0"/>
              <w:ind w:left="284" w:hanging="227"/>
              <w:rPr>
                <w:rFonts w:cstheme="minorHAnsi"/>
                <w:sz w:val="22"/>
                <w:szCs w:val="22"/>
              </w:rPr>
            </w:pPr>
            <w:r w:rsidRPr="00374C3D">
              <w:rPr>
                <w:rFonts w:cstheme="minorHAnsi"/>
                <w:sz w:val="22"/>
                <w:szCs w:val="22"/>
              </w:rPr>
              <w:t>-</w:t>
            </w:r>
            <w:r w:rsidRPr="00374C3D">
              <w:rPr>
                <w:rFonts w:cstheme="minorHAnsi"/>
                <w:sz w:val="22"/>
                <w:szCs w:val="22"/>
              </w:rPr>
              <w:tab/>
              <w:t xml:space="preserve">à la Directrice du Bureau de développement des </w:t>
            </w:r>
            <w:proofErr w:type="gramStart"/>
            <w:r w:rsidRPr="00374C3D">
              <w:rPr>
                <w:rFonts w:cstheme="minorHAnsi"/>
                <w:sz w:val="22"/>
                <w:szCs w:val="22"/>
              </w:rPr>
              <w:t>télécommunications;</w:t>
            </w:r>
            <w:proofErr w:type="gramEnd"/>
          </w:p>
          <w:p w14:paraId="1F2C998D" w14:textId="77777777" w:rsidR="000F6C80" w:rsidRPr="00374C3D" w:rsidRDefault="000F6C80" w:rsidP="00756568">
            <w:pPr>
              <w:tabs>
                <w:tab w:val="clear" w:pos="794"/>
                <w:tab w:val="left" w:pos="4111"/>
              </w:tabs>
              <w:spacing w:before="0"/>
              <w:ind w:left="284" w:hanging="227"/>
              <w:rPr>
                <w:rFonts w:cstheme="minorHAnsi"/>
                <w:sz w:val="22"/>
                <w:szCs w:val="22"/>
              </w:rPr>
            </w:pPr>
            <w:r w:rsidRPr="00374C3D">
              <w:rPr>
                <w:rFonts w:cstheme="minorHAnsi"/>
                <w:sz w:val="22"/>
                <w:szCs w:val="22"/>
              </w:rPr>
              <w:t>-</w:t>
            </w:r>
            <w:r w:rsidRPr="00374C3D">
              <w:rPr>
                <w:rFonts w:cstheme="minorHAnsi"/>
                <w:sz w:val="22"/>
                <w:szCs w:val="22"/>
              </w:rPr>
              <w:tab/>
              <w:t xml:space="preserve">au Directeur du Bureau des </w:t>
            </w:r>
            <w:proofErr w:type="gramStart"/>
            <w:r w:rsidRPr="00374C3D">
              <w:rPr>
                <w:rFonts w:cstheme="minorHAnsi"/>
                <w:sz w:val="22"/>
                <w:szCs w:val="22"/>
              </w:rPr>
              <w:t>radiocommunications;</w:t>
            </w:r>
            <w:proofErr w:type="gramEnd"/>
          </w:p>
          <w:p w14:paraId="399A2B7F" w14:textId="0D0B76AA" w:rsidR="000F6C80" w:rsidRPr="00374C3D" w:rsidRDefault="000F6C80" w:rsidP="00756568">
            <w:pPr>
              <w:tabs>
                <w:tab w:val="clear" w:pos="794"/>
                <w:tab w:val="left" w:pos="4111"/>
              </w:tabs>
              <w:spacing w:before="0" w:after="120"/>
              <w:ind w:left="284" w:hanging="227"/>
              <w:rPr>
                <w:rFonts w:cstheme="minorHAnsi"/>
                <w:sz w:val="22"/>
                <w:szCs w:val="22"/>
              </w:rPr>
            </w:pPr>
            <w:r w:rsidRPr="00374C3D">
              <w:rPr>
                <w:rFonts w:cstheme="minorHAnsi"/>
                <w:sz w:val="22"/>
                <w:szCs w:val="22"/>
              </w:rPr>
              <w:t>-</w:t>
            </w:r>
            <w:r w:rsidRPr="00374C3D">
              <w:rPr>
                <w:rFonts w:cstheme="minorHAnsi"/>
                <w:sz w:val="22"/>
                <w:szCs w:val="22"/>
              </w:rPr>
              <w:tab/>
              <w:t>aux Directeurs des Bureaux régionaux de l'UIT</w:t>
            </w:r>
          </w:p>
        </w:tc>
      </w:tr>
      <w:tr w:rsidR="000F6C80" w:rsidRPr="00374C3D" w14:paraId="6918ECCB" w14:textId="77777777" w:rsidTr="00136101">
        <w:trPr>
          <w:gridBefore w:val="1"/>
          <w:gridAfter w:val="1"/>
          <w:wBefore w:w="8" w:type="dxa"/>
          <w:wAfter w:w="8" w:type="dxa"/>
          <w:cantSplit/>
          <w:trHeight w:val="680"/>
          <w:jc w:val="center"/>
        </w:trPr>
        <w:tc>
          <w:tcPr>
            <w:tcW w:w="1126" w:type="dxa"/>
          </w:tcPr>
          <w:p w14:paraId="4FFDDF41" w14:textId="77777777" w:rsidR="000F6C80" w:rsidRPr="00374C3D" w:rsidRDefault="000F6C80" w:rsidP="00E83EDC">
            <w:pPr>
              <w:tabs>
                <w:tab w:val="left" w:pos="4111"/>
              </w:tabs>
              <w:spacing w:before="240"/>
              <w:ind w:left="57"/>
              <w:rPr>
                <w:rFonts w:cstheme="minorHAnsi"/>
                <w:b/>
                <w:bCs/>
                <w:sz w:val="22"/>
                <w:szCs w:val="22"/>
              </w:rPr>
            </w:pPr>
            <w:proofErr w:type="gramStart"/>
            <w:r w:rsidRPr="00374C3D">
              <w:rPr>
                <w:rFonts w:cstheme="minorHAnsi"/>
                <w:b/>
                <w:bCs/>
                <w:sz w:val="22"/>
                <w:szCs w:val="22"/>
              </w:rPr>
              <w:t>Objet:</w:t>
            </w:r>
            <w:proofErr w:type="gramEnd"/>
          </w:p>
        </w:tc>
        <w:tc>
          <w:tcPr>
            <w:tcW w:w="8789" w:type="dxa"/>
            <w:gridSpan w:val="5"/>
          </w:tcPr>
          <w:p w14:paraId="596A9668" w14:textId="13443976" w:rsidR="000F6C80" w:rsidRPr="00374C3D" w:rsidRDefault="000F6C80" w:rsidP="00E83EDC">
            <w:pPr>
              <w:tabs>
                <w:tab w:val="left" w:pos="4111"/>
              </w:tabs>
              <w:spacing w:before="240"/>
              <w:ind w:left="57"/>
              <w:rPr>
                <w:rFonts w:cstheme="minorHAnsi"/>
                <w:b/>
                <w:bCs/>
                <w:sz w:val="22"/>
                <w:szCs w:val="22"/>
              </w:rPr>
            </w:pPr>
            <w:r w:rsidRPr="00374C3D">
              <w:rPr>
                <w:rFonts w:cstheme="minorHAnsi"/>
                <w:b/>
                <w:bCs/>
                <w:sz w:val="22"/>
                <w:szCs w:val="22"/>
              </w:rPr>
              <w:t>Première Journée UIT-T X.509</w:t>
            </w:r>
            <w:r w:rsidRPr="00374C3D">
              <w:rPr>
                <w:rFonts w:cstheme="minorHAnsi"/>
                <w:b/>
                <w:bCs/>
                <w:sz w:val="22"/>
                <w:szCs w:val="22"/>
              </w:rPr>
              <w:br/>
              <w:t>(entièrement virtuelle, 9 mai 2022)</w:t>
            </w:r>
          </w:p>
        </w:tc>
      </w:tr>
    </w:tbl>
    <w:p w14:paraId="7C411FDA" w14:textId="77777777" w:rsidR="00517A03" w:rsidRPr="00374C3D" w:rsidRDefault="00517A03" w:rsidP="00E83EDC">
      <w:pPr>
        <w:spacing w:before="360"/>
        <w:rPr>
          <w:rFonts w:cstheme="minorHAnsi"/>
          <w:sz w:val="22"/>
          <w:szCs w:val="22"/>
        </w:rPr>
      </w:pPr>
      <w:bookmarkStart w:id="1" w:name="StartTyping_F"/>
      <w:bookmarkEnd w:id="1"/>
      <w:r w:rsidRPr="00374C3D">
        <w:rPr>
          <w:rFonts w:cstheme="minorHAnsi"/>
          <w:sz w:val="22"/>
          <w:szCs w:val="22"/>
        </w:rPr>
        <w:t>Madame, Monsieur,</w:t>
      </w:r>
    </w:p>
    <w:p w14:paraId="067BBF15" w14:textId="6C6399A3" w:rsidR="000F6C80" w:rsidRPr="00374C3D" w:rsidRDefault="000F6C80" w:rsidP="000F6C80">
      <w:pPr>
        <w:rPr>
          <w:rFonts w:cstheme="minorHAnsi"/>
          <w:bCs/>
          <w:sz w:val="22"/>
          <w:szCs w:val="22"/>
        </w:rPr>
      </w:pPr>
      <w:r w:rsidRPr="00374C3D">
        <w:rPr>
          <w:rFonts w:cstheme="minorHAnsi"/>
          <w:bCs/>
          <w:sz w:val="22"/>
          <w:szCs w:val="22"/>
        </w:rPr>
        <w:t>1</w:t>
      </w:r>
      <w:r w:rsidRPr="00374C3D">
        <w:rPr>
          <w:rFonts w:cstheme="minorHAnsi"/>
          <w:bCs/>
          <w:sz w:val="22"/>
          <w:szCs w:val="22"/>
        </w:rPr>
        <w:tab/>
        <w:t xml:space="preserve">J'ai l'honneur de vous informer que l'Union internationale des télécommunications (UIT) organise la </w:t>
      </w:r>
      <w:r w:rsidR="00EE668D" w:rsidRPr="00374C3D">
        <w:rPr>
          <w:rFonts w:cstheme="minorHAnsi"/>
          <w:bCs/>
          <w:sz w:val="22"/>
          <w:szCs w:val="22"/>
        </w:rPr>
        <w:t>p</w:t>
      </w:r>
      <w:r w:rsidRPr="00374C3D">
        <w:rPr>
          <w:rFonts w:cstheme="minorHAnsi"/>
          <w:bCs/>
          <w:sz w:val="22"/>
          <w:szCs w:val="22"/>
        </w:rPr>
        <w:t xml:space="preserve">remière </w:t>
      </w:r>
      <w:r w:rsidRPr="00374C3D">
        <w:rPr>
          <w:rFonts w:cstheme="minorHAnsi"/>
          <w:b/>
          <w:sz w:val="22"/>
          <w:szCs w:val="22"/>
        </w:rPr>
        <w:t>Journée UIT-T X.509</w:t>
      </w:r>
      <w:r w:rsidRPr="00374C3D">
        <w:rPr>
          <w:rFonts w:cstheme="minorHAnsi"/>
          <w:bCs/>
          <w:sz w:val="22"/>
          <w:szCs w:val="22"/>
        </w:rPr>
        <w:t xml:space="preserve">, qui se tiendra sous forme virtuelle le </w:t>
      </w:r>
      <w:r w:rsidR="00136101" w:rsidRPr="00374C3D">
        <w:rPr>
          <w:rFonts w:cstheme="minorHAnsi"/>
          <w:b/>
          <w:sz w:val="22"/>
          <w:szCs w:val="22"/>
        </w:rPr>
        <w:t>9 mai 2022 de </w:t>
      </w:r>
      <w:r w:rsidRPr="00374C3D">
        <w:rPr>
          <w:rFonts w:cstheme="minorHAnsi"/>
          <w:b/>
          <w:sz w:val="22"/>
          <w:szCs w:val="22"/>
        </w:rPr>
        <w:t>13</w:t>
      </w:r>
      <w:r w:rsidR="00B12642" w:rsidRPr="00374C3D">
        <w:rPr>
          <w:rFonts w:cstheme="minorHAnsi"/>
          <w:b/>
          <w:sz w:val="22"/>
          <w:szCs w:val="22"/>
        </w:rPr>
        <w:t> </w:t>
      </w:r>
      <w:r w:rsidRPr="00374C3D">
        <w:rPr>
          <w:rFonts w:cstheme="minorHAnsi"/>
          <w:b/>
          <w:sz w:val="22"/>
          <w:szCs w:val="22"/>
        </w:rPr>
        <w:t>h</w:t>
      </w:r>
      <w:r w:rsidR="00B12642" w:rsidRPr="00374C3D">
        <w:rPr>
          <w:rFonts w:cstheme="minorHAnsi"/>
          <w:b/>
          <w:sz w:val="22"/>
          <w:szCs w:val="22"/>
        </w:rPr>
        <w:t> 00</w:t>
      </w:r>
      <w:r w:rsidRPr="00374C3D">
        <w:rPr>
          <w:rFonts w:cstheme="minorHAnsi"/>
          <w:b/>
          <w:sz w:val="22"/>
          <w:szCs w:val="22"/>
        </w:rPr>
        <w:t xml:space="preserve"> à 17 h 40, heure de Genève</w:t>
      </w:r>
      <w:r w:rsidRPr="00374C3D">
        <w:rPr>
          <w:rFonts w:cstheme="minorHAnsi"/>
          <w:bCs/>
          <w:sz w:val="22"/>
          <w:szCs w:val="22"/>
        </w:rPr>
        <w:t>.</w:t>
      </w:r>
    </w:p>
    <w:p w14:paraId="545E4000" w14:textId="77779260" w:rsidR="000F6C80" w:rsidRPr="00374C3D" w:rsidRDefault="000F6C80" w:rsidP="000F6C80">
      <w:pPr>
        <w:rPr>
          <w:rFonts w:cstheme="minorHAnsi"/>
          <w:bCs/>
          <w:sz w:val="22"/>
          <w:szCs w:val="22"/>
        </w:rPr>
      </w:pPr>
      <w:r w:rsidRPr="00374C3D">
        <w:rPr>
          <w:rFonts w:cstheme="minorHAnsi"/>
          <w:bCs/>
          <w:sz w:val="22"/>
          <w:szCs w:val="22"/>
        </w:rPr>
        <w:t>2</w:t>
      </w:r>
      <w:r w:rsidRPr="00374C3D">
        <w:rPr>
          <w:rFonts w:cstheme="minorHAnsi"/>
          <w:bCs/>
          <w:sz w:val="22"/>
          <w:szCs w:val="22"/>
        </w:rPr>
        <w:tab/>
        <w:t xml:space="preserve">La Recommandation </w:t>
      </w:r>
      <w:hyperlink r:id="rId10" w:history="1">
        <w:r w:rsidRPr="00374C3D">
          <w:rPr>
            <w:rStyle w:val="Hyperlink"/>
            <w:rFonts w:cstheme="minorHAnsi"/>
            <w:bCs/>
            <w:sz w:val="22"/>
            <w:szCs w:val="22"/>
          </w:rPr>
          <w:t>UIT-T X.509</w:t>
        </w:r>
      </w:hyperlink>
      <w:r w:rsidRPr="00374C3D">
        <w:rPr>
          <w:rFonts w:cstheme="minorHAnsi"/>
          <w:bCs/>
          <w:sz w:val="22"/>
          <w:szCs w:val="22"/>
        </w:rPr>
        <w:t xml:space="preserve"> définit un langage commun à l'échelle mondiale pour l'infrastructure de clé publique (PKI) et l'infrastructure de gestion des privilèges (PMI) qui sont utilisées comme base pour les transactions sécurisées dans les environnements entreprise</w:t>
      </w:r>
      <w:r w:rsidR="00B12642" w:rsidRPr="00374C3D">
        <w:rPr>
          <w:rFonts w:cstheme="minorHAnsi"/>
          <w:bCs/>
          <w:sz w:val="22"/>
          <w:szCs w:val="22"/>
        </w:rPr>
        <w:noBreakHyphen/>
      </w:r>
      <w:r w:rsidRPr="00374C3D">
        <w:rPr>
          <w:rFonts w:cstheme="minorHAnsi"/>
          <w:bCs/>
          <w:sz w:val="22"/>
          <w:szCs w:val="22"/>
        </w:rPr>
        <w:t>entreprise (B2B), entreprise-client (B2C) et administration publique-particuliers (G2C).</w:t>
      </w:r>
    </w:p>
    <w:p w14:paraId="3ECA22C2" w14:textId="41376908" w:rsidR="000F6C80" w:rsidRPr="00374C3D" w:rsidRDefault="000F6C80" w:rsidP="000F6C80">
      <w:pPr>
        <w:rPr>
          <w:rFonts w:cstheme="minorHAnsi"/>
          <w:bCs/>
          <w:sz w:val="22"/>
          <w:szCs w:val="22"/>
        </w:rPr>
      </w:pPr>
      <w:r w:rsidRPr="00374C3D">
        <w:rPr>
          <w:rFonts w:cstheme="minorHAnsi"/>
          <w:bCs/>
          <w:sz w:val="22"/>
          <w:szCs w:val="22"/>
        </w:rPr>
        <w:t>Les structures de données de base définies dans la Recommandation UIT-T X.509 pour les certificats et les listes de révocation de certificat (CRL) permettent l'utilisation d'extensions d'application particulières et prennent en charge les exigences fondamentales en matière d'interopérabilité dans de nombreux cas d'utilisation dans les secteurs industriel, des entreprises et grand public, y compris l'agriculture, l'éducation, l'énergie, la finance, les loisirs, la santé, la fabrication, le transport et les services publics.</w:t>
      </w:r>
    </w:p>
    <w:p w14:paraId="6BA42F63" w14:textId="77777777" w:rsidR="000F6C80" w:rsidRPr="00374C3D" w:rsidRDefault="000F6C80" w:rsidP="000F6C80">
      <w:pPr>
        <w:rPr>
          <w:rFonts w:cstheme="minorHAnsi"/>
          <w:bCs/>
          <w:sz w:val="22"/>
          <w:szCs w:val="22"/>
        </w:rPr>
      </w:pPr>
      <w:r w:rsidRPr="00374C3D">
        <w:rPr>
          <w:rFonts w:cstheme="minorHAnsi"/>
          <w:bCs/>
          <w:sz w:val="22"/>
          <w:szCs w:val="22"/>
        </w:rPr>
        <w:t>3</w:t>
      </w:r>
      <w:r w:rsidRPr="00374C3D">
        <w:rPr>
          <w:rFonts w:cstheme="minorHAnsi"/>
          <w:bCs/>
          <w:sz w:val="22"/>
          <w:szCs w:val="22"/>
        </w:rPr>
        <w:tab/>
        <w:t xml:space="preserve">Après plus de 33 ans de succès dans la mise en œuvre, l'UIT souhaite mettre en avant, lors de cette Journée, les résultats obtenus au titre de la Recommandation UIT-T X.509, en menant les activités </w:t>
      </w:r>
      <w:proofErr w:type="gramStart"/>
      <w:r w:rsidRPr="00374C3D">
        <w:rPr>
          <w:rFonts w:cstheme="minorHAnsi"/>
          <w:bCs/>
          <w:sz w:val="22"/>
          <w:szCs w:val="22"/>
        </w:rPr>
        <w:t>suivantes:</w:t>
      </w:r>
      <w:proofErr w:type="gramEnd"/>
    </w:p>
    <w:p w14:paraId="14BACAAD" w14:textId="01E4B201" w:rsidR="000F6C80" w:rsidRPr="00374C3D" w:rsidRDefault="000F6C80" w:rsidP="000F6C80">
      <w:pPr>
        <w:pStyle w:val="enumlev1"/>
        <w:rPr>
          <w:rFonts w:cstheme="minorHAnsi"/>
          <w:sz w:val="22"/>
          <w:szCs w:val="22"/>
        </w:rPr>
      </w:pPr>
      <w:r w:rsidRPr="00374C3D">
        <w:rPr>
          <w:rFonts w:cstheme="minorHAnsi"/>
          <w:sz w:val="22"/>
          <w:szCs w:val="22"/>
        </w:rPr>
        <w:t>a)</w:t>
      </w:r>
      <w:r w:rsidRPr="00374C3D">
        <w:rPr>
          <w:rFonts w:cstheme="minorHAnsi"/>
          <w:sz w:val="22"/>
          <w:szCs w:val="22"/>
        </w:rPr>
        <w:tab/>
      </w:r>
      <w:r w:rsidR="00B12642" w:rsidRPr="00374C3D">
        <w:rPr>
          <w:rFonts w:cstheme="minorHAnsi"/>
          <w:sz w:val="22"/>
          <w:szCs w:val="22"/>
        </w:rPr>
        <w:t>B</w:t>
      </w:r>
      <w:r w:rsidRPr="00374C3D">
        <w:rPr>
          <w:rFonts w:cstheme="minorHAnsi"/>
          <w:sz w:val="22"/>
          <w:szCs w:val="22"/>
        </w:rPr>
        <w:t>rève présentation des documents historiques ayant servi de base à l'élaboration de la norme UIT-T X.509</w:t>
      </w:r>
      <w:r w:rsidR="00EE668D" w:rsidRPr="00374C3D">
        <w:rPr>
          <w:rFonts w:cstheme="minorHAnsi"/>
          <w:sz w:val="22"/>
          <w:szCs w:val="22"/>
        </w:rPr>
        <w:t>.</w:t>
      </w:r>
    </w:p>
    <w:p w14:paraId="5CFDFCED" w14:textId="6E46A2B5" w:rsidR="000F6C80" w:rsidRPr="00374C3D" w:rsidRDefault="000F6C80" w:rsidP="000F6C80">
      <w:pPr>
        <w:pStyle w:val="enumlev1"/>
        <w:rPr>
          <w:rFonts w:cstheme="minorHAnsi"/>
          <w:sz w:val="22"/>
          <w:szCs w:val="22"/>
        </w:rPr>
      </w:pPr>
      <w:r w:rsidRPr="00374C3D">
        <w:rPr>
          <w:rFonts w:cstheme="minorHAnsi"/>
          <w:sz w:val="22"/>
          <w:szCs w:val="22"/>
        </w:rPr>
        <w:t>b)</w:t>
      </w:r>
      <w:r w:rsidRPr="00374C3D">
        <w:rPr>
          <w:rFonts w:cstheme="minorHAnsi"/>
          <w:sz w:val="22"/>
          <w:szCs w:val="22"/>
        </w:rPr>
        <w:tab/>
      </w:r>
      <w:r w:rsidR="00B12642" w:rsidRPr="00374C3D">
        <w:rPr>
          <w:rFonts w:cstheme="minorHAnsi"/>
          <w:sz w:val="22"/>
          <w:szCs w:val="22"/>
        </w:rPr>
        <w:t>P</w:t>
      </w:r>
      <w:r w:rsidRPr="00374C3D">
        <w:rPr>
          <w:rFonts w:cstheme="minorHAnsi"/>
          <w:sz w:val="22"/>
          <w:szCs w:val="22"/>
        </w:rPr>
        <w:t>romotion des applications de la Recommandation UIT-T X.509</w:t>
      </w:r>
      <w:r w:rsidR="00EE668D" w:rsidRPr="00374C3D">
        <w:rPr>
          <w:rFonts w:cstheme="minorHAnsi"/>
          <w:sz w:val="22"/>
          <w:szCs w:val="22"/>
        </w:rPr>
        <w:t>.</w:t>
      </w:r>
    </w:p>
    <w:p w14:paraId="16DD0523" w14:textId="3C794265" w:rsidR="000F6C80" w:rsidRPr="00374C3D" w:rsidRDefault="000F6C80" w:rsidP="000F6C80">
      <w:pPr>
        <w:pStyle w:val="enumlev1"/>
        <w:rPr>
          <w:rFonts w:cstheme="minorHAnsi"/>
          <w:sz w:val="22"/>
          <w:szCs w:val="22"/>
        </w:rPr>
      </w:pPr>
      <w:r w:rsidRPr="00374C3D">
        <w:rPr>
          <w:rFonts w:cstheme="minorHAnsi"/>
          <w:sz w:val="22"/>
          <w:szCs w:val="22"/>
        </w:rPr>
        <w:t>c)</w:t>
      </w:r>
      <w:r w:rsidRPr="00374C3D">
        <w:rPr>
          <w:rFonts w:cstheme="minorHAnsi"/>
          <w:sz w:val="22"/>
          <w:szCs w:val="22"/>
        </w:rPr>
        <w:tab/>
      </w:r>
      <w:r w:rsidR="00B12642" w:rsidRPr="00374C3D">
        <w:rPr>
          <w:rFonts w:cstheme="minorHAnsi"/>
          <w:sz w:val="22"/>
          <w:szCs w:val="22"/>
        </w:rPr>
        <w:t>E</w:t>
      </w:r>
      <w:r w:rsidRPr="00374C3D">
        <w:rPr>
          <w:rFonts w:cstheme="minorHAnsi"/>
          <w:sz w:val="22"/>
          <w:szCs w:val="22"/>
        </w:rPr>
        <w:t>xamen de tous les aspects relatifs à la cryptographie à clé publique et à l'infrastructure de clé publique</w:t>
      </w:r>
      <w:r w:rsidR="00EE668D" w:rsidRPr="00374C3D">
        <w:rPr>
          <w:rFonts w:cstheme="minorHAnsi"/>
          <w:sz w:val="22"/>
          <w:szCs w:val="22"/>
        </w:rPr>
        <w:t>.</w:t>
      </w:r>
    </w:p>
    <w:p w14:paraId="381ADEEA" w14:textId="6FEBD32B" w:rsidR="000F6C80" w:rsidRPr="00374C3D" w:rsidRDefault="000F6C80" w:rsidP="000F6C80">
      <w:pPr>
        <w:pStyle w:val="enumlev1"/>
        <w:rPr>
          <w:rFonts w:cstheme="minorHAnsi"/>
          <w:sz w:val="22"/>
          <w:szCs w:val="22"/>
        </w:rPr>
      </w:pPr>
      <w:r w:rsidRPr="00374C3D">
        <w:rPr>
          <w:rFonts w:cstheme="minorHAnsi"/>
          <w:sz w:val="22"/>
          <w:szCs w:val="22"/>
        </w:rPr>
        <w:t>d)</w:t>
      </w:r>
      <w:r w:rsidRPr="00374C3D">
        <w:rPr>
          <w:rFonts w:cstheme="minorHAnsi"/>
          <w:sz w:val="22"/>
          <w:szCs w:val="22"/>
        </w:rPr>
        <w:tab/>
      </w:r>
      <w:r w:rsidR="00B12642" w:rsidRPr="00374C3D">
        <w:rPr>
          <w:rFonts w:cstheme="minorHAnsi"/>
          <w:sz w:val="22"/>
          <w:szCs w:val="22"/>
        </w:rPr>
        <w:t>É</w:t>
      </w:r>
      <w:r w:rsidRPr="00374C3D">
        <w:rPr>
          <w:rFonts w:cstheme="minorHAnsi"/>
          <w:sz w:val="22"/>
          <w:szCs w:val="22"/>
        </w:rPr>
        <w:t>tude de la mise en œuvre de la Recommandation UIT-T X.509, dans le cadre de l'examen des cas d'utilisation antérieurs ainsi que des protocoles et normes TIC utilisant la Recommandation UIT-T X.509</w:t>
      </w:r>
      <w:r w:rsidR="00EE668D" w:rsidRPr="00374C3D">
        <w:rPr>
          <w:rFonts w:cstheme="minorHAnsi"/>
          <w:sz w:val="22"/>
          <w:szCs w:val="22"/>
        </w:rPr>
        <w:t>.</w:t>
      </w:r>
    </w:p>
    <w:p w14:paraId="79E6909E" w14:textId="64E261FB" w:rsidR="000F6C80" w:rsidRPr="00374C3D" w:rsidRDefault="000F6C80" w:rsidP="000F6C80">
      <w:pPr>
        <w:pStyle w:val="enumlev1"/>
        <w:rPr>
          <w:rFonts w:cstheme="minorHAnsi"/>
          <w:sz w:val="22"/>
          <w:szCs w:val="22"/>
        </w:rPr>
      </w:pPr>
      <w:r w:rsidRPr="00374C3D">
        <w:rPr>
          <w:rFonts w:cstheme="minorHAnsi"/>
          <w:sz w:val="22"/>
          <w:szCs w:val="22"/>
        </w:rPr>
        <w:t>e)</w:t>
      </w:r>
      <w:r w:rsidRPr="00374C3D">
        <w:rPr>
          <w:rFonts w:cstheme="minorHAnsi"/>
          <w:sz w:val="22"/>
          <w:szCs w:val="22"/>
        </w:rPr>
        <w:tab/>
      </w:r>
      <w:r w:rsidR="00B12642" w:rsidRPr="00374C3D">
        <w:rPr>
          <w:rFonts w:cstheme="minorHAnsi"/>
          <w:sz w:val="22"/>
          <w:szCs w:val="22"/>
        </w:rPr>
        <w:t>I</w:t>
      </w:r>
      <w:r w:rsidRPr="00374C3D">
        <w:rPr>
          <w:rFonts w:cstheme="minorHAnsi"/>
          <w:sz w:val="22"/>
          <w:szCs w:val="22"/>
        </w:rPr>
        <w:t>dentification des voies à suivre possibles dans la perspective de l</w:t>
      </w:r>
      <w:r w:rsidR="00EE668D" w:rsidRPr="00374C3D">
        <w:rPr>
          <w:rFonts w:cstheme="minorHAnsi"/>
          <w:sz w:val="22"/>
          <w:szCs w:val="22"/>
        </w:rPr>
        <w:t>'</w:t>
      </w:r>
      <w:r w:rsidRPr="00374C3D">
        <w:rPr>
          <w:rFonts w:cstheme="minorHAnsi"/>
          <w:sz w:val="22"/>
          <w:szCs w:val="22"/>
        </w:rPr>
        <w:t>évolution future de la normalisation UIT-T X.509 et examen de la façon dont les organisations de normalisation concernées pourraient améliorer la collaboration sur les travaux futurs relatifs à la Recommandation UIT-T X.509.</w:t>
      </w:r>
    </w:p>
    <w:p w14:paraId="1D4706E5" w14:textId="77777777" w:rsidR="000F6C80" w:rsidRPr="00374C3D" w:rsidRDefault="000F6C80" w:rsidP="000F6C80">
      <w:pPr>
        <w:rPr>
          <w:rFonts w:cstheme="minorHAnsi"/>
          <w:bCs/>
          <w:sz w:val="22"/>
          <w:szCs w:val="22"/>
        </w:rPr>
      </w:pPr>
      <w:r w:rsidRPr="00374C3D">
        <w:rPr>
          <w:rFonts w:cstheme="minorHAnsi"/>
          <w:bCs/>
          <w:sz w:val="22"/>
          <w:szCs w:val="22"/>
        </w:rPr>
        <w:lastRenderedPageBreak/>
        <w:t>4</w:t>
      </w:r>
      <w:r w:rsidRPr="00374C3D">
        <w:rPr>
          <w:rFonts w:cstheme="minorHAnsi"/>
          <w:bCs/>
          <w:sz w:val="22"/>
          <w:szCs w:val="22"/>
        </w:rPr>
        <w:tab/>
        <w:t>La manifestation se déroulera en anglais uniquement.</w:t>
      </w:r>
    </w:p>
    <w:p w14:paraId="48E03EA8" w14:textId="3A0CD8F4" w:rsidR="000F6C80" w:rsidRPr="00374C3D" w:rsidRDefault="000F6C80" w:rsidP="000F6C80">
      <w:pPr>
        <w:rPr>
          <w:rFonts w:cstheme="minorHAnsi"/>
          <w:bCs/>
          <w:sz w:val="22"/>
          <w:szCs w:val="22"/>
        </w:rPr>
      </w:pPr>
      <w:r w:rsidRPr="00374C3D">
        <w:rPr>
          <w:rFonts w:cstheme="minorHAnsi"/>
          <w:bCs/>
          <w:sz w:val="22"/>
          <w:szCs w:val="22"/>
        </w:rPr>
        <w:t>5</w:t>
      </w:r>
      <w:r w:rsidRPr="00374C3D">
        <w:rPr>
          <w:rFonts w:cstheme="minorHAnsi"/>
          <w:bCs/>
          <w:sz w:val="22"/>
          <w:szCs w:val="22"/>
        </w:rPr>
        <w:tab/>
        <w:t xml:space="preserve">Toutes les informations utiles concernant la manifestation (projet de programme, intervenants, lien pour l'inscription, modalités de connexion à distance) seront publiées sur le site web de la manifestation à l'adresse </w:t>
      </w:r>
      <w:hyperlink r:id="rId11" w:history="1">
        <w:r w:rsidRPr="00374C3D">
          <w:rPr>
            <w:rStyle w:val="Hyperlink"/>
            <w:rFonts w:cstheme="minorHAnsi"/>
            <w:bCs/>
            <w:sz w:val="22"/>
            <w:szCs w:val="22"/>
          </w:rPr>
          <w:t>https://www.itu.int/en/ITU-T/Workshops-and-Seminars/2022/0509/Pages/default.aspx</w:t>
        </w:r>
      </w:hyperlink>
      <w:r w:rsidRPr="00374C3D">
        <w:rPr>
          <w:rFonts w:cstheme="minorHAnsi"/>
          <w:bCs/>
          <w:sz w:val="22"/>
          <w:szCs w:val="22"/>
        </w:rPr>
        <w:t>. Le site web de la manifestation sera actualisé périodiquement, à mesure que parviendront des informations nouvelles. Il est recommandé aux participants de consulter régulièrement le site web pour prendre connaissance des dernières informations.</w:t>
      </w:r>
    </w:p>
    <w:p w14:paraId="5DD08719" w14:textId="77777777" w:rsidR="000F6C80" w:rsidRPr="00374C3D" w:rsidRDefault="000F6C80" w:rsidP="000F6C80">
      <w:pPr>
        <w:rPr>
          <w:rFonts w:cstheme="minorHAnsi"/>
          <w:bCs/>
          <w:sz w:val="22"/>
          <w:szCs w:val="22"/>
        </w:rPr>
      </w:pPr>
      <w:r w:rsidRPr="00374C3D">
        <w:rPr>
          <w:rFonts w:cstheme="minorHAnsi"/>
          <w:bCs/>
          <w:sz w:val="22"/>
          <w:szCs w:val="22"/>
        </w:rPr>
        <w:t>6</w:t>
      </w:r>
      <w:r w:rsidRPr="00374C3D">
        <w:rPr>
          <w:rFonts w:cstheme="minorHAnsi"/>
          <w:bCs/>
          <w:sz w:val="22"/>
          <w:szCs w:val="22"/>
        </w:rPr>
        <w:tab/>
        <w:t>Veuillez noter que l'inscription à la manifestation est obligatoire.</w:t>
      </w:r>
    </w:p>
    <w:p w14:paraId="23DBC2A5" w14:textId="77777777" w:rsidR="000F6C80" w:rsidRPr="00374C3D" w:rsidRDefault="000F6C80" w:rsidP="000F6C80">
      <w:pPr>
        <w:rPr>
          <w:rFonts w:cstheme="minorHAnsi"/>
          <w:bCs/>
          <w:sz w:val="22"/>
          <w:szCs w:val="22"/>
        </w:rPr>
      </w:pPr>
      <w:r w:rsidRPr="00374C3D">
        <w:rPr>
          <w:rFonts w:cstheme="minorHAnsi"/>
          <w:bCs/>
          <w:sz w:val="22"/>
          <w:szCs w:val="22"/>
        </w:rPr>
        <w:t>7</w:t>
      </w:r>
      <w:r w:rsidRPr="00374C3D">
        <w:rPr>
          <w:rFonts w:cstheme="minorHAnsi"/>
          <w:bCs/>
          <w:sz w:val="22"/>
          <w:szCs w:val="22"/>
        </w:rPr>
        <w:tab/>
        <w:t>La participation est gratuite et ouverte à toutes les parties prenantes intéressées, notamment les États Membres, les Membres de Secteur, les Associés de l'UIT et les établissements universitaires participant aux travaux de l'UIT, ainsi qu'à toute personne issue d'un pays Membre de l'UIT qui souhaite contribuer aux travaux.</w:t>
      </w:r>
    </w:p>
    <w:p w14:paraId="17C5C531" w14:textId="4B77C83B" w:rsidR="00BD6ECF" w:rsidRPr="00374C3D" w:rsidRDefault="000F6C80" w:rsidP="000F6C80">
      <w:pPr>
        <w:rPr>
          <w:rFonts w:cstheme="minorHAnsi"/>
          <w:sz w:val="22"/>
          <w:szCs w:val="22"/>
        </w:rPr>
      </w:pPr>
      <w:r w:rsidRPr="00374C3D">
        <w:rPr>
          <w:rFonts w:cstheme="minorHAnsi"/>
          <w:bCs/>
          <w:sz w:val="22"/>
          <w:szCs w:val="22"/>
        </w:rPr>
        <w:t>Veuillez agréer, Madame, Monsieur, l'assurance de ma considération distinguée.</w:t>
      </w:r>
    </w:p>
    <w:p w14:paraId="14A2CB7B" w14:textId="4D496FE7" w:rsidR="00517A03" w:rsidRPr="00374C3D" w:rsidRDefault="00F56B2D" w:rsidP="00327393">
      <w:pPr>
        <w:keepNext/>
        <w:keepLines/>
        <w:spacing w:before="960"/>
        <w:ind w:right="-284"/>
        <w:rPr>
          <w:rFonts w:cstheme="minorHAnsi"/>
          <w:sz w:val="22"/>
          <w:szCs w:val="22"/>
        </w:rPr>
      </w:pPr>
      <w:r>
        <w:rPr>
          <w:rFonts w:cstheme="minorHAnsi"/>
          <w:bCs/>
          <w:noProof/>
          <w:sz w:val="22"/>
          <w:szCs w:val="22"/>
        </w:rPr>
        <w:drawing>
          <wp:anchor distT="0" distB="0" distL="114300" distR="114300" simplePos="0" relativeHeight="251658240" behindDoc="1" locked="0" layoutInCell="1" allowOverlap="1" wp14:anchorId="5529A478" wp14:editId="2B4BF818">
            <wp:simplePos x="0" y="0"/>
            <wp:positionH relativeFrom="column">
              <wp:posOffset>636</wp:posOffset>
            </wp:positionH>
            <wp:positionV relativeFrom="paragraph">
              <wp:posOffset>109220</wp:posOffset>
            </wp:positionV>
            <wp:extent cx="503766" cy="377825"/>
            <wp:effectExtent l="0" t="0" r="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06002" cy="379502"/>
                    </a:xfrm>
                    <a:prstGeom prst="rect">
                      <a:avLst/>
                    </a:prstGeom>
                  </pic:spPr>
                </pic:pic>
              </a:graphicData>
            </a:graphic>
            <wp14:sizeRelH relativeFrom="margin">
              <wp14:pctWidth>0</wp14:pctWidth>
            </wp14:sizeRelH>
            <wp14:sizeRelV relativeFrom="margin">
              <wp14:pctHeight>0</wp14:pctHeight>
            </wp14:sizeRelV>
          </wp:anchor>
        </w:drawing>
      </w:r>
      <w:r w:rsidR="00036F4F" w:rsidRPr="00374C3D">
        <w:rPr>
          <w:rFonts w:cstheme="minorHAnsi"/>
          <w:sz w:val="22"/>
          <w:szCs w:val="22"/>
        </w:rPr>
        <w:t>Chaesub Lee</w:t>
      </w:r>
      <w:r w:rsidR="00036F4F" w:rsidRPr="00374C3D">
        <w:rPr>
          <w:rFonts w:cstheme="minorHAnsi"/>
          <w:sz w:val="22"/>
          <w:szCs w:val="22"/>
        </w:rPr>
        <w:br/>
        <w:t xml:space="preserve">Directeur du Bureau de la normalisation </w:t>
      </w:r>
      <w:r w:rsidR="00036F4F" w:rsidRPr="00374C3D">
        <w:rPr>
          <w:rFonts w:cstheme="minorHAnsi"/>
          <w:sz w:val="22"/>
          <w:szCs w:val="22"/>
        </w:rPr>
        <w:br/>
        <w:t>des télécommunications</w:t>
      </w:r>
    </w:p>
    <w:sectPr w:rsidR="00517A03" w:rsidRPr="00374C3D" w:rsidSect="00A15179">
      <w:headerReference w:type="default" r:id="rId13"/>
      <w:footerReference w:type="first" r:id="rId14"/>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DEE9" w14:textId="77777777" w:rsidR="000F6C80" w:rsidRDefault="000F6C80">
      <w:r>
        <w:separator/>
      </w:r>
    </w:p>
  </w:endnote>
  <w:endnote w:type="continuationSeparator" w:id="0">
    <w:p w14:paraId="7D1C26E8" w14:textId="77777777" w:rsidR="000F6C80" w:rsidRDefault="000F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EEDB"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7A65" w14:textId="77777777" w:rsidR="000F6C80" w:rsidRDefault="000F6C80">
      <w:r>
        <w:t>____________________</w:t>
      </w:r>
    </w:p>
  </w:footnote>
  <w:footnote w:type="continuationSeparator" w:id="0">
    <w:p w14:paraId="40A3754F" w14:textId="77777777" w:rsidR="000F6C80" w:rsidRDefault="000F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AC89" w14:textId="27E97290" w:rsidR="00697BC1" w:rsidRPr="00697BC1" w:rsidRDefault="00F56B2D" w:rsidP="00136101">
    <w:pPr>
      <w:pStyle w:val="Header"/>
      <w:spacing w:after="36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E83EDC">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EE668D">
      <w:rPr>
        <w:noProof/>
        <w:sz w:val="18"/>
        <w:szCs w:val="16"/>
      </w:rPr>
      <w:br/>
      <w:t xml:space="preserve">Circulaire TSB </w:t>
    </w:r>
    <w:r w:rsidR="00136101">
      <w:rPr>
        <w:noProof/>
        <w:sz w:val="18"/>
        <w:szCs w:val="16"/>
      </w:rPr>
      <w:t>00</w:t>
    </w:r>
    <w:r w:rsidR="00EE668D">
      <w:rPr>
        <w:noProof/>
        <w:sz w:val="18"/>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7928669">
    <w:abstractNumId w:val="1"/>
  </w:num>
  <w:num w:numId="2" w16cid:durableId="51466742">
    <w:abstractNumId w:val="3"/>
  </w:num>
  <w:num w:numId="3" w16cid:durableId="1469477009">
    <w:abstractNumId w:val="2"/>
  </w:num>
  <w:num w:numId="4" w16cid:durableId="45082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80"/>
    <w:rsid w:val="000039EE"/>
    <w:rsid w:val="00005622"/>
    <w:rsid w:val="0002519E"/>
    <w:rsid w:val="00035B43"/>
    <w:rsid w:val="00036F4F"/>
    <w:rsid w:val="000758B3"/>
    <w:rsid w:val="00085F5A"/>
    <w:rsid w:val="000B0D96"/>
    <w:rsid w:val="000B59D8"/>
    <w:rsid w:val="000C1F6B"/>
    <w:rsid w:val="000C25CC"/>
    <w:rsid w:val="000C56BE"/>
    <w:rsid w:val="000F6C80"/>
    <w:rsid w:val="001026FD"/>
    <w:rsid w:val="001077FD"/>
    <w:rsid w:val="00115DD7"/>
    <w:rsid w:val="00136101"/>
    <w:rsid w:val="00167472"/>
    <w:rsid w:val="00167F92"/>
    <w:rsid w:val="00173738"/>
    <w:rsid w:val="001B79A3"/>
    <w:rsid w:val="002152A3"/>
    <w:rsid w:val="002E395D"/>
    <w:rsid w:val="003131F0"/>
    <w:rsid w:val="00327393"/>
    <w:rsid w:val="00333A80"/>
    <w:rsid w:val="00341117"/>
    <w:rsid w:val="00364E95"/>
    <w:rsid w:val="00372875"/>
    <w:rsid w:val="00374C3D"/>
    <w:rsid w:val="003B1E80"/>
    <w:rsid w:val="003B66E8"/>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97BC1"/>
    <w:rsid w:val="006A6FFE"/>
    <w:rsid w:val="006C5A91"/>
    <w:rsid w:val="00716BBC"/>
    <w:rsid w:val="007321BC"/>
    <w:rsid w:val="00756568"/>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12642"/>
    <w:rsid w:val="00B13436"/>
    <w:rsid w:val="00B27B41"/>
    <w:rsid w:val="00B42659"/>
    <w:rsid w:val="00B8573E"/>
    <w:rsid w:val="00BB24C0"/>
    <w:rsid w:val="00BD6ECF"/>
    <w:rsid w:val="00C26F2E"/>
    <w:rsid w:val="00C302E3"/>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83EDC"/>
    <w:rsid w:val="00ED6A7A"/>
    <w:rsid w:val="00EE4C36"/>
    <w:rsid w:val="00EE668D"/>
    <w:rsid w:val="00F346CE"/>
    <w:rsid w:val="00F34F98"/>
    <w:rsid w:val="00F40540"/>
    <w:rsid w:val="00F56B2D"/>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F08C0"/>
  <w15:docId w15:val="{814EBDAD-6561-4D9B-BBD5-684DEFA4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0F6C80"/>
    <w:rPr>
      <w:color w:val="605E5C"/>
      <w:shd w:val="clear" w:color="auto" w:fill="E1DFDD"/>
    </w:rPr>
  </w:style>
  <w:style w:type="character" w:styleId="FollowedHyperlink">
    <w:name w:val="FollowedHyperlink"/>
    <w:basedOn w:val="DefaultParagraphFont"/>
    <w:semiHidden/>
    <w:unhideWhenUsed/>
    <w:rsid w:val="00B126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2/0509/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ITU-T/recommendations/rec.aspx?rec=14033&amp;lang=fr"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6B5AD-04D6-4255-B1FB-0E56C327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575</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4269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7</cp:revision>
  <cp:lastPrinted>2022-04-07T13:39:00Z</cp:lastPrinted>
  <dcterms:created xsi:type="dcterms:W3CDTF">2022-03-31T12:37:00Z</dcterms:created>
  <dcterms:modified xsi:type="dcterms:W3CDTF">2022-04-07T13:39:00Z</dcterms:modified>
</cp:coreProperties>
</file>