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F7748B" w14:paraId="1511DE5A" w14:textId="77777777" w:rsidTr="00D517B2">
        <w:trPr>
          <w:cantSplit/>
          <w:trHeight w:val="1134"/>
        </w:trPr>
        <w:tc>
          <w:tcPr>
            <w:tcW w:w="798" w:type="pct"/>
          </w:tcPr>
          <w:p w14:paraId="3887F695" w14:textId="77777777" w:rsidR="00D517B2" w:rsidRPr="00F7748B" w:rsidRDefault="00D517B2" w:rsidP="00D517B2">
            <w:pPr>
              <w:spacing w:before="0" w:line="240" w:lineRule="auto"/>
              <w:rPr>
                <w:b/>
                <w:bCs/>
                <w:rtl/>
                <w:lang w:bidi="ar-EG"/>
              </w:rPr>
            </w:pPr>
            <w:r w:rsidRPr="00F7748B">
              <w:rPr>
                <w:noProof/>
              </w:rPr>
              <w:drawing>
                <wp:inline distT="0" distB="0" distL="0" distR="0" wp14:anchorId="1AE261FA" wp14:editId="79D57EF8">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530B945C" w14:textId="77777777" w:rsidR="00D517B2" w:rsidRPr="00F7748B" w:rsidRDefault="00D517B2" w:rsidP="00D517B2">
            <w:pPr>
              <w:spacing w:before="200"/>
              <w:rPr>
                <w:b/>
                <w:bCs/>
                <w:sz w:val="36"/>
                <w:szCs w:val="36"/>
                <w:rtl/>
              </w:rPr>
            </w:pPr>
            <w:r w:rsidRPr="00F7748B">
              <w:rPr>
                <w:b/>
                <w:bCs/>
                <w:sz w:val="36"/>
                <w:szCs w:val="36"/>
                <w:rtl/>
              </w:rPr>
              <w:t>الاتحـاد الدولـي للاتصـالات</w:t>
            </w:r>
          </w:p>
          <w:p w14:paraId="7E476C47" w14:textId="77777777" w:rsidR="00D517B2" w:rsidRPr="00F7748B" w:rsidRDefault="00D517B2" w:rsidP="00D517B2">
            <w:pPr>
              <w:spacing w:before="60"/>
              <w:rPr>
                <w:b/>
                <w:bCs/>
                <w:sz w:val="28"/>
                <w:szCs w:val="28"/>
                <w:rtl/>
                <w:lang w:bidi="ar-EG"/>
              </w:rPr>
            </w:pPr>
            <w:r w:rsidRPr="00F7748B">
              <w:rPr>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F7748B" w14:paraId="5DE594F7" w14:textId="77777777" w:rsidTr="00873469">
        <w:trPr>
          <w:cantSplit/>
          <w:trHeight w:val="142"/>
          <w:jc w:val="center"/>
        </w:trPr>
        <w:tc>
          <w:tcPr>
            <w:tcW w:w="796" w:type="pct"/>
          </w:tcPr>
          <w:p w14:paraId="698BCE3A" w14:textId="77777777" w:rsidR="00D517B2" w:rsidRPr="00F7748B" w:rsidRDefault="00D517B2" w:rsidP="005E6972">
            <w:pPr>
              <w:spacing w:before="0" w:line="240" w:lineRule="exact"/>
              <w:jc w:val="left"/>
              <w:rPr>
                <w:position w:val="2"/>
              </w:rPr>
            </w:pPr>
          </w:p>
        </w:tc>
        <w:tc>
          <w:tcPr>
            <w:tcW w:w="1998" w:type="pct"/>
          </w:tcPr>
          <w:p w14:paraId="3373755E" w14:textId="77777777" w:rsidR="00D517B2" w:rsidRPr="00F7748B" w:rsidRDefault="00D517B2" w:rsidP="005E6972">
            <w:pPr>
              <w:spacing w:before="0" w:line="240" w:lineRule="exact"/>
              <w:jc w:val="left"/>
              <w:rPr>
                <w:position w:val="2"/>
              </w:rPr>
            </w:pPr>
          </w:p>
        </w:tc>
        <w:tc>
          <w:tcPr>
            <w:tcW w:w="2206" w:type="pct"/>
          </w:tcPr>
          <w:p w14:paraId="6F6A5902" w14:textId="77777777" w:rsidR="00D517B2" w:rsidRPr="00F7748B" w:rsidRDefault="00D517B2" w:rsidP="005E6972">
            <w:pPr>
              <w:spacing w:before="0" w:line="240" w:lineRule="exact"/>
              <w:jc w:val="left"/>
              <w:rPr>
                <w:position w:val="2"/>
                <w:lang w:bidi="ar-EG"/>
              </w:rPr>
            </w:pPr>
          </w:p>
        </w:tc>
      </w:tr>
      <w:tr w:rsidR="00D517B2" w:rsidRPr="00AE5121" w14:paraId="3D9B5992" w14:textId="77777777" w:rsidTr="00D517B2">
        <w:trPr>
          <w:cantSplit/>
          <w:trHeight w:val="148"/>
          <w:jc w:val="center"/>
        </w:trPr>
        <w:tc>
          <w:tcPr>
            <w:tcW w:w="796" w:type="pct"/>
          </w:tcPr>
          <w:p w14:paraId="4B90AFA8" w14:textId="77777777" w:rsidR="00D517B2" w:rsidRPr="00AE5121" w:rsidRDefault="00D517B2" w:rsidP="00D517B2">
            <w:pPr>
              <w:spacing w:before="80" w:after="60" w:line="300" w:lineRule="exact"/>
              <w:jc w:val="left"/>
              <w:rPr>
                <w:rFonts w:asciiTheme="minorHAnsi" w:hAnsiTheme="minorHAnsi" w:cstheme="minorHAnsi"/>
                <w:position w:val="2"/>
              </w:rPr>
            </w:pPr>
          </w:p>
        </w:tc>
        <w:tc>
          <w:tcPr>
            <w:tcW w:w="1998" w:type="pct"/>
          </w:tcPr>
          <w:p w14:paraId="08AF9767" w14:textId="77777777" w:rsidR="00D517B2" w:rsidRPr="00AE5121" w:rsidRDefault="00D517B2" w:rsidP="00D517B2">
            <w:pPr>
              <w:spacing w:before="80" w:after="60" w:line="300" w:lineRule="exact"/>
              <w:jc w:val="left"/>
              <w:rPr>
                <w:rFonts w:asciiTheme="minorHAnsi" w:hAnsiTheme="minorHAnsi" w:cstheme="minorHAnsi"/>
                <w:position w:val="2"/>
                <w:lang w:bidi="ar-EG"/>
              </w:rPr>
            </w:pPr>
          </w:p>
        </w:tc>
        <w:tc>
          <w:tcPr>
            <w:tcW w:w="2206" w:type="pct"/>
          </w:tcPr>
          <w:p w14:paraId="534FF5F3" w14:textId="0AA171BA" w:rsidR="00D517B2" w:rsidRPr="00AE5121" w:rsidRDefault="00873469" w:rsidP="00D517B2">
            <w:pPr>
              <w:spacing w:before="80" w:after="60" w:line="300" w:lineRule="exact"/>
              <w:jc w:val="left"/>
              <w:rPr>
                <w:rFonts w:asciiTheme="minorHAnsi" w:hAnsiTheme="minorHAnsi" w:cstheme="minorHAnsi"/>
                <w:position w:val="2"/>
                <w:rtl/>
                <w:lang w:bidi="ar-EG"/>
              </w:rPr>
            </w:pPr>
            <w:r w:rsidRPr="00AE5121">
              <w:rPr>
                <w:rFonts w:asciiTheme="minorHAnsi" w:hAnsiTheme="minorHAnsi" w:cstheme="minorHAnsi"/>
                <w:position w:val="2"/>
                <w:rtl/>
              </w:rPr>
              <w:t xml:space="preserve">جنيف، </w:t>
            </w:r>
            <w:r w:rsidR="005E6972" w:rsidRPr="00AE5121">
              <w:rPr>
                <w:rFonts w:asciiTheme="minorHAnsi" w:hAnsiTheme="minorHAnsi" w:cstheme="minorHAnsi"/>
                <w:position w:val="2"/>
              </w:rPr>
              <w:t>28</w:t>
            </w:r>
            <w:r w:rsidR="005E6972" w:rsidRPr="00AE5121">
              <w:rPr>
                <w:rFonts w:asciiTheme="minorHAnsi" w:hAnsiTheme="minorHAnsi" w:cstheme="minorHAnsi"/>
                <w:position w:val="2"/>
                <w:rtl/>
                <w:lang w:bidi="ar-EG"/>
              </w:rPr>
              <w:t xml:space="preserve"> مارس </w:t>
            </w:r>
            <w:r w:rsidR="005E6972" w:rsidRPr="00AE5121">
              <w:rPr>
                <w:rFonts w:asciiTheme="minorHAnsi" w:hAnsiTheme="minorHAnsi" w:cstheme="minorHAnsi"/>
                <w:position w:val="2"/>
                <w:lang w:bidi="ar-EG"/>
              </w:rPr>
              <w:t>2022</w:t>
            </w:r>
          </w:p>
        </w:tc>
      </w:tr>
      <w:tr w:rsidR="00E84438" w:rsidRPr="00AE5121" w14:paraId="41C804FD" w14:textId="77777777" w:rsidTr="00E84438">
        <w:trPr>
          <w:cantSplit/>
          <w:trHeight w:val="831"/>
          <w:jc w:val="center"/>
        </w:trPr>
        <w:tc>
          <w:tcPr>
            <w:tcW w:w="796" w:type="pct"/>
          </w:tcPr>
          <w:p w14:paraId="0BC81E45" w14:textId="77777777" w:rsidR="00E84438" w:rsidRPr="00AE5121" w:rsidRDefault="00E84438" w:rsidP="00D517B2">
            <w:pPr>
              <w:spacing w:before="80" w:after="60" w:line="300" w:lineRule="exact"/>
              <w:jc w:val="left"/>
              <w:rPr>
                <w:rFonts w:asciiTheme="minorHAnsi" w:hAnsiTheme="minorHAnsi" w:cstheme="minorHAnsi"/>
                <w:b/>
                <w:bCs/>
                <w:position w:val="2"/>
              </w:rPr>
            </w:pPr>
            <w:r w:rsidRPr="00AE5121">
              <w:rPr>
                <w:rFonts w:asciiTheme="minorHAnsi" w:hAnsiTheme="minorHAnsi" w:cstheme="minorHAnsi"/>
                <w:b/>
                <w:bCs/>
                <w:position w:val="2"/>
                <w:rtl/>
              </w:rPr>
              <w:t>المرجع:</w:t>
            </w:r>
          </w:p>
        </w:tc>
        <w:tc>
          <w:tcPr>
            <w:tcW w:w="1998" w:type="pct"/>
          </w:tcPr>
          <w:p w14:paraId="173DE395" w14:textId="7863F886" w:rsidR="00E84438" w:rsidRPr="00AE5121" w:rsidRDefault="00E84438" w:rsidP="00D517B2">
            <w:pPr>
              <w:spacing w:before="80" w:after="60" w:line="300" w:lineRule="exact"/>
              <w:jc w:val="left"/>
              <w:rPr>
                <w:rFonts w:asciiTheme="minorHAnsi" w:hAnsiTheme="minorHAnsi" w:cstheme="minorHAnsi"/>
                <w:b/>
                <w:position w:val="2"/>
              </w:rPr>
            </w:pPr>
            <w:r w:rsidRPr="00AE5121">
              <w:rPr>
                <w:rFonts w:asciiTheme="minorHAnsi" w:hAnsiTheme="minorHAnsi" w:cstheme="minorHAnsi"/>
                <w:b/>
                <w:position w:val="2"/>
              </w:rPr>
              <w:t xml:space="preserve">TSB Circular </w:t>
            </w:r>
            <w:r w:rsidR="005E6972" w:rsidRPr="00AE5121">
              <w:rPr>
                <w:rFonts w:asciiTheme="minorHAnsi" w:hAnsiTheme="minorHAnsi" w:cstheme="minorHAnsi"/>
                <w:b/>
                <w:position w:val="2"/>
              </w:rPr>
              <w:t>003</w:t>
            </w:r>
            <w:r w:rsidRPr="00AE5121">
              <w:rPr>
                <w:rFonts w:asciiTheme="minorHAnsi" w:hAnsiTheme="minorHAnsi" w:cstheme="minorHAnsi"/>
                <w:b/>
                <w:position w:val="2"/>
              </w:rPr>
              <w:br/>
            </w:r>
            <w:r w:rsidR="005E6972" w:rsidRPr="00AE5121">
              <w:rPr>
                <w:rFonts w:asciiTheme="minorHAnsi" w:hAnsiTheme="minorHAnsi" w:cstheme="minorHAnsi"/>
                <w:bCs/>
                <w:position w:val="2"/>
              </w:rPr>
              <w:t>TSB Events/XY</w:t>
            </w:r>
          </w:p>
        </w:tc>
        <w:tc>
          <w:tcPr>
            <w:tcW w:w="2206" w:type="pct"/>
            <w:vMerge w:val="restart"/>
          </w:tcPr>
          <w:p w14:paraId="3C508C8B" w14:textId="77777777" w:rsidR="00E84438" w:rsidRPr="00AE5121" w:rsidRDefault="00E84438" w:rsidP="00D517B2">
            <w:pPr>
              <w:tabs>
                <w:tab w:val="clear" w:pos="794"/>
                <w:tab w:val="left" w:pos="284"/>
              </w:tabs>
              <w:spacing w:before="80" w:after="60" w:line="300" w:lineRule="exact"/>
              <w:ind w:left="284" w:hanging="284"/>
              <w:jc w:val="left"/>
              <w:rPr>
                <w:rFonts w:asciiTheme="minorHAnsi" w:hAnsiTheme="minorHAnsi" w:cstheme="minorHAnsi"/>
                <w:b/>
                <w:bCs/>
                <w:position w:val="2"/>
                <w:rtl/>
                <w:lang w:bidi="ar-EG"/>
              </w:rPr>
            </w:pPr>
            <w:r w:rsidRPr="00AE5121">
              <w:rPr>
                <w:rFonts w:asciiTheme="minorHAnsi" w:hAnsiTheme="minorHAnsi" w:cstheme="minorHAnsi"/>
                <w:b/>
                <w:bCs/>
                <w:position w:val="2"/>
                <w:rtl/>
              </w:rPr>
              <w:t>إلى:</w:t>
            </w:r>
          </w:p>
          <w:p w14:paraId="792C79EC" w14:textId="77777777" w:rsidR="00E84438" w:rsidRPr="00AE5121" w:rsidRDefault="00E84438" w:rsidP="00D517B2">
            <w:pPr>
              <w:tabs>
                <w:tab w:val="clear" w:pos="794"/>
                <w:tab w:val="left" w:pos="284"/>
              </w:tabs>
              <w:spacing w:before="80" w:after="60" w:line="300" w:lineRule="exact"/>
              <w:ind w:left="284" w:hanging="284"/>
              <w:jc w:val="left"/>
              <w:rPr>
                <w:rFonts w:asciiTheme="minorHAnsi" w:hAnsiTheme="minorHAnsi" w:cstheme="minorHAnsi"/>
                <w:position w:val="2"/>
                <w:rtl/>
              </w:rPr>
            </w:pPr>
            <w:r w:rsidRPr="00AE5121">
              <w:rPr>
                <w:rFonts w:asciiTheme="minorHAnsi" w:hAnsiTheme="minorHAnsi" w:cstheme="minorHAnsi"/>
                <w:position w:val="2"/>
                <w:rtl/>
              </w:rPr>
              <w:t>-</w:t>
            </w:r>
            <w:r w:rsidRPr="00AE5121">
              <w:rPr>
                <w:rFonts w:asciiTheme="minorHAnsi" w:hAnsiTheme="minorHAnsi" w:cstheme="minorHAnsi"/>
                <w:position w:val="2"/>
                <w:rtl/>
              </w:rPr>
              <w:tab/>
              <w:t>إدارات الدول الأعضاء في الاتحاد؛</w:t>
            </w:r>
          </w:p>
          <w:p w14:paraId="3A4E533D" w14:textId="77777777" w:rsidR="00002A63" w:rsidRPr="00AE5121" w:rsidRDefault="00002A63" w:rsidP="00002A63">
            <w:pPr>
              <w:tabs>
                <w:tab w:val="left" w:pos="284"/>
                <w:tab w:val="left" w:pos="4111"/>
              </w:tabs>
              <w:spacing w:before="20" w:line="340" w:lineRule="exact"/>
              <w:ind w:left="284" w:hanging="284"/>
              <w:rPr>
                <w:rFonts w:asciiTheme="minorHAnsi" w:hAnsiTheme="minorHAnsi" w:cstheme="minorHAnsi"/>
                <w:position w:val="2"/>
                <w:rtl/>
                <w:lang w:bidi="ar-EG"/>
              </w:rPr>
            </w:pPr>
            <w:r w:rsidRPr="00AE5121">
              <w:rPr>
                <w:rFonts w:asciiTheme="minorHAnsi" w:hAnsiTheme="minorHAnsi" w:cstheme="minorHAnsi"/>
                <w:position w:val="2"/>
                <w:rtl/>
              </w:rPr>
              <w:t>-</w:t>
            </w:r>
            <w:r w:rsidRPr="00AE5121">
              <w:rPr>
                <w:rFonts w:asciiTheme="minorHAnsi" w:hAnsiTheme="minorHAnsi" w:cstheme="minorHAnsi"/>
                <w:position w:val="2"/>
                <w:rtl/>
              </w:rPr>
              <w:tab/>
            </w:r>
            <w:r w:rsidRPr="00AE5121">
              <w:rPr>
                <w:rFonts w:asciiTheme="minorHAnsi" w:hAnsiTheme="minorHAnsi" w:cstheme="minorHAnsi"/>
                <w:position w:val="2"/>
                <w:rtl/>
                <w:lang w:bidi="ar-EG"/>
              </w:rPr>
              <w:t>أعضاء قطاع تقييس الاتصالات بالاتحاد؛</w:t>
            </w:r>
          </w:p>
          <w:p w14:paraId="69DC126A" w14:textId="77777777" w:rsidR="00002A63" w:rsidRPr="00AE5121" w:rsidRDefault="00002A63" w:rsidP="00002A63">
            <w:pPr>
              <w:tabs>
                <w:tab w:val="left" w:pos="284"/>
                <w:tab w:val="left" w:pos="4111"/>
              </w:tabs>
              <w:spacing w:before="20" w:line="340" w:lineRule="exact"/>
              <w:ind w:left="284" w:hanging="284"/>
              <w:rPr>
                <w:rFonts w:asciiTheme="minorHAnsi" w:hAnsiTheme="minorHAnsi" w:cstheme="minorHAnsi"/>
                <w:position w:val="2"/>
                <w:rtl/>
                <w:lang w:bidi="ar-EG"/>
              </w:rPr>
            </w:pPr>
            <w:r w:rsidRPr="00AE5121">
              <w:rPr>
                <w:rFonts w:asciiTheme="minorHAnsi" w:hAnsiTheme="minorHAnsi" w:cstheme="minorHAnsi"/>
                <w:position w:val="2"/>
                <w:rtl/>
              </w:rPr>
              <w:t>-</w:t>
            </w:r>
            <w:r w:rsidRPr="00AE5121">
              <w:rPr>
                <w:rFonts w:asciiTheme="minorHAnsi" w:hAnsiTheme="minorHAnsi" w:cstheme="minorHAnsi"/>
                <w:position w:val="2"/>
                <w:rtl/>
              </w:rPr>
              <w:tab/>
              <w:t>المنتسبين إلى قطاع تقييس الاتصالات؛</w:t>
            </w:r>
          </w:p>
          <w:p w14:paraId="3ABB62BF" w14:textId="77777777" w:rsidR="00E84438" w:rsidRPr="00AE5121" w:rsidRDefault="00002A63" w:rsidP="00CE1C08">
            <w:pPr>
              <w:tabs>
                <w:tab w:val="clear" w:pos="794"/>
                <w:tab w:val="left" w:pos="284"/>
              </w:tabs>
              <w:spacing w:before="80" w:after="60" w:line="300" w:lineRule="exact"/>
              <w:ind w:left="284" w:hanging="284"/>
              <w:jc w:val="left"/>
              <w:rPr>
                <w:rFonts w:asciiTheme="minorHAnsi" w:hAnsiTheme="minorHAnsi" w:cstheme="minorHAnsi"/>
                <w:position w:val="2"/>
                <w:rtl/>
              </w:rPr>
            </w:pPr>
            <w:r w:rsidRPr="00AE5121">
              <w:rPr>
                <w:rFonts w:asciiTheme="minorHAnsi" w:hAnsiTheme="minorHAnsi" w:cstheme="minorHAnsi"/>
                <w:position w:val="2"/>
                <w:rtl/>
              </w:rPr>
              <w:t>-</w:t>
            </w:r>
            <w:r w:rsidRPr="00AE5121">
              <w:rPr>
                <w:rFonts w:asciiTheme="minorHAnsi" w:hAnsiTheme="minorHAnsi" w:cstheme="minorHAnsi"/>
                <w:position w:val="2"/>
                <w:rtl/>
              </w:rPr>
              <w:tab/>
              <w:t>الهيئات الأكاديمية المنضمة إلى</w:t>
            </w:r>
            <w:r w:rsidRPr="00AE5121">
              <w:rPr>
                <w:rFonts w:asciiTheme="minorHAnsi" w:hAnsiTheme="minorHAnsi" w:cstheme="minorHAnsi"/>
                <w:position w:val="2"/>
                <w:rtl/>
                <w:lang w:bidi="ar-EG"/>
              </w:rPr>
              <w:t xml:space="preserve"> الاتحاد</w:t>
            </w:r>
          </w:p>
        </w:tc>
      </w:tr>
      <w:tr w:rsidR="00D517B2" w:rsidRPr="00AE5121" w14:paraId="5D487EF0" w14:textId="77777777" w:rsidTr="00D517B2">
        <w:trPr>
          <w:cantSplit/>
          <w:trHeight w:val="340"/>
          <w:jc w:val="center"/>
        </w:trPr>
        <w:tc>
          <w:tcPr>
            <w:tcW w:w="796" w:type="pct"/>
          </w:tcPr>
          <w:p w14:paraId="31744251" w14:textId="46DA38D0" w:rsidR="00D517B2" w:rsidRPr="00AE5121" w:rsidRDefault="005E6972" w:rsidP="00D517B2">
            <w:pPr>
              <w:spacing w:before="80" w:after="60" w:line="300" w:lineRule="exact"/>
              <w:jc w:val="left"/>
              <w:rPr>
                <w:rFonts w:asciiTheme="minorHAnsi" w:hAnsiTheme="minorHAnsi" w:cstheme="minorHAnsi"/>
                <w:b/>
                <w:bCs/>
                <w:position w:val="2"/>
              </w:rPr>
            </w:pPr>
            <w:r w:rsidRPr="00AE5121">
              <w:rPr>
                <w:rFonts w:asciiTheme="minorHAnsi" w:hAnsiTheme="minorHAnsi" w:cstheme="minorHAnsi"/>
                <w:b/>
                <w:bCs/>
                <w:position w:val="2"/>
                <w:rtl/>
              </w:rPr>
              <w:t>جهة الاتصال:</w:t>
            </w:r>
          </w:p>
        </w:tc>
        <w:tc>
          <w:tcPr>
            <w:tcW w:w="1998" w:type="pct"/>
          </w:tcPr>
          <w:p w14:paraId="5420E030" w14:textId="34FB2C72" w:rsidR="00D517B2" w:rsidRPr="00AE5121" w:rsidRDefault="00627D3D" w:rsidP="005E6972">
            <w:pPr>
              <w:spacing w:before="80" w:after="60" w:line="300" w:lineRule="exact"/>
              <w:jc w:val="left"/>
              <w:rPr>
                <w:rFonts w:asciiTheme="minorHAnsi" w:hAnsiTheme="minorHAnsi" w:cstheme="minorHAnsi"/>
                <w:b/>
                <w:position w:val="2"/>
                <w:lang w:val="en-GB" w:bidi="ar-EG"/>
              </w:rPr>
            </w:pPr>
            <w:r w:rsidRPr="00AE5121">
              <w:rPr>
                <w:rFonts w:asciiTheme="minorHAnsi" w:hAnsiTheme="minorHAnsi" w:cstheme="minorHAnsi"/>
                <w:b/>
                <w:bCs/>
                <w:position w:val="2"/>
                <w:rtl/>
                <w:lang w:val="en-GB"/>
              </w:rPr>
              <w:t>شاويا يانغ</w:t>
            </w:r>
            <w:r w:rsidR="00861906" w:rsidRPr="00AE5121">
              <w:rPr>
                <w:rFonts w:asciiTheme="minorHAnsi" w:hAnsiTheme="minorHAnsi" w:cstheme="minorHAnsi"/>
                <w:b/>
                <w:position w:val="2"/>
                <w:rtl/>
                <w:lang w:bidi="ar-EG"/>
              </w:rPr>
              <w:t xml:space="preserve"> </w:t>
            </w:r>
            <w:r w:rsidR="00861906" w:rsidRPr="00AE5121">
              <w:rPr>
                <w:rFonts w:asciiTheme="minorHAnsi" w:hAnsiTheme="minorHAnsi" w:cstheme="minorHAnsi"/>
                <w:b/>
                <w:position w:val="2"/>
                <w:lang w:val="en-GB" w:bidi="ar-EG"/>
              </w:rPr>
              <w:t>(Xiaoya Yang)</w:t>
            </w:r>
          </w:p>
        </w:tc>
        <w:tc>
          <w:tcPr>
            <w:tcW w:w="2206" w:type="pct"/>
            <w:vMerge/>
          </w:tcPr>
          <w:p w14:paraId="0C456536" w14:textId="77777777" w:rsidR="00D517B2" w:rsidRPr="00AE5121" w:rsidRDefault="00D517B2" w:rsidP="00D517B2">
            <w:pPr>
              <w:spacing w:before="80" w:after="60" w:line="300" w:lineRule="exact"/>
              <w:jc w:val="left"/>
              <w:rPr>
                <w:rFonts w:asciiTheme="minorHAnsi" w:hAnsiTheme="minorHAnsi" w:cstheme="minorHAnsi"/>
                <w:position w:val="2"/>
                <w:rtl/>
              </w:rPr>
            </w:pPr>
          </w:p>
        </w:tc>
      </w:tr>
      <w:tr w:rsidR="005E6972" w:rsidRPr="00AE5121" w14:paraId="3D4F3E50" w14:textId="77777777" w:rsidTr="00CE1C08">
        <w:trPr>
          <w:cantSplit/>
          <w:trHeight w:val="737"/>
          <w:jc w:val="center"/>
        </w:trPr>
        <w:tc>
          <w:tcPr>
            <w:tcW w:w="796" w:type="pct"/>
          </w:tcPr>
          <w:p w14:paraId="413AB17A" w14:textId="005EDCF8" w:rsidR="005E6972" w:rsidRPr="00AE5121" w:rsidRDefault="005E6972" w:rsidP="005E6972">
            <w:pPr>
              <w:spacing w:before="80" w:after="60" w:line="300" w:lineRule="exact"/>
              <w:jc w:val="left"/>
              <w:rPr>
                <w:rFonts w:asciiTheme="minorHAnsi" w:hAnsiTheme="minorHAnsi" w:cstheme="minorHAnsi"/>
                <w:b/>
                <w:bCs/>
                <w:position w:val="2"/>
                <w:rtl/>
                <w:lang w:bidi="ar-EG"/>
              </w:rPr>
            </w:pPr>
            <w:r w:rsidRPr="00AE5121">
              <w:rPr>
                <w:rFonts w:asciiTheme="minorHAnsi" w:hAnsiTheme="minorHAnsi" w:cstheme="minorHAnsi"/>
                <w:b/>
                <w:bCs/>
                <w:position w:val="2"/>
                <w:rtl/>
                <w:lang w:bidi="ar-EG"/>
              </w:rPr>
              <w:t>ال</w:t>
            </w:r>
            <w:r w:rsidRPr="00AE5121">
              <w:rPr>
                <w:rFonts w:asciiTheme="minorHAnsi" w:hAnsiTheme="minorHAnsi" w:cstheme="minorHAnsi"/>
                <w:b/>
                <w:bCs/>
                <w:position w:val="2"/>
                <w:rtl/>
                <w:lang w:bidi="ar-SY"/>
              </w:rPr>
              <w:t>هاتف</w:t>
            </w:r>
            <w:r w:rsidRPr="00AE5121">
              <w:rPr>
                <w:rFonts w:asciiTheme="minorHAnsi" w:hAnsiTheme="minorHAnsi" w:cstheme="minorHAnsi"/>
                <w:b/>
                <w:bCs/>
                <w:position w:val="2"/>
                <w:rtl/>
              </w:rPr>
              <w:t>:</w:t>
            </w:r>
          </w:p>
        </w:tc>
        <w:tc>
          <w:tcPr>
            <w:tcW w:w="1998" w:type="pct"/>
          </w:tcPr>
          <w:p w14:paraId="03B76B91" w14:textId="2E9A143A" w:rsidR="005E6972" w:rsidRPr="00AE5121" w:rsidRDefault="005E6972" w:rsidP="005E6972">
            <w:pPr>
              <w:spacing w:before="80" w:after="60" w:line="300" w:lineRule="exact"/>
              <w:jc w:val="left"/>
              <w:rPr>
                <w:rFonts w:asciiTheme="minorHAnsi" w:hAnsiTheme="minorHAnsi" w:cstheme="minorHAnsi"/>
                <w:position w:val="2"/>
              </w:rPr>
            </w:pPr>
            <w:r w:rsidRPr="00AE5121">
              <w:rPr>
                <w:rFonts w:asciiTheme="minorHAnsi" w:hAnsiTheme="minorHAnsi" w:cstheme="minorHAnsi"/>
                <w:position w:val="2"/>
              </w:rPr>
              <w:t>+41 22 730 6206</w:t>
            </w:r>
          </w:p>
        </w:tc>
        <w:tc>
          <w:tcPr>
            <w:tcW w:w="2206" w:type="pct"/>
            <w:vMerge/>
          </w:tcPr>
          <w:p w14:paraId="2EA64FC7" w14:textId="77777777" w:rsidR="005E6972" w:rsidRPr="00AE5121" w:rsidRDefault="005E6972" w:rsidP="005E6972">
            <w:pPr>
              <w:spacing w:before="80" w:after="60" w:line="300" w:lineRule="exact"/>
              <w:jc w:val="left"/>
              <w:rPr>
                <w:rFonts w:asciiTheme="minorHAnsi" w:hAnsiTheme="minorHAnsi" w:cstheme="minorHAnsi"/>
                <w:position w:val="2"/>
                <w:rtl/>
              </w:rPr>
            </w:pPr>
          </w:p>
        </w:tc>
      </w:tr>
      <w:tr w:rsidR="00121ECB" w:rsidRPr="00AE5121" w14:paraId="75FC9CDF" w14:textId="77777777" w:rsidTr="00121ECB">
        <w:trPr>
          <w:cantSplit/>
          <w:trHeight w:val="691"/>
          <w:jc w:val="center"/>
        </w:trPr>
        <w:tc>
          <w:tcPr>
            <w:tcW w:w="796" w:type="pct"/>
          </w:tcPr>
          <w:p w14:paraId="241665AC" w14:textId="59F4B7B6" w:rsidR="00121ECB" w:rsidRPr="00AE5121" w:rsidRDefault="00121ECB" w:rsidP="005E6972">
            <w:pPr>
              <w:spacing w:before="80" w:after="60" w:line="300" w:lineRule="exact"/>
              <w:jc w:val="left"/>
              <w:rPr>
                <w:rFonts w:asciiTheme="minorHAnsi" w:hAnsiTheme="minorHAnsi" w:cstheme="minorHAnsi"/>
                <w:b/>
                <w:bCs/>
                <w:position w:val="2"/>
                <w:rtl/>
              </w:rPr>
            </w:pPr>
            <w:r w:rsidRPr="00AE5121">
              <w:rPr>
                <w:rFonts w:asciiTheme="minorHAnsi" w:hAnsiTheme="minorHAnsi" w:cstheme="minorHAnsi"/>
                <w:b/>
                <w:bCs/>
                <w:position w:val="2"/>
                <w:rtl/>
              </w:rPr>
              <w:t>الفاكس:</w:t>
            </w:r>
          </w:p>
        </w:tc>
        <w:tc>
          <w:tcPr>
            <w:tcW w:w="1998" w:type="pct"/>
          </w:tcPr>
          <w:p w14:paraId="0A472C76" w14:textId="1C38A8E5" w:rsidR="00121ECB" w:rsidRPr="00AE5121" w:rsidRDefault="00121ECB" w:rsidP="005E6972">
            <w:pPr>
              <w:spacing w:before="80" w:after="60" w:line="300" w:lineRule="exact"/>
              <w:jc w:val="left"/>
              <w:rPr>
                <w:rFonts w:asciiTheme="minorHAnsi" w:hAnsiTheme="minorHAnsi" w:cstheme="minorHAnsi"/>
                <w:position w:val="2"/>
                <w:highlight w:val="magenta"/>
                <w:rtl/>
                <w:lang w:bidi="ar-EG"/>
              </w:rPr>
            </w:pPr>
            <w:r w:rsidRPr="00AE5121">
              <w:rPr>
                <w:rFonts w:asciiTheme="minorHAnsi" w:hAnsiTheme="minorHAnsi" w:cstheme="minorHAnsi"/>
                <w:position w:val="2"/>
              </w:rPr>
              <w:t>+41 22 730 5853</w:t>
            </w:r>
          </w:p>
        </w:tc>
        <w:tc>
          <w:tcPr>
            <w:tcW w:w="2206" w:type="pct"/>
            <w:vMerge w:val="restart"/>
          </w:tcPr>
          <w:p w14:paraId="67816E73" w14:textId="77777777" w:rsidR="00121ECB" w:rsidRPr="00AE5121" w:rsidRDefault="00121ECB" w:rsidP="005E6972">
            <w:pPr>
              <w:tabs>
                <w:tab w:val="clear" w:pos="794"/>
                <w:tab w:val="left" w:pos="284"/>
              </w:tabs>
              <w:spacing w:before="80" w:after="60" w:line="300" w:lineRule="exact"/>
              <w:ind w:left="284" w:hanging="284"/>
              <w:jc w:val="left"/>
              <w:rPr>
                <w:rFonts w:asciiTheme="minorHAnsi" w:hAnsiTheme="minorHAnsi" w:cstheme="minorHAnsi"/>
                <w:b/>
                <w:bCs/>
                <w:position w:val="2"/>
                <w:rtl/>
              </w:rPr>
            </w:pPr>
            <w:r w:rsidRPr="00AE5121">
              <w:rPr>
                <w:rFonts w:asciiTheme="minorHAnsi" w:hAnsiTheme="minorHAnsi" w:cstheme="minorHAnsi"/>
                <w:b/>
                <w:bCs/>
                <w:position w:val="2"/>
                <w:rtl/>
              </w:rPr>
              <w:t>نسخة إلى:</w:t>
            </w:r>
          </w:p>
          <w:p w14:paraId="6B772BD5" w14:textId="77777777" w:rsidR="00121ECB" w:rsidRPr="00AE5121" w:rsidRDefault="00121ECB" w:rsidP="005E6972">
            <w:pPr>
              <w:tabs>
                <w:tab w:val="left" w:pos="284"/>
                <w:tab w:val="left" w:pos="4111"/>
              </w:tabs>
              <w:spacing w:before="0" w:line="340" w:lineRule="exact"/>
              <w:ind w:left="284" w:hanging="284"/>
              <w:rPr>
                <w:rFonts w:asciiTheme="minorHAnsi" w:eastAsia="Times New Roman" w:hAnsiTheme="minorHAnsi" w:cstheme="minorHAnsi"/>
                <w:position w:val="2"/>
                <w:rtl/>
                <w:lang w:eastAsia="en-US"/>
              </w:rPr>
            </w:pPr>
            <w:r w:rsidRPr="00AE5121">
              <w:rPr>
                <w:rFonts w:asciiTheme="minorHAnsi" w:hAnsiTheme="minorHAnsi" w:cstheme="minorHAnsi"/>
                <w:position w:val="2"/>
                <w:rtl/>
              </w:rPr>
              <w:t>-</w:t>
            </w:r>
            <w:r w:rsidRPr="00AE5121">
              <w:rPr>
                <w:rFonts w:asciiTheme="minorHAnsi" w:hAnsiTheme="minorHAnsi" w:cstheme="minorHAnsi"/>
                <w:position w:val="2"/>
                <w:rtl/>
              </w:rPr>
              <w:tab/>
            </w:r>
            <w:r w:rsidRPr="00AE5121">
              <w:rPr>
                <w:rFonts w:asciiTheme="minorHAnsi" w:eastAsia="Times New Roman" w:hAnsiTheme="minorHAnsi" w:cstheme="minorHAnsi"/>
                <w:position w:val="2"/>
                <w:rtl/>
                <w:lang w:eastAsia="en-US"/>
              </w:rPr>
              <w:t>رؤساء لجان الدراسات</w:t>
            </w:r>
            <w:r w:rsidRPr="00AE5121">
              <w:rPr>
                <w:rFonts w:asciiTheme="minorHAnsi" w:eastAsia="Times New Roman" w:hAnsiTheme="minorHAnsi" w:cstheme="minorHAnsi"/>
                <w:position w:val="2"/>
                <w:rtl/>
                <w:lang w:eastAsia="en-US" w:bidi="ar-EG"/>
              </w:rPr>
              <w:t xml:space="preserve"> ونوابهم</w:t>
            </w:r>
            <w:r w:rsidRPr="00AE5121">
              <w:rPr>
                <w:rFonts w:asciiTheme="minorHAnsi" w:eastAsia="Times New Roman" w:hAnsiTheme="minorHAnsi" w:cstheme="minorHAnsi"/>
                <w:position w:val="2"/>
                <w:rtl/>
                <w:lang w:eastAsia="en-US"/>
              </w:rPr>
              <w:t>؛</w:t>
            </w:r>
          </w:p>
          <w:p w14:paraId="55D98676" w14:textId="77777777" w:rsidR="00121ECB" w:rsidRPr="00AE5121" w:rsidRDefault="00121ECB" w:rsidP="005E6972">
            <w:pPr>
              <w:tabs>
                <w:tab w:val="left" w:pos="284"/>
                <w:tab w:val="left" w:pos="4111"/>
              </w:tabs>
              <w:spacing w:before="0" w:line="340" w:lineRule="exact"/>
              <w:ind w:left="284" w:hanging="284"/>
              <w:rPr>
                <w:rFonts w:asciiTheme="minorHAnsi" w:eastAsia="Times New Roman" w:hAnsiTheme="minorHAnsi" w:cstheme="minorHAnsi"/>
                <w:position w:val="2"/>
                <w:rtl/>
                <w:lang w:eastAsia="en-US"/>
              </w:rPr>
            </w:pPr>
            <w:r w:rsidRPr="00AE5121">
              <w:rPr>
                <w:rFonts w:asciiTheme="minorHAnsi" w:eastAsia="Times New Roman" w:hAnsiTheme="minorHAnsi" w:cstheme="minorHAnsi"/>
                <w:position w:val="2"/>
                <w:rtl/>
                <w:lang w:eastAsia="en-US"/>
              </w:rPr>
              <w:t>-</w:t>
            </w:r>
            <w:r w:rsidRPr="00AE5121">
              <w:rPr>
                <w:rFonts w:asciiTheme="minorHAnsi" w:eastAsia="Times New Roman" w:hAnsiTheme="minorHAnsi" w:cstheme="minorHAnsi"/>
                <w:position w:val="2"/>
                <w:rtl/>
                <w:lang w:eastAsia="en-US"/>
              </w:rPr>
              <w:tab/>
              <w:t>مدير</w:t>
            </w:r>
            <w:r w:rsidRPr="00AE5121">
              <w:rPr>
                <w:rFonts w:asciiTheme="minorHAnsi" w:eastAsia="Times New Roman" w:hAnsiTheme="minorHAnsi" w:cstheme="minorHAnsi"/>
                <w:position w:val="2"/>
                <w:rtl/>
                <w:lang w:eastAsia="en-US" w:bidi="ar-EG"/>
              </w:rPr>
              <w:t>ة</w:t>
            </w:r>
            <w:r w:rsidRPr="00AE5121">
              <w:rPr>
                <w:rFonts w:asciiTheme="minorHAnsi" w:eastAsia="Times New Roman" w:hAnsiTheme="minorHAnsi" w:cstheme="minorHAnsi"/>
                <w:position w:val="2"/>
                <w:rtl/>
                <w:lang w:eastAsia="en-US"/>
              </w:rPr>
              <w:t xml:space="preserve"> مكتب تنمية الاتصالات؛</w:t>
            </w:r>
          </w:p>
          <w:p w14:paraId="28F0BECE" w14:textId="77777777" w:rsidR="00121ECB" w:rsidRPr="00AE5121" w:rsidRDefault="00121ECB" w:rsidP="005E6972">
            <w:pPr>
              <w:tabs>
                <w:tab w:val="left" w:pos="284"/>
                <w:tab w:val="left" w:pos="4111"/>
              </w:tabs>
              <w:spacing w:before="0" w:line="340" w:lineRule="exact"/>
              <w:ind w:left="284" w:hanging="284"/>
              <w:rPr>
                <w:rFonts w:asciiTheme="minorHAnsi" w:eastAsia="Times New Roman" w:hAnsiTheme="minorHAnsi" w:cstheme="minorHAnsi"/>
                <w:position w:val="2"/>
                <w:rtl/>
                <w:lang w:eastAsia="en-US"/>
              </w:rPr>
            </w:pPr>
            <w:r w:rsidRPr="00AE5121">
              <w:rPr>
                <w:rFonts w:asciiTheme="minorHAnsi" w:eastAsia="Times New Roman" w:hAnsiTheme="minorHAnsi" w:cstheme="minorHAnsi"/>
                <w:position w:val="2"/>
                <w:rtl/>
                <w:lang w:eastAsia="en-US"/>
              </w:rPr>
              <w:t>-</w:t>
            </w:r>
            <w:r w:rsidRPr="00AE5121">
              <w:rPr>
                <w:rFonts w:asciiTheme="minorHAnsi" w:eastAsia="Times New Roman" w:hAnsiTheme="minorHAnsi" w:cstheme="minorHAnsi"/>
                <w:position w:val="2"/>
                <w:rtl/>
                <w:lang w:eastAsia="en-US"/>
              </w:rPr>
              <w:tab/>
              <w:t>مدير مكتب الاتصالات الراديوية؛</w:t>
            </w:r>
          </w:p>
          <w:p w14:paraId="15082EEB" w14:textId="52F2ABDD" w:rsidR="00121ECB" w:rsidRPr="00AE5121" w:rsidRDefault="00121ECB" w:rsidP="005E6972">
            <w:pPr>
              <w:tabs>
                <w:tab w:val="left" w:pos="284"/>
                <w:tab w:val="left" w:pos="4111"/>
              </w:tabs>
              <w:spacing w:before="0" w:line="340" w:lineRule="exact"/>
              <w:ind w:left="284" w:hanging="284"/>
              <w:rPr>
                <w:rFonts w:asciiTheme="minorHAnsi" w:hAnsiTheme="minorHAnsi" w:cstheme="minorHAnsi"/>
                <w:position w:val="2"/>
                <w:rtl/>
              </w:rPr>
            </w:pPr>
            <w:r w:rsidRPr="00AE5121">
              <w:rPr>
                <w:rFonts w:asciiTheme="minorHAnsi" w:eastAsia="Times New Roman" w:hAnsiTheme="minorHAnsi" w:cstheme="minorHAnsi"/>
                <w:position w:val="2"/>
                <w:rtl/>
                <w:lang w:eastAsia="en-US"/>
              </w:rPr>
              <w:t>-</w:t>
            </w:r>
            <w:r w:rsidRPr="00AE5121">
              <w:rPr>
                <w:rFonts w:asciiTheme="minorHAnsi" w:eastAsia="Times New Roman" w:hAnsiTheme="minorHAnsi" w:cstheme="minorHAnsi"/>
                <w:position w:val="2"/>
                <w:rtl/>
                <w:lang w:eastAsia="en-US"/>
              </w:rPr>
              <w:tab/>
              <w:t>مديري المكاتب الإقليمية للاتحاد</w:t>
            </w:r>
          </w:p>
        </w:tc>
      </w:tr>
      <w:tr w:rsidR="00121ECB" w:rsidRPr="00AE5121" w14:paraId="562A4548" w14:textId="77777777" w:rsidTr="00D517B2">
        <w:trPr>
          <w:cantSplit/>
          <w:trHeight w:val="691"/>
          <w:jc w:val="center"/>
        </w:trPr>
        <w:tc>
          <w:tcPr>
            <w:tcW w:w="796" w:type="pct"/>
          </w:tcPr>
          <w:p w14:paraId="12601509" w14:textId="66189BDA" w:rsidR="00121ECB" w:rsidRPr="00AE5121" w:rsidRDefault="00121ECB" w:rsidP="00121ECB">
            <w:pPr>
              <w:spacing w:before="80" w:after="60" w:line="300" w:lineRule="exact"/>
              <w:jc w:val="left"/>
              <w:rPr>
                <w:rFonts w:asciiTheme="minorHAnsi" w:hAnsiTheme="minorHAnsi" w:cstheme="minorHAnsi"/>
                <w:b/>
                <w:bCs/>
                <w:position w:val="2"/>
                <w:rtl/>
              </w:rPr>
            </w:pPr>
            <w:r w:rsidRPr="00AE5121">
              <w:rPr>
                <w:rFonts w:asciiTheme="minorHAnsi" w:hAnsiTheme="minorHAnsi" w:cstheme="minorHAnsi"/>
                <w:b/>
                <w:bCs/>
                <w:position w:val="2"/>
                <w:rtl/>
              </w:rPr>
              <w:t>البريد الإلكتروني:</w:t>
            </w:r>
          </w:p>
        </w:tc>
        <w:tc>
          <w:tcPr>
            <w:tcW w:w="1998" w:type="pct"/>
          </w:tcPr>
          <w:p w14:paraId="0B13B70A" w14:textId="591FEBDC" w:rsidR="00121ECB" w:rsidRPr="00AE5121" w:rsidRDefault="00121ECB" w:rsidP="00121ECB">
            <w:pPr>
              <w:spacing w:before="80" w:after="60" w:line="300" w:lineRule="exact"/>
              <w:jc w:val="left"/>
              <w:rPr>
                <w:rFonts w:asciiTheme="minorHAnsi" w:hAnsiTheme="minorHAnsi" w:cstheme="minorHAnsi"/>
                <w:position w:val="2"/>
                <w:lang w:bidi="ar-EG"/>
              </w:rPr>
            </w:pPr>
            <w:r w:rsidRPr="00AE5121">
              <w:rPr>
                <w:rStyle w:val="Hyperlink"/>
                <w:rFonts w:asciiTheme="minorHAnsi" w:hAnsiTheme="minorHAnsi" w:cstheme="minorHAnsi"/>
              </w:rPr>
              <w:t>tsbevents@itu.int</w:t>
            </w:r>
          </w:p>
        </w:tc>
        <w:tc>
          <w:tcPr>
            <w:tcW w:w="2206" w:type="pct"/>
            <w:vMerge/>
          </w:tcPr>
          <w:p w14:paraId="0E61BA07" w14:textId="77777777" w:rsidR="00121ECB" w:rsidRPr="00AE5121" w:rsidRDefault="00121ECB" w:rsidP="00121ECB">
            <w:pPr>
              <w:tabs>
                <w:tab w:val="clear" w:pos="794"/>
                <w:tab w:val="left" w:pos="284"/>
              </w:tabs>
              <w:spacing w:before="80" w:after="60" w:line="300" w:lineRule="exact"/>
              <w:ind w:left="284" w:hanging="284"/>
              <w:jc w:val="left"/>
              <w:rPr>
                <w:rFonts w:asciiTheme="minorHAnsi" w:hAnsiTheme="minorHAnsi" w:cstheme="minorHAnsi"/>
                <w:b/>
                <w:bCs/>
                <w:position w:val="2"/>
                <w:rtl/>
              </w:rPr>
            </w:pPr>
          </w:p>
        </w:tc>
      </w:tr>
      <w:tr w:rsidR="00121ECB" w:rsidRPr="00AE5121" w14:paraId="06E7A211" w14:textId="77777777" w:rsidTr="00D517B2">
        <w:trPr>
          <w:cantSplit/>
          <w:jc w:val="center"/>
        </w:trPr>
        <w:tc>
          <w:tcPr>
            <w:tcW w:w="796" w:type="pct"/>
          </w:tcPr>
          <w:p w14:paraId="771B1D5B" w14:textId="77777777" w:rsidR="00121ECB" w:rsidRPr="00AE5121" w:rsidRDefault="00121ECB" w:rsidP="00121ECB">
            <w:pPr>
              <w:spacing w:before="0" w:line="240" w:lineRule="exact"/>
              <w:jc w:val="left"/>
              <w:rPr>
                <w:rFonts w:asciiTheme="minorHAnsi" w:hAnsiTheme="minorHAnsi" w:cstheme="minorHAnsi"/>
                <w:position w:val="2"/>
                <w:rtl/>
              </w:rPr>
            </w:pPr>
          </w:p>
        </w:tc>
        <w:tc>
          <w:tcPr>
            <w:tcW w:w="1998" w:type="pct"/>
          </w:tcPr>
          <w:p w14:paraId="6642201F" w14:textId="77777777" w:rsidR="00121ECB" w:rsidRPr="00AE5121" w:rsidRDefault="00121ECB" w:rsidP="00121ECB">
            <w:pPr>
              <w:spacing w:before="0" w:line="240" w:lineRule="exact"/>
              <w:jc w:val="left"/>
              <w:rPr>
                <w:rFonts w:asciiTheme="minorHAnsi" w:hAnsiTheme="minorHAnsi" w:cstheme="minorHAnsi"/>
                <w:position w:val="2"/>
              </w:rPr>
            </w:pPr>
          </w:p>
        </w:tc>
        <w:tc>
          <w:tcPr>
            <w:tcW w:w="2206" w:type="pct"/>
          </w:tcPr>
          <w:p w14:paraId="11D72D0A" w14:textId="77777777" w:rsidR="00121ECB" w:rsidRPr="00AE5121" w:rsidRDefault="00121ECB" w:rsidP="00121ECB">
            <w:pPr>
              <w:spacing w:before="0" w:line="240" w:lineRule="exact"/>
              <w:jc w:val="left"/>
              <w:rPr>
                <w:rFonts w:asciiTheme="minorHAnsi" w:hAnsiTheme="minorHAnsi" w:cstheme="minorHAnsi"/>
                <w:position w:val="2"/>
                <w:rtl/>
              </w:rPr>
            </w:pPr>
          </w:p>
        </w:tc>
      </w:tr>
      <w:tr w:rsidR="00121ECB" w:rsidRPr="00AE5121" w14:paraId="6F94A3B4" w14:textId="77777777" w:rsidTr="00D517B2">
        <w:trPr>
          <w:cantSplit/>
          <w:jc w:val="center"/>
        </w:trPr>
        <w:tc>
          <w:tcPr>
            <w:tcW w:w="796" w:type="pct"/>
          </w:tcPr>
          <w:p w14:paraId="7F4119F3" w14:textId="77777777" w:rsidR="00121ECB" w:rsidRPr="00AE5121" w:rsidRDefault="00121ECB" w:rsidP="00121ECB">
            <w:pPr>
              <w:spacing w:before="80" w:after="60" w:line="300" w:lineRule="exact"/>
              <w:jc w:val="left"/>
              <w:rPr>
                <w:rFonts w:asciiTheme="minorHAnsi" w:hAnsiTheme="minorHAnsi" w:cstheme="minorHAnsi"/>
                <w:b/>
                <w:bCs/>
                <w:position w:val="2"/>
                <w:rtl/>
                <w:lang w:bidi="ar-SY"/>
              </w:rPr>
            </w:pPr>
            <w:r w:rsidRPr="00AE5121">
              <w:rPr>
                <w:rFonts w:asciiTheme="minorHAnsi" w:hAnsiTheme="minorHAnsi" w:cstheme="minorHAnsi"/>
                <w:b/>
                <w:bCs/>
                <w:position w:val="2"/>
                <w:rtl/>
              </w:rPr>
              <w:t>الموضوع:</w:t>
            </w:r>
          </w:p>
        </w:tc>
        <w:tc>
          <w:tcPr>
            <w:tcW w:w="4204" w:type="pct"/>
            <w:gridSpan w:val="2"/>
          </w:tcPr>
          <w:p w14:paraId="7F8D6CD2" w14:textId="48C920FD" w:rsidR="00121ECB" w:rsidRPr="00AE5121" w:rsidRDefault="00121ECB" w:rsidP="00121ECB">
            <w:pPr>
              <w:spacing w:before="80" w:after="60" w:line="300" w:lineRule="exact"/>
              <w:jc w:val="left"/>
              <w:rPr>
                <w:rFonts w:asciiTheme="minorHAnsi" w:hAnsiTheme="minorHAnsi" w:cstheme="minorHAnsi"/>
                <w:b/>
                <w:bCs/>
                <w:position w:val="2"/>
                <w:rtl/>
                <w:lang w:bidi="ar-EG"/>
              </w:rPr>
            </w:pPr>
            <w:r w:rsidRPr="00AE5121">
              <w:rPr>
                <w:rFonts w:asciiTheme="minorHAnsi" w:hAnsiTheme="minorHAnsi" w:cstheme="minorHAnsi"/>
                <w:b/>
                <w:bCs/>
                <w:position w:val="2"/>
                <w:rtl/>
                <w:lang w:bidi="ar-EG"/>
              </w:rPr>
              <w:t xml:space="preserve">اليوم الأول للتوصية </w:t>
            </w:r>
            <w:r w:rsidRPr="00AE5121">
              <w:rPr>
                <w:rFonts w:asciiTheme="minorHAnsi" w:hAnsiTheme="minorHAnsi" w:cstheme="minorHAnsi"/>
                <w:b/>
                <w:bCs/>
                <w:position w:val="2"/>
                <w:lang w:bidi="ar-EG"/>
              </w:rPr>
              <w:t>ITU-T X.509</w:t>
            </w:r>
            <w:r w:rsidRPr="00AE5121">
              <w:rPr>
                <w:rFonts w:asciiTheme="minorHAnsi" w:hAnsiTheme="minorHAnsi" w:cstheme="minorHAnsi"/>
                <w:b/>
                <w:bCs/>
                <w:position w:val="2"/>
                <w:rtl/>
                <w:lang w:bidi="ar-EG"/>
              </w:rPr>
              <w:br/>
              <w:t xml:space="preserve">(افتراضي بالكامل، </w:t>
            </w:r>
            <w:r w:rsidRPr="00AE5121">
              <w:rPr>
                <w:rFonts w:asciiTheme="minorHAnsi" w:hAnsiTheme="minorHAnsi" w:cstheme="minorHAnsi"/>
                <w:b/>
                <w:bCs/>
                <w:position w:val="2"/>
                <w:lang w:bidi="ar-EG"/>
              </w:rPr>
              <w:t>9</w:t>
            </w:r>
            <w:r w:rsidRPr="00AE5121">
              <w:rPr>
                <w:rFonts w:asciiTheme="minorHAnsi" w:hAnsiTheme="minorHAnsi" w:cstheme="minorHAnsi"/>
                <w:b/>
                <w:bCs/>
                <w:position w:val="2"/>
                <w:rtl/>
                <w:lang w:bidi="ar-EG"/>
              </w:rPr>
              <w:t xml:space="preserve"> مايو </w:t>
            </w:r>
            <w:r w:rsidRPr="00AE5121">
              <w:rPr>
                <w:rFonts w:asciiTheme="minorHAnsi" w:hAnsiTheme="minorHAnsi" w:cstheme="minorHAnsi"/>
                <w:b/>
                <w:bCs/>
                <w:position w:val="2"/>
                <w:lang w:bidi="ar-EG"/>
              </w:rPr>
              <w:t>2022</w:t>
            </w:r>
            <w:r w:rsidRPr="00AE5121">
              <w:rPr>
                <w:rFonts w:asciiTheme="minorHAnsi" w:hAnsiTheme="minorHAnsi" w:cstheme="minorHAnsi"/>
                <w:b/>
                <w:bCs/>
                <w:position w:val="2"/>
                <w:rtl/>
                <w:lang w:bidi="ar-EG"/>
              </w:rPr>
              <w:t>)</w:t>
            </w:r>
          </w:p>
        </w:tc>
      </w:tr>
    </w:tbl>
    <w:p w14:paraId="3459347E" w14:textId="77777777" w:rsidR="00D517B2" w:rsidRPr="00AE5121" w:rsidRDefault="00D517B2" w:rsidP="006635B2">
      <w:pPr>
        <w:spacing w:before="600"/>
        <w:rPr>
          <w:rFonts w:asciiTheme="minorHAnsi" w:hAnsiTheme="minorHAnsi" w:cstheme="minorHAnsi"/>
          <w:lang w:bidi="ar-SY"/>
        </w:rPr>
      </w:pPr>
      <w:r w:rsidRPr="00AE5121">
        <w:rPr>
          <w:rFonts w:asciiTheme="minorHAnsi" w:hAnsiTheme="minorHAnsi" w:cstheme="minorHAnsi"/>
          <w:rtl/>
          <w:lang w:bidi="ar-SY"/>
        </w:rPr>
        <w:t>حضرات السادة والسيدات،</w:t>
      </w:r>
    </w:p>
    <w:p w14:paraId="5D3F823D" w14:textId="77777777" w:rsidR="00D517B2" w:rsidRPr="00AE5121" w:rsidRDefault="00D517B2" w:rsidP="00D517B2">
      <w:pPr>
        <w:rPr>
          <w:rFonts w:asciiTheme="minorHAnsi" w:hAnsiTheme="minorHAnsi" w:cstheme="minorHAnsi"/>
          <w:rtl/>
          <w:lang w:bidi="ar-EG"/>
        </w:rPr>
      </w:pPr>
      <w:r w:rsidRPr="00AE5121">
        <w:rPr>
          <w:rFonts w:asciiTheme="minorHAnsi" w:hAnsiTheme="minorHAnsi" w:cstheme="minorHAnsi"/>
          <w:rtl/>
        </w:rPr>
        <w:t>تحية طيبة وبعد،</w:t>
      </w:r>
    </w:p>
    <w:p w14:paraId="68744E67" w14:textId="34E4E463" w:rsidR="00D517B2" w:rsidRPr="00AE5121" w:rsidRDefault="005E6972" w:rsidP="00D517B2">
      <w:pPr>
        <w:rPr>
          <w:rFonts w:asciiTheme="minorHAnsi" w:hAnsiTheme="minorHAnsi" w:cstheme="minorHAnsi"/>
          <w:rtl/>
          <w:lang w:bidi="ar-EG"/>
        </w:rPr>
      </w:pPr>
      <w:r w:rsidRPr="00AE5121">
        <w:rPr>
          <w:rFonts w:asciiTheme="minorHAnsi" w:hAnsiTheme="minorHAnsi" w:cstheme="minorHAnsi"/>
          <w:lang w:bidi="ar-SY"/>
        </w:rPr>
        <w:t>1</w:t>
      </w:r>
      <w:r w:rsidRPr="00AE5121">
        <w:rPr>
          <w:rFonts w:asciiTheme="minorHAnsi" w:hAnsiTheme="minorHAnsi" w:cstheme="minorHAnsi"/>
          <w:rtl/>
          <w:lang w:bidi="ar-EG"/>
        </w:rPr>
        <w:tab/>
      </w:r>
      <w:r w:rsidR="004C4BDE" w:rsidRPr="00AE5121">
        <w:rPr>
          <w:rFonts w:asciiTheme="minorHAnsi" w:hAnsiTheme="minorHAnsi" w:cstheme="minorHAnsi"/>
          <w:rtl/>
          <w:lang w:bidi="ar-EG"/>
        </w:rPr>
        <w:t>يسعدني أن أبلغكم أن الاتحاد الدولي للاتصالات</w:t>
      </w:r>
      <w:r w:rsidR="00BE03A3" w:rsidRPr="00AE5121">
        <w:rPr>
          <w:rFonts w:asciiTheme="minorHAnsi" w:hAnsiTheme="minorHAnsi" w:cstheme="minorHAnsi"/>
          <w:rtl/>
          <w:lang w:bidi="ar-EG"/>
        </w:rPr>
        <w:t xml:space="preserve"> </w:t>
      </w:r>
      <w:r w:rsidR="00BE03A3" w:rsidRPr="00AE5121">
        <w:rPr>
          <w:rFonts w:asciiTheme="minorHAnsi" w:hAnsiTheme="minorHAnsi" w:cstheme="minorHAnsi"/>
          <w:lang w:val="en-GB" w:bidi="ar-EG"/>
        </w:rPr>
        <w:t>(ITU)</w:t>
      </w:r>
      <w:r w:rsidR="004C4BDE" w:rsidRPr="00AE5121">
        <w:rPr>
          <w:rFonts w:asciiTheme="minorHAnsi" w:hAnsiTheme="minorHAnsi" w:cstheme="minorHAnsi"/>
          <w:rtl/>
          <w:lang w:bidi="ar-EG"/>
        </w:rPr>
        <w:t xml:space="preserve"> ينظم </w:t>
      </w:r>
      <w:r w:rsidR="00A37443" w:rsidRPr="00AE5121">
        <w:rPr>
          <w:rFonts w:asciiTheme="minorHAnsi" w:hAnsiTheme="minorHAnsi" w:cstheme="minorHAnsi"/>
          <w:rtl/>
          <w:lang w:bidi="ar-EG"/>
        </w:rPr>
        <w:t xml:space="preserve">الحدث المتمثل في </w:t>
      </w:r>
      <w:r w:rsidR="004C4BDE" w:rsidRPr="00AE5121">
        <w:rPr>
          <w:rFonts w:asciiTheme="minorHAnsi" w:hAnsiTheme="minorHAnsi" w:cstheme="minorHAnsi"/>
          <w:b/>
          <w:bCs/>
          <w:rtl/>
          <w:lang w:bidi="ar-EG"/>
        </w:rPr>
        <w:t xml:space="preserve">اليوم الأول </w:t>
      </w:r>
      <w:r w:rsidR="00A37443" w:rsidRPr="00AE5121">
        <w:rPr>
          <w:rFonts w:asciiTheme="minorHAnsi" w:hAnsiTheme="minorHAnsi" w:cstheme="minorHAnsi"/>
          <w:b/>
          <w:bCs/>
          <w:rtl/>
          <w:lang w:bidi="ar-EG"/>
        </w:rPr>
        <w:t xml:space="preserve">للتوصية </w:t>
      </w:r>
      <w:r w:rsidR="00A37443" w:rsidRPr="00AE5121">
        <w:rPr>
          <w:rFonts w:asciiTheme="minorHAnsi" w:hAnsiTheme="minorHAnsi" w:cstheme="minorHAnsi"/>
          <w:b/>
          <w:bCs/>
          <w:lang w:bidi="ar-EG"/>
        </w:rPr>
        <w:t>ITU-T X.509</w:t>
      </w:r>
      <w:r w:rsidR="004C4BDE" w:rsidRPr="00AE5121">
        <w:rPr>
          <w:rFonts w:asciiTheme="minorHAnsi" w:hAnsiTheme="minorHAnsi" w:cstheme="minorHAnsi"/>
          <w:rtl/>
          <w:lang w:bidi="ar-EG"/>
        </w:rPr>
        <w:t xml:space="preserve"> الذي </w:t>
      </w:r>
      <w:r w:rsidR="00A37443" w:rsidRPr="00AE5121">
        <w:rPr>
          <w:rFonts w:asciiTheme="minorHAnsi" w:hAnsiTheme="minorHAnsi" w:cstheme="minorHAnsi"/>
          <w:rtl/>
          <w:lang w:bidi="ar-EG"/>
        </w:rPr>
        <w:t>سيُعقد</w:t>
      </w:r>
      <w:r w:rsidR="004C4BDE" w:rsidRPr="00AE5121">
        <w:rPr>
          <w:rFonts w:asciiTheme="minorHAnsi" w:hAnsiTheme="minorHAnsi" w:cstheme="minorHAnsi"/>
          <w:rtl/>
          <w:lang w:bidi="ar-EG"/>
        </w:rPr>
        <w:t xml:space="preserve"> </w:t>
      </w:r>
      <w:r w:rsidR="00A37443" w:rsidRPr="00AE5121">
        <w:rPr>
          <w:rFonts w:asciiTheme="minorHAnsi" w:hAnsiTheme="minorHAnsi" w:cstheme="minorHAnsi"/>
          <w:rtl/>
          <w:lang w:bidi="ar-EG"/>
        </w:rPr>
        <w:t xml:space="preserve">افتراضياً </w:t>
      </w:r>
      <w:r w:rsidR="004C4BDE" w:rsidRPr="00AE5121">
        <w:rPr>
          <w:rFonts w:asciiTheme="minorHAnsi" w:hAnsiTheme="minorHAnsi" w:cstheme="minorHAnsi"/>
          <w:rtl/>
          <w:lang w:bidi="ar-EG"/>
        </w:rPr>
        <w:t xml:space="preserve">في </w:t>
      </w:r>
      <w:r w:rsidR="004C4BDE" w:rsidRPr="00AE5121">
        <w:rPr>
          <w:rFonts w:asciiTheme="minorHAnsi" w:hAnsiTheme="minorHAnsi" w:cstheme="minorHAnsi"/>
          <w:b/>
          <w:bCs/>
          <w:rtl/>
          <w:lang w:bidi="ar-EG"/>
        </w:rPr>
        <w:t>9 مايو 2022 من الساعة 13:00 إلى الساعة 17:40 بتوقيت جنيف</w:t>
      </w:r>
      <w:r w:rsidR="00A37443" w:rsidRPr="00AE5121">
        <w:rPr>
          <w:rFonts w:asciiTheme="minorHAnsi" w:hAnsiTheme="minorHAnsi" w:cstheme="minorHAnsi"/>
          <w:rtl/>
          <w:lang w:bidi="ar-EG"/>
        </w:rPr>
        <w:t>.</w:t>
      </w:r>
    </w:p>
    <w:p w14:paraId="0EEF5F13" w14:textId="3C4A2F87" w:rsidR="004C4BDE" w:rsidRPr="00AE5121" w:rsidRDefault="005E6972" w:rsidP="004C4BDE">
      <w:pPr>
        <w:rPr>
          <w:rFonts w:asciiTheme="minorHAnsi" w:hAnsiTheme="minorHAnsi" w:cstheme="minorHAnsi"/>
          <w:rtl/>
          <w:lang w:bidi="ar-EG"/>
        </w:rPr>
      </w:pPr>
      <w:r w:rsidRPr="00AE5121">
        <w:rPr>
          <w:rFonts w:asciiTheme="minorHAnsi" w:hAnsiTheme="minorHAnsi" w:cstheme="minorHAnsi"/>
          <w:lang w:bidi="ar-EG"/>
        </w:rPr>
        <w:t>2</w:t>
      </w:r>
      <w:r w:rsidRPr="00AE5121">
        <w:rPr>
          <w:rFonts w:asciiTheme="minorHAnsi" w:hAnsiTheme="minorHAnsi" w:cstheme="minorHAnsi"/>
          <w:rtl/>
          <w:lang w:bidi="ar-EG"/>
        </w:rPr>
        <w:tab/>
      </w:r>
      <w:r w:rsidR="00CF3729" w:rsidRPr="00AE5121">
        <w:rPr>
          <w:rFonts w:asciiTheme="minorHAnsi" w:hAnsiTheme="minorHAnsi" w:cstheme="minorHAnsi"/>
          <w:rtl/>
          <w:lang w:bidi="ar-EG"/>
        </w:rPr>
        <w:t xml:space="preserve">وتمثل </w:t>
      </w:r>
      <w:hyperlink r:id="rId9" w:history="1">
        <w:r w:rsidR="00CF3729" w:rsidRPr="00AE5121">
          <w:rPr>
            <w:rStyle w:val="Hyperlink"/>
            <w:rFonts w:asciiTheme="minorHAnsi" w:hAnsiTheme="minorHAnsi" w:cstheme="minorHAnsi"/>
            <w:rtl/>
          </w:rPr>
          <w:t>التوصية</w:t>
        </w:r>
        <w:r w:rsidR="00A37443" w:rsidRPr="00AE5121">
          <w:rPr>
            <w:rStyle w:val="Hyperlink"/>
            <w:rFonts w:asciiTheme="minorHAnsi" w:hAnsiTheme="minorHAnsi" w:cstheme="minorHAnsi"/>
            <w:rtl/>
          </w:rPr>
          <w:t xml:space="preserve"> </w:t>
        </w:r>
        <w:r w:rsidR="00A37443" w:rsidRPr="00AE5121">
          <w:rPr>
            <w:rStyle w:val="Hyperlink"/>
            <w:rFonts w:asciiTheme="minorHAnsi" w:hAnsiTheme="minorHAnsi" w:cstheme="minorHAnsi"/>
            <w:lang w:bidi="ar-EG"/>
          </w:rPr>
          <w:t>ITU-T X.509</w:t>
        </w:r>
      </w:hyperlink>
      <w:r w:rsidR="00A37443" w:rsidRPr="00AE5121">
        <w:rPr>
          <w:rFonts w:asciiTheme="minorHAnsi" w:hAnsiTheme="minorHAnsi" w:cstheme="minorHAnsi"/>
          <w:rtl/>
          <w:lang w:bidi="ar-EG"/>
        </w:rPr>
        <w:t xml:space="preserve"> </w:t>
      </w:r>
      <w:r w:rsidR="004C4BDE" w:rsidRPr="00AE5121">
        <w:rPr>
          <w:rFonts w:asciiTheme="minorHAnsi" w:hAnsiTheme="minorHAnsi" w:cstheme="minorHAnsi"/>
          <w:rtl/>
          <w:lang w:bidi="ar-EG"/>
        </w:rPr>
        <w:t>اللغة العالمية المشتركة للبنية التحتية للمفاتيح العمومية (</w:t>
      </w:r>
      <w:r w:rsidR="004C4BDE" w:rsidRPr="00AE5121">
        <w:rPr>
          <w:rFonts w:asciiTheme="minorHAnsi" w:hAnsiTheme="minorHAnsi" w:cstheme="minorHAnsi"/>
          <w:lang w:bidi="ar-EG"/>
        </w:rPr>
        <w:t>PKI</w:t>
      </w:r>
      <w:r w:rsidR="004C4BDE" w:rsidRPr="00AE5121">
        <w:rPr>
          <w:rFonts w:asciiTheme="minorHAnsi" w:hAnsiTheme="minorHAnsi" w:cstheme="minorHAnsi"/>
          <w:rtl/>
          <w:lang w:bidi="ar-EG"/>
        </w:rPr>
        <w:t>) والبنية التحتية لإدارة الامتيازات (</w:t>
      </w:r>
      <w:r w:rsidR="004C4BDE" w:rsidRPr="00AE5121">
        <w:rPr>
          <w:rFonts w:asciiTheme="minorHAnsi" w:hAnsiTheme="minorHAnsi" w:cstheme="minorHAnsi"/>
          <w:lang w:bidi="ar-EG"/>
        </w:rPr>
        <w:t>PMI</w:t>
      </w:r>
      <w:r w:rsidR="004C4BDE" w:rsidRPr="00AE5121">
        <w:rPr>
          <w:rFonts w:asciiTheme="minorHAnsi" w:hAnsiTheme="minorHAnsi" w:cstheme="minorHAnsi"/>
          <w:rtl/>
          <w:lang w:bidi="ar-EG"/>
        </w:rPr>
        <w:t xml:space="preserve">) </w:t>
      </w:r>
      <w:r w:rsidR="00C94978" w:rsidRPr="00AE5121">
        <w:rPr>
          <w:rFonts w:asciiTheme="minorHAnsi" w:hAnsiTheme="minorHAnsi" w:cstheme="minorHAnsi"/>
          <w:rtl/>
        </w:rPr>
        <w:t>اللتين</w:t>
      </w:r>
      <w:r w:rsidR="004C4BDE" w:rsidRPr="00AE5121">
        <w:rPr>
          <w:rFonts w:asciiTheme="minorHAnsi" w:hAnsiTheme="minorHAnsi" w:cstheme="minorHAnsi"/>
          <w:rtl/>
          <w:lang w:bidi="ar-EG"/>
        </w:rPr>
        <w:t xml:space="preserve"> تُستخدم</w:t>
      </w:r>
      <w:r w:rsidR="00C94978" w:rsidRPr="00AE5121">
        <w:rPr>
          <w:rFonts w:asciiTheme="minorHAnsi" w:hAnsiTheme="minorHAnsi" w:cstheme="minorHAnsi"/>
          <w:rtl/>
          <w:lang w:bidi="ar-EG"/>
        </w:rPr>
        <w:t>ان</w:t>
      </w:r>
      <w:r w:rsidR="004C4BDE" w:rsidRPr="00AE5121">
        <w:rPr>
          <w:rFonts w:asciiTheme="minorHAnsi" w:hAnsiTheme="minorHAnsi" w:cstheme="minorHAnsi"/>
          <w:rtl/>
          <w:lang w:bidi="ar-EG"/>
        </w:rPr>
        <w:t xml:space="preserve"> كأساس للمعاملات الآمنة </w:t>
      </w:r>
      <w:r w:rsidR="00CF3729" w:rsidRPr="00AE5121">
        <w:rPr>
          <w:rFonts w:asciiTheme="minorHAnsi" w:hAnsiTheme="minorHAnsi" w:cstheme="minorHAnsi"/>
          <w:rtl/>
          <w:lang w:bidi="ar-EG"/>
        </w:rPr>
        <w:t xml:space="preserve">في </w:t>
      </w:r>
      <w:r w:rsidR="00B001C9" w:rsidRPr="00AE5121">
        <w:rPr>
          <w:rFonts w:asciiTheme="minorHAnsi" w:hAnsiTheme="minorHAnsi" w:cstheme="minorHAnsi"/>
          <w:rtl/>
          <w:lang w:bidi="ar-EG"/>
        </w:rPr>
        <w:t>ال</w:t>
      </w:r>
      <w:r w:rsidR="00CF3729" w:rsidRPr="00AE5121">
        <w:rPr>
          <w:rFonts w:asciiTheme="minorHAnsi" w:hAnsiTheme="minorHAnsi" w:cstheme="minorHAnsi"/>
          <w:rtl/>
          <w:lang w:bidi="ar-EG"/>
        </w:rPr>
        <w:t>بيئات</w:t>
      </w:r>
      <w:r w:rsidR="004C4BDE" w:rsidRPr="00AE5121">
        <w:rPr>
          <w:rFonts w:asciiTheme="minorHAnsi" w:hAnsiTheme="minorHAnsi" w:cstheme="minorHAnsi"/>
          <w:rtl/>
          <w:lang w:bidi="ar-EG"/>
        </w:rPr>
        <w:t xml:space="preserve"> </w:t>
      </w:r>
      <w:r w:rsidR="00B001C9" w:rsidRPr="00AE5121">
        <w:rPr>
          <w:rFonts w:asciiTheme="minorHAnsi" w:hAnsiTheme="minorHAnsi" w:cstheme="minorHAnsi"/>
          <w:rtl/>
          <w:lang w:bidi="ar-EG"/>
        </w:rPr>
        <w:t xml:space="preserve">التالية: </w:t>
      </w:r>
      <w:r w:rsidR="000D02E0" w:rsidRPr="00AE5121">
        <w:rPr>
          <w:rFonts w:asciiTheme="minorHAnsi" w:hAnsiTheme="minorHAnsi" w:cstheme="minorHAnsi"/>
          <w:rtl/>
          <w:lang w:bidi="ar-EG"/>
        </w:rPr>
        <w:t xml:space="preserve">من شركة إلى شركة </w:t>
      </w:r>
      <w:r w:rsidR="004C4BDE" w:rsidRPr="00AE5121">
        <w:rPr>
          <w:rFonts w:asciiTheme="minorHAnsi" w:hAnsiTheme="minorHAnsi" w:cstheme="minorHAnsi"/>
          <w:rtl/>
          <w:lang w:bidi="ar-EG"/>
        </w:rPr>
        <w:t>(</w:t>
      </w:r>
      <w:r w:rsidR="004C4BDE" w:rsidRPr="00AE5121">
        <w:rPr>
          <w:rFonts w:asciiTheme="minorHAnsi" w:hAnsiTheme="minorHAnsi" w:cstheme="minorHAnsi"/>
          <w:lang w:bidi="ar-EG"/>
        </w:rPr>
        <w:t>B2B</w:t>
      </w:r>
      <w:r w:rsidR="004C4BDE" w:rsidRPr="00AE5121">
        <w:rPr>
          <w:rFonts w:asciiTheme="minorHAnsi" w:hAnsiTheme="minorHAnsi" w:cstheme="minorHAnsi"/>
          <w:rtl/>
          <w:lang w:bidi="ar-EG"/>
        </w:rPr>
        <w:t>)، ومن شركة إلى عميل (</w:t>
      </w:r>
      <w:r w:rsidR="004C4BDE" w:rsidRPr="00AE5121">
        <w:rPr>
          <w:rFonts w:asciiTheme="minorHAnsi" w:hAnsiTheme="minorHAnsi" w:cstheme="minorHAnsi"/>
          <w:lang w:bidi="ar-EG"/>
        </w:rPr>
        <w:t>B2C</w:t>
      </w:r>
      <w:r w:rsidR="004C4BDE" w:rsidRPr="00AE5121">
        <w:rPr>
          <w:rFonts w:asciiTheme="minorHAnsi" w:hAnsiTheme="minorHAnsi" w:cstheme="minorHAnsi"/>
          <w:rtl/>
          <w:lang w:bidi="ar-EG"/>
        </w:rPr>
        <w:t>) و</w:t>
      </w:r>
      <w:r w:rsidR="000D02E0" w:rsidRPr="00AE5121">
        <w:rPr>
          <w:rFonts w:asciiTheme="minorHAnsi" w:hAnsiTheme="minorHAnsi" w:cstheme="minorHAnsi"/>
          <w:rtl/>
          <w:lang w:bidi="ar-EG"/>
        </w:rPr>
        <w:t>من</w:t>
      </w:r>
      <w:r w:rsidR="004C4BDE" w:rsidRPr="00AE5121">
        <w:rPr>
          <w:rFonts w:asciiTheme="minorHAnsi" w:hAnsiTheme="minorHAnsi" w:cstheme="minorHAnsi"/>
          <w:rtl/>
          <w:lang w:bidi="ar-EG"/>
        </w:rPr>
        <w:t xml:space="preserve"> حكوم</w:t>
      </w:r>
      <w:r w:rsidR="000D02E0" w:rsidRPr="00AE5121">
        <w:rPr>
          <w:rFonts w:asciiTheme="minorHAnsi" w:hAnsiTheme="minorHAnsi" w:cstheme="minorHAnsi"/>
          <w:rtl/>
          <w:lang w:bidi="ar-EG"/>
        </w:rPr>
        <w:t xml:space="preserve">ة إلى </w:t>
      </w:r>
      <w:r w:rsidR="004C4BDE" w:rsidRPr="00AE5121">
        <w:rPr>
          <w:rFonts w:asciiTheme="minorHAnsi" w:hAnsiTheme="minorHAnsi" w:cstheme="minorHAnsi"/>
          <w:rtl/>
          <w:lang w:bidi="ar-EG"/>
        </w:rPr>
        <w:t>مواطن (</w:t>
      </w:r>
      <w:r w:rsidR="004C4BDE" w:rsidRPr="00AE5121">
        <w:rPr>
          <w:rFonts w:asciiTheme="minorHAnsi" w:hAnsiTheme="minorHAnsi" w:cstheme="minorHAnsi"/>
          <w:lang w:bidi="ar-EG"/>
        </w:rPr>
        <w:t>G2C</w:t>
      </w:r>
      <w:r w:rsidR="004C4BDE" w:rsidRPr="00AE5121">
        <w:rPr>
          <w:rFonts w:asciiTheme="minorHAnsi" w:hAnsiTheme="minorHAnsi" w:cstheme="minorHAnsi"/>
          <w:rtl/>
          <w:lang w:bidi="ar-EG"/>
        </w:rPr>
        <w:t>).</w:t>
      </w:r>
    </w:p>
    <w:p w14:paraId="2532B15E" w14:textId="5D28D311" w:rsidR="005E6972" w:rsidRPr="00AE5121" w:rsidRDefault="000D02E0" w:rsidP="00D243F3">
      <w:pPr>
        <w:rPr>
          <w:rFonts w:asciiTheme="minorHAnsi" w:hAnsiTheme="minorHAnsi" w:cstheme="minorHAnsi"/>
          <w:rtl/>
          <w:lang w:bidi="ar-EG"/>
        </w:rPr>
      </w:pPr>
      <w:r w:rsidRPr="00AE5121">
        <w:rPr>
          <w:rFonts w:asciiTheme="minorHAnsi" w:hAnsiTheme="minorHAnsi" w:cstheme="minorHAnsi"/>
          <w:rtl/>
          <w:lang w:bidi="ar-EG"/>
        </w:rPr>
        <w:t>وتُمكّ</w:t>
      </w:r>
      <w:r w:rsidR="00624405" w:rsidRPr="00AE5121">
        <w:rPr>
          <w:rFonts w:asciiTheme="minorHAnsi" w:hAnsiTheme="minorHAnsi" w:cstheme="minorHAnsi"/>
          <w:rtl/>
          <w:lang w:bidi="ar-EG"/>
        </w:rPr>
        <w:t>ِ</w:t>
      </w:r>
      <w:r w:rsidRPr="00AE5121">
        <w:rPr>
          <w:rFonts w:asciiTheme="minorHAnsi" w:hAnsiTheme="minorHAnsi" w:cstheme="minorHAnsi"/>
          <w:rtl/>
          <w:lang w:bidi="ar-EG"/>
        </w:rPr>
        <w:t xml:space="preserve">ن </w:t>
      </w:r>
      <w:r w:rsidR="004C4BDE" w:rsidRPr="00AE5121">
        <w:rPr>
          <w:rFonts w:asciiTheme="minorHAnsi" w:hAnsiTheme="minorHAnsi" w:cstheme="minorHAnsi"/>
          <w:rtl/>
          <w:lang w:bidi="ar-EG"/>
        </w:rPr>
        <w:t xml:space="preserve">هياكل البيانات الأساسية المحددة في </w:t>
      </w:r>
      <w:r w:rsidRPr="00AE5121">
        <w:rPr>
          <w:rFonts w:asciiTheme="minorHAnsi" w:hAnsiTheme="minorHAnsi" w:cstheme="minorHAnsi"/>
          <w:rtl/>
          <w:lang w:bidi="ar-EG"/>
        </w:rPr>
        <w:t xml:space="preserve">التوصية </w:t>
      </w:r>
      <w:r w:rsidRPr="00AE5121">
        <w:rPr>
          <w:rFonts w:asciiTheme="minorHAnsi" w:hAnsiTheme="minorHAnsi" w:cstheme="minorHAnsi"/>
          <w:lang w:bidi="ar-EG"/>
        </w:rPr>
        <w:t>ITU-T X.509</w:t>
      </w:r>
      <w:r w:rsidRPr="00AE5121">
        <w:rPr>
          <w:rFonts w:asciiTheme="minorHAnsi" w:hAnsiTheme="minorHAnsi" w:cstheme="minorHAnsi"/>
          <w:rtl/>
          <w:lang w:bidi="ar-EG"/>
        </w:rPr>
        <w:t xml:space="preserve"> والمتعلقة بال</w:t>
      </w:r>
      <w:r w:rsidR="004C4BDE" w:rsidRPr="00AE5121">
        <w:rPr>
          <w:rFonts w:asciiTheme="minorHAnsi" w:hAnsiTheme="minorHAnsi" w:cstheme="minorHAnsi"/>
          <w:rtl/>
          <w:lang w:bidi="ar-EG"/>
        </w:rPr>
        <w:t>شهادات وق</w:t>
      </w:r>
      <w:r w:rsidRPr="00AE5121">
        <w:rPr>
          <w:rFonts w:asciiTheme="minorHAnsi" w:hAnsiTheme="minorHAnsi" w:cstheme="minorHAnsi"/>
          <w:rtl/>
          <w:lang w:bidi="ar-EG"/>
        </w:rPr>
        <w:t>وائم</w:t>
      </w:r>
      <w:r w:rsidR="004C4BDE" w:rsidRPr="00AE5121">
        <w:rPr>
          <w:rFonts w:asciiTheme="minorHAnsi" w:hAnsiTheme="minorHAnsi" w:cstheme="minorHAnsi"/>
          <w:rtl/>
          <w:lang w:bidi="ar-EG"/>
        </w:rPr>
        <w:t xml:space="preserve"> إبطال الشهادات (</w:t>
      </w:r>
      <w:r w:rsidR="004C4BDE" w:rsidRPr="00AE5121">
        <w:rPr>
          <w:rFonts w:asciiTheme="minorHAnsi" w:hAnsiTheme="minorHAnsi" w:cstheme="minorHAnsi"/>
          <w:lang w:bidi="ar-EG"/>
        </w:rPr>
        <w:t>CRL</w:t>
      </w:r>
      <w:r w:rsidR="004C4BDE" w:rsidRPr="00AE5121">
        <w:rPr>
          <w:rFonts w:asciiTheme="minorHAnsi" w:hAnsiTheme="minorHAnsi" w:cstheme="minorHAnsi"/>
          <w:rtl/>
          <w:lang w:bidi="ar-EG"/>
        </w:rPr>
        <w:t xml:space="preserve">) </w:t>
      </w:r>
      <w:r w:rsidR="00011597" w:rsidRPr="00AE5121">
        <w:rPr>
          <w:rFonts w:asciiTheme="minorHAnsi" w:hAnsiTheme="minorHAnsi" w:cstheme="minorHAnsi"/>
          <w:rtl/>
          <w:lang w:bidi="ar-EG"/>
        </w:rPr>
        <w:t>التوسعات</w:t>
      </w:r>
      <w:r w:rsidR="004C4BDE" w:rsidRPr="00AE5121">
        <w:rPr>
          <w:rFonts w:asciiTheme="minorHAnsi" w:hAnsiTheme="minorHAnsi" w:cstheme="minorHAnsi"/>
          <w:rtl/>
          <w:lang w:bidi="ar-EG"/>
        </w:rPr>
        <w:t xml:space="preserve"> </w:t>
      </w:r>
      <w:r w:rsidR="001E214F" w:rsidRPr="00AE5121">
        <w:rPr>
          <w:rFonts w:asciiTheme="minorHAnsi" w:hAnsiTheme="minorHAnsi" w:cstheme="minorHAnsi"/>
          <w:rtl/>
          <w:lang w:bidi="ar-EG"/>
        </w:rPr>
        <w:t>ال</w:t>
      </w:r>
      <w:r w:rsidR="004C4BDE" w:rsidRPr="00AE5121">
        <w:rPr>
          <w:rFonts w:asciiTheme="minorHAnsi" w:hAnsiTheme="minorHAnsi" w:cstheme="minorHAnsi"/>
          <w:rtl/>
          <w:lang w:bidi="ar-EG"/>
        </w:rPr>
        <w:t>خاصة بالتطبيق</w:t>
      </w:r>
      <w:r w:rsidR="00C94978" w:rsidRPr="00AE5121">
        <w:rPr>
          <w:rFonts w:asciiTheme="minorHAnsi" w:hAnsiTheme="minorHAnsi" w:cstheme="minorHAnsi"/>
          <w:rtl/>
          <w:lang w:bidi="ar-EG"/>
        </w:rPr>
        <w:t>ات</w:t>
      </w:r>
      <w:r w:rsidR="004C4BDE" w:rsidRPr="00AE5121">
        <w:rPr>
          <w:rFonts w:asciiTheme="minorHAnsi" w:hAnsiTheme="minorHAnsi" w:cstheme="minorHAnsi"/>
          <w:rtl/>
          <w:lang w:bidi="ar-EG"/>
        </w:rPr>
        <w:t xml:space="preserve"> وتدعم متطلبات </w:t>
      </w:r>
      <w:r w:rsidR="001E214F" w:rsidRPr="00AE5121">
        <w:rPr>
          <w:rFonts w:asciiTheme="minorHAnsi" w:hAnsiTheme="minorHAnsi" w:cstheme="minorHAnsi"/>
          <w:rtl/>
          <w:lang w:bidi="ar-EG"/>
        </w:rPr>
        <w:t xml:space="preserve">قابلية </w:t>
      </w:r>
      <w:r w:rsidR="004C4BDE" w:rsidRPr="00AE5121">
        <w:rPr>
          <w:rFonts w:asciiTheme="minorHAnsi" w:hAnsiTheme="minorHAnsi" w:cstheme="minorHAnsi"/>
          <w:rtl/>
          <w:lang w:bidi="ar-EG"/>
        </w:rPr>
        <w:t xml:space="preserve">التشغيل البيني الأساسية في مجموعة متنوعة من حالات الاستخدام عبر قطاعات الصناعة والأعمال </w:t>
      </w:r>
      <w:r w:rsidR="00624405" w:rsidRPr="00AE5121">
        <w:rPr>
          <w:rFonts w:asciiTheme="minorHAnsi" w:hAnsiTheme="minorHAnsi" w:cstheme="minorHAnsi"/>
          <w:rtl/>
          <w:lang w:bidi="ar-EG"/>
        </w:rPr>
        <w:t xml:space="preserve">والقطاعات </w:t>
      </w:r>
      <w:r w:rsidR="001E214F" w:rsidRPr="00AE5121">
        <w:rPr>
          <w:rFonts w:asciiTheme="minorHAnsi" w:hAnsiTheme="minorHAnsi" w:cstheme="minorHAnsi"/>
          <w:rtl/>
          <w:lang w:bidi="ar-EG"/>
        </w:rPr>
        <w:t xml:space="preserve">القائمة على </w:t>
      </w:r>
      <w:r w:rsidR="004C4BDE" w:rsidRPr="00AE5121">
        <w:rPr>
          <w:rFonts w:asciiTheme="minorHAnsi" w:hAnsiTheme="minorHAnsi" w:cstheme="minorHAnsi"/>
          <w:rtl/>
          <w:lang w:bidi="ar-EG"/>
        </w:rPr>
        <w:t xml:space="preserve">المستهلك بما في ذلك </w:t>
      </w:r>
      <w:r w:rsidR="001E214F" w:rsidRPr="00AE5121">
        <w:rPr>
          <w:rFonts w:asciiTheme="minorHAnsi" w:hAnsiTheme="minorHAnsi" w:cstheme="minorHAnsi"/>
          <w:rtl/>
          <w:lang w:bidi="ar-EG"/>
        </w:rPr>
        <w:t>الزراعة</w:t>
      </w:r>
      <w:r w:rsidR="004C4BDE" w:rsidRPr="00AE5121">
        <w:rPr>
          <w:rFonts w:asciiTheme="minorHAnsi" w:hAnsiTheme="minorHAnsi" w:cstheme="minorHAnsi"/>
          <w:rtl/>
          <w:lang w:bidi="ar-EG"/>
        </w:rPr>
        <w:t xml:space="preserve"> </w:t>
      </w:r>
      <w:r w:rsidR="001E214F" w:rsidRPr="00AE5121">
        <w:rPr>
          <w:rFonts w:asciiTheme="minorHAnsi" w:hAnsiTheme="minorHAnsi" w:cstheme="minorHAnsi"/>
          <w:rtl/>
          <w:lang w:bidi="ar-EG"/>
        </w:rPr>
        <w:t>و</w:t>
      </w:r>
      <w:r w:rsidR="004C4BDE" w:rsidRPr="00AE5121">
        <w:rPr>
          <w:rFonts w:asciiTheme="minorHAnsi" w:hAnsiTheme="minorHAnsi" w:cstheme="minorHAnsi"/>
          <w:rtl/>
          <w:lang w:bidi="ar-EG"/>
        </w:rPr>
        <w:t xml:space="preserve">التعليم والطاقة والتمويل والترفيه </w:t>
      </w:r>
      <w:proofErr w:type="gramStart"/>
      <w:r w:rsidR="00896D59" w:rsidRPr="00AE5121">
        <w:rPr>
          <w:rFonts w:asciiTheme="minorHAnsi" w:hAnsiTheme="minorHAnsi" w:cstheme="minorHAnsi"/>
          <w:rtl/>
          <w:lang w:bidi="ar-EG"/>
        </w:rPr>
        <w:t>والصحة</w:t>
      </w:r>
      <w:proofErr w:type="gramEnd"/>
      <w:r w:rsidR="004C4BDE" w:rsidRPr="00AE5121">
        <w:rPr>
          <w:rFonts w:asciiTheme="minorHAnsi" w:hAnsiTheme="minorHAnsi" w:cstheme="minorHAnsi"/>
          <w:rtl/>
          <w:lang w:bidi="ar-EG"/>
        </w:rPr>
        <w:t xml:space="preserve"> والتصنيع والنقل والمرافق</w:t>
      </w:r>
      <w:r w:rsidR="001E214F" w:rsidRPr="00AE5121">
        <w:rPr>
          <w:rFonts w:asciiTheme="minorHAnsi" w:hAnsiTheme="minorHAnsi" w:cstheme="minorHAnsi"/>
          <w:rtl/>
          <w:lang w:bidi="ar-EG"/>
        </w:rPr>
        <w:t>.</w:t>
      </w:r>
    </w:p>
    <w:p w14:paraId="5691CCA8" w14:textId="46178DB9" w:rsidR="005E6972" w:rsidRPr="00AE5121" w:rsidRDefault="005E6972" w:rsidP="00D517B2">
      <w:pPr>
        <w:rPr>
          <w:rFonts w:asciiTheme="minorHAnsi" w:hAnsiTheme="minorHAnsi" w:cstheme="minorHAnsi"/>
          <w:rtl/>
          <w:lang w:bidi="ar-EG"/>
        </w:rPr>
      </w:pPr>
      <w:r w:rsidRPr="00AE5121">
        <w:rPr>
          <w:rFonts w:asciiTheme="minorHAnsi" w:hAnsiTheme="minorHAnsi" w:cstheme="minorHAnsi"/>
          <w:lang w:bidi="ar-EG"/>
        </w:rPr>
        <w:t>3</w:t>
      </w:r>
      <w:r w:rsidRPr="00AE5121">
        <w:rPr>
          <w:rFonts w:asciiTheme="minorHAnsi" w:hAnsiTheme="minorHAnsi" w:cstheme="minorHAnsi"/>
          <w:rtl/>
          <w:lang w:bidi="ar-EG"/>
        </w:rPr>
        <w:tab/>
      </w:r>
      <w:r w:rsidR="00BD4814" w:rsidRPr="00AE5121">
        <w:rPr>
          <w:rFonts w:asciiTheme="minorHAnsi" w:hAnsiTheme="minorHAnsi" w:cstheme="minorHAnsi"/>
          <w:rtl/>
          <w:lang w:bidi="ar-EG"/>
        </w:rPr>
        <w:t>وبعد أكثر من 33 عاماً من عمليات التنفيذ الناجحة، يود الاتحاد الاحتفال في هذا اليوم ب</w:t>
      </w:r>
      <w:r w:rsidR="00896D59" w:rsidRPr="00AE5121">
        <w:rPr>
          <w:rFonts w:asciiTheme="minorHAnsi" w:hAnsiTheme="minorHAnsi" w:cstheme="minorHAnsi"/>
          <w:rtl/>
          <w:lang w:bidi="ar-EG"/>
        </w:rPr>
        <w:t>ال</w:t>
      </w:r>
      <w:r w:rsidR="00BD4814" w:rsidRPr="00AE5121">
        <w:rPr>
          <w:rFonts w:asciiTheme="minorHAnsi" w:hAnsiTheme="minorHAnsi" w:cstheme="minorHAnsi"/>
          <w:rtl/>
          <w:lang w:bidi="ar-EG"/>
        </w:rPr>
        <w:t>إنجازات</w:t>
      </w:r>
      <w:r w:rsidR="00896D59" w:rsidRPr="00AE5121">
        <w:rPr>
          <w:rFonts w:asciiTheme="minorHAnsi" w:hAnsiTheme="minorHAnsi" w:cstheme="minorHAnsi"/>
          <w:rtl/>
          <w:lang w:bidi="ar-EG"/>
        </w:rPr>
        <w:t xml:space="preserve"> المحققة بفضل</w:t>
      </w:r>
      <w:r w:rsidR="00BD4814" w:rsidRPr="00AE5121">
        <w:rPr>
          <w:rFonts w:asciiTheme="minorHAnsi" w:hAnsiTheme="minorHAnsi" w:cstheme="minorHAnsi"/>
          <w:rtl/>
          <w:lang w:bidi="ar-EG"/>
        </w:rPr>
        <w:t xml:space="preserve"> </w:t>
      </w:r>
      <w:r w:rsidR="00BD4101" w:rsidRPr="00AE5121">
        <w:rPr>
          <w:rFonts w:asciiTheme="minorHAnsi" w:hAnsiTheme="minorHAnsi" w:cstheme="minorHAnsi"/>
          <w:rtl/>
          <w:lang w:bidi="ar-EG"/>
        </w:rPr>
        <w:t xml:space="preserve">التوصية </w:t>
      </w:r>
      <w:r w:rsidR="00BD4101" w:rsidRPr="00AE5121">
        <w:rPr>
          <w:rFonts w:asciiTheme="minorHAnsi" w:hAnsiTheme="minorHAnsi" w:cstheme="minorHAnsi"/>
          <w:lang w:bidi="ar-EG"/>
        </w:rPr>
        <w:t>ITU-T X.509</w:t>
      </w:r>
      <w:r w:rsidR="00BD4101" w:rsidRPr="00AE5121">
        <w:rPr>
          <w:rFonts w:asciiTheme="minorHAnsi" w:hAnsiTheme="minorHAnsi" w:cstheme="minorHAnsi"/>
          <w:rtl/>
          <w:lang w:bidi="ar-EG"/>
        </w:rPr>
        <w:t xml:space="preserve"> </w:t>
      </w:r>
      <w:r w:rsidR="00BD4814" w:rsidRPr="00AE5121">
        <w:rPr>
          <w:rFonts w:asciiTheme="minorHAnsi" w:hAnsiTheme="minorHAnsi" w:cstheme="minorHAnsi"/>
          <w:rtl/>
          <w:lang w:bidi="ar-EG"/>
        </w:rPr>
        <w:t xml:space="preserve">من </w:t>
      </w:r>
      <w:r w:rsidR="00624405" w:rsidRPr="00AE5121">
        <w:rPr>
          <w:rFonts w:asciiTheme="minorHAnsi" w:hAnsiTheme="minorHAnsi" w:cstheme="minorHAnsi"/>
          <w:rtl/>
          <w:lang w:bidi="ar-EG"/>
        </w:rPr>
        <w:t>خلال</w:t>
      </w:r>
      <w:r w:rsidRPr="00AE5121">
        <w:rPr>
          <w:rFonts w:asciiTheme="minorHAnsi" w:hAnsiTheme="minorHAnsi" w:cstheme="minorHAnsi"/>
          <w:rtl/>
          <w:lang w:bidi="ar-EG"/>
        </w:rPr>
        <w:t xml:space="preserve">: </w:t>
      </w:r>
    </w:p>
    <w:p w14:paraId="2AE0D893" w14:textId="375EAB0C" w:rsidR="005E6972" w:rsidRPr="00AE5121" w:rsidRDefault="005E6972" w:rsidP="00D243F3">
      <w:pPr>
        <w:pStyle w:val="enumlev1"/>
        <w:rPr>
          <w:rFonts w:asciiTheme="minorHAnsi" w:hAnsiTheme="minorHAnsi" w:cstheme="minorHAnsi"/>
          <w:rtl/>
        </w:rPr>
      </w:pPr>
      <w:r w:rsidRPr="00AE5121">
        <w:rPr>
          <w:rFonts w:asciiTheme="minorHAnsi" w:hAnsiTheme="minorHAnsi" w:cstheme="minorHAnsi"/>
          <w:rtl/>
        </w:rPr>
        <w:t xml:space="preserve"> </w:t>
      </w:r>
      <w:proofErr w:type="gramStart"/>
      <w:r w:rsidRPr="00AE5121">
        <w:rPr>
          <w:rFonts w:asciiTheme="minorHAnsi" w:hAnsiTheme="minorHAnsi" w:cstheme="minorHAnsi"/>
          <w:rtl/>
        </w:rPr>
        <w:t>أ )</w:t>
      </w:r>
      <w:proofErr w:type="gramEnd"/>
      <w:r w:rsidRPr="00AE5121">
        <w:rPr>
          <w:rFonts w:asciiTheme="minorHAnsi" w:hAnsiTheme="minorHAnsi" w:cstheme="minorHAnsi"/>
          <w:rtl/>
        </w:rPr>
        <w:tab/>
      </w:r>
      <w:r w:rsidR="00011597" w:rsidRPr="00AE5121">
        <w:rPr>
          <w:rFonts w:asciiTheme="minorHAnsi" w:hAnsiTheme="minorHAnsi" w:cstheme="minorHAnsi"/>
          <w:rtl/>
        </w:rPr>
        <w:t xml:space="preserve">تقديم عرض موجز عن </w:t>
      </w:r>
      <w:r w:rsidR="00624405" w:rsidRPr="00AE5121">
        <w:rPr>
          <w:rFonts w:asciiTheme="minorHAnsi" w:hAnsiTheme="minorHAnsi" w:cstheme="minorHAnsi"/>
          <w:rtl/>
        </w:rPr>
        <w:t xml:space="preserve">المواد التاريخية </w:t>
      </w:r>
      <w:r w:rsidR="00011597" w:rsidRPr="00AE5121">
        <w:rPr>
          <w:rFonts w:asciiTheme="minorHAnsi" w:hAnsiTheme="minorHAnsi" w:cstheme="minorHAnsi"/>
          <w:rtl/>
        </w:rPr>
        <w:t>لتطوير معيار</w:t>
      </w:r>
      <w:r w:rsidR="00915E39" w:rsidRPr="00AE5121">
        <w:rPr>
          <w:rFonts w:asciiTheme="minorHAnsi" w:hAnsiTheme="minorHAnsi" w:cstheme="minorHAnsi"/>
          <w:rtl/>
        </w:rPr>
        <w:t xml:space="preserve"> التوصية</w:t>
      </w:r>
      <w:r w:rsidR="00011597" w:rsidRPr="00AE5121">
        <w:rPr>
          <w:rFonts w:asciiTheme="minorHAnsi" w:hAnsiTheme="minorHAnsi" w:cstheme="minorHAnsi"/>
          <w:rtl/>
        </w:rPr>
        <w:t xml:space="preserve"> </w:t>
      </w:r>
      <w:r w:rsidR="00011597" w:rsidRPr="00AE5121">
        <w:rPr>
          <w:rFonts w:asciiTheme="minorHAnsi" w:hAnsiTheme="minorHAnsi" w:cstheme="minorHAnsi"/>
        </w:rPr>
        <w:t>ITU-T X.509</w:t>
      </w:r>
      <w:r w:rsidR="00011597" w:rsidRPr="00AE5121">
        <w:rPr>
          <w:rFonts w:asciiTheme="minorHAnsi" w:hAnsiTheme="minorHAnsi" w:cstheme="minorHAnsi"/>
          <w:rtl/>
        </w:rPr>
        <w:t>،</w:t>
      </w:r>
    </w:p>
    <w:p w14:paraId="6CD7A799" w14:textId="5D2E54DE" w:rsidR="005E6972" w:rsidRPr="00AE5121" w:rsidRDefault="005E6972" w:rsidP="00D243F3">
      <w:pPr>
        <w:pStyle w:val="enumlev1"/>
        <w:rPr>
          <w:rFonts w:asciiTheme="minorHAnsi" w:hAnsiTheme="minorHAnsi" w:cstheme="minorHAnsi"/>
          <w:rtl/>
        </w:rPr>
      </w:pPr>
      <w:r w:rsidRPr="00AE5121">
        <w:rPr>
          <w:rFonts w:asciiTheme="minorHAnsi" w:hAnsiTheme="minorHAnsi" w:cstheme="minorHAnsi"/>
          <w:rtl/>
        </w:rPr>
        <w:t>ب)</w:t>
      </w:r>
      <w:r w:rsidRPr="00AE5121">
        <w:rPr>
          <w:rFonts w:asciiTheme="minorHAnsi" w:hAnsiTheme="minorHAnsi" w:cstheme="minorHAnsi"/>
          <w:rtl/>
        </w:rPr>
        <w:tab/>
      </w:r>
      <w:r w:rsidR="00347CAE" w:rsidRPr="00AE5121">
        <w:rPr>
          <w:rFonts w:asciiTheme="minorHAnsi" w:hAnsiTheme="minorHAnsi" w:cstheme="minorHAnsi"/>
          <w:rtl/>
        </w:rPr>
        <w:t>الترويج لل</w:t>
      </w:r>
      <w:r w:rsidR="00011597" w:rsidRPr="00AE5121">
        <w:rPr>
          <w:rFonts w:asciiTheme="minorHAnsi" w:hAnsiTheme="minorHAnsi" w:cstheme="minorHAnsi"/>
          <w:rtl/>
        </w:rPr>
        <w:t xml:space="preserve">تطبيقات </w:t>
      </w:r>
      <w:r w:rsidR="00347CAE" w:rsidRPr="00AE5121">
        <w:rPr>
          <w:rFonts w:asciiTheme="minorHAnsi" w:hAnsiTheme="minorHAnsi" w:cstheme="minorHAnsi"/>
          <w:rtl/>
        </w:rPr>
        <w:t xml:space="preserve">المتعلقة بالتوصية </w:t>
      </w:r>
      <w:r w:rsidR="00347CAE" w:rsidRPr="00AE5121">
        <w:rPr>
          <w:rFonts w:asciiTheme="minorHAnsi" w:hAnsiTheme="minorHAnsi" w:cstheme="minorHAnsi"/>
        </w:rPr>
        <w:t>ITU-T X.509</w:t>
      </w:r>
      <w:r w:rsidR="00347CAE" w:rsidRPr="00AE5121">
        <w:rPr>
          <w:rFonts w:asciiTheme="minorHAnsi" w:hAnsiTheme="minorHAnsi" w:cstheme="minorHAnsi"/>
          <w:rtl/>
        </w:rPr>
        <w:t>،</w:t>
      </w:r>
    </w:p>
    <w:p w14:paraId="4A2E004B" w14:textId="7322B77F" w:rsidR="005E6972" w:rsidRPr="00AE5121" w:rsidRDefault="005E6972" w:rsidP="00D243F3">
      <w:pPr>
        <w:pStyle w:val="enumlev1"/>
        <w:rPr>
          <w:rFonts w:asciiTheme="minorHAnsi" w:hAnsiTheme="minorHAnsi" w:cstheme="minorHAnsi"/>
          <w:rtl/>
        </w:rPr>
      </w:pPr>
      <w:r w:rsidRPr="00AE5121">
        <w:rPr>
          <w:rFonts w:asciiTheme="minorHAnsi" w:hAnsiTheme="minorHAnsi" w:cstheme="minorHAnsi"/>
          <w:rtl/>
        </w:rPr>
        <w:t>ج)</w:t>
      </w:r>
      <w:r w:rsidRPr="00AE5121">
        <w:rPr>
          <w:rFonts w:asciiTheme="minorHAnsi" w:hAnsiTheme="minorHAnsi" w:cstheme="minorHAnsi"/>
          <w:rtl/>
        </w:rPr>
        <w:tab/>
      </w:r>
      <w:r w:rsidR="00D24F06" w:rsidRPr="00AE5121">
        <w:rPr>
          <w:rFonts w:asciiTheme="minorHAnsi" w:hAnsiTheme="minorHAnsi" w:cstheme="minorHAnsi"/>
          <w:rtl/>
        </w:rPr>
        <w:t>استعراض</w:t>
      </w:r>
      <w:r w:rsidR="00011597" w:rsidRPr="00AE5121">
        <w:rPr>
          <w:rFonts w:asciiTheme="minorHAnsi" w:hAnsiTheme="minorHAnsi" w:cstheme="minorHAnsi"/>
          <w:rtl/>
        </w:rPr>
        <w:t xml:space="preserve"> جميع الجوانب </w:t>
      </w:r>
      <w:r w:rsidR="00D24F06" w:rsidRPr="00AE5121">
        <w:rPr>
          <w:rFonts w:asciiTheme="minorHAnsi" w:hAnsiTheme="minorHAnsi" w:cstheme="minorHAnsi"/>
          <w:rtl/>
        </w:rPr>
        <w:t>المرتبطة</w:t>
      </w:r>
      <w:r w:rsidR="00011597" w:rsidRPr="00AE5121">
        <w:rPr>
          <w:rFonts w:asciiTheme="minorHAnsi" w:hAnsiTheme="minorHAnsi" w:cstheme="minorHAnsi"/>
          <w:rtl/>
        </w:rPr>
        <w:t xml:space="preserve"> </w:t>
      </w:r>
      <w:r w:rsidR="00D24F06" w:rsidRPr="00AE5121">
        <w:rPr>
          <w:rFonts w:asciiTheme="minorHAnsi" w:hAnsiTheme="minorHAnsi" w:cstheme="minorHAnsi"/>
          <w:rtl/>
        </w:rPr>
        <w:t xml:space="preserve">بتجفير المفاتيح العمومية </w:t>
      </w:r>
      <w:r w:rsidR="00011597" w:rsidRPr="00AE5121">
        <w:rPr>
          <w:rFonts w:asciiTheme="minorHAnsi" w:hAnsiTheme="minorHAnsi" w:cstheme="minorHAnsi"/>
          <w:rtl/>
        </w:rPr>
        <w:t xml:space="preserve">والبنية التحتية </w:t>
      </w:r>
      <w:r w:rsidR="00D24F06" w:rsidRPr="00AE5121">
        <w:rPr>
          <w:rFonts w:asciiTheme="minorHAnsi" w:hAnsiTheme="minorHAnsi" w:cstheme="minorHAnsi"/>
          <w:rtl/>
        </w:rPr>
        <w:t>للمفاتيح العمومية،</w:t>
      </w:r>
    </w:p>
    <w:p w14:paraId="59EB3838" w14:textId="0BB6F127" w:rsidR="005E6972" w:rsidRPr="00AE5121" w:rsidRDefault="005E6972" w:rsidP="00D243F3">
      <w:pPr>
        <w:pStyle w:val="enumlev1"/>
        <w:rPr>
          <w:rFonts w:asciiTheme="minorHAnsi" w:hAnsiTheme="minorHAnsi" w:cstheme="minorHAnsi"/>
          <w:spacing w:val="-4"/>
          <w:rtl/>
        </w:rPr>
      </w:pPr>
      <w:proofErr w:type="gramStart"/>
      <w:r w:rsidRPr="00AE5121">
        <w:rPr>
          <w:rFonts w:asciiTheme="minorHAnsi" w:hAnsiTheme="minorHAnsi" w:cstheme="minorHAnsi"/>
          <w:spacing w:val="-4"/>
          <w:rtl/>
        </w:rPr>
        <w:t>د )</w:t>
      </w:r>
      <w:proofErr w:type="gramEnd"/>
      <w:r w:rsidRPr="00AE5121">
        <w:rPr>
          <w:rFonts w:asciiTheme="minorHAnsi" w:hAnsiTheme="minorHAnsi" w:cstheme="minorHAnsi"/>
          <w:spacing w:val="-4"/>
          <w:rtl/>
        </w:rPr>
        <w:tab/>
      </w:r>
      <w:r w:rsidR="00D24F06" w:rsidRPr="00AE5121">
        <w:rPr>
          <w:rFonts w:asciiTheme="minorHAnsi" w:hAnsiTheme="minorHAnsi" w:cstheme="minorHAnsi"/>
          <w:spacing w:val="-4"/>
          <w:rtl/>
        </w:rPr>
        <w:t>استعراض</w:t>
      </w:r>
      <w:r w:rsidR="00011597" w:rsidRPr="00AE5121">
        <w:rPr>
          <w:rFonts w:asciiTheme="minorHAnsi" w:hAnsiTheme="minorHAnsi" w:cstheme="minorHAnsi"/>
          <w:spacing w:val="-4"/>
          <w:rtl/>
        </w:rPr>
        <w:t xml:space="preserve"> تنفي</w:t>
      </w:r>
      <w:r w:rsidR="00D24F06" w:rsidRPr="00AE5121">
        <w:rPr>
          <w:rFonts w:asciiTheme="minorHAnsi" w:hAnsiTheme="minorHAnsi" w:cstheme="minorHAnsi"/>
          <w:spacing w:val="-4"/>
          <w:rtl/>
        </w:rPr>
        <w:t xml:space="preserve">ذ التوصية </w:t>
      </w:r>
      <w:r w:rsidR="00011597" w:rsidRPr="00AE5121">
        <w:rPr>
          <w:rFonts w:asciiTheme="minorHAnsi" w:hAnsiTheme="minorHAnsi" w:cstheme="minorHAnsi"/>
          <w:spacing w:val="-4"/>
        </w:rPr>
        <w:t>ITU-T X.509</w:t>
      </w:r>
      <w:r w:rsidR="00011597" w:rsidRPr="00AE5121">
        <w:rPr>
          <w:rFonts w:asciiTheme="minorHAnsi" w:hAnsiTheme="minorHAnsi" w:cstheme="minorHAnsi"/>
          <w:spacing w:val="-4"/>
          <w:rtl/>
        </w:rPr>
        <w:t xml:space="preserve"> </w:t>
      </w:r>
      <w:r w:rsidR="00D24F06" w:rsidRPr="00AE5121">
        <w:rPr>
          <w:rFonts w:asciiTheme="minorHAnsi" w:hAnsiTheme="minorHAnsi" w:cstheme="minorHAnsi"/>
          <w:spacing w:val="-4"/>
          <w:rtl/>
        </w:rPr>
        <w:t>عبر</w:t>
      </w:r>
      <w:r w:rsidR="00011597" w:rsidRPr="00AE5121">
        <w:rPr>
          <w:rFonts w:asciiTheme="minorHAnsi" w:hAnsiTheme="minorHAnsi" w:cstheme="minorHAnsi"/>
          <w:spacing w:val="-4"/>
          <w:rtl/>
        </w:rPr>
        <w:t xml:space="preserve"> فحص حالات الاستخدام السابقة </w:t>
      </w:r>
      <w:r w:rsidR="00D24F06" w:rsidRPr="00AE5121">
        <w:rPr>
          <w:rFonts w:asciiTheme="minorHAnsi" w:hAnsiTheme="minorHAnsi" w:cstheme="minorHAnsi"/>
          <w:spacing w:val="-4"/>
          <w:rtl/>
        </w:rPr>
        <w:t>و</w:t>
      </w:r>
      <w:r w:rsidR="00011597" w:rsidRPr="00AE5121">
        <w:rPr>
          <w:rFonts w:asciiTheme="minorHAnsi" w:hAnsiTheme="minorHAnsi" w:cstheme="minorHAnsi"/>
          <w:spacing w:val="-4"/>
          <w:rtl/>
        </w:rPr>
        <w:t xml:space="preserve">بروتوكولات ومعايير تكنولوجيا المعلومات والاتصالات باستخدام </w:t>
      </w:r>
      <w:r w:rsidR="00D24F06" w:rsidRPr="00AE5121">
        <w:rPr>
          <w:rFonts w:asciiTheme="minorHAnsi" w:hAnsiTheme="minorHAnsi" w:cstheme="minorHAnsi"/>
          <w:spacing w:val="-4"/>
          <w:rtl/>
        </w:rPr>
        <w:t>التوصية نفسها</w:t>
      </w:r>
      <w:r w:rsidR="00011597" w:rsidRPr="00AE5121">
        <w:rPr>
          <w:rFonts w:asciiTheme="minorHAnsi" w:hAnsiTheme="minorHAnsi" w:cstheme="minorHAnsi"/>
          <w:spacing w:val="-4"/>
          <w:rtl/>
        </w:rPr>
        <w:t>،</w:t>
      </w:r>
    </w:p>
    <w:p w14:paraId="4345ECD4" w14:textId="659736E8" w:rsidR="005E6972" w:rsidRPr="00AE5121" w:rsidRDefault="005E6972" w:rsidP="00D243F3">
      <w:pPr>
        <w:pStyle w:val="enumlev1"/>
        <w:rPr>
          <w:rFonts w:asciiTheme="minorHAnsi" w:hAnsiTheme="minorHAnsi" w:cstheme="minorHAnsi"/>
          <w:rtl/>
        </w:rPr>
      </w:pPr>
      <w:proofErr w:type="gramStart"/>
      <w:r w:rsidRPr="00AE5121">
        <w:rPr>
          <w:rFonts w:asciiTheme="minorHAnsi" w:hAnsiTheme="minorHAnsi" w:cstheme="minorHAnsi"/>
          <w:rtl/>
        </w:rPr>
        <w:t>هـ )</w:t>
      </w:r>
      <w:proofErr w:type="gramEnd"/>
      <w:r w:rsidRPr="00AE5121">
        <w:rPr>
          <w:rFonts w:asciiTheme="minorHAnsi" w:hAnsiTheme="minorHAnsi" w:cstheme="minorHAnsi"/>
          <w:rtl/>
        </w:rPr>
        <w:tab/>
      </w:r>
      <w:r w:rsidR="00011597" w:rsidRPr="00AE5121">
        <w:rPr>
          <w:rFonts w:asciiTheme="minorHAnsi" w:hAnsiTheme="minorHAnsi" w:cstheme="minorHAnsi"/>
          <w:spacing w:val="-2"/>
          <w:rtl/>
        </w:rPr>
        <w:t>تحديد الاتجاهات المحتملة للتطورات المستقبلية ل</w:t>
      </w:r>
      <w:r w:rsidR="00D24F06" w:rsidRPr="00AE5121">
        <w:rPr>
          <w:rFonts w:asciiTheme="minorHAnsi" w:hAnsiTheme="minorHAnsi" w:cstheme="minorHAnsi"/>
          <w:spacing w:val="-2"/>
          <w:rtl/>
        </w:rPr>
        <w:t>ل</w:t>
      </w:r>
      <w:r w:rsidR="00011597" w:rsidRPr="00AE5121">
        <w:rPr>
          <w:rFonts w:asciiTheme="minorHAnsi" w:hAnsiTheme="minorHAnsi" w:cstheme="minorHAnsi"/>
          <w:spacing w:val="-2"/>
          <w:rtl/>
        </w:rPr>
        <w:t>تقييس</w:t>
      </w:r>
      <w:r w:rsidR="00D24F06" w:rsidRPr="00AE5121">
        <w:rPr>
          <w:rFonts w:asciiTheme="minorHAnsi" w:hAnsiTheme="minorHAnsi" w:cstheme="minorHAnsi"/>
          <w:spacing w:val="-2"/>
          <w:rtl/>
        </w:rPr>
        <w:t xml:space="preserve"> المتعلق بالتوصية</w:t>
      </w:r>
      <w:r w:rsidR="00011597" w:rsidRPr="00AE5121">
        <w:rPr>
          <w:rFonts w:asciiTheme="minorHAnsi" w:hAnsiTheme="minorHAnsi" w:cstheme="minorHAnsi"/>
          <w:spacing w:val="-2"/>
          <w:rtl/>
        </w:rPr>
        <w:t xml:space="preserve"> </w:t>
      </w:r>
      <w:r w:rsidR="00011597" w:rsidRPr="00AE5121">
        <w:rPr>
          <w:rFonts w:asciiTheme="minorHAnsi" w:hAnsiTheme="minorHAnsi" w:cstheme="minorHAnsi"/>
          <w:spacing w:val="-2"/>
        </w:rPr>
        <w:t>ITU-T X.509</w:t>
      </w:r>
      <w:r w:rsidR="00011597" w:rsidRPr="00AE5121">
        <w:rPr>
          <w:rFonts w:asciiTheme="minorHAnsi" w:hAnsiTheme="minorHAnsi" w:cstheme="minorHAnsi"/>
          <w:spacing w:val="-2"/>
          <w:rtl/>
        </w:rPr>
        <w:t xml:space="preserve"> ومناقشة كيف يمكن أن تعزز </w:t>
      </w:r>
      <w:r w:rsidR="00250066" w:rsidRPr="00AE5121">
        <w:rPr>
          <w:rFonts w:asciiTheme="minorHAnsi" w:hAnsiTheme="minorHAnsi" w:cstheme="minorHAnsi"/>
          <w:spacing w:val="-2"/>
          <w:rtl/>
        </w:rPr>
        <w:t xml:space="preserve">المنظمات المعنية بوضع المعايير </w:t>
      </w:r>
      <w:r w:rsidR="00011597" w:rsidRPr="00AE5121">
        <w:rPr>
          <w:rFonts w:asciiTheme="minorHAnsi" w:hAnsiTheme="minorHAnsi" w:cstheme="minorHAnsi"/>
          <w:spacing w:val="-2"/>
          <w:rtl/>
        </w:rPr>
        <w:t xml:space="preserve">ذات الصلة التعاون في </w:t>
      </w:r>
      <w:r w:rsidR="00250066" w:rsidRPr="00AE5121">
        <w:rPr>
          <w:rFonts w:asciiTheme="minorHAnsi" w:hAnsiTheme="minorHAnsi" w:cstheme="minorHAnsi"/>
          <w:spacing w:val="-2"/>
          <w:rtl/>
        </w:rPr>
        <w:t xml:space="preserve">مجال </w:t>
      </w:r>
      <w:r w:rsidR="00011597" w:rsidRPr="00AE5121">
        <w:rPr>
          <w:rFonts w:asciiTheme="minorHAnsi" w:hAnsiTheme="minorHAnsi" w:cstheme="minorHAnsi"/>
          <w:spacing w:val="-2"/>
          <w:rtl/>
        </w:rPr>
        <w:t xml:space="preserve">العمل المستقبلي </w:t>
      </w:r>
      <w:r w:rsidR="00250066" w:rsidRPr="00AE5121">
        <w:rPr>
          <w:rFonts w:asciiTheme="minorHAnsi" w:hAnsiTheme="minorHAnsi" w:cstheme="minorHAnsi"/>
          <w:spacing w:val="-2"/>
          <w:rtl/>
        </w:rPr>
        <w:t>بشأن</w:t>
      </w:r>
      <w:r w:rsidR="00011597" w:rsidRPr="00AE5121">
        <w:rPr>
          <w:rFonts w:asciiTheme="minorHAnsi" w:hAnsiTheme="minorHAnsi" w:cstheme="minorHAnsi"/>
          <w:spacing w:val="-2"/>
          <w:rtl/>
        </w:rPr>
        <w:t xml:space="preserve"> </w:t>
      </w:r>
      <w:r w:rsidR="00250066" w:rsidRPr="00AE5121">
        <w:rPr>
          <w:rFonts w:asciiTheme="minorHAnsi" w:hAnsiTheme="minorHAnsi" w:cstheme="minorHAnsi"/>
          <w:spacing w:val="-2"/>
          <w:rtl/>
        </w:rPr>
        <w:t xml:space="preserve">التوصية </w:t>
      </w:r>
      <w:r w:rsidR="00250066" w:rsidRPr="00AE5121">
        <w:rPr>
          <w:rFonts w:asciiTheme="minorHAnsi" w:hAnsiTheme="minorHAnsi" w:cstheme="minorHAnsi"/>
          <w:spacing w:val="-2"/>
        </w:rPr>
        <w:t>ITU</w:t>
      </w:r>
      <w:r w:rsidR="00F7748B" w:rsidRPr="00AE5121">
        <w:rPr>
          <w:rFonts w:asciiTheme="minorHAnsi" w:hAnsiTheme="minorHAnsi" w:cstheme="minorHAnsi"/>
          <w:spacing w:val="-2"/>
        </w:rPr>
        <w:noBreakHyphen/>
      </w:r>
      <w:r w:rsidR="00250066" w:rsidRPr="00AE5121">
        <w:rPr>
          <w:rFonts w:asciiTheme="minorHAnsi" w:hAnsiTheme="minorHAnsi" w:cstheme="minorHAnsi"/>
          <w:spacing w:val="-2"/>
        </w:rPr>
        <w:t>T</w:t>
      </w:r>
      <w:r w:rsidR="00F7748B" w:rsidRPr="00AE5121">
        <w:rPr>
          <w:rFonts w:asciiTheme="minorHAnsi" w:hAnsiTheme="minorHAnsi" w:cstheme="minorHAnsi"/>
          <w:spacing w:val="-2"/>
        </w:rPr>
        <w:t> </w:t>
      </w:r>
      <w:r w:rsidR="00250066" w:rsidRPr="00AE5121">
        <w:rPr>
          <w:rFonts w:asciiTheme="minorHAnsi" w:hAnsiTheme="minorHAnsi" w:cstheme="minorHAnsi"/>
          <w:spacing w:val="-2"/>
        </w:rPr>
        <w:t>X.509</w:t>
      </w:r>
      <w:r w:rsidR="00915E39" w:rsidRPr="00AE5121">
        <w:rPr>
          <w:rFonts w:asciiTheme="minorHAnsi" w:hAnsiTheme="minorHAnsi" w:cstheme="minorHAnsi"/>
          <w:spacing w:val="-2"/>
          <w:rtl/>
        </w:rPr>
        <w:t>.</w:t>
      </w:r>
    </w:p>
    <w:p w14:paraId="5BB1B206" w14:textId="714F012F" w:rsidR="005E6972" w:rsidRPr="00AE5121" w:rsidRDefault="005E6972" w:rsidP="00D517B2">
      <w:pPr>
        <w:rPr>
          <w:rFonts w:asciiTheme="minorHAnsi" w:hAnsiTheme="minorHAnsi" w:cstheme="minorHAnsi"/>
          <w:rtl/>
          <w:lang w:bidi="ar-EG"/>
        </w:rPr>
      </w:pPr>
      <w:r w:rsidRPr="00AE5121">
        <w:rPr>
          <w:rFonts w:asciiTheme="minorHAnsi" w:hAnsiTheme="minorHAnsi" w:cstheme="minorHAnsi"/>
          <w:lang w:bidi="ar-EG"/>
        </w:rPr>
        <w:t>4</w:t>
      </w:r>
      <w:r w:rsidRPr="00AE5121">
        <w:rPr>
          <w:rFonts w:asciiTheme="minorHAnsi" w:hAnsiTheme="minorHAnsi" w:cstheme="minorHAnsi"/>
          <w:rtl/>
          <w:lang w:bidi="ar-EG"/>
        </w:rPr>
        <w:tab/>
        <w:t>وسيجري الحدث باللغة الإنكليزية فقط.</w:t>
      </w:r>
    </w:p>
    <w:p w14:paraId="0000996E" w14:textId="3A50D316" w:rsidR="005E6972" w:rsidRPr="00AE5121" w:rsidRDefault="005E6972" w:rsidP="001B436B">
      <w:pPr>
        <w:rPr>
          <w:rFonts w:asciiTheme="minorHAnsi" w:hAnsiTheme="minorHAnsi" w:cstheme="minorHAnsi"/>
          <w:rtl/>
          <w:lang w:bidi="ar-EG"/>
        </w:rPr>
      </w:pPr>
      <w:r w:rsidRPr="00AE5121">
        <w:rPr>
          <w:rFonts w:asciiTheme="minorHAnsi" w:hAnsiTheme="minorHAnsi" w:cstheme="minorHAnsi"/>
          <w:lang w:bidi="ar-EG"/>
        </w:rPr>
        <w:t>5</w:t>
      </w:r>
      <w:r w:rsidRPr="00AE5121">
        <w:rPr>
          <w:rFonts w:asciiTheme="minorHAnsi" w:hAnsiTheme="minorHAnsi" w:cstheme="minorHAnsi"/>
          <w:rtl/>
          <w:lang w:bidi="ar-EG"/>
        </w:rPr>
        <w:tab/>
        <w:t xml:space="preserve">وستتاح جميع المعلومات ذات الصلة المتعلقة بالحدث (مشروع البرنامج، المتحدثون، رابط التسجيل، تفاصيل التوصيل عن بُعد) في </w:t>
      </w:r>
      <w:r w:rsidR="005D6376" w:rsidRPr="00AE5121">
        <w:rPr>
          <w:rFonts w:asciiTheme="minorHAnsi" w:hAnsiTheme="minorHAnsi" w:cstheme="minorHAnsi"/>
          <w:rtl/>
          <w:lang w:bidi="ar-EG"/>
        </w:rPr>
        <w:t>الصفحة</w:t>
      </w:r>
      <w:r w:rsidRPr="00AE5121">
        <w:rPr>
          <w:rFonts w:asciiTheme="minorHAnsi" w:hAnsiTheme="minorHAnsi" w:cstheme="minorHAnsi"/>
          <w:rtl/>
          <w:lang w:bidi="ar-EG"/>
        </w:rPr>
        <w:t xml:space="preserve"> الإلكتروني</w:t>
      </w:r>
      <w:r w:rsidR="005D6376" w:rsidRPr="00AE5121">
        <w:rPr>
          <w:rFonts w:asciiTheme="minorHAnsi" w:hAnsiTheme="minorHAnsi" w:cstheme="minorHAnsi"/>
          <w:rtl/>
          <w:lang w:bidi="ar-EG"/>
        </w:rPr>
        <w:t>ة</w:t>
      </w:r>
      <w:r w:rsidRPr="00AE5121">
        <w:rPr>
          <w:rFonts w:asciiTheme="minorHAnsi" w:hAnsiTheme="minorHAnsi" w:cstheme="minorHAnsi"/>
          <w:rtl/>
          <w:lang w:bidi="ar-EG"/>
        </w:rPr>
        <w:t xml:space="preserve"> للحدث هنا:</w:t>
      </w:r>
      <w:r w:rsidRPr="00AE5121">
        <w:rPr>
          <w:rFonts w:asciiTheme="minorHAnsi" w:hAnsiTheme="minorHAnsi" w:cstheme="minorHAnsi"/>
          <w:rtl/>
          <w:lang w:bidi="ar-EG"/>
        </w:rPr>
        <w:tab/>
      </w:r>
      <w:r w:rsidRPr="00AE5121">
        <w:rPr>
          <w:rFonts w:asciiTheme="minorHAnsi" w:hAnsiTheme="minorHAnsi" w:cstheme="minorHAnsi"/>
          <w:rtl/>
          <w:lang w:bidi="ar-EG"/>
        </w:rPr>
        <w:br/>
      </w:r>
      <w:hyperlink r:id="rId10" w:history="1">
        <w:r w:rsidR="00F7748B" w:rsidRPr="00AE5121">
          <w:rPr>
            <w:rStyle w:val="Hyperlink"/>
            <w:rFonts w:asciiTheme="minorHAnsi" w:hAnsiTheme="minorHAnsi" w:cstheme="minorHAnsi"/>
          </w:rPr>
          <w:t>https://www.itu.int/en/ITU-T/Workshops-and-Seminars/2022/0509/Pages/default.aspx</w:t>
        </w:r>
      </w:hyperlink>
      <w:r w:rsidRPr="00AE5121">
        <w:rPr>
          <w:rFonts w:asciiTheme="minorHAnsi" w:hAnsiTheme="minorHAnsi" w:cstheme="minorHAnsi"/>
          <w:rtl/>
          <w:lang w:bidi="ar-EG"/>
        </w:rPr>
        <w:t>.</w:t>
      </w:r>
      <w:r w:rsidR="001B436B" w:rsidRPr="00AE5121">
        <w:rPr>
          <w:rFonts w:asciiTheme="minorHAnsi" w:hAnsiTheme="minorHAnsi" w:cstheme="minorHAnsi"/>
          <w:rtl/>
          <w:lang w:bidi="ar-EG"/>
        </w:rPr>
        <w:t xml:space="preserve"> </w:t>
      </w:r>
      <w:r w:rsidR="00915E39" w:rsidRPr="00AE5121">
        <w:rPr>
          <w:rFonts w:asciiTheme="minorHAnsi" w:hAnsiTheme="minorHAnsi" w:cstheme="minorHAnsi"/>
          <w:rtl/>
          <w:lang w:bidi="ar-EG"/>
        </w:rPr>
        <w:t>وسيتم تحديث</w:t>
      </w:r>
      <w:r w:rsidRPr="00AE5121">
        <w:rPr>
          <w:rFonts w:asciiTheme="minorHAnsi" w:hAnsiTheme="minorHAnsi" w:cstheme="minorHAnsi"/>
          <w:rtl/>
          <w:lang w:bidi="ar-EG"/>
        </w:rPr>
        <w:t xml:space="preserve"> </w:t>
      </w:r>
      <w:r w:rsidR="005D6376" w:rsidRPr="00AE5121">
        <w:rPr>
          <w:rFonts w:asciiTheme="minorHAnsi" w:hAnsiTheme="minorHAnsi" w:cstheme="minorHAnsi"/>
          <w:rtl/>
          <w:lang w:bidi="ar-EG"/>
        </w:rPr>
        <w:t xml:space="preserve">الصفحة الإلكترونية </w:t>
      </w:r>
      <w:r w:rsidR="005220B4" w:rsidRPr="00AE5121">
        <w:rPr>
          <w:rFonts w:asciiTheme="minorHAnsi" w:hAnsiTheme="minorHAnsi" w:cstheme="minorHAnsi"/>
          <w:rtl/>
          <w:lang w:bidi="ar-EG"/>
        </w:rPr>
        <w:t xml:space="preserve">للحدث </w:t>
      </w:r>
      <w:r w:rsidRPr="00AE5121">
        <w:rPr>
          <w:rFonts w:asciiTheme="minorHAnsi" w:hAnsiTheme="minorHAnsi" w:cstheme="minorHAnsi"/>
          <w:rtl/>
          <w:lang w:bidi="ar-EG"/>
        </w:rPr>
        <w:t xml:space="preserve">بانتظام </w:t>
      </w:r>
      <w:r w:rsidR="005D6376" w:rsidRPr="00AE5121">
        <w:rPr>
          <w:rFonts w:asciiTheme="minorHAnsi" w:hAnsiTheme="minorHAnsi" w:cstheme="minorHAnsi"/>
          <w:rtl/>
          <w:lang w:bidi="ar-EG"/>
        </w:rPr>
        <w:t>كلما أتيحت معلومات إضافية</w:t>
      </w:r>
      <w:r w:rsidRPr="00AE5121">
        <w:rPr>
          <w:rFonts w:asciiTheme="minorHAnsi" w:hAnsiTheme="minorHAnsi" w:cstheme="minorHAnsi"/>
          <w:rtl/>
          <w:lang w:bidi="ar-EG"/>
        </w:rPr>
        <w:t xml:space="preserve">. </w:t>
      </w:r>
      <w:r w:rsidRPr="00AE5121">
        <w:rPr>
          <w:rFonts w:asciiTheme="minorHAnsi" w:hAnsiTheme="minorHAnsi" w:cstheme="minorHAnsi"/>
          <w:rtl/>
        </w:rPr>
        <w:t xml:space="preserve">ويرُجى من المشاركين المواظبة على زيارة </w:t>
      </w:r>
      <w:r w:rsidR="005D6376" w:rsidRPr="00AE5121">
        <w:rPr>
          <w:rFonts w:asciiTheme="minorHAnsi" w:hAnsiTheme="minorHAnsi" w:cstheme="minorHAnsi"/>
          <w:rtl/>
          <w:lang w:bidi="ar-EG"/>
        </w:rPr>
        <w:t xml:space="preserve">الصفحة الإلكترونية </w:t>
      </w:r>
      <w:r w:rsidRPr="00AE5121">
        <w:rPr>
          <w:rFonts w:asciiTheme="minorHAnsi" w:hAnsiTheme="minorHAnsi" w:cstheme="minorHAnsi"/>
          <w:rtl/>
        </w:rPr>
        <w:t>للاطلاع على أحدث المعلومات.</w:t>
      </w:r>
    </w:p>
    <w:p w14:paraId="66AE87AE" w14:textId="17579FFB" w:rsidR="005E6972" w:rsidRPr="00AE5121" w:rsidRDefault="005E6972" w:rsidP="005E6972">
      <w:pPr>
        <w:rPr>
          <w:rFonts w:asciiTheme="minorHAnsi" w:hAnsiTheme="minorHAnsi" w:cstheme="minorHAnsi"/>
          <w:rtl/>
          <w:lang w:bidi="ar-EG"/>
        </w:rPr>
      </w:pPr>
      <w:r w:rsidRPr="00AE5121">
        <w:rPr>
          <w:rFonts w:asciiTheme="minorHAnsi" w:hAnsiTheme="minorHAnsi" w:cstheme="minorHAnsi"/>
          <w:lang w:bidi="ar-EG"/>
        </w:rPr>
        <w:t>6</w:t>
      </w:r>
      <w:r w:rsidRPr="00AE5121">
        <w:rPr>
          <w:rFonts w:asciiTheme="minorHAnsi" w:hAnsiTheme="minorHAnsi" w:cstheme="minorHAnsi"/>
          <w:rtl/>
          <w:lang w:bidi="ar-EG"/>
        </w:rPr>
        <w:tab/>
        <w:t>ويرجى ملاحظة أن التسجيل إلزامي لجميع المشاركين في الحدث.</w:t>
      </w:r>
    </w:p>
    <w:p w14:paraId="17A12545" w14:textId="43A8BAF0" w:rsidR="005E6972" w:rsidRPr="00AE5121" w:rsidRDefault="005E6972" w:rsidP="005E6972">
      <w:pPr>
        <w:rPr>
          <w:rFonts w:asciiTheme="minorHAnsi" w:hAnsiTheme="minorHAnsi" w:cstheme="minorHAnsi"/>
          <w:rtl/>
          <w:lang w:bidi="ar-EG"/>
        </w:rPr>
      </w:pPr>
      <w:r w:rsidRPr="00AE5121">
        <w:rPr>
          <w:rFonts w:asciiTheme="minorHAnsi" w:hAnsiTheme="minorHAnsi" w:cstheme="minorHAnsi"/>
          <w:lang w:bidi="ar-EG"/>
        </w:rPr>
        <w:lastRenderedPageBreak/>
        <w:t>7</w:t>
      </w:r>
      <w:r w:rsidRPr="00AE5121">
        <w:rPr>
          <w:rFonts w:asciiTheme="minorHAnsi" w:hAnsiTheme="minorHAnsi" w:cstheme="minorHAnsi"/>
          <w:rtl/>
          <w:lang w:bidi="ar-EG"/>
        </w:rPr>
        <w:tab/>
      </w:r>
      <w:r w:rsidRPr="00AE5121">
        <w:rPr>
          <w:rFonts w:asciiTheme="minorHAnsi" w:hAnsiTheme="minorHAnsi" w:cstheme="minorHAnsi"/>
          <w:rtl/>
        </w:rPr>
        <w:t>والمشاركة مجانية ومتاحة لجميع أصحاب المصلحة المهتمين بما في ذلك الدول الأعضاء في الاتحاد وأعضاء القطاع والمنتسبون والمؤسسات الأكاديمية وأي شخص من بلد عضو في الاتحاد يرغب في المساهمة في العمل.</w:t>
      </w:r>
    </w:p>
    <w:p w14:paraId="50F0A301" w14:textId="1DA86555" w:rsidR="00E84438" w:rsidRPr="00AE5121" w:rsidRDefault="00E84438" w:rsidP="00E84438">
      <w:pPr>
        <w:spacing w:before="240"/>
        <w:ind w:left="-57"/>
        <w:jc w:val="left"/>
        <w:rPr>
          <w:rFonts w:asciiTheme="minorHAnsi" w:hAnsiTheme="minorHAnsi" w:cstheme="minorHAnsi"/>
          <w:rtl/>
          <w:lang w:bidi="ar-EG"/>
        </w:rPr>
      </w:pPr>
      <w:r w:rsidRPr="00AE5121">
        <w:rPr>
          <w:rFonts w:asciiTheme="minorHAnsi" w:hAnsiTheme="minorHAnsi" w:cstheme="minorHAnsi"/>
          <w:rtl/>
          <w:lang w:bidi="ar-EG"/>
        </w:rPr>
        <w:t>وتفضلوا بقبول فائق التقدير والاحترام.</w:t>
      </w:r>
    </w:p>
    <w:p w14:paraId="740FBD69" w14:textId="60443522" w:rsidR="00596808" w:rsidRPr="00AE5121" w:rsidRDefault="008D4B7E" w:rsidP="00853D7A">
      <w:pPr>
        <w:spacing w:before="960"/>
        <w:jc w:val="left"/>
        <w:rPr>
          <w:rFonts w:asciiTheme="minorHAnsi" w:hAnsiTheme="minorHAnsi" w:cstheme="minorHAnsi"/>
          <w:rtl/>
          <w:lang w:bidi="ar-EG"/>
        </w:rPr>
      </w:pPr>
      <w:r>
        <w:rPr>
          <w:rFonts w:asciiTheme="minorHAnsi" w:hAnsiTheme="minorHAnsi" w:cstheme="minorHAnsi"/>
          <w:noProof/>
          <w:rtl/>
          <w:lang w:val="ar-EG" w:bidi="ar-EG"/>
        </w:rPr>
        <w:drawing>
          <wp:anchor distT="0" distB="0" distL="114300" distR="114300" simplePos="0" relativeHeight="251658240" behindDoc="1" locked="0" layoutInCell="1" allowOverlap="1" wp14:anchorId="3B73D1EF" wp14:editId="2D0CF0D0">
            <wp:simplePos x="0" y="0"/>
            <wp:positionH relativeFrom="column">
              <wp:posOffset>5344866</wp:posOffset>
            </wp:positionH>
            <wp:positionV relativeFrom="paragraph">
              <wp:posOffset>55245</wp:posOffset>
            </wp:positionV>
            <wp:extent cx="802569" cy="555625"/>
            <wp:effectExtent l="0" t="0" r="0" b="0"/>
            <wp:wrapNone/>
            <wp:docPr id="3" name="Picture 3" descr="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etter&#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804784" cy="557158"/>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E84438" w:rsidRPr="00AE5121">
        <w:rPr>
          <w:rFonts w:asciiTheme="minorHAnsi" w:hAnsiTheme="minorHAnsi" w:cstheme="minorHAnsi"/>
          <w:rtl/>
          <w:lang w:bidi="ar-SY"/>
        </w:rPr>
        <w:t>تشيساب</w:t>
      </w:r>
      <w:proofErr w:type="spellEnd"/>
      <w:r w:rsidR="00E84438" w:rsidRPr="00AE5121">
        <w:rPr>
          <w:rFonts w:asciiTheme="minorHAnsi" w:hAnsiTheme="minorHAnsi" w:cstheme="minorHAnsi"/>
          <w:rtl/>
          <w:lang w:bidi="ar-SY"/>
        </w:rPr>
        <w:t xml:space="preserve"> لي</w:t>
      </w:r>
      <w:r w:rsidR="00E84438" w:rsidRPr="00AE5121">
        <w:rPr>
          <w:rFonts w:asciiTheme="minorHAnsi" w:hAnsiTheme="minorHAnsi" w:cstheme="minorHAnsi"/>
          <w:rtl/>
          <w:lang w:bidi="ar-SY"/>
        </w:rPr>
        <w:br/>
        <w:t>مدير مكتب تقييس الاتصالات</w:t>
      </w:r>
    </w:p>
    <w:sectPr w:rsidR="00596808" w:rsidRPr="00AE5121" w:rsidSect="006C3242">
      <w:head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FC7ED" w14:textId="77777777" w:rsidR="00686847" w:rsidRDefault="00686847" w:rsidP="006C3242">
      <w:pPr>
        <w:spacing w:before="0" w:line="240" w:lineRule="auto"/>
      </w:pPr>
      <w:r>
        <w:separator/>
      </w:r>
    </w:p>
  </w:endnote>
  <w:endnote w:type="continuationSeparator" w:id="0">
    <w:p w14:paraId="2F72AFA4" w14:textId="77777777" w:rsidR="00686847" w:rsidRDefault="00686847"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D2145"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0B632" w14:textId="77777777" w:rsidR="00686847" w:rsidRDefault="00686847" w:rsidP="006C3242">
      <w:pPr>
        <w:spacing w:before="0" w:line="240" w:lineRule="auto"/>
      </w:pPr>
      <w:r>
        <w:separator/>
      </w:r>
    </w:p>
  </w:footnote>
  <w:footnote w:type="continuationSeparator" w:id="0">
    <w:p w14:paraId="5BBA07CF" w14:textId="77777777" w:rsidR="00686847" w:rsidRDefault="00686847"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79E8C" w14:textId="4425FB29" w:rsidR="00447F32" w:rsidRPr="00596808" w:rsidRDefault="00596808" w:rsidP="00B916A7">
    <w:pPr>
      <w:pStyle w:val="Header"/>
      <w:spacing w:after="240" w:line="192" w:lineRule="auto"/>
      <w:jc w:val="center"/>
    </w:pPr>
    <w:r w:rsidRPr="00AE5121">
      <w:rPr>
        <w:rFonts w:asciiTheme="minorHAnsi" w:hAnsiTheme="minorHAnsi" w:cstheme="minorHAnsi"/>
        <w:sz w:val="18"/>
        <w:szCs w:val="18"/>
      </w:rPr>
      <w:t xml:space="preserve">- </w:t>
    </w:r>
    <w:r w:rsidRPr="00AE5121">
      <w:rPr>
        <w:rFonts w:asciiTheme="minorHAnsi" w:hAnsiTheme="minorHAnsi" w:cstheme="minorHAnsi"/>
        <w:sz w:val="18"/>
        <w:szCs w:val="18"/>
      </w:rPr>
      <w:fldChar w:fldCharType="begin"/>
    </w:r>
    <w:r w:rsidRPr="00AE5121">
      <w:rPr>
        <w:rFonts w:asciiTheme="minorHAnsi" w:hAnsiTheme="minorHAnsi" w:cstheme="minorHAnsi"/>
        <w:sz w:val="18"/>
        <w:szCs w:val="18"/>
      </w:rPr>
      <w:instrText xml:space="preserve"> PAGE </w:instrText>
    </w:r>
    <w:r w:rsidRPr="00AE5121">
      <w:rPr>
        <w:rFonts w:asciiTheme="minorHAnsi" w:hAnsiTheme="minorHAnsi" w:cstheme="minorHAnsi"/>
        <w:sz w:val="18"/>
        <w:szCs w:val="18"/>
      </w:rPr>
      <w:fldChar w:fldCharType="separate"/>
    </w:r>
    <w:r w:rsidRPr="00AE5121">
      <w:rPr>
        <w:rFonts w:asciiTheme="minorHAnsi" w:hAnsiTheme="minorHAnsi" w:cstheme="minorHAnsi"/>
        <w:sz w:val="18"/>
        <w:szCs w:val="18"/>
      </w:rPr>
      <w:t>2</w:t>
    </w:r>
    <w:r w:rsidRPr="00AE5121">
      <w:rPr>
        <w:rFonts w:asciiTheme="minorHAnsi" w:hAnsiTheme="minorHAnsi" w:cstheme="minorHAnsi"/>
        <w:sz w:val="18"/>
        <w:szCs w:val="18"/>
      </w:rPr>
      <w:fldChar w:fldCharType="end"/>
    </w:r>
    <w:r w:rsidRPr="00AE5121">
      <w:rPr>
        <w:rFonts w:asciiTheme="minorHAnsi" w:hAnsiTheme="minorHAnsi" w:cstheme="minorHAnsi"/>
        <w:sz w:val="18"/>
        <w:szCs w:val="18"/>
      </w:rPr>
      <w:t xml:space="preserve"> -</w:t>
    </w:r>
    <w:r w:rsidR="00E84438">
      <w:rPr>
        <w:sz w:val="20"/>
        <w:szCs w:val="20"/>
        <w:rtl/>
      </w:rPr>
      <w:br/>
    </w:r>
    <w:r w:rsidRPr="00AE5121">
      <w:rPr>
        <w:rFonts w:asciiTheme="minorHAnsi" w:hAnsiTheme="minorHAnsi" w:cstheme="minorHAnsi"/>
        <w:sz w:val="18"/>
        <w:szCs w:val="18"/>
        <w:rtl/>
        <w:lang w:bidi="ar-EG"/>
      </w:rPr>
      <w:t xml:space="preserve">الرسالة </w:t>
    </w:r>
    <w:r w:rsidR="00E84438" w:rsidRPr="00AE5121">
      <w:rPr>
        <w:rFonts w:asciiTheme="minorHAnsi" w:hAnsiTheme="minorHAnsi" w:cstheme="minorHAnsi"/>
        <w:sz w:val="18"/>
        <w:szCs w:val="18"/>
        <w:rtl/>
        <w:lang w:bidi="ar-EG"/>
      </w:rPr>
      <w:t>المعممة</w:t>
    </w:r>
    <w:r w:rsidRPr="00AE5121">
      <w:rPr>
        <w:rFonts w:asciiTheme="minorHAnsi" w:hAnsiTheme="minorHAnsi" w:cstheme="minorHAnsi"/>
        <w:sz w:val="18"/>
        <w:szCs w:val="18"/>
        <w:rtl/>
        <w:lang w:bidi="ar-EG"/>
      </w:rPr>
      <w:t xml:space="preserve"> </w:t>
    </w:r>
    <w:r w:rsidR="005E6972" w:rsidRPr="00AE5121">
      <w:rPr>
        <w:rFonts w:asciiTheme="minorHAnsi" w:hAnsiTheme="minorHAnsi" w:cstheme="minorHAnsi"/>
        <w:sz w:val="18"/>
        <w:szCs w:val="18"/>
        <w:lang w:val="en-GB"/>
      </w:rPr>
      <w:t>3</w:t>
    </w:r>
    <w:r w:rsidR="00400EC6" w:rsidRPr="00AE5121">
      <w:rPr>
        <w:rFonts w:asciiTheme="minorHAnsi" w:hAnsiTheme="minorHAnsi" w:cstheme="minorHAnsi"/>
        <w:sz w:val="18"/>
        <w:szCs w:val="18"/>
        <w:rtl/>
        <w:lang w:val="en-GB"/>
      </w:rPr>
      <w:t xml:space="preserve"> </w:t>
    </w:r>
    <w:r w:rsidR="003A3046" w:rsidRPr="00AE5121">
      <w:rPr>
        <w:rFonts w:asciiTheme="minorHAnsi" w:hAnsiTheme="minorHAnsi" w:cstheme="minorHAnsi"/>
        <w:sz w:val="18"/>
        <w:szCs w:val="18"/>
        <w:rtl/>
        <w:lang w:val="en-GB"/>
      </w:rPr>
      <w:t>لمكتب</w:t>
    </w:r>
    <w:r w:rsidR="00400EC6" w:rsidRPr="00AE5121">
      <w:rPr>
        <w:rFonts w:asciiTheme="minorHAnsi" w:hAnsiTheme="minorHAnsi" w:cstheme="minorHAnsi"/>
        <w:sz w:val="18"/>
        <w:szCs w:val="18"/>
        <w:rtl/>
        <w:lang w:val="en-GB"/>
      </w:rPr>
      <w:t xml:space="preserve">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40184238">
    <w:abstractNumId w:val="9"/>
  </w:num>
  <w:num w:numId="2" w16cid:durableId="90245174">
    <w:abstractNumId w:val="7"/>
  </w:num>
  <w:num w:numId="3" w16cid:durableId="1481071294">
    <w:abstractNumId w:val="6"/>
  </w:num>
  <w:num w:numId="4" w16cid:durableId="735010263">
    <w:abstractNumId w:val="5"/>
  </w:num>
  <w:num w:numId="5" w16cid:durableId="902569898">
    <w:abstractNumId w:val="4"/>
  </w:num>
  <w:num w:numId="6" w16cid:durableId="332954848">
    <w:abstractNumId w:val="8"/>
  </w:num>
  <w:num w:numId="7" w16cid:durableId="1023556295">
    <w:abstractNumId w:val="3"/>
  </w:num>
  <w:num w:numId="8" w16cid:durableId="1807048735">
    <w:abstractNumId w:val="2"/>
  </w:num>
  <w:num w:numId="9" w16cid:durableId="798914071">
    <w:abstractNumId w:val="1"/>
  </w:num>
  <w:num w:numId="10" w16cid:durableId="650254691">
    <w:abstractNumId w:val="0"/>
  </w:num>
  <w:num w:numId="11" w16cid:durableId="590602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YwNDQ0MTQ3NzS0NDRV0lEKTi0uzszPAykwrAUADME4hiwAAAA="/>
  </w:docVars>
  <w:rsids>
    <w:rsidRoot w:val="005E6972"/>
    <w:rsid w:val="00002A63"/>
    <w:rsid w:val="00011597"/>
    <w:rsid w:val="00041D91"/>
    <w:rsid w:val="0006468A"/>
    <w:rsid w:val="00090574"/>
    <w:rsid w:val="000C1C0E"/>
    <w:rsid w:val="000C548A"/>
    <w:rsid w:val="000D02E0"/>
    <w:rsid w:val="000E327F"/>
    <w:rsid w:val="00121ECB"/>
    <w:rsid w:val="00146FE2"/>
    <w:rsid w:val="001B436B"/>
    <w:rsid w:val="001C0169"/>
    <w:rsid w:val="001D1D50"/>
    <w:rsid w:val="001D6745"/>
    <w:rsid w:val="001E214F"/>
    <w:rsid w:val="001E446E"/>
    <w:rsid w:val="002154EE"/>
    <w:rsid w:val="002276D2"/>
    <w:rsid w:val="0023283D"/>
    <w:rsid w:val="00250066"/>
    <w:rsid w:val="0026373E"/>
    <w:rsid w:val="00271C43"/>
    <w:rsid w:val="00290728"/>
    <w:rsid w:val="002978F4"/>
    <w:rsid w:val="002B028D"/>
    <w:rsid w:val="002B6FEA"/>
    <w:rsid w:val="002E196B"/>
    <w:rsid w:val="002E6541"/>
    <w:rsid w:val="00334924"/>
    <w:rsid w:val="003409BC"/>
    <w:rsid w:val="00347CAE"/>
    <w:rsid w:val="00357185"/>
    <w:rsid w:val="003641D2"/>
    <w:rsid w:val="00383829"/>
    <w:rsid w:val="003A3046"/>
    <w:rsid w:val="003F4B29"/>
    <w:rsid w:val="00400EC6"/>
    <w:rsid w:val="0042686F"/>
    <w:rsid w:val="004317D8"/>
    <w:rsid w:val="00434183"/>
    <w:rsid w:val="00443869"/>
    <w:rsid w:val="00447F32"/>
    <w:rsid w:val="004C4915"/>
    <w:rsid w:val="004C4BDE"/>
    <w:rsid w:val="004E11DC"/>
    <w:rsid w:val="005220B4"/>
    <w:rsid w:val="00525DDD"/>
    <w:rsid w:val="005409AC"/>
    <w:rsid w:val="0055516A"/>
    <w:rsid w:val="005731DD"/>
    <w:rsid w:val="0058491B"/>
    <w:rsid w:val="00592EA5"/>
    <w:rsid w:val="00595B52"/>
    <w:rsid w:val="00596808"/>
    <w:rsid w:val="005A3170"/>
    <w:rsid w:val="005D6376"/>
    <w:rsid w:val="005E6972"/>
    <w:rsid w:val="00624405"/>
    <w:rsid w:val="00627D3D"/>
    <w:rsid w:val="006635B2"/>
    <w:rsid w:val="00677396"/>
    <w:rsid w:val="00686847"/>
    <w:rsid w:val="0069200F"/>
    <w:rsid w:val="006A65CB"/>
    <w:rsid w:val="006C1530"/>
    <w:rsid w:val="006C3242"/>
    <w:rsid w:val="006C7CC0"/>
    <w:rsid w:val="006E1BAD"/>
    <w:rsid w:val="006F63F7"/>
    <w:rsid w:val="007025C7"/>
    <w:rsid w:val="00706D7A"/>
    <w:rsid w:val="00722F0D"/>
    <w:rsid w:val="0074420E"/>
    <w:rsid w:val="00783E26"/>
    <w:rsid w:val="007956CD"/>
    <w:rsid w:val="007C3BC7"/>
    <w:rsid w:val="007C3BCD"/>
    <w:rsid w:val="007D4ACF"/>
    <w:rsid w:val="007F0787"/>
    <w:rsid w:val="00810B7B"/>
    <w:rsid w:val="0082358A"/>
    <w:rsid w:val="008235CD"/>
    <w:rsid w:val="008247DE"/>
    <w:rsid w:val="00840B10"/>
    <w:rsid w:val="008513CB"/>
    <w:rsid w:val="00853D7A"/>
    <w:rsid w:val="00861906"/>
    <w:rsid w:val="00873469"/>
    <w:rsid w:val="00896D59"/>
    <w:rsid w:val="008A7F84"/>
    <w:rsid w:val="008D4B7E"/>
    <w:rsid w:val="00915E39"/>
    <w:rsid w:val="0091702E"/>
    <w:rsid w:val="00923B0C"/>
    <w:rsid w:val="00926F44"/>
    <w:rsid w:val="0094021C"/>
    <w:rsid w:val="0094432F"/>
    <w:rsid w:val="00952F86"/>
    <w:rsid w:val="00967DF7"/>
    <w:rsid w:val="00982B28"/>
    <w:rsid w:val="009D313F"/>
    <w:rsid w:val="00A37443"/>
    <w:rsid w:val="00A47A5A"/>
    <w:rsid w:val="00A6683B"/>
    <w:rsid w:val="00A77C90"/>
    <w:rsid w:val="00A9156F"/>
    <w:rsid w:val="00A94B0A"/>
    <w:rsid w:val="00A97F94"/>
    <w:rsid w:val="00AA7EA2"/>
    <w:rsid w:val="00AD74CE"/>
    <w:rsid w:val="00AE5121"/>
    <w:rsid w:val="00AF6B5C"/>
    <w:rsid w:val="00B001C9"/>
    <w:rsid w:val="00B03099"/>
    <w:rsid w:val="00B05BC8"/>
    <w:rsid w:val="00B64B47"/>
    <w:rsid w:val="00B916A7"/>
    <w:rsid w:val="00BB0F08"/>
    <w:rsid w:val="00BD4101"/>
    <w:rsid w:val="00BD4814"/>
    <w:rsid w:val="00BE03A3"/>
    <w:rsid w:val="00C002DE"/>
    <w:rsid w:val="00C53BF8"/>
    <w:rsid w:val="00C66157"/>
    <w:rsid w:val="00C674FE"/>
    <w:rsid w:val="00C67501"/>
    <w:rsid w:val="00C75633"/>
    <w:rsid w:val="00C94978"/>
    <w:rsid w:val="00CA1D97"/>
    <w:rsid w:val="00CE1C08"/>
    <w:rsid w:val="00CE2EE1"/>
    <w:rsid w:val="00CE3349"/>
    <w:rsid w:val="00CE36E5"/>
    <w:rsid w:val="00CF27F5"/>
    <w:rsid w:val="00CF3729"/>
    <w:rsid w:val="00CF3FFD"/>
    <w:rsid w:val="00D10CCF"/>
    <w:rsid w:val="00D22846"/>
    <w:rsid w:val="00D243F3"/>
    <w:rsid w:val="00D24F06"/>
    <w:rsid w:val="00D517B2"/>
    <w:rsid w:val="00D76170"/>
    <w:rsid w:val="00D77D0F"/>
    <w:rsid w:val="00DA1CF0"/>
    <w:rsid w:val="00DC1E02"/>
    <w:rsid w:val="00DC24B4"/>
    <w:rsid w:val="00DC5FB0"/>
    <w:rsid w:val="00DD1EBB"/>
    <w:rsid w:val="00DF16DC"/>
    <w:rsid w:val="00E45211"/>
    <w:rsid w:val="00E473C5"/>
    <w:rsid w:val="00E84438"/>
    <w:rsid w:val="00E92863"/>
    <w:rsid w:val="00EB796D"/>
    <w:rsid w:val="00EF6095"/>
    <w:rsid w:val="00F058DC"/>
    <w:rsid w:val="00F24FC4"/>
    <w:rsid w:val="00F2676C"/>
    <w:rsid w:val="00F52941"/>
    <w:rsid w:val="00F7748B"/>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6C7A9"/>
  <w15:chartTrackingRefBased/>
  <w15:docId w15:val="{8AB4DB2D-7625-426C-B283-AE704DEBC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Style 58,超????,超?级链,하이퍼링크2"/>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en/ITU-T/Workshops-and-Seminars/2022/0509/Pages/default.aspx" TargetMode="External"/><Relationship Id="rId4" Type="http://schemas.openxmlformats.org/officeDocument/2006/relationships/settings" Target="settings.xml"/><Relationship Id="rId9" Type="http://schemas.openxmlformats.org/officeDocument/2006/relationships/hyperlink" Target="https://www.itu.int/ITU-T/recommendations/rec.aspx?id=14033&amp;lang=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 Ahmad Alaa</dc:creator>
  <cp:keywords/>
  <dc:description/>
  <cp:lastModifiedBy>Braud, Olivia</cp:lastModifiedBy>
  <cp:revision>13</cp:revision>
  <cp:lastPrinted>2022-04-07T13:40:00Z</cp:lastPrinted>
  <dcterms:created xsi:type="dcterms:W3CDTF">2022-04-04T13:19:00Z</dcterms:created>
  <dcterms:modified xsi:type="dcterms:W3CDTF">2022-04-07T13:40:00Z</dcterms:modified>
</cp:coreProperties>
</file>