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484E83" w14:paraId="4CEDF639" w14:textId="77777777" w:rsidTr="00B57DE4">
        <w:trPr>
          <w:cantSplit/>
        </w:trPr>
        <w:tc>
          <w:tcPr>
            <w:tcW w:w="1191" w:type="dxa"/>
            <w:vMerge w:val="restart"/>
            <w:vAlign w:val="center"/>
          </w:tcPr>
          <w:p w14:paraId="6BFF1793" w14:textId="77777777" w:rsidR="00484E83" w:rsidRDefault="00484E83" w:rsidP="00B57DE4">
            <w:pPr>
              <w:spacing w:before="0"/>
              <w:jc w:val="center"/>
            </w:pPr>
            <w:bookmarkStart w:id="0" w:name="dnum" w:colFirst="2" w:colLast="2"/>
            <w:bookmarkStart w:id="1" w:name="dtableau"/>
            <w:r>
              <w:rPr>
                <w:noProof/>
              </w:rPr>
              <w:drawing>
                <wp:inline distT="0" distB="0" distL="0" distR="0" wp14:anchorId="7A760F81" wp14:editId="1E3DB470">
                  <wp:extent cx="650875" cy="706755"/>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875" cy="706755"/>
                          </a:xfrm>
                          <a:prstGeom prst="rect">
                            <a:avLst/>
                          </a:prstGeom>
                          <a:noFill/>
                          <a:ln>
                            <a:noFill/>
                          </a:ln>
                        </pic:spPr>
                      </pic:pic>
                    </a:graphicData>
                  </a:graphic>
                </wp:inline>
              </w:drawing>
            </w:r>
          </w:p>
        </w:tc>
        <w:tc>
          <w:tcPr>
            <w:tcW w:w="5103" w:type="dxa"/>
            <w:gridSpan w:val="3"/>
            <w:vMerge w:val="restart"/>
          </w:tcPr>
          <w:p w14:paraId="34385053" w14:textId="77777777" w:rsidR="00484E83" w:rsidRDefault="00484E83" w:rsidP="00B57DE4">
            <w:pPr>
              <w:rPr>
                <w:sz w:val="16"/>
              </w:rPr>
            </w:pPr>
            <w:r>
              <w:rPr>
                <w:sz w:val="16"/>
              </w:rPr>
              <w:t>INTERNATIONAL TELECOMMUNICATION UNION</w:t>
            </w:r>
          </w:p>
          <w:p w14:paraId="6F6E459C" w14:textId="77777777" w:rsidR="00484E83" w:rsidRDefault="00484E83" w:rsidP="00B57DE4">
            <w:pPr>
              <w:rPr>
                <w:b/>
                <w:bCs/>
                <w:sz w:val="26"/>
              </w:rPr>
            </w:pPr>
            <w:r>
              <w:rPr>
                <w:b/>
                <w:bCs/>
                <w:sz w:val="26"/>
              </w:rPr>
              <w:t>TELECOMMUNICATION STANDARDIZATION SECTOR</w:t>
            </w:r>
          </w:p>
          <w:p w14:paraId="74715A1E" w14:textId="77777777" w:rsidR="00484E83" w:rsidRDefault="00484E83" w:rsidP="00B57DE4">
            <w:pPr>
              <w:rPr>
                <w:sz w:val="20"/>
              </w:rPr>
            </w:pPr>
            <w:r>
              <w:rPr>
                <w:sz w:val="20"/>
              </w:rPr>
              <w:t>STUDY PERIOD 2022-2024</w:t>
            </w:r>
          </w:p>
        </w:tc>
        <w:tc>
          <w:tcPr>
            <w:tcW w:w="3629" w:type="dxa"/>
          </w:tcPr>
          <w:p w14:paraId="3B9B3932" w14:textId="77777777" w:rsidR="00484E83" w:rsidRDefault="00484E83" w:rsidP="00B57DE4">
            <w:pPr>
              <w:pStyle w:val="Docnumber"/>
            </w:pPr>
            <w:r>
              <w:t>TSAG-</w:t>
            </w:r>
            <w:proofErr w:type="spellStart"/>
            <w:r>
              <w:t>TD570</w:t>
            </w:r>
            <w:proofErr w:type="spellEnd"/>
          </w:p>
        </w:tc>
      </w:tr>
      <w:tr w:rsidR="00484E83" w14:paraId="0F889358" w14:textId="77777777" w:rsidTr="00B57DE4">
        <w:trPr>
          <w:cantSplit/>
          <w:trHeight w:val="461"/>
        </w:trPr>
        <w:tc>
          <w:tcPr>
            <w:tcW w:w="1191" w:type="dxa"/>
            <w:vMerge/>
          </w:tcPr>
          <w:p w14:paraId="600BD859" w14:textId="77777777" w:rsidR="00484E83" w:rsidRDefault="00484E83" w:rsidP="00B57DE4">
            <w:pPr>
              <w:rPr>
                <w:smallCaps/>
                <w:sz w:val="20"/>
              </w:rPr>
            </w:pPr>
          </w:p>
        </w:tc>
        <w:tc>
          <w:tcPr>
            <w:tcW w:w="5103" w:type="dxa"/>
            <w:gridSpan w:val="3"/>
            <w:vMerge/>
          </w:tcPr>
          <w:p w14:paraId="4177C0E6" w14:textId="77777777" w:rsidR="00484E83" w:rsidRDefault="00484E83" w:rsidP="00B57DE4">
            <w:pPr>
              <w:rPr>
                <w:smallCaps/>
                <w:sz w:val="20"/>
              </w:rPr>
            </w:pPr>
          </w:p>
        </w:tc>
        <w:tc>
          <w:tcPr>
            <w:tcW w:w="3629" w:type="dxa"/>
            <w:tcBorders>
              <w:bottom w:val="nil"/>
            </w:tcBorders>
          </w:tcPr>
          <w:p w14:paraId="2A3006FB" w14:textId="77777777" w:rsidR="00484E83" w:rsidRDefault="00484E83" w:rsidP="00B57DE4">
            <w:pPr>
              <w:pStyle w:val="TSBHeaderRight14"/>
            </w:pPr>
            <w:r>
              <w:t>TSAG</w:t>
            </w:r>
          </w:p>
        </w:tc>
      </w:tr>
      <w:tr w:rsidR="00484E83" w14:paraId="60C1E783" w14:textId="77777777" w:rsidTr="00B57DE4">
        <w:trPr>
          <w:cantSplit/>
          <w:trHeight w:val="379"/>
        </w:trPr>
        <w:tc>
          <w:tcPr>
            <w:tcW w:w="1191" w:type="dxa"/>
            <w:vMerge/>
            <w:tcBorders>
              <w:bottom w:val="single" w:sz="12" w:space="0" w:color="auto"/>
            </w:tcBorders>
          </w:tcPr>
          <w:p w14:paraId="05894760" w14:textId="77777777" w:rsidR="00484E83" w:rsidRDefault="00484E83" w:rsidP="00B57DE4">
            <w:pPr>
              <w:rPr>
                <w:b/>
                <w:bCs/>
                <w:sz w:val="26"/>
              </w:rPr>
            </w:pPr>
            <w:bookmarkStart w:id="2" w:name="dorlang" w:colFirst="2" w:colLast="2"/>
          </w:p>
        </w:tc>
        <w:tc>
          <w:tcPr>
            <w:tcW w:w="5103" w:type="dxa"/>
            <w:gridSpan w:val="3"/>
            <w:vMerge/>
            <w:tcBorders>
              <w:bottom w:val="single" w:sz="12" w:space="0" w:color="auto"/>
            </w:tcBorders>
          </w:tcPr>
          <w:p w14:paraId="7E83EE63" w14:textId="77777777" w:rsidR="00484E83" w:rsidRDefault="00484E83" w:rsidP="00B57DE4">
            <w:pPr>
              <w:rPr>
                <w:b/>
                <w:bCs/>
                <w:sz w:val="26"/>
              </w:rPr>
            </w:pPr>
          </w:p>
        </w:tc>
        <w:tc>
          <w:tcPr>
            <w:tcW w:w="3629" w:type="dxa"/>
            <w:tcBorders>
              <w:bottom w:val="single" w:sz="12" w:space="0" w:color="auto"/>
            </w:tcBorders>
          </w:tcPr>
          <w:p w14:paraId="265D34DE" w14:textId="77777777" w:rsidR="00484E83" w:rsidRDefault="00484E83" w:rsidP="00B57DE4">
            <w:pPr>
              <w:jc w:val="right"/>
              <w:rPr>
                <w:b/>
                <w:bCs/>
                <w:sz w:val="28"/>
              </w:rPr>
            </w:pPr>
            <w:r>
              <w:rPr>
                <w:b/>
                <w:bCs/>
                <w:sz w:val="28"/>
              </w:rPr>
              <w:t>Original: English</w:t>
            </w:r>
          </w:p>
        </w:tc>
      </w:tr>
      <w:bookmarkEnd w:id="2"/>
      <w:tr w:rsidR="00484E83" w14:paraId="21A9C4EA" w14:textId="77777777" w:rsidTr="00B57DE4">
        <w:trPr>
          <w:cantSplit/>
          <w:trHeight w:val="357"/>
        </w:trPr>
        <w:tc>
          <w:tcPr>
            <w:tcW w:w="1550" w:type="dxa"/>
            <w:gridSpan w:val="2"/>
          </w:tcPr>
          <w:p w14:paraId="09DB75A5" w14:textId="77777777" w:rsidR="00484E83" w:rsidRDefault="00484E83" w:rsidP="00B57DE4">
            <w:pPr>
              <w:rPr>
                <w:b/>
                <w:bCs/>
              </w:rPr>
            </w:pPr>
            <w:r>
              <w:rPr>
                <w:b/>
                <w:bCs/>
              </w:rPr>
              <w:t>Question(s):</w:t>
            </w:r>
          </w:p>
        </w:tc>
        <w:tc>
          <w:tcPr>
            <w:tcW w:w="4744" w:type="dxa"/>
            <w:gridSpan w:val="2"/>
          </w:tcPr>
          <w:p w14:paraId="433CE161" w14:textId="6A09B871" w:rsidR="00484E83" w:rsidRDefault="008A0058" w:rsidP="00B57DE4">
            <w:pPr>
              <w:pStyle w:val="TSBHeaderQuestion"/>
            </w:pPr>
            <w:r>
              <w:t>N/</w:t>
            </w:r>
            <w:r w:rsidR="00484E83">
              <w:t>A</w:t>
            </w:r>
          </w:p>
        </w:tc>
        <w:tc>
          <w:tcPr>
            <w:tcW w:w="3345" w:type="dxa"/>
          </w:tcPr>
          <w:p w14:paraId="119F270C" w14:textId="77777777" w:rsidR="00484E83" w:rsidRDefault="00484E83" w:rsidP="00B57DE4">
            <w:pPr>
              <w:pStyle w:val="VenueDate"/>
            </w:pPr>
            <w:r>
              <w:t>Geneva, 29 July - 2 August 2024</w:t>
            </w:r>
          </w:p>
        </w:tc>
      </w:tr>
      <w:tr w:rsidR="00484E83" w14:paraId="128D9EDA" w14:textId="77777777" w:rsidTr="00B57DE4">
        <w:trPr>
          <w:cantSplit/>
          <w:trHeight w:val="357"/>
        </w:trPr>
        <w:tc>
          <w:tcPr>
            <w:tcW w:w="9639" w:type="dxa"/>
            <w:gridSpan w:val="5"/>
          </w:tcPr>
          <w:p w14:paraId="08F3F86A" w14:textId="67B3061C" w:rsidR="00484E83" w:rsidRDefault="00484E83" w:rsidP="00B57DE4">
            <w:pPr>
              <w:jc w:val="center"/>
              <w:rPr>
                <w:b/>
                <w:bCs/>
              </w:rPr>
            </w:pPr>
            <w:bookmarkStart w:id="3" w:name="dtitle" w:colFirst="0" w:colLast="0"/>
            <w:r>
              <w:rPr>
                <w:b/>
                <w:bCs/>
              </w:rPr>
              <w:t>TD</w:t>
            </w:r>
            <w:r>
              <w:rPr>
                <w:b/>
                <w:bCs/>
              </w:rPr>
              <w:br/>
              <w:t>(Ref</w:t>
            </w:r>
            <w:r w:rsidR="008A0058">
              <w:rPr>
                <w:b/>
                <w:bCs/>
              </w:rPr>
              <w:t>.</w:t>
            </w:r>
            <w:r>
              <w:rPr>
                <w:b/>
                <w:bCs/>
              </w:rPr>
              <w:t xml:space="preserve">: </w:t>
            </w:r>
            <w:hyperlink r:id="rId11" w:tooltip="ITU-T ftp file restricted to TIES access only" w:history="1">
              <w:r>
                <w:rPr>
                  <w:rStyle w:val="Hyperlink"/>
                </w:rPr>
                <w:t>SG16-</w:t>
              </w:r>
              <w:proofErr w:type="spellStart"/>
              <w:r>
                <w:rPr>
                  <w:rStyle w:val="Hyperlink"/>
                </w:rPr>
                <w:t>LS153</w:t>
              </w:r>
              <w:proofErr w:type="spellEnd"/>
            </w:hyperlink>
            <w:r>
              <w:rPr>
                <w:b/>
                <w:bCs/>
              </w:rPr>
              <w:t>)</w:t>
            </w:r>
          </w:p>
        </w:tc>
      </w:tr>
      <w:bookmarkEnd w:id="3"/>
      <w:tr w:rsidR="00484E83" w14:paraId="7F5B388F" w14:textId="77777777" w:rsidTr="00B57DE4">
        <w:trPr>
          <w:cantSplit/>
          <w:trHeight w:val="357"/>
        </w:trPr>
        <w:tc>
          <w:tcPr>
            <w:tcW w:w="1550" w:type="dxa"/>
            <w:gridSpan w:val="2"/>
          </w:tcPr>
          <w:p w14:paraId="5E13C857" w14:textId="77777777" w:rsidR="00484E83" w:rsidRDefault="00484E83" w:rsidP="00B57DE4">
            <w:pPr>
              <w:rPr>
                <w:b/>
                <w:bCs/>
              </w:rPr>
            </w:pPr>
            <w:r>
              <w:rPr>
                <w:b/>
                <w:bCs/>
              </w:rPr>
              <w:t>Source:</w:t>
            </w:r>
          </w:p>
        </w:tc>
        <w:tc>
          <w:tcPr>
            <w:tcW w:w="8089" w:type="dxa"/>
            <w:gridSpan w:val="3"/>
          </w:tcPr>
          <w:p w14:paraId="37F9A5D2" w14:textId="77777777" w:rsidR="00484E83" w:rsidRDefault="00484E83" w:rsidP="00B57DE4">
            <w:pPr>
              <w:pStyle w:val="TSBHeaderSource"/>
            </w:pPr>
            <w:r>
              <w:t>ITU-T Study Group 16</w:t>
            </w:r>
          </w:p>
        </w:tc>
      </w:tr>
      <w:tr w:rsidR="00484E83" w14:paraId="2E950687" w14:textId="77777777" w:rsidTr="00B57DE4">
        <w:trPr>
          <w:cantSplit/>
          <w:trHeight w:val="357"/>
        </w:trPr>
        <w:tc>
          <w:tcPr>
            <w:tcW w:w="1550" w:type="dxa"/>
            <w:gridSpan w:val="2"/>
          </w:tcPr>
          <w:p w14:paraId="6995CCE5" w14:textId="77777777" w:rsidR="00484E83" w:rsidRDefault="00484E83" w:rsidP="00B57DE4">
            <w:pPr>
              <w:rPr>
                <w:b/>
                <w:bCs/>
              </w:rPr>
            </w:pPr>
            <w:r>
              <w:rPr>
                <w:b/>
                <w:bCs/>
              </w:rPr>
              <w:t>Title:</w:t>
            </w:r>
          </w:p>
        </w:tc>
        <w:tc>
          <w:tcPr>
            <w:tcW w:w="8089" w:type="dxa"/>
            <w:gridSpan w:val="3"/>
          </w:tcPr>
          <w:p w14:paraId="32E24C47" w14:textId="6976A807" w:rsidR="00484E83" w:rsidRDefault="00484E83" w:rsidP="00B57DE4">
            <w:pPr>
              <w:pStyle w:val="TSBHeaderTitle"/>
            </w:pPr>
            <w:r>
              <w:t>LS/r on the allocation of deliverables from FG-MV and on metaverse-related issues (TSAG-</w:t>
            </w:r>
            <w:proofErr w:type="spellStart"/>
            <w:r>
              <w:t>LS35</w:t>
            </w:r>
            <w:proofErr w:type="spellEnd"/>
            <w:r>
              <w:t>)</w:t>
            </w:r>
            <w:r w:rsidR="008A0058">
              <w:t xml:space="preserve"> [from ITU-T SG16]</w:t>
            </w:r>
          </w:p>
        </w:tc>
      </w:tr>
      <w:tr w:rsidR="00484E83" w14:paraId="6E8CCCF3" w14:textId="77777777" w:rsidTr="00B57DE4">
        <w:trPr>
          <w:cantSplit/>
          <w:trHeight w:val="357"/>
        </w:trPr>
        <w:tc>
          <w:tcPr>
            <w:tcW w:w="9639" w:type="dxa"/>
            <w:gridSpan w:val="5"/>
            <w:tcBorders>
              <w:top w:val="single" w:sz="12" w:space="0" w:color="auto"/>
            </w:tcBorders>
          </w:tcPr>
          <w:p w14:paraId="26282E81" w14:textId="77777777" w:rsidR="00484E83" w:rsidRDefault="00484E83" w:rsidP="00B57DE4">
            <w:pPr>
              <w:jc w:val="center"/>
              <w:rPr>
                <w:b/>
              </w:rPr>
            </w:pPr>
            <w:r>
              <w:rPr>
                <w:b/>
              </w:rPr>
              <w:t>LIAISON STATEMENT</w:t>
            </w:r>
          </w:p>
        </w:tc>
      </w:tr>
      <w:tr w:rsidR="00484E83" w14:paraId="6C79E2B5" w14:textId="77777777" w:rsidTr="00B57DE4">
        <w:trPr>
          <w:cantSplit/>
          <w:trHeight w:val="357"/>
        </w:trPr>
        <w:tc>
          <w:tcPr>
            <w:tcW w:w="2250" w:type="dxa"/>
            <w:gridSpan w:val="3"/>
          </w:tcPr>
          <w:p w14:paraId="2A9F680F" w14:textId="77777777" w:rsidR="00484E83" w:rsidRDefault="00484E83" w:rsidP="00B57DE4">
            <w:pPr>
              <w:rPr>
                <w:b/>
                <w:bCs/>
              </w:rPr>
            </w:pPr>
            <w:r>
              <w:rPr>
                <w:b/>
                <w:bCs/>
              </w:rPr>
              <w:t>For action to:</w:t>
            </w:r>
          </w:p>
        </w:tc>
        <w:tc>
          <w:tcPr>
            <w:tcW w:w="7389" w:type="dxa"/>
            <w:gridSpan w:val="2"/>
          </w:tcPr>
          <w:p w14:paraId="4067E2F0" w14:textId="77777777" w:rsidR="00484E83" w:rsidRDefault="00484E83" w:rsidP="00B57DE4">
            <w:r>
              <w:t>TSAG, FG-MV</w:t>
            </w:r>
          </w:p>
        </w:tc>
      </w:tr>
      <w:tr w:rsidR="00484E83" w14:paraId="50DD641A" w14:textId="77777777" w:rsidTr="00B57DE4">
        <w:trPr>
          <w:cantSplit/>
          <w:trHeight w:val="357"/>
        </w:trPr>
        <w:tc>
          <w:tcPr>
            <w:tcW w:w="2250" w:type="dxa"/>
            <w:gridSpan w:val="3"/>
          </w:tcPr>
          <w:p w14:paraId="1AFB2B93" w14:textId="77777777" w:rsidR="00484E83" w:rsidRDefault="00484E83" w:rsidP="00B57DE4">
            <w:pPr>
              <w:rPr>
                <w:b/>
                <w:bCs/>
              </w:rPr>
            </w:pPr>
            <w:r>
              <w:rPr>
                <w:b/>
                <w:bCs/>
              </w:rPr>
              <w:t>For information to:</w:t>
            </w:r>
          </w:p>
        </w:tc>
        <w:tc>
          <w:tcPr>
            <w:tcW w:w="7389" w:type="dxa"/>
            <w:gridSpan w:val="2"/>
          </w:tcPr>
          <w:p w14:paraId="30C35695" w14:textId="77777777" w:rsidR="00484E83" w:rsidRDefault="00484E83" w:rsidP="00B57DE4">
            <w:r>
              <w:t>-</w:t>
            </w:r>
          </w:p>
        </w:tc>
      </w:tr>
      <w:tr w:rsidR="00484E83" w14:paraId="29F53228" w14:textId="77777777" w:rsidTr="00B57DE4">
        <w:trPr>
          <w:cantSplit/>
          <w:trHeight w:val="357"/>
        </w:trPr>
        <w:tc>
          <w:tcPr>
            <w:tcW w:w="2250" w:type="dxa"/>
            <w:gridSpan w:val="3"/>
          </w:tcPr>
          <w:p w14:paraId="58560858" w14:textId="77777777" w:rsidR="00484E83" w:rsidRDefault="00484E83" w:rsidP="00B57DE4">
            <w:pPr>
              <w:rPr>
                <w:b/>
                <w:bCs/>
              </w:rPr>
            </w:pPr>
            <w:r>
              <w:rPr>
                <w:b/>
                <w:bCs/>
              </w:rPr>
              <w:t>Approval:</w:t>
            </w:r>
          </w:p>
        </w:tc>
        <w:tc>
          <w:tcPr>
            <w:tcW w:w="7389" w:type="dxa"/>
            <w:gridSpan w:val="2"/>
          </w:tcPr>
          <w:p w14:paraId="778AFC12" w14:textId="77777777" w:rsidR="00484E83" w:rsidRDefault="00484E83" w:rsidP="00B57DE4">
            <w:r>
              <w:t>ITU-T Study Group 16 meeting (Rennes, France, 15-26 April 2024)</w:t>
            </w:r>
          </w:p>
        </w:tc>
      </w:tr>
      <w:tr w:rsidR="00484E83" w14:paraId="23C7AD24" w14:textId="77777777" w:rsidTr="00B57DE4">
        <w:trPr>
          <w:cantSplit/>
          <w:trHeight w:val="357"/>
        </w:trPr>
        <w:tc>
          <w:tcPr>
            <w:tcW w:w="2250" w:type="dxa"/>
            <w:gridSpan w:val="3"/>
            <w:tcBorders>
              <w:bottom w:val="single" w:sz="12" w:space="0" w:color="auto"/>
            </w:tcBorders>
          </w:tcPr>
          <w:p w14:paraId="3E91E67F" w14:textId="77777777" w:rsidR="00484E83" w:rsidRDefault="00484E83" w:rsidP="00B57DE4">
            <w:r>
              <w:rPr>
                <w:b/>
              </w:rPr>
              <w:t>Deadline:</w:t>
            </w:r>
          </w:p>
        </w:tc>
        <w:tc>
          <w:tcPr>
            <w:tcW w:w="7389" w:type="dxa"/>
            <w:gridSpan w:val="2"/>
            <w:tcBorders>
              <w:bottom w:val="single" w:sz="12" w:space="0" w:color="auto"/>
            </w:tcBorders>
          </w:tcPr>
          <w:p w14:paraId="7E44784A" w14:textId="77777777" w:rsidR="00484E83" w:rsidRDefault="00484E83" w:rsidP="00B57DE4">
            <w:r>
              <w:t>10 August 2024</w:t>
            </w:r>
          </w:p>
        </w:tc>
      </w:tr>
      <w:tr w:rsidR="00484E83" w:rsidRPr="008A0058" w14:paraId="02828A46" w14:textId="77777777" w:rsidTr="00B57DE4">
        <w:trPr>
          <w:trHeight w:val="204"/>
        </w:trPr>
        <w:tc>
          <w:tcPr>
            <w:tcW w:w="2250" w:type="dxa"/>
            <w:gridSpan w:val="3"/>
            <w:tcBorders>
              <w:bottom w:val="single" w:sz="12" w:space="0" w:color="auto"/>
            </w:tcBorders>
          </w:tcPr>
          <w:p w14:paraId="3E49F41A" w14:textId="77777777" w:rsidR="00484E83" w:rsidRDefault="00484E83" w:rsidP="00B57DE4">
            <w:pPr>
              <w:rPr>
                <w:b/>
                <w:bCs/>
              </w:rPr>
            </w:pPr>
            <w:r>
              <w:rPr>
                <w:b/>
                <w:bCs/>
              </w:rPr>
              <w:t>Contact:</w:t>
            </w:r>
          </w:p>
        </w:tc>
        <w:tc>
          <w:tcPr>
            <w:tcW w:w="4044" w:type="dxa"/>
            <w:tcBorders>
              <w:bottom w:val="single" w:sz="12" w:space="0" w:color="auto"/>
            </w:tcBorders>
          </w:tcPr>
          <w:p w14:paraId="362661DD" w14:textId="6AEB8C86" w:rsidR="00484E83" w:rsidRDefault="00484E83" w:rsidP="008A0058">
            <w:r>
              <w:t>Noah Luo</w:t>
            </w:r>
            <w:r>
              <w:br/>
              <w:t>Huawei Technologies</w:t>
            </w:r>
            <w:r>
              <w:br/>
              <w:t>China</w:t>
            </w:r>
          </w:p>
        </w:tc>
        <w:tc>
          <w:tcPr>
            <w:tcW w:w="3345" w:type="dxa"/>
            <w:tcBorders>
              <w:bottom w:val="single" w:sz="12" w:space="0" w:color="auto"/>
            </w:tcBorders>
          </w:tcPr>
          <w:p w14:paraId="79851BA5" w14:textId="7B5F5214" w:rsidR="00484E83" w:rsidRPr="008A0058" w:rsidRDefault="00484E83" w:rsidP="008A0058">
            <w:pPr>
              <w:rPr>
                <w:lang w:val="de-DE"/>
              </w:rPr>
            </w:pPr>
            <w:r w:rsidRPr="008A0058">
              <w:rPr>
                <w:lang w:val="de-DE"/>
              </w:rPr>
              <w:t>E-mail:</w:t>
            </w:r>
            <w:r w:rsidR="008A0058" w:rsidRPr="008A0058">
              <w:rPr>
                <w:lang w:val="de-DE"/>
              </w:rPr>
              <w:t xml:space="preserve"> </w:t>
            </w:r>
            <w:hyperlink r:id="rId12" w:history="1">
              <w:r w:rsidR="008A0058" w:rsidRPr="00EA3C40">
                <w:rPr>
                  <w:rStyle w:val="Hyperlink"/>
                  <w:lang w:val="de-DE"/>
                </w:rPr>
                <w:t>noahluozz@gmail.com</w:t>
              </w:r>
            </w:hyperlink>
            <w:r w:rsidR="008A0058">
              <w:rPr>
                <w:lang w:val="de-DE"/>
              </w:rPr>
              <w:t xml:space="preserve"> </w:t>
            </w:r>
          </w:p>
        </w:tc>
      </w:tr>
      <w:tr w:rsidR="00484E83" w:rsidRPr="008A0058" w14:paraId="4EABE024" w14:textId="77777777" w:rsidTr="00B57DE4">
        <w:trPr>
          <w:trHeight w:val="204"/>
        </w:trPr>
        <w:tc>
          <w:tcPr>
            <w:tcW w:w="2250" w:type="dxa"/>
            <w:gridSpan w:val="3"/>
            <w:tcBorders>
              <w:bottom w:val="single" w:sz="12" w:space="0" w:color="auto"/>
            </w:tcBorders>
          </w:tcPr>
          <w:p w14:paraId="64FF4052" w14:textId="77777777" w:rsidR="00484E83" w:rsidRDefault="00484E83" w:rsidP="00B57DE4">
            <w:pPr>
              <w:rPr>
                <w:b/>
                <w:bCs/>
              </w:rPr>
            </w:pPr>
            <w:r>
              <w:rPr>
                <w:b/>
                <w:bCs/>
              </w:rPr>
              <w:t>Contact:</w:t>
            </w:r>
          </w:p>
        </w:tc>
        <w:tc>
          <w:tcPr>
            <w:tcW w:w="4044" w:type="dxa"/>
            <w:tcBorders>
              <w:bottom w:val="single" w:sz="12" w:space="0" w:color="auto"/>
            </w:tcBorders>
          </w:tcPr>
          <w:p w14:paraId="2F538008" w14:textId="7F23185B" w:rsidR="00484E83" w:rsidRDefault="00484E83" w:rsidP="008A0058">
            <w:r>
              <w:t>Shin-Gak Kang</w:t>
            </w:r>
            <w:r>
              <w:br/>
              <w:t>ETRI</w:t>
            </w:r>
            <w:r>
              <w:br/>
              <w:t>Korea (Rep. of)</w:t>
            </w:r>
          </w:p>
        </w:tc>
        <w:tc>
          <w:tcPr>
            <w:tcW w:w="3345" w:type="dxa"/>
            <w:tcBorders>
              <w:bottom w:val="single" w:sz="12" w:space="0" w:color="auto"/>
            </w:tcBorders>
          </w:tcPr>
          <w:p w14:paraId="31636F26" w14:textId="79E52188" w:rsidR="00484E83" w:rsidRPr="008A0058" w:rsidRDefault="00484E83" w:rsidP="008A0058">
            <w:pPr>
              <w:rPr>
                <w:lang w:val="de-DE"/>
              </w:rPr>
            </w:pPr>
            <w:r w:rsidRPr="008A0058">
              <w:rPr>
                <w:lang w:val="de-DE"/>
              </w:rPr>
              <w:t>Tel: +82 42 860 6117</w:t>
            </w:r>
            <w:r w:rsidRPr="008A0058">
              <w:rPr>
                <w:lang w:val="de-DE"/>
              </w:rPr>
              <w:br/>
              <w:t xml:space="preserve"> E-mail:</w:t>
            </w:r>
            <w:r w:rsidR="008A0058">
              <w:rPr>
                <w:lang w:val="de-DE"/>
              </w:rPr>
              <w:t xml:space="preserve"> </w:t>
            </w:r>
            <w:hyperlink r:id="rId13" w:history="1">
              <w:r w:rsidR="008A0058" w:rsidRPr="00EA3C40">
                <w:rPr>
                  <w:rStyle w:val="Hyperlink"/>
                  <w:lang w:val="de-DE"/>
                </w:rPr>
                <w:t>sgkang@etri.re.kr</w:t>
              </w:r>
            </w:hyperlink>
            <w:r w:rsidR="008A0058">
              <w:rPr>
                <w:lang w:val="de-DE"/>
              </w:rPr>
              <w:t xml:space="preserve"> </w:t>
            </w:r>
          </w:p>
        </w:tc>
      </w:tr>
    </w:tbl>
    <w:p w14:paraId="32C2AF07" w14:textId="77777777" w:rsidR="00484E83" w:rsidRPr="008A0058" w:rsidRDefault="00484E83" w:rsidP="00484E83">
      <w:pPr>
        <w:rPr>
          <w:lang w:val="de-DE"/>
        </w:rPr>
      </w:pPr>
    </w:p>
    <w:p w14:paraId="4B1D79E3" w14:textId="77777777" w:rsidR="00484E83" w:rsidRDefault="00484E83" w:rsidP="00484E83">
      <w:r>
        <w:t xml:space="preserve">This liaison statement answers </w:t>
      </w:r>
      <w:hyperlink r:id="rId14" w:history="1">
        <w:r>
          <w:rPr>
            <w:rStyle w:val="Hyperlink"/>
          </w:rPr>
          <w:t>TSAG-</w:t>
        </w:r>
        <w:proofErr w:type="spellStart"/>
        <w:r>
          <w:rPr>
            <w:rStyle w:val="Hyperlink"/>
          </w:rPr>
          <w:t>LS35</w:t>
        </w:r>
        <w:proofErr w:type="spellEnd"/>
      </w:hyperlink>
      <w:r>
        <w:t>.</w:t>
      </w:r>
    </w:p>
    <w:p w14:paraId="44D9D973" w14:textId="77777777" w:rsidR="00484E83" w:rsidRDefault="00484E83" w:rsidP="00484E83"/>
    <w:p w14:paraId="7477DE66" w14:textId="77777777" w:rsidR="00484E83" w:rsidRDefault="00484E83" w:rsidP="00484E83">
      <w:r>
        <w:t>A new liaison statement has been received from SG16.</w:t>
      </w:r>
    </w:p>
    <w:p w14:paraId="359BF627" w14:textId="77777777" w:rsidR="00484E83" w:rsidRDefault="00484E83" w:rsidP="00484E83">
      <w:r>
        <w:t xml:space="preserve">This liaison statement follows and the original file can be downloaded from the ITU ftp server at </w:t>
      </w:r>
      <w:hyperlink r:id="rId15" w:tooltip="ITU-T ftp file restricted to TIES access only" w:history="1">
        <w:r>
          <w:rPr>
            <w:rStyle w:val="Hyperlink"/>
          </w:rPr>
          <w:t>http://handle.itu.int/11.1002/ls/sp17-sg16-oLS-00153.docx</w:t>
        </w:r>
      </w:hyperlink>
      <w:r>
        <w:t>.</w:t>
      </w:r>
    </w:p>
    <w:p w14:paraId="3B3EFCD3" w14:textId="77777777" w:rsidR="00484E83" w:rsidRDefault="00484E83" w:rsidP="00484E83">
      <w:pPr>
        <w:spacing w:before="0"/>
        <w:jc w:val="center"/>
      </w:pPr>
    </w:p>
    <w:p w14:paraId="5D339547" w14:textId="77777777" w:rsidR="00484E83" w:rsidRDefault="00484E83">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14"/>
        <w:gridCol w:w="645"/>
        <w:gridCol w:w="3186"/>
        <w:gridCol w:w="64"/>
        <w:gridCol w:w="4185"/>
      </w:tblGrid>
      <w:tr w:rsidR="00687942" w:rsidRPr="00687942" w14:paraId="04C2FFFE" w14:textId="77777777" w:rsidTr="00484E83">
        <w:trPr>
          <w:cantSplit/>
        </w:trPr>
        <w:tc>
          <w:tcPr>
            <w:tcW w:w="1104" w:type="dxa"/>
            <w:vMerge w:val="restart"/>
            <w:vAlign w:val="center"/>
          </w:tcPr>
          <w:p w14:paraId="5EE72976" w14:textId="6741AA6A" w:rsidR="00687942" w:rsidRPr="00687942" w:rsidRDefault="00687942" w:rsidP="00CD15FF">
            <w:pPr>
              <w:spacing w:before="0"/>
              <w:jc w:val="center"/>
              <w:rPr>
                <w:sz w:val="20"/>
                <w:szCs w:val="20"/>
              </w:rPr>
            </w:pPr>
            <w:r w:rsidRPr="00687942">
              <w:rPr>
                <w:noProof/>
              </w:rPr>
              <w:lastRenderedPageBreak/>
              <w:drawing>
                <wp:inline distT="0" distB="0" distL="0" distR="0" wp14:anchorId="26DEBA35" wp14:editId="499A456A">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0" w:type="dxa"/>
            <w:gridSpan w:val="5"/>
            <w:vMerge w:val="restart"/>
          </w:tcPr>
          <w:p w14:paraId="652E73B3" w14:textId="77777777" w:rsidR="00687942" w:rsidRPr="00687942" w:rsidRDefault="00687942" w:rsidP="00687942">
            <w:pPr>
              <w:rPr>
                <w:sz w:val="16"/>
                <w:szCs w:val="16"/>
              </w:rPr>
            </w:pPr>
            <w:r w:rsidRPr="00687942">
              <w:rPr>
                <w:sz w:val="16"/>
                <w:szCs w:val="16"/>
              </w:rPr>
              <w:t>INTERNATIONAL TELECOMMUNICATION UNION</w:t>
            </w:r>
          </w:p>
          <w:p w14:paraId="42198014" w14:textId="77777777" w:rsidR="00687942" w:rsidRPr="00687942" w:rsidRDefault="00687942" w:rsidP="00687942">
            <w:pPr>
              <w:rPr>
                <w:b/>
                <w:bCs/>
                <w:sz w:val="26"/>
                <w:szCs w:val="26"/>
              </w:rPr>
            </w:pPr>
            <w:r w:rsidRPr="00687942">
              <w:rPr>
                <w:b/>
                <w:bCs/>
                <w:sz w:val="26"/>
                <w:szCs w:val="26"/>
              </w:rPr>
              <w:t>TELECOMMUNICATION</w:t>
            </w:r>
            <w:r w:rsidRPr="00687942">
              <w:rPr>
                <w:b/>
                <w:bCs/>
                <w:sz w:val="26"/>
                <w:szCs w:val="26"/>
              </w:rPr>
              <w:br/>
              <w:t>STANDARDIZATION SECTOR</w:t>
            </w:r>
          </w:p>
          <w:p w14:paraId="6753683D" w14:textId="77777777" w:rsidR="00687942" w:rsidRPr="00687942" w:rsidRDefault="00687942" w:rsidP="00687942">
            <w:pPr>
              <w:rPr>
                <w:sz w:val="20"/>
                <w:szCs w:val="20"/>
              </w:rPr>
            </w:pPr>
            <w:r w:rsidRPr="00687942">
              <w:rPr>
                <w:sz w:val="20"/>
                <w:szCs w:val="20"/>
              </w:rPr>
              <w:t xml:space="preserve">STUDY PERIOD </w:t>
            </w:r>
            <w:bookmarkStart w:id="4" w:name="dstudyperiod"/>
            <w:r w:rsidRPr="00687942">
              <w:rPr>
                <w:sz w:val="20"/>
              </w:rPr>
              <w:t>2022</w:t>
            </w:r>
            <w:r w:rsidRPr="00687942">
              <w:rPr>
                <w:sz w:val="20"/>
                <w:szCs w:val="20"/>
              </w:rPr>
              <w:t>-</w:t>
            </w:r>
            <w:r w:rsidRPr="00687942">
              <w:rPr>
                <w:sz w:val="20"/>
              </w:rPr>
              <w:t>2024</w:t>
            </w:r>
            <w:bookmarkEnd w:id="4"/>
          </w:p>
        </w:tc>
        <w:tc>
          <w:tcPr>
            <w:tcW w:w="4185" w:type="dxa"/>
            <w:vAlign w:val="center"/>
          </w:tcPr>
          <w:p w14:paraId="05D2D85C" w14:textId="0C8AA8AF" w:rsidR="00687942" w:rsidRPr="00484E83" w:rsidRDefault="00687942" w:rsidP="00484E83">
            <w:pPr>
              <w:jc w:val="right"/>
              <w:rPr>
                <w:b/>
                <w:sz w:val="28"/>
              </w:rPr>
            </w:pPr>
            <w:r w:rsidRPr="00484E83">
              <w:rPr>
                <w:b/>
                <w:sz w:val="28"/>
              </w:rPr>
              <w:t>SG16-</w:t>
            </w:r>
            <w:proofErr w:type="spellStart"/>
            <w:r w:rsidRPr="00484E83">
              <w:rPr>
                <w:b/>
                <w:sz w:val="28"/>
              </w:rPr>
              <w:t>LS153</w:t>
            </w:r>
            <w:proofErr w:type="spellEnd"/>
          </w:p>
        </w:tc>
      </w:tr>
      <w:tr w:rsidR="00687942" w:rsidRPr="00687942" w14:paraId="68C34B15" w14:textId="77777777" w:rsidTr="00484E83">
        <w:trPr>
          <w:cantSplit/>
        </w:trPr>
        <w:tc>
          <w:tcPr>
            <w:tcW w:w="1104" w:type="dxa"/>
            <w:vMerge/>
          </w:tcPr>
          <w:p w14:paraId="47E35A16" w14:textId="77777777" w:rsidR="00687942" w:rsidRPr="00687942" w:rsidRDefault="00687942" w:rsidP="00687942">
            <w:pPr>
              <w:rPr>
                <w:smallCaps/>
                <w:sz w:val="20"/>
              </w:rPr>
            </w:pPr>
            <w:bookmarkStart w:id="5" w:name="dsg" w:colFirst="2" w:colLast="2"/>
            <w:bookmarkEnd w:id="0"/>
          </w:p>
        </w:tc>
        <w:tc>
          <w:tcPr>
            <w:tcW w:w="4350" w:type="dxa"/>
            <w:gridSpan w:val="5"/>
            <w:vMerge/>
          </w:tcPr>
          <w:p w14:paraId="7803DB46" w14:textId="77777777" w:rsidR="00687942" w:rsidRPr="00687942" w:rsidRDefault="00687942" w:rsidP="00687942">
            <w:pPr>
              <w:rPr>
                <w:smallCaps/>
                <w:sz w:val="20"/>
              </w:rPr>
            </w:pPr>
          </w:p>
        </w:tc>
        <w:tc>
          <w:tcPr>
            <w:tcW w:w="4185" w:type="dxa"/>
          </w:tcPr>
          <w:p w14:paraId="4700121A" w14:textId="01E014CD" w:rsidR="00687942" w:rsidRPr="00687942" w:rsidRDefault="00687942" w:rsidP="00CD15FF">
            <w:pPr>
              <w:pStyle w:val="TSBHeaderRight14"/>
            </w:pPr>
            <w:r>
              <w:t>STUDY GROUP 16</w:t>
            </w:r>
          </w:p>
        </w:tc>
      </w:tr>
      <w:bookmarkEnd w:id="5"/>
      <w:tr w:rsidR="00687942" w:rsidRPr="00687942" w14:paraId="7EF3B326" w14:textId="77777777" w:rsidTr="00484E83">
        <w:trPr>
          <w:cantSplit/>
        </w:trPr>
        <w:tc>
          <w:tcPr>
            <w:tcW w:w="1104" w:type="dxa"/>
            <w:vMerge/>
            <w:tcBorders>
              <w:bottom w:val="single" w:sz="12" w:space="0" w:color="auto"/>
            </w:tcBorders>
          </w:tcPr>
          <w:p w14:paraId="27244417" w14:textId="77777777" w:rsidR="00687942" w:rsidRPr="00687942" w:rsidRDefault="00687942" w:rsidP="00687942">
            <w:pPr>
              <w:rPr>
                <w:b/>
                <w:bCs/>
                <w:sz w:val="26"/>
              </w:rPr>
            </w:pPr>
          </w:p>
        </w:tc>
        <w:tc>
          <w:tcPr>
            <w:tcW w:w="4350" w:type="dxa"/>
            <w:gridSpan w:val="5"/>
            <w:vMerge/>
            <w:tcBorders>
              <w:bottom w:val="single" w:sz="12" w:space="0" w:color="auto"/>
            </w:tcBorders>
          </w:tcPr>
          <w:p w14:paraId="3554E991" w14:textId="77777777" w:rsidR="00687942" w:rsidRPr="00687942" w:rsidRDefault="00687942" w:rsidP="00687942">
            <w:pPr>
              <w:rPr>
                <w:b/>
                <w:bCs/>
                <w:sz w:val="26"/>
              </w:rPr>
            </w:pPr>
          </w:p>
        </w:tc>
        <w:tc>
          <w:tcPr>
            <w:tcW w:w="4185" w:type="dxa"/>
            <w:tcBorders>
              <w:bottom w:val="single" w:sz="12" w:space="0" w:color="auto"/>
            </w:tcBorders>
            <w:vAlign w:val="center"/>
          </w:tcPr>
          <w:p w14:paraId="159136E5" w14:textId="77777777" w:rsidR="00687942" w:rsidRPr="00687942" w:rsidRDefault="00687942" w:rsidP="00CD15FF">
            <w:pPr>
              <w:pStyle w:val="TSBHeaderRight14"/>
            </w:pPr>
            <w:r w:rsidRPr="00687942">
              <w:t>Original: English</w:t>
            </w:r>
          </w:p>
        </w:tc>
      </w:tr>
      <w:tr w:rsidR="00687942" w:rsidRPr="00687942" w14:paraId="0D54D244" w14:textId="77777777" w:rsidTr="00484E83">
        <w:trPr>
          <w:cantSplit/>
        </w:trPr>
        <w:tc>
          <w:tcPr>
            <w:tcW w:w="1545" w:type="dxa"/>
            <w:gridSpan w:val="2"/>
          </w:tcPr>
          <w:p w14:paraId="662CAF57" w14:textId="77777777" w:rsidR="00687942" w:rsidRPr="00687942" w:rsidRDefault="00687942" w:rsidP="00687942">
            <w:pPr>
              <w:rPr>
                <w:b/>
                <w:bCs/>
              </w:rPr>
            </w:pPr>
            <w:bookmarkStart w:id="6" w:name="dbluepink" w:colFirst="1" w:colLast="1"/>
            <w:bookmarkStart w:id="7" w:name="dmeeting" w:colFirst="2" w:colLast="2"/>
            <w:r w:rsidRPr="00687942">
              <w:rPr>
                <w:b/>
                <w:bCs/>
              </w:rPr>
              <w:t>Question(s):</w:t>
            </w:r>
          </w:p>
        </w:tc>
        <w:tc>
          <w:tcPr>
            <w:tcW w:w="3909" w:type="dxa"/>
            <w:gridSpan w:val="4"/>
          </w:tcPr>
          <w:p w14:paraId="5B4F843B" w14:textId="3E75FB7F" w:rsidR="00687942" w:rsidRPr="00687942" w:rsidRDefault="00687942" w:rsidP="00CD15FF">
            <w:pPr>
              <w:pStyle w:val="TSBHeaderQuestion"/>
            </w:pPr>
            <w:r w:rsidRPr="00687942">
              <w:t>All/16</w:t>
            </w:r>
          </w:p>
        </w:tc>
        <w:tc>
          <w:tcPr>
            <w:tcW w:w="4185" w:type="dxa"/>
          </w:tcPr>
          <w:p w14:paraId="1490AD4B" w14:textId="4F3E1144" w:rsidR="00687942" w:rsidRPr="00687942" w:rsidRDefault="00687942" w:rsidP="00CD15FF">
            <w:pPr>
              <w:pStyle w:val="VenueDate"/>
            </w:pPr>
            <w:r w:rsidRPr="00687942">
              <w:t>Rennes, 15-26 April 2024</w:t>
            </w:r>
          </w:p>
        </w:tc>
      </w:tr>
      <w:tr w:rsidR="00687942" w:rsidRPr="00687942" w14:paraId="1FB6ABAA" w14:textId="77777777" w:rsidTr="00687942">
        <w:trPr>
          <w:cantSplit/>
        </w:trPr>
        <w:tc>
          <w:tcPr>
            <w:tcW w:w="9639" w:type="dxa"/>
            <w:gridSpan w:val="7"/>
          </w:tcPr>
          <w:p w14:paraId="0A134124" w14:textId="525B8212" w:rsidR="00687942" w:rsidRPr="00687942" w:rsidRDefault="00DA05F3" w:rsidP="00687942">
            <w:pPr>
              <w:jc w:val="center"/>
              <w:rPr>
                <w:b/>
                <w:bCs/>
              </w:rPr>
            </w:pPr>
            <w:bookmarkStart w:id="8" w:name="ddoctype"/>
            <w:bookmarkEnd w:id="6"/>
            <w:bookmarkEnd w:id="7"/>
            <w:r>
              <w:rPr>
                <w:b/>
                <w:bCs/>
              </w:rPr>
              <w:t>LS</w:t>
            </w:r>
          </w:p>
        </w:tc>
      </w:tr>
      <w:tr w:rsidR="00687942" w:rsidRPr="00687942" w14:paraId="4B465C9C" w14:textId="77777777" w:rsidTr="00687942">
        <w:trPr>
          <w:cantSplit/>
        </w:trPr>
        <w:tc>
          <w:tcPr>
            <w:tcW w:w="1545" w:type="dxa"/>
            <w:gridSpan w:val="2"/>
          </w:tcPr>
          <w:p w14:paraId="3DE46B54" w14:textId="77777777" w:rsidR="00687942" w:rsidRPr="00687942" w:rsidRDefault="00687942" w:rsidP="00687942">
            <w:pPr>
              <w:rPr>
                <w:b/>
                <w:bCs/>
              </w:rPr>
            </w:pPr>
            <w:bookmarkStart w:id="9" w:name="dsource" w:colFirst="1" w:colLast="1"/>
            <w:bookmarkEnd w:id="8"/>
            <w:r w:rsidRPr="00687942">
              <w:rPr>
                <w:b/>
                <w:bCs/>
              </w:rPr>
              <w:t>Source:</w:t>
            </w:r>
          </w:p>
        </w:tc>
        <w:tc>
          <w:tcPr>
            <w:tcW w:w="8094" w:type="dxa"/>
            <w:gridSpan w:val="5"/>
          </w:tcPr>
          <w:p w14:paraId="7EF655CC" w14:textId="1B293BF7" w:rsidR="00687942" w:rsidRPr="00687942" w:rsidRDefault="00687942" w:rsidP="00CD15FF">
            <w:pPr>
              <w:pStyle w:val="LSSource"/>
            </w:pPr>
            <w:r w:rsidRPr="00687942">
              <w:t xml:space="preserve">ITU-T Study </w:t>
            </w:r>
            <w:r w:rsidRPr="00D60509">
              <w:rPr>
                <w:lang w:val="en-US"/>
              </w:rPr>
              <w:t>Group</w:t>
            </w:r>
            <w:r w:rsidRPr="00687942">
              <w:t xml:space="preserve"> 16</w:t>
            </w:r>
          </w:p>
        </w:tc>
      </w:tr>
      <w:tr w:rsidR="00687942" w:rsidRPr="00687942" w14:paraId="3C410EBA" w14:textId="77777777" w:rsidTr="00687942">
        <w:trPr>
          <w:cantSplit/>
        </w:trPr>
        <w:tc>
          <w:tcPr>
            <w:tcW w:w="1545" w:type="dxa"/>
            <w:gridSpan w:val="2"/>
            <w:tcBorders>
              <w:bottom w:val="single" w:sz="8" w:space="0" w:color="auto"/>
            </w:tcBorders>
          </w:tcPr>
          <w:p w14:paraId="655B9CEB" w14:textId="77777777" w:rsidR="00687942" w:rsidRPr="00687942" w:rsidRDefault="00687942" w:rsidP="00687942">
            <w:pPr>
              <w:rPr>
                <w:b/>
                <w:bCs/>
              </w:rPr>
            </w:pPr>
            <w:bookmarkStart w:id="10" w:name="dtitle1" w:colFirst="1" w:colLast="1"/>
            <w:bookmarkEnd w:id="9"/>
            <w:r w:rsidRPr="00687942">
              <w:rPr>
                <w:b/>
                <w:bCs/>
              </w:rPr>
              <w:t>Title:</w:t>
            </w:r>
          </w:p>
        </w:tc>
        <w:tc>
          <w:tcPr>
            <w:tcW w:w="8094" w:type="dxa"/>
            <w:gridSpan w:val="5"/>
            <w:tcBorders>
              <w:bottom w:val="single" w:sz="8" w:space="0" w:color="auto"/>
            </w:tcBorders>
          </w:tcPr>
          <w:p w14:paraId="069FD1D2" w14:textId="17EE398A" w:rsidR="00687942" w:rsidRPr="002E48A6" w:rsidRDefault="00687942" w:rsidP="00CD15FF">
            <w:pPr>
              <w:pStyle w:val="LSTitle"/>
            </w:pPr>
            <w:r w:rsidRPr="002E48A6">
              <w:t>LS/r on the allocation of deliverables from FG-MV and on metaverse-related issues (TSAG-</w:t>
            </w:r>
            <w:proofErr w:type="spellStart"/>
            <w:r w:rsidRPr="002E48A6">
              <w:t>LS35</w:t>
            </w:r>
            <w:proofErr w:type="spellEnd"/>
            <w:r w:rsidRPr="002E48A6">
              <w:t>) [to ITU FG-MV and TSAG]</w:t>
            </w:r>
          </w:p>
        </w:tc>
      </w:tr>
      <w:bookmarkEnd w:id="1"/>
      <w:bookmarkEnd w:id="10"/>
      <w:tr w:rsidR="00687942" w14:paraId="3BCEF936" w14:textId="77777777" w:rsidTr="0081001A">
        <w:trPr>
          <w:cantSplit/>
        </w:trPr>
        <w:tc>
          <w:tcPr>
            <w:tcW w:w="9639" w:type="dxa"/>
            <w:gridSpan w:val="7"/>
            <w:tcBorders>
              <w:top w:val="single" w:sz="12" w:space="0" w:color="auto"/>
            </w:tcBorders>
          </w:tcPr>
          <w:p w14:paraId="6C02A05D" w14:textId="77777777" w:rsidR="00687942" w:rsidRDefault="00687942" w:rsidP="0081001A">
            <w:pPr>
              <w:jc w:val="center"/>
              <w:rPr>
                <w:b/>
              </w:rPr>
            </w:pPr>
            <w:r>
              <w:rPr>
                <w:b/>
              </w:rPr>
              <w:t>LIAISON STATEMENT</w:t>
            </w:r>
          </w:p>
        </w:tc>
      </w:tr>
      <w:tr w:rsidR="00687942" w14:paraId="52E45FCA" w14:textId="77777777" w:rsidTr="0081001A">
        <w:trPr>
          <w:cantSplit/>
        </w:trPr>
        <w:tc>
          <w:tcPr>
            <w:tcW w:w="2204" w:type="dxa"/>
            <w:gridSpan w:val="4"/>
          </w:tcPr>
          <w:p w14:paraId="0E3B55FA" w14:textId="77777777" w:rsidR="00687942" w:rsidRPr="003869CD" w:rsidRDefault="00687942" w:rsidP="0081001A">
            <w:pPr>
              <w:rPr>
                <w:b/>
                <w:bCs/>
              </w:rPr>
            </w:pPr>
            <w:r w:rsidRPr="003869CD">
              <w:rPr>
                <w:b/>
                <w:bCs/>
              </w:rPr>
              <w:t>For action to:</w:t>
            </w:r>
          </w:p>
        </w:tc>
        <w:tc>
          <w:tcPr>
            <w:tcW w:w="7435" w:type="dxa"/>
            <w:gridSpan w:val="3"/>
          </w:tcPr>
          <w:p w14:paraId="155E04A1" w14:textId="77777777" w:rsidR="00687942" w:rsidRPr="009C1AC0" w:rsidRDefault="00687942" w:rsidP="00CD15FF">
            <w:pPr>
              <w:pStyle w:val="LSForAction"/>
              <w:rPr>
                <w:lang w:val="en-US"/>
              </w:rPr>
            </w:pPr>
            <w:bookmarkStart w:id="11" w:name="_Toc165117167"/>
            <w:r>
              <w:t>ITU FG-MV, ITU-T TSAG</w:t>
            </w:r>
            <w:bookmarkEnd w:id="11"/>
          </w:p>
        </w:tc>
      </w:tr>
      <w:tr w:rsidR="00687942" w14:paraId="4A3C3BE7" w14:textId="77777777" w:rsidTr="0081001A">
        <w:trPr>
          <w:cantSplit/>
        </w:trPr>
        <w:tc>
          <w:tcPr>
            <w:tcW w:w="2204" w:type="dxa"/>
            <w:gridSpan w:val="4"/>
          </w:tcPr>
          <w:p w14:paraId="1E3BB747" w14:textId="77777777" w:rsidR="00687942" w:rsidRPr="003869CD" w:rsidRDefault="00687942" w:rsidP="0081001A">
            <w:pPr>
              <w:rPr>
                <w:b/>
                <w:bCs/>
              </w:rPr>
            </w:pPr>
            <w:r w:rsidRPr="003869CD">
              <w:rPr>
                <w:b/>
                <w:bCs/>
              </w:rPr>
              <w:t>For information to:</w:t>
            </w:r>
          </w:p>
        </w:tc>
        <w:tc>
          <w:tcPr>
            <w:tcW w:w="7435" w:type="dxa"/>
            <w:gridSpan w:val="3"/>
          </w:tcPr>
          <w:p w14:paraId="73F2F209" w14:textId="77777777" w:rsidR="00687942" w:rsidRPr="00895B04" w:rsidRDefault="00687942" w:rsidP="00CD15FF">
            <w:pPr>
              <w:pStyle w:val="LSForInfo"/>
              <w:rPr>
                <w:rFonts w:eastAsia="Malgun Gothic"/>
                <w:lang w:eastAsia="ko-KR"/>
              </w:rPr>
            </w:pPr>
            <w:bookmarkStart w:id="12" w:name="_Toc165117168"/>
            <w:r w:rsidRPr="0019155C">
              <w:t>–</w:t>
            </w:r>
            <w:bookmarkEnd w:id="12"/>
          </w:p>
        </w:tc>
      </w:tr>
      <w:tr w:rsidR="00687942" w14:paraId="363D4444" w14:textId="77777777" w:rsidTr="0081001A">
        <w:trPr>
          <w:cantSplit/>
        </w:trPr>
        <w:tc>
          <w:tcPr>
            <w:tcW w:w="2204" w:type="dxa"/>
            <w:gridSpan w:val="4"/>
          </w:tcPr>
          <w:p w14:paraId="03D2F7D8" w14:textId="77777777" w:rsidR="00687942" w:rsidRDefault="00687942" w:rsidP="0081001A">
            <w:pPr>
              <w:rPr>
                <w:b/>
                <w:bCs/>
              </w:rPr>
            </w:pPr>
            <w:r>
              <w:rPr>
                <w:b/>
                <w:bCs/>
              </w:rPr>
              <w:t>Approval:</w:t>
            </w:r>
          </w:p>
        </w:tc>
        <w:tc>
          <w:tcPr>
            <w:tcW w:w="7435" w:type="dxa"/>
            <w:gridSpan w:val="3"/>
          </w:tcPr>
          <w:p w14:paraId="4F7AD4A9" w14:textId="77777777" w:rsidR="00687942" w:rsidRPr="003869CD" w:rsidRDefault="00687942" w:rsidP="00CD15FF">
            <w:pPr>
              <w:pStyle w:val="LSApproval"/>
            </w:pPr>
            <w:r>
              <w:t>ITU-T Study Group 16 meeting (Rennes, France, 15-26 April 2024)</w:t>
            </w:r>
          </w:p>
        </w:tc>
      </w:tr>
      <w:tr w:rsidR="00687942" w14:paraId="5E01A546" w14:textId="77777777" w:rsidTr="0081001A">
        <w:trPr>
          <w:cantSplit/>
        </w:trPr>
        <w:tc>
          <w:tcPr>
            <w:tcW w:w="2204" w:type="dxa"/>
            <w:gridSpan w:val="4"/>
            <w:tcBorders>
              <w:bottom w:val="single" w:sz="12" w:space="0" w:color="auto"/>
            </w:tcBorders>
          </w:tcPr>
          <w:p w14:paraId="6770BB9E" w14:textId="77777777" w:rsidR="00687942" w:rsidRDefault="00687942" w:rsidP="0081001A">
            <w:pPr>
              <w:rPr>
                <w:b/>
                <w:bCs/>
              </w:rPr>
            </w:pPr>
            <w:r>
              <w:rPr>
                <w:b/>
                <w:bCs/>
              </w:rPr>
              <w:t>Deadline:</w:t>
            </w:r>
          </w:p>
        </w:tc>
        <w:tc>
          <w:tcPr>
            <w:tcW w:w="7435" w:type="dxa"/>
            <w:gridSpan w:val="3"/>
            <w:tcBorders>
              <w:bottom w:val="single" w:sz="12" w:space="0" w:color="auto"/>
            </w:tcBorders>
          </w:tcPr>
          <w:p w14:paraId="6ADA9136" w14:textId="77777777" w:rsidR="00687942" w:rsidRDefault="00687942" w:rsidP="0081001A">
            <w:pPr>
              <w:pStyle w:val="LSDeadline"/>
            </w:pPr>
            <w:bookmarkStart w:id="13" w:name="_Toc165117169"/>
            <w:r>
              <w:t>10 August 2024</w:t>
            </w:r>
            <w:bookmarkEnd w:id="13"/>
          </w:p>
        </w:tc>
      </w:tr>
      <w:tr w:rsidR="00687942" w:rsidRPr="0049090D" w14:paraId="694CFC93" w14:textId="77777777" w:rsidTr="00484E83">
        <w:trPr>
          <w:cantSplit/>
        </w:trPr>
        <w:tc>
          <w:tcPr>
            <w:tcW w:w="1545" w:type="dxa"/>
            <w:gridSpan w:val="2"/>
            <w:tcBorders>
              <w:top w:val="single" w:sz="8" w:space="0" w:color="auto"/>
              <w:bottom w:val="single" w:sz="8" w:space="0" w:color="auto"/>
            </w:tcBorders>
          </w:tcPr>
          <w:p w14:paraId="002E5490" w14:textId="77777777" w:rsidR="00687942" w:rsidRPr="00136DDD" w:rsidRDefault="00687942" w:rsidP="0081001A">
            <w:pPr>
              <w:rPr>
                <w:b/>
                <w:bCs/>
              </w:rPr>
            </w:pPr>
            <w:r w:rsidRPr="001B2EB4">
              <w:rPr>
                <w:b/>
                <w:bCs/>
              </w:rPr>
              <w:t>Contact:</w:t>
            </w:r>
          </w:p>
        </w:tc>
        <w:tc>
          <w:tcPr>
            <w:tcW w:w="3845" w:type="dxa"/>
            <w:gridSpan w:val="3"/>
            <w:tcBorders>
              <w:top w:val="single" w:sz="8" w:space="0" w:color="auto"/>
              <w:bottom w:val="single" w:sz="8" w:space="0" w:color="auto"/>
            </w:tcBorders>
          </w:tcPr>
          <w:p w14:paraId="0C6EBB88" w14:textId="77777777" w:rsidR="00687942" w:rsidRPr="00AF5A57" w:rsidRDefault="00687942" w:rsidP="0081001A">
            <w:r w:rsidRPr="001A6E8F">
              <w:rPr>
                <w:lang w:val="fr-CH"/>
              </w:rPr>
              <w:t>Noah Luo</w:t>
            </w:r>
            <w:r w:rsidRPr="001A6E8F">
              <w:rPr>
                <w:lang w:val="fr-CH"/>
              </w:rPr>
              <w:br/>
              <w:t>Huawei Technologies</w:t>
            </w:r>
            <w:r w:rsidRPr="001A6E8F">
              <w:rPr>
                <w:lang w:val="fr-CH"/>
              </w:rPr>
              <w:br/>
              <w:t>China</w:t>
            </w:r>
          </w:p>
        </w:tc>
        <w:tc>
          <w:tcPr>
            <w:tcW w:w="4249" w:type="dxa"/>
            <w:gridSpan w:val="2"/>
            <w:tcBorders>
              <w:top w:val="single" w:sz="8" w:space="0" w:color="auto"/>
              <w:bottom w:val="single" w:sz="8" w:space="0" w:color="auto"/>
            </w:tcBorders>
          </w:tcPr>
          <w:p w14:paraId="0F1D1220" w14:textId="77777777" w:rsidR="00687942" w:rsidRPr="00AF5A57" w:rsidRDefault="00687942" w:rsidP="0081001A">
            <w:pPr>
              <w:tabs>
                <w:tab w:val="left" w:pos="794"/>
              </w:tabs>
            </w:pPr>
            <w:r>
              <w:t>E-mail:</w:t>
            </w:r>
            <w:r>
              <w:tab/>
            </w:r>
            <w:hyperlink r:id="rId16" w:history="1">
              <w:r w:rsidRPr="00F12E01">
                <w:rPr>
                  <w:rStyle w:val="Hyperlink"/>
                  <w:lang w:val="en-US"/>
                </w:rPr>
                <w:t>noahluozz@gmail.com</w:t>
              </w:r>
            </w:hyperlink>
            <w:r>
              <w:rPr>
                <w:rFonts w:eastAsia="Times New Roman"/>
                <w:lang w:val="en-US"/>
              </w:rPr>
              <w:t xml:space="preserve"> </w:t>
            </w:r>
          </w:p>
        </w:tc>
      </w:tr>
      <w:tr w:rsidR="00687942" w:rsidRPr="008A0058" w14:paraId="1CA7EE77" w14:textId="77777777" w:rsidTr="00484E83">
        <w:tblPrEx>
          <w:tblLook w:val="04A0" w:firstRow="1" w:lastRow="0" w:firstColumn="1" w:lastColumn="0" w:noHBand="0" w:noVBand="1"/>
        </w:tblPrEx>
        <w:trPr>
          <w:cantSplit/>
        </w:trPr>
        <w:tc>
          <w:tcPr>
            <w:tcW w:w="1559" w:type="dxa"/>
            <w:gridSpan w:val="3"/>
            <w:tcBorders>
              <w:top w:val="single" w:sz="8" w:space="0" w:color="auto"/>
              <w:left w:val="nil"/>
              <w:bottom w:val="single" w:sz="8" w:space="0" w:color="auto"/>
              <w:right w:val="nil"/>
            </w:tcBorders>
            <w:hideMark/>
          </w:tcPr>
          <w:p w14:paraId="498295BD" w14:textId="77777777" w:rsidR="00687942" w:rsidRPr="002F6560" w:rsidRDefault="00687942" w:rsidP="0081001A">
            <w:pPr>
              <w:rPr>
                <w:b/>
                <w:bCs/>
              </w:rPr>
            </w:pPr>
            <w:bookmarkStart w:id="14" w:name="dcontact1"/>
            <w:bookmarkStart w:id="15" w:name="dcontent1" w:colFirst="1" w:colLast="1"/>
            <w:r w:rsidRPr="002F6560">
              <w:rPr>
                <w:b/>
                <w:bCs/>
              </w:rPr>
              <w:t>Contact:</w:t>
            </w:r>
          </w:p>
        </w:tc>
        <w:tc>
          <w:tcPr>
            <w:tcW w:w="3831" w:type="dxa"/>
            <w:gridSpan w:val="2"/>
            <w:tcBorders>
              <w:top w:val="single" w:sz="8" w:space="0" w:color="auto"/>
              <w:left w:val="nil"/>
              <w:bottom w:val="single" w:sz="8" w:space="0" w:color="auto"/>
              <w:right w:val="nil"/>
            </w:tcBorders>
          </w:tcPr>
          <w:p w14:paraId="31B75F42" w14:textId="77777777" w:rsidR="00687942" w:rsidRPr="00D949F7" w:rsidRDefault="00687942" w:rsidP="0081001A">
            <w:pPr>
              <w:tabs>
                <w:tab w:val="left" w:pos="794"/>
              </w:tabs>
            </w:pPr>
            <w:r w:rsidRPr="00D949F7">
              <w:t>Shin-Gak Kang</w:t>
            </w:r>
            <w:r w:rsidRPr="00D949F7">
              <w:br/>
              <w:t>ETRI</w:t>
            </w:r>
            <w:r w:rsidRPr="00D949F7">
              <w:br/>
              <w:t>Korea (Rep. of)</w:t>
            </w:r>
          </w:p>
        </w:tc>
        <w:tc>
          <w:tcPr>
            <w:tcW w:w="4249" w:type="dxa"/>
            <w:gridSpan w:val="2"/>
            <w:tcBorders>
              <w:top w:val="single" w:sz="8" w:space="0" w:color="auto"/>
              <w:left w:val="nil"/>
              <w:bottom w:val="single" w:sz="8" w:space="0" w:color="auto"/>
              <w:right w:val="nil"/>
            </w:tcBorders>
          </w:tcPr>
          <w:p w14:paraId="62CE3A85" w14:textId="77777777" w:rsidR="00687942" w:rsidRPr="008A0058" w:rsidRDefault="00687942" w:rsidP="0081001A">
            <w:pPr>
              <w:tabs>
                <w:tab w:val="left" w:pos="794"/>
              </w:tabs>
              <w:rPr>
                <w:lang w:val="de-DE"/>
              </w:rPr>
            </w:pPr>
            <w:r w:rsidRPr="008A0058">
              <w:rPr>
                <w:lang w:val="de-DE"/>
              </w:rPr>
              <w:t>Tel: +82 42 860 6117</w:t>
            </w:r>
            <w:r w:rsidRPr="008A0058">
              <w:rPr>
                <w:lang w:val="de-DE"/>
              </w:rPr>
              <w:br/>
              <w:t>E-mail:</w:t>
            </w:r>
            <w:r w:rsidRPr="008A0058">
              <w:rPr>
                <w:lang w:val="de-DE"/>
              </w:rPr>
              <w:tab/>
            </w:r>
            <w:hyperlink r:id="rId17" w:history="1">
              <w:r w:rsidRPr="008A0058">
                <w:rPr>
                  <w:rStyle w:val="Hyperlink"/>
                  <w:lang w:val="de-DE"/>
                </w:rPr>
                <w:t>sgkang@etri.re.kr</w:t>
              </w:r>
            </w:hyperlink>
          </w:p>
        </w:tc>
      </w:tr>
      <w:bookmarkEnd w:id="14"/>
      <w:bookmarkEnd w:id="15"/>
    </w:tbl>
    <w:p w14:paraId="7173FF27" w14:textId="77777777" w:rsidR="00687942" w:rsidRPr="008A0058" w:rsidRDefault="00687942" w:rsidP="00687942">
      <w:pPr>
        <w:rPr>
          <w:lang w:val="de-DE" w:eastAsia="ko-KR"/>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687942" w:rsidRPr="00136DDD" w14:paraId="2B677E5A" w14:textId="77777777" w:rsidTr="0081001A">
        <w:trPr>
          <w:cantSplit/>
        </w:trPr>
        <w:tc>
          <w:tcPr>
            <w:tcW w:w="1588" w:type="dxa"/>
          </w:tcPr>
          <w:p w14:paraId="0A1076A7" w14:textId="77777777" w:rsidR="00687942" w:rsidRPr="00136DDD" w:rsidRDefault="00687942" w:rsidP="0081001A">
            <w:pPr>
              <w:rPr>
                <w:b/>
                <w:bCs/>
              </w:rPr>
            </w:pPr>
            <w:r w:rsidRPr="00136DDD">
              <w:rPr>
                <w:b/>
                <w:bCs/>
              </w:rPr>
              <w:t>Abstract:</w:t>
            </w:r>
          </w:p>
        </w:tc>
        <w:tc>
          <w:tcPr>
            <w:tcW w:w="8051" w:type="dxa"/>
          </w:tcPr>
          <w:p w14:paraId="34A4A555" w14:textId="2CE7D527" w:rsidR="00687942" w:rsidRPr="00895B04" w:rsidRDefault="00687942" w:rsidP="00CD15FF">
            <w:pPr>
              <w:pStyle w:val="TSBHeaderSummary"/>
              <w:rPr>
                <w:rFonts w:eastAsia="MS Mincho"/>
              </w:rPr>
            </w:pPr>
            <w:r w:rsidRPr="007B55DB">
              <w:t xml:space="preserve">This </w:t>
            </w:r>
            <w:r>
              <w:t>LS includes</w:t>
            </w:r>
            <w:r w:rsidRPr="007B55DB">
              <w:t xml:space="preserve"> a reply to </w:t>
            </w:r>
            <w:r w:rsidRPr="007905DF">
              <w:t>TSAG-</w:t>
            </w:r>
            <w:proofErr w:type="spellStart"/>
            <w:r w:rsidRPr="007905DF">
              <w:t>LS35</w:t>
            </w:r>
            <w:proofErr w:type="spellEnd"/>
            <w:r>
              <w:t xml:space="preserve"> </w:t>
            </w:r>
            <w:r w:rsidRPr="007B55DB">
              <w:t xml:space="preserve">on </w:t>
            </w:r>
            <w:r>
              <w:t>metaverse</w:t>
            </w:r>
            <w:r w:rsidRPr="007B55DB">
              <w:t>.</w:t>
            </w:r>
            <w:r>
              <w:t xml:space="preserve"> </w:t>
            </w:r>
            <w:r w:rsidRPr="007D738C">
              <w:t xml:space="preserve">ITU-T SG16 informs TSAG of </w:t>
            </w:r>
            <w:r>
              <w:t xml:space="preserve">its interest on the FG-MV deliverables allocated to multiple </w:t>
            </w:r>
            <w:proofErr w:type="spellStart"/>
            <w:r>
              <w:t>SGs</w:t>
            </w:r>
            <w:proofErr w:type="spellEnd"/>
            <w:r>
              <w:t xml:space="preserve"> and all </w:t>
            </w:r>
            <w:proofErr w:type="spellStart"/>
            <w:r>
              <w:t>SGs</w:t>
            </w:r>
            <w:proofErr w:type="spellEnd"/>
            <w:r w:rsidRPr="007D738C">
              <w:t>.</w:t>
            </w:r>
            <w:r>
              <w:t xml:space="preserve"> Also, it</w:t>
            </w:r>
            <w:r w:rsidRPr="00995F93">
              <w:t xml:space="preserve"> informs </w:t>
            </w:r>
            <w:proofErr w:type="spellStart"/>
            <w:r>
              <w:t>SG16</w:t>
            </w:r>
            <w:r w:rsidR="00B52046">
              <w:t>'</w:t>
            </w:r>
            <w:r>
              <w:t>s</w:t>
            </w:r>
            <w:proofErr w:type="spellEnd"/>
            <w:r w:rsidRPr="00995F93">
              <w:t xml:space="preserve"> interests on the </w:t>
            </w:r>
            <w:r>
              <w:t xml:space="preserve">deliverables </w:t>
            </w:r>
            <w:r w:rsidRPr="001618A1">
              <w:t>that have already been approved or are currently being developed</w:t>
            </w:r>
            <w:r>
              <w:t xml:space="preserve"> by ITU FG-MV.</w:t>
            </w:r>
          </w:p>
        </w:tc>
      </w:tr>
    </w:tbl>
    <w:p w14:paraId="5B374002" w14:textId="77777777" w:rsidR="00687942" w:rsidRDefault="00687942" w:rsidP="00687942">
      <w:pPr>
        <w:jc w:val="both"/>
      </w:pPr>
      <w:r>
        <w:t xml:space="preserve">Firstly, </w:t>
      </w:r>
      <w:r w:rsidRPr="007B55DB">
        <w:t>ITU-T Study Group 16 would like to thank ITU-</w:t>
      </w:r>
      <w:r>
        <w:t xml:space="preserve">T TSAG </w:t>
      </w:r>
      <w:r w:rsidRPr="007B55DB">
        <w:t xml:space="preserve">for sharing the current </w:t>
      </w:r>
      <w:r>
        <w:t>status of the allocation of FG-MV deliverables.</w:t>
      </w:r>
    </w:p>
    <w:p w14:paraId="719F78D8" w14:textId="2DB94A14" w:rsidR="00687942" w:rsidRPr="007B71BA" w:rsidRDefault="00687942" w:rsidP="00687942">
      <w:pPr>
        <w:rPr>
          <w:rFonts w:eastAsia="MS Mincho"/>
        </w:rPr>
      </w:pPr>
      <w:r>
        <w:t>SG16 noted the following statements in your LS [TSAG-</w:t>
      </w:r>
      <w:proofErr w:type="spellStart"/>
      <w:r>
        <w:t>LS35</w:t>
      </w:r>
      <w:proofErr w:type="spellEnd"/>
      <w:r>
        <w:t>]:</w:t>
      </w:r>
    </w:p>
    <w:p w14:paraId="0DEBFACC" w14:textId="77777777" w:rsidR="00687942" w:rsidRPr="00AC10AF" w:rsidRDefault="00687942" w:rsidP="00687942">
      <w:pPr>
        <w:pStyle w:val="ListParagraph"/>
        <w:numPr>
          <w:ilvl w:val="0"/>
          <w:numId w:val="11"/>
        </w:numPr>
      </w:pPr>
      <w:r w:rsidRPr="00D0343A">
        <w:t>To minimize duplication of work, when more than one Study Group is assigned per deliverable, each Study Group is requested to review the deliverable and inform TSAG on its preferred course of action. If the Study Group would like to use either a portion or the entirety of the deliverable, then TSAG is required to be informed prior to commencing any work.</w:t>
      </w:r>
    </w:p>
    <w:p w14:paraId="31010F32" w14:textId="77777777" w:rsidR="00687942" w:rsidRPr="009A14E0" w:rsidRDefault="00687942" w:rsidP="00687942">
      <w:pPr>
        <w:rPr>
          <w:rFonts w:eastAsia="MS Mincho"/>
        </w:rPr>
      </w:pPr>
      <w:r>
        <w:rPr>
          <w:lang w:val="en-US"/>
        </w:rPr>
        <w:t xml:space="preserve">During the SG16 meeting in April 2024 in Rennes, France, we reviewed and discussed about the deliverables that are allocated to multiple </w:t>
      </w:r>
      <w:proofErr w:type="spellStart"/>
      <w:r>
        <w:rPr>
          <w:lang w:val="en-US"/>
        </w:rPr>
        <w:t>SGs</w:t>
      </w:r>
      <w:proofErr w:type="spellEnd"/>
      <w:r>
        <w:rPr>
          <w:lang w:val="en-US"/>
        </w:rPr>
        <w:t xml:space="preserve">. And it was agreed to request TSAG to allocate the </w:t>
      </w:r>
      <w:r w:rsidRPr="00D0343A">
        <w:t>the entirety of the deliverable</w:t>
      </w:r>
      <w:r>
        <w:t>s to SG16 because they are very closely related to the multimedia aspects of metaverse, including accessibility issues, as later detailed in Annex B.</w:t>
      </w:r>
    </w:p>
    <w:p w14:paraId="10B0B5A7" w14:textId="77777777" w:rsidR="00687942" w:rsidRPr="00AE37D9" w:rsidRDefault="00687942" w:rsidP="00687942">
      <w:pPr>
        <w:rPr>
          <w:rFonts w:eastAsia="MS Mincho"/>
          <w:lang w:val="en-US"/>
        </w:rPr>
      </w:pPr>
      <w:r>
        <w:rPr>
          <w:rFonts w:eastAsia="Malgun Gothic"/>
          <w:lang w:eastAsia="ko-KR"/>
        </w:rPr>
        <w:t xml:space="preserve">Therefore, we </w:t>
      </w:r>
      <w:r w:rsidRPr="007B55DB">
        <w:t>would like to</w:t>
      </w:r>
      <w:r>
        <w:t xml:space="preserve"> </w:t>
      </w:r>
      <w:r>
        <w:rPr>
          <w:lang w:val="en-US"/>
        </w:rPr>
        <w:t xml:space="preserve">kindly ask TSAG to consider that SG 16 is interested on the following deliverables </w:t>
      </w:r>
      <w:r>
        <w:t xml:space="preserve">as shown in the </w:t>
      </w:r>
      <w:r w:rsidRPr="00EB38DE">
        <w:rPr>
          <w:b/>
          <w:bCs/>
        </w:rPr>
        <w:t>Annex A</w:t>
      </w:r>
      <w:r>
        <w:rPr>
          <w:lang w:val="en-US"/>
        </w:rPr>
        <w:t>, and request to assign them to SG 16 for the further work based on the deliverables from ITU FG-MV.</w:t>
      </w:r>
    </w:p>
    <w:p w14:paraId="66357BE4" w14:textId="77777777" w:rsidR="00687942" w:rsidRDefault="00687942" w:rsidP="00687942">
      <w:pPr>
        <w:rPr>
          <w:rFonts w:eastAsia="Malgun Gothic"/>
          <w:lang w:val="en-US" w:eastAsia="ko-KR"/>
        </w:rPr>
      </w:pPr>
      <w:r w:rsidRPr="009A14E0">
        <w:rPr>
          <w:rFonts w:eastAsia="Malgun Gothic"/>
          <w:lang w:val="en-US" w:eastAsia="ko-KR"/>
        </w:rPr>
        <w:t xml:space="preserve">With regard to accessibility, </w:t>
      </w:r>
      <w:proofErr w:type="spellStart"/>
      <w:r w:rsidRPr="009A14E0">
        <w:rPr>
          <w:rFonts w:eastAsia="Malgun Gothic"/>
          <w:lang w:val="en-US" w:eastAsia="ko-KR"/>
        </w:rPr>
        <w:t>Q26</w:t>
      </w:r>
      <w:proofErr w:type="spellEnd"/>
      <w:r w:rsidRPr="009A14E0">
        <w:rPr>
          <w:rFonts w:eastAsia="Malgun Gothic"/>
          <w:lang w:val="en-US" w:eastAsia="ko-KR"/>
        </w:rPr>
        <w:t xml:space="preserve">/16 (Accessibility) decided to </w:t>
      </w:r>
      <w:r>
        <w:rPr>
          <w:rFonts w:eastAsia="Malgun Gothic"/>
          <w:lang w:val="en-US" w:eastAsia="ko-KR"/>
        </w:rPr>
        <w:t>decline</w:t>
      </w:r>
      <w:r w:rsidRPr="009A14E0">
        <w:rPr>
          <w:rFonts w:eastAsia="Malgun Gothic"/>
          <w:lang w:val="en-US" w:eastAsia="ko-KR"/>
        </w:rPr>
        <w:t xml:space="preserve"> the </w:t>
      </w:r>
      <w:proofErr w:type="spellStart"/>
      <w:r w:rsidRPr="009A14E0">
        <w:rPr>
          <w:rFonts w:eastAsia="Malgun Gothic"/>
          <w:lang w:val="en-US" w:eastAsia="ko-KR"/>
        </w:rPr>
        <w:t>FGMV</w:t>
      </w:r>
      <w:proofErr w:type="spellEnd"/>
      <w:r w:rsidRPr="009A14E0">
        <w:rPr>
          <w:rFonts w:eastAsia="Malgun Gothic"/>
          <w:lang w:val="en-US" w:eastAsia="ko-KR"/>
        </w:rPr>
        <w:t xml:space="preserve">-03 </w:t>
      </w:r>
      <w:r>
        <w:rPr>
          <w:rFonts w:eastAsia="Malgun Gothic"/>
          <w:lang w:val="en-US" w:eastAsia="ko-KR"/>
        </w:rPr>
        <w:t>deliverable</w:t>
      </w:r>
      <w:r w:rsidRPr="009A14E0">
        <w:rPr>
          <w:rFonts w:eastAsia="Malgun Gothic"/>
          <w:lang w:val="en-US" w:eastAsia="ko-KR"/>
        </w:rPr>
        <w:t xml:space="preserve"> assigned to SG16 due to lack of interest from </w:t>
      </w:r>
      <w:proofErr w:type="spellStart"/>
      <w:r w:rsidRPr="009A14E0">
        <w:rPr>
          <w:rFonts w:eastAsia="Malgun Gothic"/>
          <w:lang w:val="en-US" w:eastAsia="ko-KR"/>
        </w:rPr>
        <w:t>Q26</w:t>
      </w:r>
      <w:proofErr w:type="spellEnd"/>
      <w:r>
        <w:rPr>
          <w:rFonts w:eastAsia="Malgun Gothic"/>
          <w:lang w:val="en-US" w:eastAsia="ko-KR"/>
        </w:rPr>
        <w:t>/16</w:t>
      </w:r>
      <w:r w:rsidRPr="009A14E0">
        <w:rPr>
          <w:rFonts w:eastAsia="Malgun Gothic"/>
          <w:lang w:val="en-US" w:eastAsia="ko-KR"/>
        </w:rPr>
        <w:t>.</w:t>
      </w:r>
      <w:r>
        <w:rPr>
          <w:rFonts w:eastAsia="Malgun Gothic"/>
          <w:lang w:val="en-US" w:eastAsia="ko-KR"/>
        </w:rPr>
        <w:t xml:space="preserve"> </w:t>
      </w:r>
      <w:r w:rsidRPr="00AE37D9">
        <w:rPr>
          <w:rFonts w:eastAsia="Malgun Gothic"/>
          <w:lang w:val="en-US" w:eastAsia="ko-KR"/>
        </w:rPr>
        <w:t xml:space="preserve">This </w:t>
      </w:r>
      <w:r>
        <w:rPr>
          <w:rFonts w:eastAsia="Malgun Gothic"/>
          <w:lang w:val="en-US" w:eastAsia="ko-KR"/>
        </w:rPr>
        <w:t>deliverable</w:t>
      </w:r>
      <w:r w:rsidRPr="00AE37D9">
        <w:rPr>
          <w:rFonts w:eastAsia="Malgun Gothic"/>
          <w:lang w:val="en-US" w:eastAsia="ko-KR"/>
        </w:rPr>
        <w:t xml:space="preserve"> </w:t>
      </w:r>
      <w:r>
        <w:rPr>
          <w:rFonts w:eastAsia="Malgun Gothic"/>
          <w:lang w:val="en-US" w:eastAsia="ko-KR"/>
        </w:rPr>
        <w:t xml:space="preserve">could </w:t>
      </w:r>
      <w:r w:rsidRPr="00AE37D9">
        <w:rPr>
          <w:rFonts w:eastAsia="Malgun Gothic"/>
          <w:lang w:val="en-US" w:eastAsia="ko-KR"/>
        </w:rPr>
        <w:t xml:space="preserve">be reassigned to other </w:t>
      </w:r>
      <w:proofErr w:type="spellStart"/>
      <w:r w:rsidRPr="00AE37D9">
        <w:rPr>
          <w:rFonts w:eastAsia="Malgun Gothic"/>
          <w:lang w:val="en-US" w:eastAsia="ko-KR"/>
        </w:rPr>
        <w:t>SGs</w:t>
      </w:r>
      <w:proofErr w:type="spellEnd"/>
      <w:r w:rsidRPr="00AE37D9">
        <w:rPr>
          <w:rFonts w:eastAsia="Malgun Gothic"/>
          <w:lang w:val="en-US" w:eastAsia="ko-KR"/>
        </w:rPr>
        <w:t xml:space="preserve"> if they are interested.</w:t>
      </w:r>
    </w:p>
    <w:p w14:paraId="2CDECAD2" w14:textId="77777777" w:rsidR="00687942" w:rsidRPr="009A14E0" w:rsidRDefault="00687942" w:rsidP="00687942">
      <w:pPr>
        <w:numPr>
          <w:ilvl w:val="0"/>
          <w:numId w:val="12"/>
        </w:numPr>
        <w:overflowPunct w:val="0"/>
        <w:autoSpaceDE w:val="0"/>
        <w:autoSpaceDN w:val="0"/>
        <w:adjustRightInd w:val="0"/>
        <w:ind w:left="567" w:hanging="567"/>
        <w:textAlignment w:val="baseline"/>
        <w:rPr>
          <w:lang w:val="en-US" w:eastAsia="ko-KR"/>
        </w:rPr>
      </w:pPr>
      <w:proofErr w:type="spellStart"/>
      <w:r>
        <w:rPr>
          <w:lang w:val="en-US" w:eastAsia="ko-KR"/>
        </w:rPr>
        <w:lastRenderedPageBreak/>
        <w:t>FGMV</w:t>
      </w:r>
      <w:proofErr w:type="spellEnd"/>
      <w:r>
        <w:rPr>
          <w:lang w:val="en-US" w:eastAsia="ko-KR"/>
        </w:rPr>
        <w:t xml:space="preserve">-03 (2023-10), </w:t>
      </w:r>
      <w:r w:rsidRPr="009A14E0">
        <w:rPr>
          <w:lang w:eastAsia="ko-KR"/>
        </w:rPr>
        <w:t>Technical Report on Guidelines to assess inclusion and accessibility in metaverse standard</w:t>
      </w:r>
      <w:r>
        <w:rPr>
          <w:lang w:eastAsia="ko-KR"/>
        </w:rPr>
        <w:t>s</w:t>
      </w:r>
      <w:r w:rsidRPr="009A14E0">
        <w:rPr>
          <w:lang w:eastAsia="ko-KR"/>
        </w:rPr>
        <w:t xml:space="preserve"> development</w:t>
      </w:r>
      <w:r>
        <w:rPr>
          <w:lang w:eastAsia="ko-KR"/>
        </w:rPr>
        <w:t>.</w:t>
      </w:r>
    </w:p>
    <w:p w14:paraId="79E7AD59" w14:textId="77777777" w:rsidR="00687942" w:rsidRPr="00EB38DE" w:rsidRDefault="00687942" w:rsidP="00687942">
      <w:pPr>
        <w:jc w:val="both"/>
        <w:rPr>
          <w:rFonts w:eastAsia="MS Mincho"/>
        </w:rPr>
      </w:pPr>
      <w:r>
        <w:t xml:space="preserve">Secondly, </w:t>
      </w:r>
      <w:r w:rsidRPr="007B55DB">
        <w:t>ITU-T Study Group 16 would like to thank ITU</w:t>
      </w:r>
      <w:r>
        <w:t xml:space="preserve"> Focus Group on metaverse (FG-MV) for developing and providing many deliverables regarding various aspects of metaverse. </w:t>
      </w:r>
      <w:r>
        <w:rPr>
          <w:lang w:val="en-US"/>
        </w:rPr>
        <w:t>During the SG16 meeting, we reviewed FG-</w:t>
      </w:r>
      <w:proofErr w:type="spellStart"/>
      <w:r>
        <w:rPr>
          <w:lang w:val="en-US"/>
        </w:rPr>
        <w:t>MV's</w:t>
      </w:r>
      <w:proofErr w:type="spellEnd"/>
      <w:r>
        <w:rPr>
          <w:lang w:val="en-US"/>
        </w:rPr>
        <w:t xml:space="preserve"> work plan and noted that many work items are of great interest to SG16. </w:t>
      </w:r>
      <w:r w:rsidRPr="00B773E3">
        <w:rPr>
          <w:lang w:val="en-US"/>
        </w:rPr>
        <w:t xml:space="preserve">Therefore, we </w:t>
      </w:r>
      <w:r>
        <w:rPr>
          <w:lang w:val="en-US"/>
        </w:rPr>
        <w:t>kindly</w:t>
      </w:r>
      <w:r w:rsidRPr="00B773E3">
        <w:rPr>
          <w:lang w:val="en-US"/>
        </w:rPr>
        <w:t xml:space="preserve"> request that </w:t>
      </w:r>
      <w:proofErr w:type="spellStart"/>
      <w:r w:rsidRPr="00B773E3">
        <w:rPr>
          <w:lang w:val="en-US"/>
        </w:rPr>
        <w:t>SG16's</w:t>
      </w:r>
      <w:proofErr w:type="spellEnd"/>
      <w:r w:rsidRPr="00B773E3">
        <w:rPr>
          <w:lang w:val="en-US"/>
        </w:rPr>
        <w:t xml:space="preserve"> </w:t>
      </w:r>
      <w:r>
        <w:rPr>
          <w:lang w:val="en-US"/>
        </w:rPr>
        <w:t>interest</w:t>
      </w:r>
      <w:r w:rsidRPr="00B773E3">
        <w:rPr>
          <w:lang w:val="en-US"/>
        </w:rPr>
        <w:t xml:space="preserve">s be taken into consideration when FG-MV reviews interest groups for </w:t>
      </w:r>
      <w:r>
        <w:rPr>
          <w:lang w:val="en-US"/>
        </w:rPr>
        <w:t>deliverable</w:t>
      </w:r>
      <w:r w:rsidRPr="00B773E3">
        <w:rPr>
          <w:lang w:val="en-US"/>
        </w:rPr>
        <w:t>s to be approved by June 2024.</w:t>
      </w:r>
    </w:p>
    <w:p w14:paraId="47F224BF" w14:textId="77777777" w:rsidR="00687942" w:rsidRDefault="00687942" w:rsidP="00687942">
      <w:pPr>
        <w:jc w:val="both"/>
        <w:rPr>
          <w:rFonts w:eastAsia="MS Mincho"/>
        </w:rPr>
      </w:pPr>
      <w:r>
        <w:rPr>
          <w:lang w:val="en-US"/>
        </w:rPr>
        <w:t xml:space="preserve">ITU-T SG16 also expresses our interests to TSAG and kindly requests </w:t>
      </w:r>
      <w:r w:rsidRPr="00B773E3">
        <w:rPr>
          <w:rFonts w:eastAsia="MS Mincho"/>
        </w:rPr>
        <w:t xml:space="preserve">that </w:t>
      </w:r>
      <w:r w:rsidRPr="00F84587">
        <w:rPr>
          <w:rFonts w:eastAsia="MS Mincho"/>
        </w:rPr>
        <w:t xml:space="preserve">TSAG </w:t>
      </w:r>
      <w:r>
        <w:rPr>
          <w:rFonts w:eastAsia="MS Mincho"/>
        </w:rPr>
        <w:t>considers</w:t>
      </w:r>
      <w:r w:rsidRPr="00F84587">
        <w:rPr>
          <w:rFonts w:eastAsia="MS Mincho"/>
        </w:rPr>
        <w:t xml:space="preserve"> </w:t>
      </w:r>
      <w:proofErr w:type="spellStart"/>
      <w:r w:rsidRPr="00F84587">
        <w:rPr>
          <w:rFonts w:eastAsia="MS Mincho"/>
        </w:rPr>
        <w:t>SG16's</w:t>
      </w:r>
      <w:proofErr w:type="spellEnd"/>
      <w:r w:rsidRPr="00F84587">
        <w:rPr>
          <w:rFonts w:eastAsia="MS Mincho"/>
        </w:rPr>
        <w:t xml:space="preserve"> </w:t>
      </w:r>
      <w:r>
        <w:rPr>
          <w:rFonts w:eastAsia="MS Mincho"/>
        </w:rPr>
        <w:t>suggestions</w:t>
      </w:r>
      <w:r w:rsidRPr="00F84587">
        <w:rPr>
          <w:rFonts w:eastAsia="MS Mincho"/>
        </w:rPr>
        <w:t xml:space="preserve"> when</w:t>
      </w:r>
      <w:r>
        <w:rPr>
          <w:rFonts w:eastAsia="MS Mincho"/>
        </w:rPr>
        <w:t xml:space="preserve"> allocating </w:t>
      </w:r>
      <w:r w:rsidRPr="00B773E3">
        <w:rPr>
          <w:rFonts w:eastAsia="MS Mincho"/>
        </w:rPr>
        <w:t xml:space="preserve">FG-MV </w:t>
      </w:r>
      <w:r>
        <w:rPr>
          <w:lang w:val="en-US"/>
        </w:rPr>
        <w:t>deliverable</w:t>
      </w:r>
      <w:r w:rsidRPr="00B773E3">
        <w:rPr>
          <w:lang w:val="en-US"/>
        </w:rPr>
        <w:t>s</w:t>
      </w:r>
      <w:r w:rsidRPr="00B773E3">
        <w:rPr>
          <w:rFonts w:eastAsia="MS Mincho"/>
        </w:rPr>
        <w:t xml:space="preserve"> </w:t>
      </w:r>
      <w:r>
        <w:rPr>
          <w:rFonts w:eastAsia="MS Mincho"/>
        </w:rPr>
        <w:t xml:space="preserve">to relevant Study Groups at </w:t>
      </w:r>
      <w:r w:rsidRPr="00B773E3">
        <w:rPr>
          <w:rFonts w:eastAsia="MS Mincho"/>
        </w:rPr>
        <w:t>the next TSAG meeting</w:t>
      </w:r>
      <w:r>
        <w:rPr>
          <w:rFonts w:eastAsia="MS Mincho"/>
        </w:rPr>
        <w:t xml:space="preserve"> in July/August 2024</w:t>
      </w:r>
      <w:r w:rsidRPr="00B773E3">
        <w:rPr>
          <w:rFonts w:eastAsia="MS Mincho"/>
        </w:rPr>
        <w:t>.</w:t>
      </w:r>
    </w:p>
    <w:p w14:paraId="2F787F24" w14:textId="083B3710" w:rsidR="00687942" w:rsidRDefault="00687942" w:rsidP="00687942">
      <w:pPr>
        <w:jc w:val="both"/>
        <w:rPr>
          <w:rFonts w:eastAsia="Malgun Gothic"/>
          <w:lang w:val="en-US" w:eastAsia="ko-KR"/>
        </w:rPr>
      </w:pPr>
      <w:r w:rsidRPr="00EB38DE">
        <w:rPr>
          <w:rFonts w:eastAsia="Malgun Gothic"/>
          <w:b/>
          <w:bCs/>
          <w:lang w:val="en-US" w:eastAsia="ko-KR"/>
        </w:rPr>
        <w:t>Annex B</w:t>
      </w:r>
      <w:r>
        <w:rPr>
          <w:rFonts w:eastAsia="Malgun Gothic"/>
          <w:lang w:val="en-US" w:eastAsia="ko-KR"/>
        </w:rPr>
        <w:t xml:space="preserve"> contains </w:t>
      </w:r>
      <w:proofErr w:type="spellStart"/>
      <w:r>
        <w:rPr>
          <w:rFonts w:eastAsia="Malgun Gothic"/>
          <w:lang w:val="en-US" w:eastAsia="ko-KR"/>
        </w:rPr>
        <w:t>SG16</w:t>
      </w:r>
      <w:r w:rsidR="00B52046">
        <w:rPr>
          <w:rFonts w:eastAsia="Malgun Gothic"/>
          <w:lang w:val="en-US" w:eastAsia="ko-KR"/>
        </w:rPr>
        <w:t>'</w:t>
      </w:r>
      <w:r>
        <w:rPr>
          <w:rFonts w:eastAsia="Malgun Gothic"/>
          <w:lang w:val="en-US" w:eastAsia="ko-KR"/>
        </w:rPr>
        <w:t>s</w:t>
      </w:r>
      <w:proofErr w:type="spellEnd"/>
      <w:r>
        <w:rPr>
          <w:rFonts w:eastAsia="Malgun Gothic"/>
          <w:lang w:val="en-US" w:eastAsia="ko-KR"/>
        </w:rPr>
        <w:t xml:space="preserve"> interest </w:t>
      </w:r>
      <w:r w:rsidRPr="00401426">
        <w:rPr>
          <w:rFonts w:eastAsia="Malgun Gothic"/>
          <w:lang w:val="en-US" w:eastAsia="ko-KR"/>
        </w:rPr>
        <w:t>in approved deliverable</w:t>
      </w:r>
      <w:r>
        <w:rPr>
          <w:rFonts w:eastAsia="Malgun Gothic"/>
          <w:lang w:val="en-US" w:eastAsia="ko-KR"/>
        </w:rPr>
        <w:t>s</w:t>
      </w:r>
      <w:r w:rsidRPr="00401426">
        <w:rPr>
          <w:rFonts w:eastAsia="Malgun Gothic"/>
          <w:lang w:val="en-US" w:eastAsia="ko-KR"/>
        </w:rPr>
        <w:t xml:space="preserve"> </w:t>
      </w:r>
      <w:r>
        <w:rPr>
          <w:rFonts w:eastAsia="Malgun Gothic"/>
          <w:lang w:val="en-US" w:eastAsia="ko-KR"/>
        </w:rPr>
        <w:t xml:space="preserve">in FG-MV March 2024 meeting </w:t>
      </w:r>
      <w:r w:rsidRPr="00401426">
        <w:rPr>
          <w:rFonts w:eastAsia="Malgun Gothic"/>
          <w:lang w:val="en-US" w:eastAsia="ko-KR"/>
        </w:rPr>
        <w:t xml:space="preserve">and ongoing work items </w:t>
      </w:r>
      <w:r>
        <w:rPr>
          <w:rFonts w:eastAsia="Malgun Gothic"/>
          <w:lang w:val="en-US" w:eastAsia="ko-KR"/>
        </w:rPr>
        <w:t>of FG-MV.</w:t>
      </w:r>
    </w:p>
    <w:p w14:paraId="3CB2540E" w14:textId="77777777" w:rsidR="00687942" w:rsidRPr="00EB38DE" w:rsidRDefault="00687942" w:rsidP="00687942">
      <w:pPr>
        <w:jc w:val="both"/>
        <w:rPr>
          <w:rFonts w:eastAsia="Malgun Gothic"/>
          <w:lang w:val="en-US" w:eastAsia="ko-KR"/>
        </w:rPr>
      </w:pPr>
    </w:p>
    <w:p w14:paraId="204F7DF8" w14:textId="77777777" w:rsidR="00687942" w:rsidRDefault="00687942" w:rsidP="00687942">
      <w:pPr>
        <w:jc w:val="both"/>
        <w:rPr>
          <w:rFonts w:eastAsia="Malgun Gothic"/>
          <w:lang w:val="en-US" w:eastAsia="ko-KR"/>
        </w:rPr>
      </w:pPr>
      <w:r>
        <w:rPr>
          <w:rFonts w:eastAsia="Malgun Gothic"/>
          <w:lang w:val="en-US" w:eastAsia="ko-KR"/>
        </w:rPr>
        <w:t xml:space="preserve">Thirdly, concerning preparations for metaverse studies in SG16, we would like to inform TSAG that it has considered the creation of a new Question on multimedia aspects of metaverse for cross-platform interoperability. The text was refined to reflect areas of study under the SG16 mandate and had some support, however at this meeting there was no consensus to include this new Question in the set for the next period. One of the arguments in support of this Question is that a harmonized approach across the various study groups is needed, an area where TSAG could provide a valuable view. Therefore, the text that was discussed during this SG16 meeting is provided in </w:t>
      </w:r>
      <w:r w:rsidRPr="00B52046">
        <w:rPr>
          <w:rFonts w:eastAsia="Malgun Gothic"/>
          <w:b/>
          <w:bCs/>
          <w:lang w:val="en-US" w:eastAsia="ko-KR"/>
        </w:rPr>
        <w:t>Annex C</w:t>
      </w:r>
      <w:r>
        <w:rPr>
          <w:rFonts w:eastAsia="Malgun Gothic"/>
          <w:lang w:val="en-US" w:eastAsia="ko-KR"/>
        </w:rPr>
        <w:t xml:space="preserve"> hereinafter.</w:t>
      </w:r>
    </w:p>
    <w:p w14:paraId="24A0679D" w14:textId="77777777" w:rsidR="00687942" w:rsidRDefault="00687942" w:rsidP="00687942">
      <w:pPr>
        <w:rPr>
          <w:lang w:eastAsia="zh-CN"/>
        </w:rPr>
      </w:pPr>
      <w:r>
        <w:rPr>
          <w:rFonts w:eastAsia="Malgun Gothic"/>
          <w:lang w:val="en-US" w:eastAsia="ko-KR"/>
        </w:rPr>
        <w:t xml:space="preserve">TSAG is kindly invited to provide advice to SG16 (and possibly other </w:t>
      </w:r>
      <w:proofErr w:type="spellStart"/>
      <w:r>
        <w:rPr>
          <w:rFonts w:eastAsia="Malgun Gothic"/>
          <w:lang w:val="en-US" w:eastAsia="ko-KR"/>
        </w:rPr>
        <w:t>SGs</w:t>
      </w:r>
      <w:proofErr w:type="spellEnd"/>
      <w:r>
        <w:rPr>
          <w:rFonts w:eastAsia="Malgun Gothic"/>
          <w:lang w:val="en-US" w:eastAsia="ko-KR"/>
        </w:rPr>
        <w:t>), from an ITU-T wide coordination perspective, on considerations about adopting this Question for the next period, including the appropriateness of having a TSAG proposal to WTSA-24 on this matter (possibly including metaverse-related Questions proposed by other ITU-T study groups).</w:t>
      </w:r>
    </w:p>
    <w:p w14:paraId="38B3C7AE" w14:textId="77777777" w:rsidR="00687942" w:rsidRDefault="00687942" w:rsidP="00687942">
      <w:pPr>
        <w:rPr>
          <w:rFonts w:eastAsia="MS Mincho"/>
          <w:lang w:val="en-US" w:eastAsia="ko-KR"/>
        </w:rPr>
      </w:pPr>
      <w:r>
        <w:rPr>
          <w:lang w:eastAsia="zh-CN"/>
        </w:rPr>
        <w:t xml:space="preserve">Lastly, we would also like to inform that we have created an ad hoc group that will </w:t>
      </w:r>
      <w:r>
        <w:t xml:space="preserve">coordinate </w:t>
      </w:r>
      <w:r w:rsidRPr="002752E6">
        <w:rPr>
          <w:rFonts w:eastAsia="MS Mincho"/>
          <w:lang w:val="en-US" w:eastAsia="ko-KR"/>
        </w:rPr>
        <w:t>the metaverse standard</w:t>
      </w:r>
      <w:r>
        <w:rPr>
          <w:rFonts w:eastAsia="MS Mincho"/>
          <w:lang w:val="en-US" w:eastAsia="ko-KR"/>
        </w:rPr>
        <w:t>s</w:t>
      </w:r>
      <w:r w:rsidRPr="002752E6">
        <w:rPr>
          <w:rFonts w:eastAsia="MS Mincho"/>
          <w:lang w:val="en-US" w:eastAsia="ko-KR"/>
        </w:rPr>
        <w:t xml:space="preserve"> development work in </w:t>
      </w:r>
      <w:r>
        <w:rPr>
          <w:rFonts w:eastAsia="MS Mincho"/>
          <w:lang w:val="en-US" w:eastAsia="ko-KR"/>
        </w:rPr>
        <w:t xml:space="preserve">ITU-T </w:t>
      </w:r>
      <w:r w:rsidRPr="002752E6">
        <w:rPr>
          <w:rFonts w:eastAsia="MS Mincho"/>
          <w:lang w:val="en-US" w:eastAsia="ko-KR"/>
        </w:rPr>
        <w:t xml:space="preserve">SG16 until the </w:t>
      </w:r>
      <w:r>
        <w:rPr>
          <w:rFonts w:eastAsia="MS Mincho"/>
          <w:lang w:val="en-US" w:eastAsia="ko-KR"/>
        </w:rPr>
        <w:t xml:space="preserve">first meeting of SG16 in the next study period, as well as suggest the possible allocation of those items not yet allocated to a specific SG16 Question. The terms of reference are provided for information in </w:t>
      </w:r>
      <w:r w:rsidRPr="00B52046">
        <w:rPr>
          <w:rFonts w:eastAsia="MS Mincho"/>
          <w:b/>
          <w:bCs/>
          <w:lang w:val="en-US" w:eastAsia="ko-KR"/>
        </w:rPr>
        <w:t>Annex D</w:t>
      </w:r>
      <w:r>
        <w:rPr>
          <w:rFonts w:eastAsia="MS Mincho"/>
          <w:lang w:val="en-US" w:eastAsia="ko-KR"/>
        </w:rPr>
        <w:t xml:space="preserve"> hereinafter.</w:t>
      </w:r>
    </w:p>
    <w:p w14:paraId="6400294A" w14:textId="77777777" w:rsidR="00687942" w:rsidRPr="007B55DB" w:rsidRDefault="00687942" w:rsidP="00687942"/>
    <w:p w14:paraId="753CD5DE" w14:textId="77777777" w:rsidR="00687942" w:rsidRDefault="00687942" w:rsidP="00687942">
      <w:pPr>
        <w:rPr>
          <w:lang w:eastAsia="zh-CN"/>
        </w:rPr>
      </w:pPr>
      <w:r w:rsidRPr="007B55DB">
        <w:t>ITU-T SG16 looks forward to</w:t>
      </w:r>
      <w:r w:rsidRPr="007B55DB">
        <w:rPr>
          <w:lang w:eastAsia="zh-CN"/>
        </w:rPr>
        <w:t xml:space="preserve"> </w:t>
      </w:r>
      <w:r>
        <w:rPr>
          <w:lang w:eastAsia="zh-CN"/>
        </w:rPr>
        <w:t xml:space="preserve">keeping close </w:t>
      </w:r>
      <w:r w:rsidRPr="007B55DB">
        <w:rPr>
          <w:lang w:eastAsia="zh-CN"/>
        </w:rPr>
        <w:t>collaboration with ITU-</w:t>
      </w:r>
      <w:r>
        <w:rPr>
          <w:lang w:eastAsia="zh-CN"/>
        </w:rPr>
        <w:t>T TSAG on metaverse coordination matters</w:t>
      </w:r>
      <w:r w:rsidRPr="007B55DB">
        <w:rPr>
          <w:lang w:eastAsia="zh-CN"/>
        </w:rPr>
        <w:t>.</w:t>
      </w:r>
    </w:p>
    <w:p w14:paraId="39E5AB9F" w14:textId="77777777" w:rsidR="00687942" w:rsidRDefault="00687942" w:rsidP="00687942"/>
    <w:p w14:paraId="3AF5C3E9" w14:textId="77777777" w:rsidR="00687942" w:rsidRDefault="00687942" w:rsidP="00687942">
      <w:pPr>
        <w:spacing w:before="0" w:after="160" w:line="259" w:lineRule="auto"/>
        <w:rPr>
          <w:lang w:val="en-US" w:eastAsia="ko-KR"/>
        </w:rPr>
      </w:pPr>
      <w:r>
        <w:rPr>
          <w:lang w:val="en-US" w:eastAsia="ko-KR"/>
        </w:rPr>
        <w:br w:type="page"/>
      </w:r>
    </w:p>
    <w:p w14:paraId="49DDE878" w14:textId="4389331B" w:rsidR="00687942" w:rsidRPr="009D1E95" w:rsidRDefault="00687942" w:rsidP="00DA6BBA">
      <w:pPr>
        <w:pStyle w:val="AnnexNotitle"/>
        <w:rPr>
          <w:lang w:val="en-US"/>
        </w:rPr>
      </w:pPr>
      <w:r w:rsidRPr="007E1E92">
        <w:lastRenderedPageBreak/>
        <w:t xml:space="preserve">Annex </w:t>
      </w:r>
      <w:r>
        <w:t>A</w:t>
      </w:r>
      <w:r w:rsidR="00B013F3">
        <w:br/>
      </w:r>
      <w:r>
        <w:t>Suggestio</w:t>
      </w:r>
      <w:r w:rsidRPr="007E1E92">
        <w:t xml:space="preserve">n of SG16 on the deliverables allocated to multiple </w:t>
      </w:r>
      <w:proofErr w:type="spellStart"/>
      <w:r w:rsidRPr="007E1E92">
        <w:t>SGs</w:t>
      </w:r>
      <w:proofErr w:type="spellEnd"/>
    </w:p>
    <w:tbl>
      <w:tblPr>
        <w:tblStyle w:val="TableGrid"/>
        <w:tblW w:w="9634" w:type="dxa"/>
        <w:tblLook w:val="04A0" w:firstRow="1" w:lastRow="0" w:firstColumn="1" w:lastColumn="0" w:noHBand="0" w:noVBand="1"/>
      </w:tblPr>
      <w:tblGrid>
        <w:gridCol w:w="241"/>
        <w:gridCol w:w="1283"/>
        <w:gridCol w:w="5842"/>
        <w:gridCol w:w="2268"/>
      </w:tblGrid>
      <w:tr w:rsidR="00687942" w14:paraId="4AC15AB7" w14:textId="77777777" w:rsidTr="0081001A">
        <w:trPr>
          <w:trHeight w:val="423"/>
        </w:trPr>
        <w:tc>
          <w:tcPr>
            <w:tcW w:w="1471" w:type="dxa"/>
            <w:gridSpan w:val="2"/>
            <w:shd w:val="clear" w:color="auto" w:fill="E7E6E6" w:themeFill="background2"/>
            <w:vAlign w:val="center"/>
          </w:tcPr>
          <w:p w14:paraId="612C3316" w14:textId="77777777" w:rsidR="00687942" w:rsidRDefault="00687942" w:rsidP="0081001A">
            <w:pPr>
              <w:spacing w:before="0"/>
              <w:jc w:val="center"/>
              <w:rPr>
                <w:lang w:val="en-US"/>
              </w:rPr>
            </w:pPr>
            <w:r w:rsidRPr="007C0CDC">
              <w:rPr>
                <w:b/>
                <w:bCs/>
              </w:rPr>
              <w:t>No.</w:t>
            </w:r>
          </w:p>
        </w:tc>
        <w:tc>
          <w:tcPr>
            <w:tcW w:w="5885" w:type="dxa"/>
            <w:shd w:val="clear" w:color="auto" w:fill="E7E6E6" w:themeFill="background2"/>
            <w:vAlign w:val="center"/>
          </w:tcPr>
          <w:p w14:paraId="77B0C315" w14:textId="77777777" w:rsidR="00687942" w:rsidRDefault="00687942" w:rsidP="0081001A">
            <w:pPr>
              <w:spacing w:before="0"/>
              <w:jc w:val="center"/>
              <w:rPr>
                <w:lang w:val="en-US"/>
              </w:rPr>
            </w:pPr>
            <w:r w:rsidRPr="007C0CDC">
              <w:rPr>
                <w:b/>
                <w:bCs/>
              </w:rPr>
              <w:t>Title</w:t>
            </w:r>
          </w:p>
        </w:tc>
        <w:tc>
          <w:tcPr>
            <w:tcW w:w="2278" w:type="dxa"/>
            <w:shd w:val="clear" w:color="auto" w:fill="E7E6E6" w:themeFill="background2"/>
            <w:vAlign w:val="center"/>
          </w:tcPr>
          <w:p w14:paraId="5338F2A4" w14:textId="77777777" w:rsidR="00687942" w:rsidRDefault="00687942" w:rsidP="0081001A">
            <w:pPr>
              <w:spacing w:before="0"/>
              <w:jc w:val="center"/>
              <w:rPr>
                <w:lang w:val="en-US"/>
              </w:rPr>
            </w:pPr>
            <w:r w:rsidRPr="007C0CDC">
              <w:rPr>
                <w:b/>
                <w:bCs/>
              </w:rPr>
              <w:t>Allocated</w:t>
            </w:r>
            <w:r>
              <w:rPr>
                <w:b/>
                <w:bCs/>
              </w:rPr>
              <w:t xml:space="preserve"> to</w:t>
            </w:r>
            <w:r>
              <w:rPr>
                <w:b/>
                <w:bCs/>
              </w:rPr>
              <w:br/>
              <w:t>(TSAG, January 2024)</w:t>
            </w:r>
          </w:p>
        </w:tc>
      </w:tr>
      <w:tr w:rsidR="00687942" w14:paraId="40E09E29" w14:textId="77777777" w:rsidTr="0081001A">
        <w:tc>
          <w:tcPr>
            <w:tcW w:w="1471" w:type="dxa"/>
            <w:gridSpan w:val="2"/>
          </w:tcPr>
          <w:p w14:paraId="76C1EFD9" w14:textId="77777777" w:rsidR="00687942" w:rsidRDefault="008A0058" w:rsidP="0081001A">
            <w:pPr>
              <w:rPr>
                <w:lang w:val="en-US"/>
              </w:rPr>
            </w:pPr>
            <w:hyperlink r:id="rId18" w:history="1">
              <w:proofErr w:type="spellStart"/>
              <w:r w:rsidR="00687942" w:rsidRPr="007C0CDC">
                <w:rPr>
                  <w:rStyle w:val="Hyperlink"/>
                  <w:b/>
                  <w:bCs/>
                </w:rPr>
                <w:t>FGMV</w:t>
              </w:r>
              <w:proofErr w:type="spellEnd"/>
              <w:r w:rsidR="00687942" w:rsidRPr="007C0CDC">
                <w:rPr>
                  <w:rStyle w:val="Hyperlink"/>
                  <w:b/>
                  <w:bCs/>
                </w:rPr>
                <w:t>-18</w:t>
              </w:r>
            </w:hyperlink>
            <w:r w:rsidR="00687942" w:rsidRPr="007C0CDC">
              <w:rPr>
                <w:b/>
                <w:bCs/>
              </w:rPr>
              <w:t xml:space="preserve"> (2023-12)</w:t>
            </w:r>
          </w:p>
        </w:tc>
        <w:tc>
          <w:tcPr>
            <w:tcW w:w="5885" w:type="dxa"/>
          </w:tcPr>
          <w:p w14:paraId="091B6214" w14:textId="77777777" w:rsidR="00687942" w:rsidRDefault="00687942" w:rsidP="0081001A">
            <w:pPr>
              <w:rPr>
                <w:lang w:val="en-US"/>
              </w:rPr>
            </w:pPr>
            <w:r w:rsidRPr="007C0CDC">
              <w:t>Technical Report on guidance on how to build a metaverse for all – Part I: Legal Framework</w:t>
            </w:r>
          </w:p>
        </w:tc>
        <w:tc>
          <w:tcPr>
            <w:tcW w:w="2278" w:type="dxa"/>
          </w:tcPr>
          <w:p w14:paraId="7A8E51AF" w14:textId="77777777" w:rsidR="00687942" w:rsidRDefault="00687942" w:rsidP="0081001A">
            <w:pPr>
              <w:rPr>
                <w:lang w:val="en-US"/>
              </w:rPr>
            </w:pPr>
            <w:r w:rsidRPr="007C0CDC">
              <w:rPr>
                <w:lang w:val="fr-FR"/>
              </w:rPr>
              <w:t>ITU-T SG16 &amp; SG3</w:t>
            </w:r>
          </w:p>
        </w:tc>
      </w:tr>
      <w:tr w:rsidR="00687942" w14:paraId="64F5C8BA" w14:textId="77777777" w:rsidTr="0081001A">
        <w:tc>
          <w:tcPr>
            <w:tcW w:w="241" w:type="dxa"/>
            <w:vMerge w:val="restart"/>
          </w:tcPr>
          <w:p w14:paraId="042060D7" w14:textId="77777777" w:rsidR="00687942" w:rsidRDefault="00687942" w:rsidP="0081001A"/>
        </w:tc>
        <w:tc>
          <w:tcPr>
            <w:tcW w:w="1230" w:type="dxa"/>
          </w:tcPr>
          <w:p w14:paraId="692FD8B1" w14:textId="77777777" w:rsidR="00687942" w:rsidRPr="00DE31F1" w:rsidRDefault="00687942" w:rsidP="0081001A">
            <w:pPr>
              <w:rPr>
                <w:b/>
                <w:bCs/>
                <w:lang w:val="en-US"/>
              </w:rPr>
            </w:pPr>
            <w:r w:rsidRPr="00DE31F1">
              <w:rPr>
                <w:b/>
                <w:bCs/>
                <w:lang w:val="en-US"/>
              </w:rPr>
              <w:t>Summary</w:t>
            </w:r>
          </w:p>
        </w:tc>
        <w:tc>
          <w:tcPr>
            <w:tcW w:w="8163" w:type="dxa"/>
            <w:gridSpan w:val="2"/>
          </w:tcPr>
          <w:p w14:paraId="6B98EE2B" w14:textId="77777777" w:rsidR="00687942" w:rsidRPr="00A64555" w:rsidRDefault="00687942" w:rsidP="0081001A">
            <w:pPr>
              <w:rPr>
                <w:b/>
                <w:bCs/>
              </w:rPr>
            </w:pPr>
            <w:r>
              <w:t>This document proposes some guidelines to ensure by default equity, accessibility, and inclusivity in the development of the metaverse. Its primary objective is to offer the context for the legal framework based on the United Nations (UN) mandates and Sustainable Development Goals (SDGs), along the derived standards. This document offers a comprehensive understanding of the current state of the background which should underlay any metaverse development. The document also identifies the key challenges that hinder the achievement of equity, accessibility, and inclusivity within the metaverse, and propose potential roadmaps towards constructing a metaverse leaving no one behind.</w:t>
            </w:r>
          </w:p>
        </w:tc>
      </w:tr>
      <w:tr w:rsidR="00687942" w14:paraId="6A7F54E6" w14:textId="77777777" w:rsidTr="0081001A">
        <w:tc>
          <w:tcPr>
            <w:tcW w:w="241" w:type="dxa"/>
            <w:vMerge/>
          </w:tcPr>
          <w:p w14:paraId="442270FF" w14:textId="77777777" w:rsidR="00687942" w:rsidRDefault="00687942" w:rsidP="0081001A"/>
        </w:tc>
        <w:tc>
          <w:tcPr>
            <w:tcW w:w="1230" w:type="dxa"/>
          </w:tcPr>
          <w:p w14:paraId="7855AFEA" w14:textId="77777777" w:rsidR="00687942" w:rsidRPr="00DE31F1" w:rsidRDefault="00687942" w:rsidP="0081001A">
            <w:pPr>
              <w:rPr>
                <w:b/>
                <w:bCs/>
                <w:lang w:val="en-US" w:eastAsia="ko-KR"/>
              </w:rPr>
            </w:pPr>
            <w:r w:rsidRPr="00DE31F1">
              <w:rPr>
                <w:b/>
                <w:bCs/>
                <w:lang w:val="en-US" w:eastAsia="ko-KR"/>
              </w:rPr>
              <w:t xml:space="preserve">SG16 </w:t>
            </w:r>
            <w:r>
              <w:rPr>
                <w:b/>
                <w:bCs/>
                <w:lang w:val="en-US" w:eastAsia="ko-KR"/>
              </w:rPr>
              <w:t>suggestion</w:t>
            </w:r>
          </w:p>
        </w:tc>
        <w:tc>
          <w:tcPr>
            <w:tcW w:w="8163" w:type="dxa"/>
            <w:gridSpan w:val="2"/>
          </w:tcPr>
          <w:p w14:paraId="0A4A9694" w14:textId="77777777" w:rsidR="00687942" w:rsidRPr="007C0CDC" w:rsidRDefault="00687942" w:rsidP="0081001A">
            <w:r w:rsidRPr="00CC53F6">
              <w:t>SG16 should handle this task due to its expertise in multimedia technologies and focus on accessibility, aligning well with the need for inclusive metaverse standards based on UN mandates and SDGs.</w:t>
            </w:r>
            <w:r>
              <w:t xml:space="preserve"> If ITU-T SG3 does not address this issue, SG16 would like to take it for further review and take appropriate action if necessary.</w:t>
            </w:r>
          </w:p>
        </w:tc>
      </w:tr>
    </w:tbl>
    <w:p w14:paraId="31E8F10B" w14:textId="77777777" w:rsidR="00687942" w:rsidRDefault="00687942" w:rsidP="00687942">
      <w:pPr>
        <w:rPr>
          <w:lang w:val="en-US" w:eastAsia="ko-KR"/>
        </w:rPr>
      </w:pPr>
    </w:p>
    <w:tbl>
      <w:tblPr>
        <w:tblStyle w:val="TableGrid"/>
        <w:tblW w:w="9634" w:type="dxa"/>
        <w:tblLook w:val="04A0" w:firstRow="1" w:lastRow="0" w:firstColumn="1" w:lastColumn="0" w:noHBand="0" w:noVBand="1"/>
      </w:tblPr>
      <w:tblGrid>
        <w:gridCol w:w="241"/>
        <w:gridCol w:w="1283"/>
        <w:gridCol w:w="5843"/>
        <w:gridCol w:w="2267"/>
      </w:tblGrid>
      <w:tr w:rsidR="00687942" w14:paraId="723C9850" w14:textId="77777777" w:rsidTr="0081001A">
        <w:trPr>
          <w:trHeight w:val="423"/>
        </w:trPr>
        <w:tc>
          <w:tcPr>
            <w:tcW w:w="1471" w:type="dxa"/>
            <w:gridSpan w:val="2"/>
            <w:shd w:val="clear" w:color="auto" w:fill="E7E6E6" w:themeFill="background2"/>
            <w:vAlign w:val="center"/>
          </w:tcPr>
          <w:p w14:paraId="507405A4" w14:textId="77777777" w:rsidR="00687942" w:rsidRDefault="00687942" w:rsidP="0081001A">
            <w:pPr>
              <w:spacing w:before="0"/>
              <w:jc w:val="center"/>
              <w:rPr>
                <w:lang w:val="en-US"/>
              </w:rPr>
            </w:pPr>
            <w:r w:rsidRPr="007C0CDC">
              <w:rPr>
                <w:b/>
                <w:bCs/>
              </w:rPr>
              <w:t>No.</w:t>
            </w:r>
          </w:p>
        </w:tc>
        <w:tc>
          <w:tcPr>
            <w:tcW w:w="5885" w:type="dxa"/>
            <w:shd w:val="clear" w:color="auto" w:fill="E7E6E6" w:themeFill="background2"/>
            <w:vAlign w:val="center"/>
          </w:tcPr>
          <w:p w14:paraId="0E094BD5" w14:textId="77777777" w:rsidR="00687942" w:rsidRDefault="00687942" w:rsidP="0081001A">
            <w:pPr>
              <w:spacing w:before="0"/>
              <w:jc w:val="center"/>
              <w:rPr>
                <w:lang w:val="en-US"/>
              </w:rPr>
            </w:pPr>
            <w:r w:rsidRPr="007C0CDC">
              <w:rPr>
                <w:b/>
                <w:bCs/>
              </w:rPr>
              <w:t>Title</w:t>
            </w:r>
          </w:p>
        </w:tc>
        <w:tc>
          <w:tcPr>
            <w:tcW w:w="2278" w:type="dxa"/>
            <w:shd w:val="clear" w:color="auto" w:fill="E7E6E6" w:themeFill="background2"/>
            <w:vAlign w:val="center"/>
          </w:tcPr>
          <w:p w14:paraId="15AEE966" w14:textId="77777777" w:rsidR="00687942" w:rsidRDefault="00687942" w:rsidP="0081001A">
            <w:pPr>
              <w:spacing w:before="0"/>
              <w:jc w:val="center"/>
              <w:rPr>
                <w:lang w:val="en-US"/>
              </w:rPr>
            </w:pPr>
            <w:r w:rsidRPr="007C0CDC">
              <w:rPr>
                <w:b/>
                <w:bCs/>
              </w:rPr>
              <w:t>Allocated</w:t>
            </w:r>
            <w:r>
              <w:rPr>
                <w:b/>
                <w:bCs/>
              </w:rPr>
              <w:t xml:space="preserve"> to</w:t>
            </w:r>
            <w:r>
              <w:rPr>
                <w:b/>
                <w:bCs/>
              </w:rPr>
              <w:br/>
              <w:t>(TSAG, January 2024)</w:t>
            </w:r>
          </w:p>
        </w:tc>
      </w:tr>
      <w:tr w:rsidR="00687942" w:rsidRPr="008A0058" w14:paraId="3CD0D662" w14:textId="77777777" w:rsidTr="0081001A">
        <w:tc>
          <w:tcPr>
            <w:tcW w:w="1471" w:type="dxa"/>
            <w:gridSpan w:val="2"/>
          </w:tcPr>
          <w:p w14:paraId="19AC1FFD" w14:textId="77777777" w:rsidR="00687942" w:rsidRDefault="008A0058" w:rsidP="0081001A">
            <w:pPr>
              <w:rPr>
                <w:lang w:val="en-US"/>
              </w:rPr>
            </w:pPr>
            <w:hyperlink r:id="rId19" w:history="1">
              <w:proofErr w:type="spellStart"/>
              <w:r w:rsidR="00687942" w:rsidRPr="007C0CDC">
                <w:rPr>
                  <w:rStyle w:val="Hyperlink"/>
                  <w:b/>
                  <w:bCs/>
                </w:rPr>
                <w:t>FGMV</w:t>
              </w:r>
              <w:proofErr w:type="spellEnd"/>
              <w:r w:rsidR="00687942" w:rsidRPr="007C0CDC">
                <w:rPr>
                  <w:rStyle w:val="Hyperlink"/>
                  <w:b/>
                  <w:bCs/>
                </w:rPr>
                <w:t>-19</w:t>
              </w:r>
            </w:hyperlink>
            <w:r w:rsidR="00687942" w:rsidRPr="007C0CDC">
              <w:rPr>
                <w:b/>
                <w:bCs/>
              </w:rPr>
              <w:t xml:space="preserve"> (2023-12)</w:t>
            </w:r>
          </w:p>
        </w:tc>
        <w:tc>
          <w:tcPr>
            <w:tcW w:w="5885" w:type="dxa"/>
          </w:tcPr>
          <w:p w14:paraId="7B53E82D" w14:textId="77777777" w:rsidR="00687942" w:rsidRDefault="00687942" w:rsidP="0081001A">
            <w:pPr>
              <w:rPr>
                <w:lang w:val="en-US"/>
              </w:rPr>
            </w:pPr>
            <w:r w:rsidRPr="007C0CDC">
              <w:t>Technical Specification on service scenarios and high-level requirements for metaverse cross-platform interoperability</w:t>
            </w:r>
          </w:p>
        </w:tc>
        <w:tc>
          <w:tcPr>
            <w:tcW w:w="2278" w:type="dxa"/>
          </w:tcPr>
          <w:p w14:paraId="5CFEFA2F" w14:textId="77777777" w:rsidR="00687942" w:rsidRPr="008A0058" w:rsidRDefault="00687942" w:rsidP="0081001A">
            <w:pPr>
              <w:rPr>
                <w:lang w:val="de-DE"/>
              </w:rPr>
            </w:pPr>
            <w:r w:rsidRPr="008A0058">
              <w:rPr>
                <w:lang w:val="de-DE"/>
              </w:rPr>
              <w:t>ITU-T SG16, SG20, SG13 &amp; SG11</w:t>
            </w:r>
          </w:p>
        </w:tc>
      </w:tr>
      <w:tr w:rsidR="00687942" w14:paraId="627320B7" w14:textId="77777777" w:rsidTr="0081001A">
        <w:tc>
          <w:tcPr>
            <w:tcW w:w="241" w:type="dxa"/>
          </w:tcPr>
          <w:p w14:paraId="32BD4A5D" w14:textId="77777777" w:rsidR="00687942" w:rsidRPr="008A0058" w:rsidRDefault="00687942" w:rsidP="0081001A">
            <w:pPr>
              <w:rPr>
                <w:lang w:val="de-DE"/>
              </w:rPr>
            </w:pPr>
          </w:p>
        </w:tc>
        <w:tc>
          <w:tcPr>
            <w:tcW w:w="1230" w:type="dxa"/>
          </w:tcPr>
          <w:p w14:paraId="22DAA6AE" w14:textId="77777777" w:rsidR="00687942" w:rsidRDefault="00687942" w:rsidP="0081001A">
            <w:r w:rsidRPr="00DE31F1">
              <w:rPr>
                <w:b/>
                <w:bCs/>
                <w:lang w:val="en-US"/>
              </w:rPr>
              <w:t>Summary</w:t>
            </w:r>
          </w:p>
        </w:tc>
        <w:tc>
          <w:tcPr>
            <w:tcW w:w="8163" w:type="dxa"/>
            <w:gridSpan w:val="2"/>
          </w:tcPr>
          <w:p w14:paraId="39393355" w14:textId="77777777" w:rsidR="00687942" w:rsidRPr="006A13BD" w:rsidRDefault="00687942" w:rsidP="0081001A">
            <w:r>
              <w:t>This deliverable specifies the service scenarios and high-level requirements for metaverse cross</w:t>
            </w:r>
            <w:r>
              <w:rPr>
                <w:rFonts w:hint="eastAsia"/>
                <w:lang w:eastAsia="ko-KR"/>
              </w:rPr>
              <w:t>-</w:t>
            </w:r>
            <w:r>
              <w:t>platform interoperability. With the increasing number of metaverse platforms being developed, there is a need to create an open and seamless metaverse interoperable environments between metaverse platforms that fosters innovation and collaboration. This deliverable aims to identify the various intended service scenarios and high-level requirements of four types of metaverse cross-platform interoperability: avatar interoperability, asset interoperability, content interoperability, identity interoperability.</w:t>
            </w:r>
          </w:p>
        </w:tc>
      </w:tr>
      <w:tr w:rsidR="00687942" w14:paraId="2D69208C" w14:textId="77777777" w:rsidTr="0081001A">
        <w:tc>
          <w:tcPr>
            <w:tcW w:w="241" w:type="dxa"/>
          </w:tcPr>
          <w:p w14:paraId="75BAE857" w14:textId="77777777" w:rsidR="00687942" w:rsidRDefault="00687942" w:rsidP="0081001A"/>
        </w:tc>
        <w:tc>
          <w:tcPr>
            <w:tcW w:w="1230" w:type="dxa"/>
          </w:tcPr>
          <w:p w14:paraId="1E7045F9" w14:textId="77777777" w:rsidR="00687942" w:rsidRDefault="00687942" w:rsidP="0081001A">
            <w:r w:rsidRPr="00DE31F1">
              <w:rPr>
                <w:b/>
                <w:bCs/>
                <w:lang w:val="en-US" w:eastAsia="ko-KR"/>
              </w:rPr>
              <w:t xml:space="preserve">SG16 </w:t>
            </w:r>
            <w:r>
              <w:rPr>
                <w:b/>
                <w:bCs/>
                <w:lang w:val="en-US" w:eastAsia="ko-KR"/>
              </w:rPr>
              <w:t>suggestion</w:t>
            </w:r>
          </w:p>
        </w:tc>
        <w:tc>
          <w:tcPr>
            <w:tcW w:w="8163" w:type="dxa"/>
            <w:gridSpan w:val="2"/>
          </w:tcPr>
          <w:p w14:paraId="54391861" w14:textId="77777777" w:rsidR="00687942" w:rsidRPr="006A13BD" w:rsidRDefault="00687942" w:rsidP="0081001A">
            <w:proofErr w:type="spellStart"/>
            <w:r w:rsidRPr="006A13BD">
              <w:t>SG16's</w:t>
            </w:r>
            <w:proofErr w:type="spellEnd"/>
            <w:r w:rsidRPr="006A13BD">
              <w:t xml:space="preserve"> expertise in multimedia services and applications includes the technologies fundamental for a seamless metaverse experience. As the metaverse essentially represents a network of 3D virtual worlds, it heavily relies on multimedia interoperability. The four interoperability aspects mentioned</w:t>
            </w:r>
            <w:r>
              <w:t xml:space="preserve"> </w:t>
            </w:r>
            <w:r w:rsidRPr="006A13BD">
              <w:t>avatar, asset, content, and identity</w:t>
            </w:r>
            <w:r>
              <w:t xml:space="preserve"> </w:t>
            </w:r>
            <w:r w:rsidRPr="006A13BD">
              <w:t xml:space="preserve">are central to a unified multimedia environment, which is </w:t>
            </w:r>
            <w:proofErr w:type="spellStart"/>
            <w:r w:rsidRPr="006A13BD">
              <w:t>SG16's</w:t>
            </w:r>
            <w:proofErr w:type="spellEnd"/>
            <w:r w:rsidRPr="006A13BD">
              <w:t xml:space="preserve"> domain.</w:t>
            </w:r>
          </w:p>
        </w:tc>
      </w:tr>
    </w:tbl>
    <w:p w14:paraId="3512767F" w14:textId="65734AF5" w:rsidR="00B7465D" w:rsidRDefault="00B7465D" w:rsidP="00687942">
      <w:pPr>
        <w:rPr>
          <w:lang w:val="en-US" w:eastAsia="ko-KR"/>
        </w:rPr>
      </w:pPr>
    </w:p>
    <w:tbl>
      <w:tblPr>
        <w:tblStyle w:val="TableGrid"/>
        <w:tblW w:w="9634" w:type="dxa"/>
        <w:tblLook w:val="04A0" w:firstRow="1" w:lastRow="0" w:firstColumn="1" w:lastColumn="0" w:noHBand="0" w:noVBand="1"/>
      </w:tblPr>
      <w:tblGrid>
        <w:gridCol w:w="240"/>
        <w:gridCol w:w="1283"/>
        <w:gridCol w:w="5843"/>
        <w:gridCol w:w="2268"/>
      </w:tblGrid>
      <w:tr w:rsidR="00687942" w14:paraId="384DCAB1" w14:textId="77777777" w:rsidTr="00DA6BBA">
        <w:trPr>
          <w:trHeight w:val="423"/>
          <w:tblHeader/>
        </w:trPr>
        <w:tc>
          <w:tcPr>
            <w:tcW w:w="1523" w:type="dxa"/>
            <w:gridSpan w:val="2"/>
            <w:shd w:val="clear" w:color="auto" w:fill="E7E6E6" w:themeFill="background2"/>
            <w:vAlign w:val="center"/>
          </w:tcPr>
          <w:p w14:paraId="2058C599" w14:textId="77777777" w:rsidR="00687942" w:rsidRDefault="00687942" w:rsidP="0081001A">
            <w:pPr>
              <w:spacing w:before="0"/>
              <w:jc w:val="center"/>
              <w:rPr>
                <w:lang w:val="en-US"/>
              </w:rPr>
            </w:pPr>
            <w:r w:rsidRPr="007C0CDC">
              <w:rPr>
                <w:b/>
                <w:bCs/>
              </w:rPr>
              <w:lastRenderedPageBreak/>
              <w:t>No.</w:t>
            </w:r>
          </w:p>
        </w:tc>
        <w:tc>
          <w:tcPr>
            <w:tcW w:w="5843" w:type="dxa"/>
            <w:shd w:val="clear" w:color="auto" w:fill="E7E6E6" w:themeFill="background2"/>
            <w:vAlign w:val="center"/>
          </w:tcPr>
          <w:p w14:paraId="08A141CC" w14:textId="77777777" w:rsidR="00687942" w:rsidRDefault="00687942" w:rsidP="0081001A">
            <w:pPr>
              <w:spacing w:before="0"/>
              <w:jc w:val="center"/>
              <w:rPr>
                <w:lang w:val="en-US"/>
              </w:rPr>
            </w:pPr>
            <w:r w:rsidRPr="007C0CDC">
              <w:rPr>
                <w:b/>
                <w:bCs/>
              </w:rPr>
              <w:t>Title</w:t>
            </w:r>
          </w:p>
        </w:tc>
        <w:tc>
          <w:tcPr>
            <w:tcW w:w="2268" w:type="dxa"/>
            <w:shd w:val="clear" w:color="auto" w:fill="E7E6E6" w:themeFill="background2"/>
            <w:vAlign w:val="center"/>
          </w:tcPr>
          <w:p w14:paraId="2D65DFF7" w14:textId="77777777" w:rsidR="00687942" w:rsidRDefault="00687942" w:rsidP="0081001A">
            <w:pPr>
              <w:spacing w:before="0"/>
              <w:jc w:val="center"/>
              <w:rPr>
                <w:lang w:val="en-US"/>
              </w:rPr>
            </w:pPr>
            <w:r w:rsidRPr="007C0CDC">
              <w:rPr>
                <w:b/>
                <w:bCs/>
              </w:rPr>
              <w:t>Allocated</w:t>
            </w:r>
            <w:r>
              <w:rPr>
                <w:b/>
                <w:bCs/>
              </w:rPr>
              <w:t xml:space="preserve"> to</w:t>
            </w:r>
            <w:r>
              <w:rPr>
                <w:b/>
                <w:bCs/>
              </w:rPr>
              <w:br/>
              <w:t>(TSAG, January 2024)</w:t>
            </w:r>
          </w:p>
        </w:tc>
      </w:tr>
      <w:tr w:rsidR="00687942" w14:paraId="690DBC25" w14:textId="77777777" w:rsidTr="00B7465D">
        <w:tc>
          <w:tcPr>
            <w:tcW w:w="1523" w:type="dxa"/>
            <w:gridSpan w:val="2"/>
          </w:tcPr>
          <w:p w14:paraId="1B65B87A" w14:textId="77777777" w:rsidR="00687942" w:rsidRDefault="008A0058" w:rsidP="0081001A">
            <w:pPr>
              <w:rPr>
                <w:lang w:val="en-US"/>
              </w:rPr>
            </w:pPr>
            <w:hyperlink r:id="rId20" w:history="1">
              <w:proofErr w:type="spellStart"/>
              <w:r w:rsidR="00687942" w:rsidRPr="007C0CDC">
                <w:rPr>
                  <w:rStyle w:val="Hyperlink"/>
                  <w:b/>
                  <w:bCs/>
                </w:rPr>
                <w:t>FGMV</w:t>
              </w:r>
              <w:proofErr w:type="spellEnd"/>
              <w:r w:rsidR="00687942" w:rsidRPr="007C0CDC">
                <w:rPr>
                  <w:rStyle w:val="Hyperlink"/>
                  <w:b/>
                  <w:bCs/>
                </w:rPr>
                <w:t>-04</w:t>
              </w:r>
            </w:hyperlink>
            <w:r w:rsidR="00687942" w:rsidRPr="007C0CDC">
              <w:rPr>
                <w:b/>
                <w:bCs/>
              </w:rPr>
              <w:t xml:space="preserve"> </w:t>
            </w:r>
            <w:r w:rsidR="00687942">
              <w:rPr>
                <w:b/>
                <w:bCs/>
                <w:lang w:eastAsia="ko-KR"/>
              </w:rPr>
              <w:br/>
            </w:r>
            <w:r w:rsidR="00687942" w:rsidRPr="007C0CDC">
              <w:rPr>
                <w:b/>
                <w:bCs/>
              </w:rPr>
              <w:t>(2023-10)</w:t>
            </w:r>
          </w:p>
        </w:tc>
        <w:tc>
          <w:tcPr>
            <w:tcW w:w="5843" w:type="dxa"/>
          </w:tcPr>
          <w:p w14:paraId="2862E16F" w14:textId="77777777" w:rsidR="00687942" w:rsidRDefault="00687942" w:rsidP="0081001A">
            <w:pPr>
              <w:rPr>
                <w:lang w:val="en-US"/>
              </w:rPr>
            </w:pPr>
            <w:r w:rsidRPr="007C0CDC">
              <w:t>Technical Specification on requirements of accessible products and services in the metaverse: Part I – System design perspective</w:t>
            </w:r>
          </w:p>
        </w:tc>
        <w:tc>
          <w:tcPr>
            <w:tcW w:w="2268" w:type="dxa"/>
          </w:tcPr>
          <w:p w14:paraId="746F333E" w14:textId="77777777" w:rsidR="00687942" w:rsidRDefault="00687942" w:rsidP="0081001A">
            <w:pPr>
              <w:rPr>
                <w:lang w:val="en-US"/>
              </w:rPr>
            </w:pPr>
            <w:r w:rsidRPr="007C0CDC">
              <w:rPr>
                <w:lang w:val="fr-CH"/>
              </w:rPr>
              <w:t>ITU-T SG16, SG9, SG20</w:t>
            </w:r>
          </w:p>
        </w:tc>
      </w:tr>
      <w:tr w:rsidR="00687942" w14:paraId="0698637C" w14:textId="77777777" w:rsidTr="00B7465D">
        <w:tc>
          <w:tcPr>
            <w:tcW w:w="240" w:type="dxa"/>
          </w:tcPr>
          <w:p w14:paraId="4EF7C390" w14:textId="77777777" w:rsidR="00687942" w:rsidRDefault="00687942" w:rsidP="0081001A"/>
        </w:tc>
        <w:tc>
          <w:tcPr>
            <w:tcW w:w="1283" w:type="dxa"/>
          </w:tcPr>
          <w:p w14:paraId="12164947" w14:textId="77777777" w:rsidR="00687942" w:rsidRDefault="00687942" w:rsidP="0081001A">
            <w:r w:rsidRPr="00DE31F1">
              <w:rPr>
                <w:b/>
                <w:bCs/>
                <w:lang w:val="en-US"/>
              </w:rPr>
              <w:t>Summary</w:t>
            </w:r>
          </w:p>
        </w:tc>
        <w:tc>
          <w:tcPr>
            <w:tcW w:w="8111" w:type="dxa"/>
            <w:gridSpan w:val="2"/>
          </w:tcPr>
          <w:p w14:paraId="7C05D3B9" w14:textId="547237D0" w:rsidR="00687942" w:rsidRPr="006A13BD" w:rsidRDefault="00687942" w:rsidP="0081001A">
            <w:r>
              <w:t xml:space="preserve">This Technical Specification provides high-level requirements for designers and developers to create an accessible immersive experience in the metaverse. This document considers the common accessibility requirements for the design and development phases of born accessible products and services in the metaverse. The document is related to </w:t>
            </w:r>
            <w:r w:rsidR="00B52046">
              <w:t>"</w:t>
            </w:r>
            <w:r>
              <w:t>Requirements of accessible products and services in the metaverse: Part II – User perspective</w:t>
            </w:r>
            <w:r w:rsidR="00B52046">
              <w:t>"</w:t>
            </w:r>
            <w:r>
              <w:t xml:space="preserve"> and provides common accessibility requirements.</w:t>
            </w:r>
          </w:p>
        </w:tc>
      </w:tr>
      <w:tr w:rsidR="00687942" w14:paraId="7AE7C18C" w14:textId="77777777" w:rsidTr="00B7465D">
        <w:tc>
          <w:tcPr>
            <w:tcW w:w="240" w:type="dxa"/>
          </w:tcPr>
          <w:p w14:paraId="1F2D4884" w14:textId="77777777" w:rsidR="00687942" w:rsidRDefault="00687942" w:rsidP="0081001A"/>
        </w:tc>
        <w:tc>
          <w:tcPr>
            <w:tcW w:w="1283" w:type="dxa"/>
          </w:tcPr>
          <w:p w14:paraId="2743B9D6" w14:textId="77777777" w:rsidR="00687942" w:rsidRDefault="00687942" w:rsidP="0081001A">
            <w:r w:rsidRPr="00DE31F1">
              <w:rPr>
                <w:b/>
                <w:bCs/>
                <w:lang w:val="en-US" w:eastAsia="ko-KR"/>
              </w:rPr>
              <w:t xml:space="preserve">SG16 </w:t>
            </w:r>
            <w:r>
              <w:rPr>
                <w:b/>
                <w:bCs/>
                <w:lang w:val="en-US" w:eastAsia="ko-KR"/>
              </w:rPr>
              <w:t>suggestion</w:t>
            </w:r>
          </w:p>
        </w:tc>
        <w:tc>
          <w:tcPr>
            <w:tcW w:w="8111" w:type="dxa"/>
            <w:gridSpan w:val="2"/>
          </w:tcPr>
          <w:p w14:paraId="6C3CFDF6" w14:textId="65C1DCC6" w:rsidR="00687942" w:rsidRPr="006A13BD" w:rsidRDefault="00687942" w:rsidP="0081001A">
            <w:r w:rsidRPr="00A430C2">
              <w:t xml:space="preserve">SG16 is charged with advancing technologies for </w:t>
            </w:r>
            <w:r>
              <w:rPr>
                <w:rFonts w:hint="eastAsia"/>
                <w:lang w:eastAsia="ko-KR"/>
              </w:rPr>
              <w:t>universally accessible multimedia applications and services</w:t>
            </w:r>
            <w:r w:rsidRPr="00A430C2">
              <w:t xml:space="preserve">. This technical specification, which focuses on high-level requirements for designing and developing accessible products in the metaverse, falls directly within </w:t>
            </w:r>
            <w:proofErr w:type="spellStart"/>
            <w:r w:rsidRPr="00A430C2">
              <w:t>SG16's</w:t>
            </w:r>
            <w:proofErr w:type="spellEnd"/>
            <w:r w:rsidRPr="00A430C2">
              <w:t xml:space="preserve"> purview. The document's emphasis on ensuring that metaverse products and services are "born accessible" aligns with </w:t>
            </w:r>
            <w:proofErr w:type="spellStart"/>
            <w:r w:rsidRPr="00A430C2">
              <w:t>SG16</w:t>
            </w:r>
            <w:r w:rsidR="00B52046">
              <w:t>'</w:t>
            </w:r>
            <w:r w:rsidRPr="00A430C2">
              <w:t>s</w:t>
            </w:r>
            <w:proofErr w:type="spellEnd"/>
            <w:r w:rsidRPr="00A430C2">
              <w:t xml:space="preserve"> objective to foster inclusivity and accessibility in digital environments.</w:t>
            </w:r>
          </w:p>
        </w:tc>
      </w:tr>
    </w:tbl>
    <w:p w14:paraId="27F90961" w14:textId="77777777" w:rsidR="00687942" w:rsidRDefault="00687942" w:rsidP="00687942">
      <w:pPr>
        <w:rPr>
          <w:lang w:eastAsia="ko-KR"/>
        </w:rPr>
      </w:pPr>
    </w:p>
    <w:tbl>
      <w:tblPr>
        <w:tblStyle w:val="TableGrid"/>
        <w:tblW w:w="9634" w:type="dxa"/>
        <w:tblLook w:val="04A0" w:firstRow="1" w:lastRow="0" w:firstColumn="1" w:lastColumn="0" w:noHBand="0" w:noVBand="1"/>
      </w:tblPr>
      <w:tblGrid>
        <w:gridCol w:w="240"/>
        <w:gridCol w:w="1283"/>
        <w:gridCol w:w="5843"/>
        <w:gridCol w:w="2268"/>
      </w:tblGrid>
      <w:tr w:rsidR="00687942" w14:paraId="7586CFB6" w14:textId="77777777" w:rsidTr="0081001A">
        <w:trPr>
          <w:trHeight w:val="423"/>
        </w:trPr>
        <w:tc>
          <w:tcPr>
            <w:tcW w:w="1471" w:type="dxa"/>
            <w:gridSpan w:val="2"/>
            <w:shd w:val="clear" w:color="auto" w:fill="E7E6E6" w:themeFill="background2"/>
            <w:vAlign w:val="center"/>
          </w:tcPr>
          <w:p w14:paraId="17E988E9" w14:textId="77777777" w:rsidR="00687942" w:rsidRDefault="00687942" w:rsidP="0081001A">
            <w:pPr>
              <w:spacing w:before="0"/>
              <w:jc w:val="center"/>
              <w:rPr>
                <w:lang w:val="en-US"/>
              </w:rPr>
            </w:pPr>
            <w:r w:rsidRPr="007C0CDC">
              <w:rPr>
                <w:b/>
                <w:bCs/>
              </w:rPr>
              <w:t>No.</w:t>
            </w:r>
          </w:p>
        </w:tc>
        <w:tc>
          <w:tcPr>
            <w:tcW w:w="5885" w:type="dxa"/>
            <w:shd w:val="clear" w:color="auto" w:fill="E7E6E6" w:themeFill="background2"/>
            <w:vAlign w:val="center"/>
          </w:tcPr>
          <w:p w14:paraId="75360EBC" w14:textId="77777777" w:rsidR="00687942" w:rsidRDefault="00687942" w:rsidP="0081001A">
            <w:pPr>
              <w:spacing w:before="0"/>
              <w:jc w:val="center"/>
              <w:rPr>
                <w:lang w:val="en-US"/>
              </w:rPr>
            </w:pPr>
            <w:r w:rsidRPr="007C0CDC">
              <w:rPr>
                <w:b/>
                <w:bCs/>
              </w:rPr>
              <w:t>Title</w:t>
            </w:r>
          </w:p>
        </w:tc>
        <w:tc>
          <w:tcPr>
            <w:tcW w:w="2278" w:type="dxa"/>
            <w:shd w:val="clear" w:color="auto" w:fill="E7E6E6" w:themeFill="background2"/>
            <w:vAlign w:val="center"/>
          </w:tcPr>
          <w:p w14:paraId="35E03610" w14:textId="77777777" w:rsidR="00687942" w:rsidRDefault="00687942" w:rsidP="0081001A">
            <w:pPr>
              <w:spacing w:before="0"/>
              <w:jc w:val="center"/>
              <w:rPr>
                <w:lang w:val="en-US"/>
              </w:rPr>
            </w:pPr>
            <w:r w:rsidRPr="007C0CDC">
              <w:rPr>
                <w:b/>
                <w:bCs/>
              </w:rPr>
              <w:t>Allocated</w:t>
            </w:r>
            <w:r>
              <w:rPr>
                <w:b/>
                <w:bCs/>
              </w:rPr>
              <w:t xml:space="preserve"> to</w:t>
            </w:r>
            <w:r>
              <w:rPr>
                <w:b/>
                <w:bCs/>
              </w:rPr>
              <w:br/>
              <w:t>(TSAG, January 2024)</w:t>
            </w:r>
          </w:p>
        </w:tc>
      </w:tr>
      <w:tr w:rsidR="00687942" w:rsidRPr="008A0058" w14:paraId="3620FA68" w14:textId="77777777" w:rsidTr="0081001A">
        <w:tc>
          <w:tcPr>
            <w:tcW w:w="1471" w:type="dxa"/>
            <w:gridSpan w:val="2"/>
          </w:tcPr>
          <w:p w14:paraId="4FDB7965" w14:textId="77777777" w:rsidR="00687942" w:rsidRDefault="008A0058" w:rsidP="0081001A">
            <w:pPr>
              <w:rPr>
                <w:lang w:val="en-US"/>
              </w:rPr>
            </w:pPr>
            <w:hyperlink r:id="rId21" w:history="1">
              <w:proofErr w:type="spellStart"/>
              <w:r w:rsidR="00687942" w:rsidRPr="007C0CDC">
                <w:rPr>
                  <w:rStyle w:val="Hyperlink"/>
                  <w:b/>
                  <w:bCs/>
                </w:rPr>
                <w:t>FGMV</w:t>
              </w:r>
              <w:proofErr w:type="spellEnd"/>
              <w:r w:rsidR="00687942" w:rsidRPr="007C0CDC">
                <w:rPr>
                  <w:rStyle w:val="Hyperlink"/>
                  <w:b/>
                  <w:bCs/>
                </w:rPr>
                <w:t>-05</w:t>
              </w:r>
            </w:hyperlink>
            <w:r w:rsidR="00687942" w:rsidRPr="007C0CDC">
              <w:rPr>
                <w:b/>
                <w:bCs/>
              </w:rPr>
              <w:t xml:space="preserve"> (2023-10)</w:t>
            </w:r>
          </w:p>
        </w:tc>
        <w:tc>
          <w:tcPr>
            <w:tcW w:w="5885" w:type="dxa"/>
          </w:tcPr>
          <w:p w14:paraId="31CCF055" w14:textId="77777777" w:rsidR="00687942" w:rsidRDefault="00687942" w:rsidP="0081001A">
            <w:pPr>
              <w:rPr>
                <w:lang w:val="en-US"/>
              </w:rPr>
            </w:pPr>
            <w:r w:rsidRPr="007C0CDC">
              <w:t>Technical Specification on requirements of accessible products and services in the metaverse: Part II – User perspective</w:t>
            </w:r>
          </w:p>
        </w:tc>
        <w:tc>
          <w:tcPr>
            <w:tcW w:w="2278" w:type="dxa"/>
          </w:tcPr>
          <w:p w14:paraId="1E2CC226" w14:textId="77777777" w:rsidR="00687942" w:rsidRPr="008A0058" w:rsidRDefault="00687942" w:rsidP="0081001A">
            <w:pPr>
              <w:rPr>
                <w:lang w:val="de-DE"/>
              </w:rPr>
            </w:pPr>
            <w:r w:rsidRPr="008A0058">
              <w:rPr>
                <w:lang w:val="de-DE"/>
              </w:rPr>
              <w:t>ITU-T SG16, SG9, SG20 &amp; SG2</w:t>
            </w:r>
          </w:p>
        </w:tc>
      </w:tr>
      <w:tr w:rsidR="00687942" w14:paraId="37711C0E" w14:textId="77777777" w:rsidTr="0081001A">
        <w:tc>
          <w:tcPr>
            <w:tcW w:w="241" w:type="dxa"/>
            <w:vMerge w:val="restart"/>
          </w:tcPr>
          <w:p w14:paraId="2A333004" w14:textId="77777777" w:rsidR="00687942" w:rsidRPr="008A0058" w:rsidRDefault="00687942" w:rsidP="0081001A">
            <w:pPr>
              <w:rPr>
                <w:lang w:val="de-DE"/>
              </w:rPr>
            </w:pPr>
          </w:p>
        </w:tc>
        <w:tc>
          <w:tcPr>
            <w:tcW w:w="1230" w:type="dxa"/>
          </w:tcPr>
          <w:p w14:paraId="08C5C0D4" w14:textId="77777777" w:rsidR="00687942" w:rsidRDefault="00687942" w:rsidP="0081001A">
            <w:r w:rsidRPr="00DE31F1">
              <w:rPr>
                <w:b/>
                <w:bCs/>
                <w:lang w:val="en-US"/>
              </w:rPr>
              <w:t>Summary</w:t>
            </w:r>
          </w:p>
        </w:tc>
        <w:tc>
          <w:tcPr>
            <w:tcW w:w="8163" w:type="dxa"/>
            <w:gridSpan w:val="2"/>
          </w:tcPr>
          <w:p w14:paraId="25834169" w14:textId="2CDB18AF" w:rsidR="00687942" w:rsidRPr="006A13BD" w:rsidRDefault="00687942" w:rsidP="0081001A">
            <w:r>
              <w:t xml:space="preserve">This Technical Specification provides requirements on how to develop an accessible metaverse from a user perspective. This document considers the various metaverse components and the actions that users, regardless of their capabilities, may perform to access the metaverse, create an identity within the metaverse, navigate the metaverse and interact in the metaverse. The document is related to ITU FG-MV Technical Specification on </w:t>
            </w:r>
            <w:r w:rsidR="00B52046">
              <w:t>"</w:t>
            </w:r>
            <w:r>
              <w:t>Requirements of accessible products and services in the metaverse: Part I – System design perspective</w:t>
            </w:r>
            <w:r w:rsidR="00B52046">
              <w:t>"</w:t>
            </w:r>
            <w:r>
              <w:t xml:space="preserve"> and provides requirements on the role of users in creating and assessing accessibility services.</w:t>
            </w:r>
          </w:p>
        </w:tc>
      </w:tr>
      <w:tr w:rsidR="00687942" w14:paraId="0080E386" w14:textId="77777777" w:rsidTr="0081001A">
        <w:tc>
          <w:tcPr>
            <w:tcW w:w="241" w:type="dxa"/>
            <w:vMerge/>
          </w:tcPr>
          <w:p w14:paraId="094E26CC" w14:textId="77777777" w:rsidR="00687942" w:rsidRDefault="00687942" w:rsidP="0081001A"/>
        </w:tc>
        <w:tc>
          <w:tcPr>
            <w:tcW w:w="1230" w:type="dxa"/>
          </w:tcPr>
          <w:p w14:paraId="16330E31" w14:textId="77777777" w:rsidR="00687942" w:rsidRDefault="00687942" w:rsidP="0081001A">
            <w:r w:rsidRPr="00DE31F1">
              <w:rPr>
                <w:b/>
                <w:bCs/>
                <w:lang w:val="en-US" w:eastAsia="ko-KR"/>
              </w:rPr>
              <w:t xml:space="preserve">SG16 </w:t>
            </w:r>
            <w:r>
              <w:rPr>
                <w:b/>
                <w:bCs/>
                <w:lang w:val="en-US" w:eastAsia="ko-KR"/>
              </w:rPr>
              <w:t>suggestion</w:t>
            </w:r>
          </w:p>
        </w:tc>
        <w:tc>
          <w:tcPr>
            <w:tcW w:w="8163" w:type="dxa"/>
            <w:gridSpan w:val="2"/>
          </w:tcPr>
          <w:p w14:paraId="3FB43C7A" w14:textId="77777777" w:rsidR="00687942" w:rsidRPr="006A13BD" w:rsidRDefault="00687942" w:rsidP="0081001A">
            <w:r w:rsidRPr="009D5646">
              <w:t>SG16 should address this specification as it pertains to creating accessible metaverse experiences, focusing on user interaction and navigation, which aligns with its expertise in multimedia accessibility and inclusive system design.</w:t>
            </w:r>
          </w:p>
        </w:tc>
      </w:tr>
    </w:tbl>
    <w:p w14:paraId="6BA53EEE" w14:textId="22648A48" w:rsidR="00B7465D" w:rsidRDefault="00B7465D" w:rsidP="00687942">
      <w:pPr>
        <w:rPr>
          <w:lang w:val="en-US" w:eastAsia="ko-KR"/>
        </w:rPr>
      </w:pPr>
    </w:p>
    <w:p w14:paraId="0619AC4C" w14:textId="77777777" w:rsidR="00B7465D" w:rsidRDefault="00B7465D">
      <w:pPr>
        <w:spacing w:before="0" w:after="160" w:line="259" w:lineRule="auto"/>
        <w:rPr>
          <w:lang w:val="en-US" w:eastAsia="ko-KR"/>
        </w:rPr>
      </w:pPr>
      <w:r>
        <w:rPr>
          <w:lang w:val="en-US" w:eastAsia="ko-KR"/>
        </w:rPr>
        <w:br w:type="page"/>
      </w:r>
    </w:p>
    <w:tbl>
      <w:tblPr>
        <w:tblStyle w:val="TableGrid"/>
        <w:tblW w:w="9634" w:type="dxa"/>
        <w:tblLook w:val="04A0" w:firstRow="1" w:lastRow="0" w:firstColumn="1" w:lastColumn="0" w:noHBand="0" w:noVBand="1"/>
      </w:tblPr>
      <w:tblGrid>
        <w:gridCol w:w="240"/>
        <w:gridCol w:w="1283"/>
        <w:gridCol w:w="5843"/>
        <w:gridCol w:w="2268"/>
      </w:tblGrid>
      <w:tr w:rsidR="00687942" w14:paraId="1AEA93D3" w14:textId="77777777" w:rsidTr="00B7465D">
        <w:trPr>
          <w:trHeight w:val="423"/>
        </w:trPr>
        <w:tc>
          <w:tcPr>
            <w:tcW w:w="1523" w:type="dxa"/>
            <w:gridSpan w:val="2"/>
            <w:shd w:val="clear" w:color="auto" w:fill="E7E6E6" w:themeFill="background2"/>
            <w:vAlign w:val="center"/>
          </w:tcPr>
          <w:p w14:paraId="76387938" w14:textId="77777777" w:rsidR="00687942" w:rsidRDefault="00687942" w:rsidP="0081001A">
            <w:pPr>
              <w:spacing w:before="0"/>
              <w:jc w:val="center"/>
              <w:rPr>
                <w:lang w:val="en-US"/>
              </w:rPr>
            </w:pPr>
            <w:r w:rsidRPr="007C0CDC">
              <w:rPr>
                <w:b/>
                <w:bCs/>
              </w:rPr>
              <w:lastRenderedPageBreak/>
              <w:t>No.</w:t>
            </w:r>
          </w:p>
        </w:tc>
        <w:tc>
          <w:tcPr>
            <w:tcW w:w="5843" w:type="dxa"/>
            <w:shd w:val="clear" w:color="auto" w:fill="E7E6E6" w:themeFill="background2"/>
            <w:vAlign w:val="center"/>
          </w:tcPr>
          <w:p w14:paraId="6F8F52BA" w14:textId="77777777" w:rsidR="00687942" w:rsidRDefault="00687942" w:rsidP="0081001A">
            <w:pPr>
              <w:spacing w:before="0"/>
              <w:jc w:val="center"/>
              <w:rPr>
                <w:lang w:val="en-US"/>
              </w:rPr>
            </w:pPr>
            <w:r w:rsidRPr="007C0CDC">
              <w:rPr>
                <w:b/>
                <w:bCs/>
              </w:rPr>
              <w:t>Title</w:t>
            </w:r>
          </w:p>
        </w:tc>
        <w:tc>
          <w:tcPr>
            <w:tcW w:w="2268" w:type="dxa"/>
            <w:shd w:val="clear" w:color="auto" w:fill="E7E6E6" w:themeFill="background2"/>
            <w:vAlign w:val="center"/>
          </w:tcPr>
          <w:p w14:paraId="68658D4C" w14:textId="77777777" w:rsidR="00687942" w:rsidRDefault="00687942" w:rsidP="0081001A">
            <w:pPr>
              <w:spacing w:before="0"/>
              <w:jc w:val="center"/>
              <w:rPr>
                <w:lang w:val="en-US"/>
              </w:rPr>
            </w:pPr>
            <w:r w:rsidRPr="007C0CDC">
              <w:rPr>
                <w:b/>
                <w:bCs/>
              </w:rPr>
              <w:t>Allocated</w:t>
            </w:r>
            <w:r>
              <w:rPr>
                <w:b/>
                <w:bCs/>
              </w:rPr>
              <w:t xml:space="preserve"> to</w:t>
            </w:r>
            <w:r>
              <w:rPr>
                <w:b/>
                <w:bCs/>
              </w:rPr>
              <w:br/>
              <w:t>(TSAG, January 2024)</w:t>
            </w:r>
          </w:p>
        </w:tc>
      </w:tr>
      <w:tr w:rsidR="00687942" w14:paraId="6591103B" w14:textId="77777777" w:rsidTr="00B7465D">
        <w:tc>
          <w:tcPr>
            <w:tcW w:w="1523" w:type="dxa"/>
            <w:gridSpan w:val="2"/>
          </w:tcPr>
          <w:p w14:paraId="3435B8C1" w14:textId="77777777" w:rsidR="00687942" w:rsidRDefault="008A0058" w:rsidP="0081001A">
            <w:pPr>
              <w:rPr>
                <w:lang w:val="en-US"/>
              </w:rPr>
            </w:pPr>
            <w:hyperlink r:id="rId22" w:history="1">
              <w:proofErr w:type="spellStart"/>
              <w:r w:rsidR="00687942" w:rsidRPr="00DA5C05">
                <w:rPr>
                  <w:rStyle w:val="Hyperlink"/>
                  <w:b/>
                  <w:bCs/>
                </w:rPr>
                <w:t>FGMV</w:t>
              </w:r>
              <w:proofErr w:type="spellEnd"/>
              <w:r w:rsidR="00687942" w:rsidRPr="00DA5C05">
                <w:rPr>
                  <w:rStyle w:val="Hyperlink"/>
                  <w:b/>
                  <w:bCs/>
                </w:rPr>
                <w:t>-01</w:t>
              </w:r>
            </w:hyperlink>
            <w:r w:rsidR="00687942" w:rsidRPr="00DA5C05">
              <w:rPr>
                <w:b/>
                <w:bCs/>
              </w:rPr>
              <w:t xml:space="preserve"> (2023-07)</w:t>
            </w:r>
          </w:p>
        </w:tc>
        <w:tc>
          <w:tcPr>
            <w:tcW w:w="5843" w:type="dxa"/>
          </w:tcPr>
          <w:p w14:paraId="0BFD994F" w14:textId="77777777" w:rsidR="00687942" w:rsidRDefault="00687942" w:rsidP="0081001A">
            <w:pPr>
              <w:rPr>
                <w:lang w:val="en-US"/>
              </w:rPr>
            </w:pPr>
            <w:r w:rsidRPr="00DA5C05">
              <w:t>Technical Report on Exploring the metaverse: opportunities and challenges</w:t>
            </w:r>
          </w:p>
        </w:tc>
        <w:tc>
          <w:tcPr>
            <w:tcW w:w="2268" w:type="dxa"/>
          </w:tcPr>
          <w:p w14:paraId="1AEF3355" w14:textId="77777777" w:rsidR="00687942" w:rsidRDefault="00687942" w:rsidP="0081001A">
            <w:pPr>
              <w:rPr>
                <w:lang w:val="en-US"/>
              </w:rPr>
            </w:pPr>
            <w:r w:rsidRPr="00DA5C05">
              <w:rPr>
                <w:lang w:val="fr-CH"/>
              </w:rPr>
              <w:t xml:space="preserve">All ITU-T </w:t>
            </w:r>
            <w:proofErr w:type="spellStart"/>
            <w:r w:rsidRPr="00DA5C05">
              <w:rPr>
                <w:lang w:val="fr-CH"/>
              </w:rPr>
              <w:t>SGs</w:t>
            </w:r>
            <w:proofErr w:type="spellEnd"/>
          </w:p>
        </w:tc>
      </w:tr>
      <w:tr w:rsidR="00687942" w14:paraId="18AB2B80" w14:textId="77777777" w:rsidTr="00B7465D">
        <w:tc>
          <w:tcPr>
            <w:tcW w:w="240" w:type="dxa"/>
            <w:vMerge w:val="restart"/>
          </w:tcPr>
          <w:p w14:paraId="092884CC" w14:textId="77777777" w:rsidR="00687942" w:rsidRDefault="00687942" w:rsidP="0081001A"/>
        </w:tc>
        <w:tc>
          <w:tcPr>
            <w:tcW w:w="1283" w:type="dxa"/>
          </w:tcPr>
          <w:p w14:paraId="727B4605" w14:textId="77777777" w:rsidR="00687942" w:rsidRDefault="00687942" w:rsidP="0081001A">
            <w:r w:rsidRPr="00DE31F1">
              <w:rPr>
                <w:b/>
                <w:bCs/>
                <w:lang w:val="en-US"/>
              </w:rPr>
              <w:t>Summary</w:t>
            </w:r>
          </w:p>
        </w:tc>
        <w:tc>
          <w:tcPr>
            <w:tcW w:w="8111" w:type="dxa"/>
            <w:gridSpan w:val="2"/>
          </w:tcPr>
          <w:p w14:paraId="7E3A2BB1" w14:textId="77777777" w:rsidR="00687942" w:rsidRPr="006A13BD" w:rsidRDefault="00687942" w:rsidP="0081001A">
            <w:r>
              <w:t>This Technical Report explores the opportunities and challenges, and clarifies the role of international standards and the potential for the metaverse in the achievement of the United Nations Sustainable Development Goals</w:t>
            </w:r>
            <w:r>
              <w:rPr>
                <w:rFonts w:hint="eastAsia"/>
              </w:rPr>
              <w:t>.</w:t>
            </w:r>
          </w:p>
        </w:tc>
      </w:tr>
      <w:tr w:rsidR="00687942" w14:paraId="3E5A317A" w14:textId="77777777" w:rsidTr="00B7465D">
        <w:tc>
          <w:tcPr>
            <w:tcW w:w="240" w:type="dxa"/>
            <w:vMerge/>
          </w:tcPr>
          <w:p w14:paraId="79B08D43" w14:textId="77777777" w:rsidR="00687942" w:rsidRDefault="00687942" w:rsidP="0081001A"/>
        </w:tc>
        <w:tc>
          <w:tcPr>
            <w:tcW w:w="1283" w:type="dxa"/>
          </w:tcPr>
          <w:p w14:paraId="05283349" w14:textId="77777777" w:rsidR="00687942" w:rsidRDefault="00687942" w:rsidP="0081001A">
            <w:r w:rsidRPr="00DE31F1">
              <w:rPr>
                <w:b/>
                <w:bCs/>
                <w:lang w:val="en-US" w:eastAsia="ko-KR"/>
              </w:rPr>
              <w:t xml:space="preserve">SG16 </w:t>
            </w:r>
            <w:r>
              <w:rPr>
                <w:b/>
                <w:bCs/>
                <w:lang w:val="en-US" w:eastAsia="ko-KR"/>
              </w:rPr>
              <w:t>suggestion</w:t>
            </w:r>
          </w:p>
        </w:tc>
        <w:tc>
          <w:tcPr>
            <w:tcW w:w="8111" w:type="dxa"/>
            <w:gridSpan w:val="2"/>
          </w:tcPr>
          <w:p w14:paraId="72443961" w14:textId="77777777" w:rsidR="00687942" w:rsidRPr="006A13BD" w:rsidRDefault="00687942" w:rsidP="0081001A">
            <w:r w:rsidRPr="00E14A5C">
              <w:t xml:space="preserve">SG16 should oversee this task because </w:t>
            </w:r>
            <w:r>
              <w:t>its</w:t>
            </w:r>
            <w:r w:rsidRPr="00E14A5C">
              <w:t xml:space="preserve"> expertise in multimedia systems and international standards directly supports the alignment of metaverse technologies with the United Nations Sustainable Development Goals, ensuring these platforms contribute positively to global equitable and sustainable development.</w:t>
            </w:r>
            <w:r>
              <w:t xml:space="preserve"> Therefore, if there is no specific request from other ITU-T </w:t>
            </w:r>
            <w:proofErr w:type="spellStart"/>
            <w:r>
              <w:t>SGs</w:t>
            </w:r>
            <w:proofErr w:type="spellEnd"/>
            <w:r>
              <w:t>, SG16 would like to consider it for further review and take appropriate action if necessary.</w:t>
            </w:r>
          </w:p>
        </w:tc>
      </w:tr>
    </w:tbl>
    <w:p w14:paraId="2528FD3F" w14:textId="77777777" w:rsidR="00687942" w:rsidRDefault="00687942" w:rsidP="00687942">
      <w:pPr>
        <w:rPr>
          <w:lang w:eastAsia="ko-KR"/>
        </w:rPr>
      </w:pPr>
    </w:p>
    <w:tbl>
      <w:tblPr>
        <w:tblStyle w:val="TableGrid"/>
        <w:tblW w:w="9634" w:type="dxa"/>
        <w:tblLook w:val="04A0" w:firstRow="1" w:lastRow="0" w:firstColumn="1" w:lastColumn="0" w:noHBand="0" w:noVBand="1"/>
      </w:tblPr>
      <w:tblGrid>
        <w:gridCol w:w="241"/>
        <w:gridCol w:w="1283"/>
        <w:gridCol w:w="5842"/>
        <w:gridCol w:w="2268"/>
      </w:tblGrid>
      <w:tr w:rsidR="00687942" w14:paraId="1EB7378B" w14:textId="77777777" w:rsidTr="0081001A">
        <w:trPr>
          <w:trHeight w:val="423"/>
        </w:trPr>
        <w:tc>
          <w:tcPr>
            <w:tcW w:w="1471" w:type="dxa"/>
            <w:gridSpan w:val="2"/>
            <w:shd w:val="clear" w:color="auto" w:fill="E7E6E6" w:themeFill="background2"/>
            <w:vAlign w:val="center"/>
          </w:tcPr>
          <w:p w14:paraId="30883141" w14:textId="77777777" w:rsidR="00687942" w:rsidRDefault="00687942" w:rsidP="0081001A">
            <w:pPr>
              <w:spacing w:before="0"/>
              <w:jc w:val="center"/>
              <w:rPr>
                <w:lang w:val="en-US"/>
              </w:rPr>
            </w:pPr>
            <w:r w:rsidRPr="007C0CDC">
              <w:rPr>
                <w:b/>
                <w:bCs/>
              </w:rPr>
              <w:t>No.</w:t>
            </w:r>
          </w:p>
        </w:tc>
        <w:tc>
          <w:tcPr>
            <w:tcW w:w="5885" w:type="dxa"/>
            <w:shd w:val="clear" w:color="auto" w:fill="E7E6E6" w:themeFill="background2"/>
            <w:vAlign w:val="center"/>
          </w:tcPr>
          <w:p w14:paraId="73D65C82" w14:textId="77777777" w:rsidR="00687942" w:rsidRDefault="00687942" w:rsidP="0081001A">
            <w:pPr>
              <w:spacing w:before="0"/>
              <w:jc w:val="center"/>
              <w:rPr>
                <w:lang w:val="en-US"/>
              </w:rPr>
            </w:pPr>
            <w:r w:rsidRPr="007C0CDC">
              <w:rPr>
                <w:b/>
                <w:bCs/>
              </w:rPr>
              <w:t>Title</w:t>
            </w:r>
          </w:p>
        </w:tc>
        <w:tc>
          <w:tcPr>
            <w:tcW w:w="2278" w:type="dxa"/>
            <w:shd w:val="clear" w:color="auto" w:fill="E7E6E6" w:themeFill="background2"/>
            <w:vAlign w:val="center"/>
          </w:tcPr>
          <w:p w14:paraId="01A7D586" w14:textId="77777777" w:rsidR="00687942" w:rsidRDefault="00687942" w:rsidP="0081001A">
            <w:pPr>
              <w:spacing w:before="0"/>
              <w:jc w:val="center"/>
              <w:rPr>
                <w:lang w:val="en-US"/>
              </w:rPr>
            </w:pPr>
            <w:r w:rsidRPr="007C0CDC">
              <w:rPr>
                <w:b/>
                <w:bCs/>
              </w:rPr>
              <w:t>Allocated</w:t>
            </w:r>
            <w:r>
              <w:rPr>
                <w:b/>
                <w:bCs/>
              </w:rPr>
              <w:t xml:space="preserve"> to</w:t>
            </w:r>
            <w:r>
              <w:rPr>
                <w:b/>
                <w:bCs/>
              </w:rPr>
              <w:br/>
              <w:t>(TSAG, January 2024)</w:t>
            </w:r>
          </w:p>
        </w:tc>
      </w:tr>
      <w:tr w:rsidR="00687942" w14:paraId="764A5539" w14:textId="77777777" w:rsidTr="0081001A">
        <w:tc>
          <w:tcPr>
            <w:tcW w:w="1471" w:type="dxa"/>
            <w:gridSpan w:val="2"/>
          </w:tcPr>
          <w:p w14:paraId="75DA9C5F" w14:textId="77777777" w:rsidR="00687942" w:rsidRDefault="008A0058" w:rsidP="0081001A">
            <w:pPr>
              <w:rPr>
                <w:lang w:val="en-US"/>
              </w:rPr>
            </w:pPr>
            <w:hyperlink r:id="rId23" w:history="1">
              <w:proofErr w:type="spellStart"/>
              <w:r w:rsidR="00687942" w:rsidRPr="00DA5C05">
                <w:rPr>
                  <w:rStyle w:val="Hyperlink"/>
                  <w:b/>
                  <w:bCs/>
                </w:rPr>
                <w:t>FGMV</w:t>
              </w:r>
              <w:proofErr w:type="spellEnd"/>
              <w:r w:rsidR="00687942" w:rsidRPr="00DA5C05">
                <w:rPr>
                  <w:rStyle w:val="Hyperlink"/>
                  <w:b/>
                  <w:bCs/>
                </w:rPr>
                <w:t>-21</w:t>
              </w:r>
            </w:hyperlink>
            <w:r w:rsidR="00687942" w:rsidRPr="00DA5C05">
              <w:rPr>
                <w:b/>
                <w:bCs/>
                <w:lang w:val="fr-CH"/>
              </w:rPr>
              <w:t xml:space="preserve"> (</w:t>
            </w:r>
            <w:r w:rsidR="00687942" w:rsidRPr="00DA5C05">
              <w:rPr>
                <w:b/>
                <w:bCs/>
              </w:rPr>
              <w:t>2023-12)</w:t>
            </w:r>
          </w:p>
        </w:tc>
        <w:tc>
          <w:tcPr>
            <w:tcW w:w="5885" w:type="dxa"/>
          </w:tcPr>
          <w:p w14:paraId="5EADDBCA" w14:textId="77777777" w:rsidR="00687942" w:rsidRDefault="00687942" w:rsidP="0081001A">
            <w:pPr>
              <w:rPr>
                <w:lang w:val="en-US"/>
              </w:rPr>
            </w:pPr>
            <w:r w:rsidRPr="00DA5C05">
              <w:t>Technical Report on Principles for Building Concepts and Definitions Related to metaverse</w:t>
            </w:r>
          </w:p>
        </w:tc>
        <w:tc>
          <w:tcPr>
            <w:tcW w:w="2278" w:type="dxa"/>
          </w:tcPr>
          <w:p w14:paraId="4ED5AC93" w14:textId="77777777" w:rsidR="00687942" w:rsidRDefault="00687942" w:rsidP="0081001A">
            <w:pPr>
              <w:rPr>
                <w:lang w:val="en-US"/>
              </w:rPr>
            </w:pPr>
            <w:r w:rsidRPr="00DA5C05">
              <w:rPr>
                <w:lang w:val="fr-CH"/>
              </w:rPr>
              <w:t xml:space="preserve">All ITU-T </w:t>
            </w:r>
            <w:proofErr w:type="spellStart"/>
            <w:r w:rsidRPr="00DA5C05">
              <w:rPr>
                <w:lang w:val="fr-CH"/>
              </w:rPr>
              <w:t>SGs</w:t>
            </w:r>
            <w:proofErr w:type="spellEnd"/>
          </w:p>
        </w:tc>
      </w:tr>
      <w:tr w:rsidR="00687942" w14:paraId="5E5AC5B9" w14:textId="77777777" w:rsidTr="0081001A">
        <w:tc>
          <w:tcPr>
            <w:tcW w:w="241" w:type="dxa"/>
            <w:vMerge w:val="restart"/>
          </w:tcPr>
          <w:p w14:paraId="1CB45309" w14:textId="77777777" w:rsidR="00687942" w:rsidRDefault="00687942" w:rsidP="0081001A"/>
        </w:tc>
        <w:tc>
          <w:tcPr>
            <w:tcW w:w="1230" w:type="dxa"/>
          </w:tcPr>
          <w:p w14:paraId="4CE24654" w14:textId="77777777" w:rsidR="00687942" w:rsidRDefault="00687942" w:rsidP="0081001A">
            <w:r w:rsidRPr="00DE31F1">
              <w:rPr>
                <w:b/>
                <w:bCs/>
                <w:lang w:val="en-US"/>
              </w:rPr>
              <w:t>Summary</w:t>
            </w:r>
          </w:p>
        </w:tc>
        <w:tc>
          <w:tcPr>
            <w:tcW w:w="8163" w:type="dxa"/>
            <w:gridSpan w:val="2"/>
          </w:tcPr>
          <w:p w14:paraId="1FB0D7FD" w14:textId="77777777" w:rsidR="00687942" w:rsidRPr="006A13BD" w:rsidRDefault="00687942" w:rsidP="0081001A">
            <w:r>
              <w:t>This document establishes the principles for building terms, concepts and definitions related to metaverse, as the foundation for developing technical specification of vocabulary for metaverse.</w:t>
            </w:r>
          </w:p>
        </w:tc>
      </w:tr>
      <w:tr w:rsidR="00687942" w14:paraId="4A4A6C34" w14:textId="77777777" w:rsidTr="0081001A">
        <w:tc>
          <w:tcPr>
            <w:tcW w:w="241" w:type="dxa"/>
            <w:vMerge/>
          </w:tcPr>
          <w:p w14:paraId="5B60289E" w14:textId="77777777" w:rsidR="00687942" w:rsidRDefault="00687942" w:rsidP="0081001A"/>
        </w:tc>
        <w:tc>
          <w:tcPr>
            <w:tcW w:w="1230" w:type="dxa"/>
          </w:tcPr>
          <w:p w14:paraId="13030A25" w14:textId="77777777" w:rsidR="00687942" w:rsidRDefault="00687942" w:rsidP="0081001A">
            <w:r w:rsidRPr="00DE31F1">
              <w:rPr>
                <w:b/>
                <w:bCs/>
                <w:lang w:val="en-US" w:eastAsia="ko-KR"/>
              </w:rPr>
              <w:t xml:space="preserve">SG16 </w:t>
            </w:r>
            <w:r>
              <w:rPr>
                <w:b/>
                <w:bCs/>
                <w:lang w:val="en-US" w:eastAsia="ko-KR"/>
              </w:rPr>
              <w:t>suggestion</w:t>
            </w:r>
          </w:p>
        </w:tc>
        <w:tc>
          <w:tcPr>
            <w:tcW w:w="8163" w:type="dxa"/>
            <w:gridSpan w:val="2"/>
          </w:tcPr>
          <w:p w14:paraId="76A8F1A0" w14:textId="77777777" w:rsidR="00687942" w:rsidRPr="006A13BD" w:rsidRDefault="00687942" w:rsidP="0081001A">
            <w:r w:rsidRPr="007C78E6">
              <w:t xml:space="preserve">SG16 should undertake this task because </w:t>
            </w:r>
            <w:r>
              <w:t>its</w:t>
            </w:r>
            <w:r w:rsidRPr="007C78E6">
              <w:t xml:space="preserve"> expertise in multimedia systems and applications equips </w:t>
            </w:r>
            <w:r>
              <w:t>it</w:t>
            </w:r>
            <w:r w:rsidRPr="007C78E6">
              <w:t xml:space="preserve"> to establish essential terminology for the metaverse, ensuring consistent and clear definitions across technical specifications and enhancing interoperability in digital multimedia environments.</w:t>
            </w:r>
            <w:r>
              <w:rPr>
                <w:rFonts w:eastAsia="Malgun Gothic" w:hint="eastAsia"/>
                <w:lang w:eastAsia="ko-KR"/>
              </w:rPr>
              <w:t xml:space="preserve"> </w:t>
            </w:r>
            <w:r>
              <w:t xml:space="preserve">Therefore, if there is no specific request from other ITU-T </w:t>
            </w:r>
            <w:proofErr w:type="spellStart"/>
            <w:r>
              <w:t>SGs</w:t>
            </w:r>
            <w:proofErr w:type="spellEnd"/>
            <w:r>
              <w:t>, SG16 would like to consider it for further review and take appropriate action if necessary.</w:t>
            </w:r>
          </w:p>
        </w:tc>
      </w:tr>
    </w:tbl>
    <w:p w14:paraId="2425E215" w14:textId="77777777" w:rsidR="00687942" w:rsidRDefault="00687942" w:rsidP="00687942">
      <w:pPr>
        <w:rPr>
          <w:lang w:eastAsia="ko-KR"/>
        </w:rPr>
      </w:pPr>
    </w:p>
    <w:tbl>
      <w:tblPr>
        <w:tblStyle w:val="TableGrid"/>
        <w:tblW w:w="9634" w:type="dxa"/>
        <w:tblLook w:val="04A0" w:firstRow="1" w:lastRow="0" w:firstColumn="1" w:lastColumn="0" w:noHBand="0" w:noVBand="1"/>
      </w:tblPr>
      <w:tblGrid>
        <w:gridCol w:w="241"/>
        <w:gridCol w:w="1283"/>
        <w:gridCol w:w="5842"/>
        <w:gridCol w:w="2268"/>
      </w:tblGrid>
      <w:tr w:rsidR="00687942" w14:paraId="54DB2902" w14:textId="77777777" w:rsidTr="0081001A">
        <w:trPr>
          <w:trHeight w:val="423"/>
        </w:trPr>
        <w:tc>
          <w:tcPr>
            <w:tcW w:w="1471" w:type="dxa"/>
            <w:gridSpan w:val="2"/>
            <w:shd w:val="clear" w:color="auto" w:fill="E7E6E6" w:themeFill="background2"/>
            <w:vAlign w:val="center"/>
          </w:tcPr>
          <w:p w14:paraId="5C5EF547" w14:textId="77777777" w:rsidR="00687942" w:rsidRDefault="00687942" w:rsidP="0081001A">
            <w:pPr>
              <w:spacing w:before="0"/>
              <w:jc w:val="center"/>
              <w:rPr>
                <w:lang w:val="en-US"/>
              </w:rPr>
            </w:pPr>
            <w:r w:rsidRPr="007C0CDC">
              <w:rPr>
                <w:b/>
                <w:bCs/>
              </w:rPr>
              <w:t>No.</w:t>
            </w:r>
          </w:p>
        </w:tc>
        <w:tc>
          <w:tcPr>
            <w:tcW w:w="5885" w:type="dxa"/>
            <w:shd w:val="clear" w:color="auto" w:fill="E7E6E6" w:themeFill="background2"/>
            <w:vAlign w:val="center"/>
          </w:tcPr>
          <w:p w14:paraId="41F480BB" w14:textId="77777777" w:rsidR="00687942" w:rsidRDefault="00687942" w:rsidP="0081001A">
            <w:pPr>
              <w:spacing w:before="0"/>
              <w:jc w:val="center"/>
              <w:rPr>
                <w:lang w:val="en-US"/>
              </w:rPr>
            </w:pPr>
            <w:r w:rsidRPr="007C0CDC">
              <w:rPr>
                <w:b/>
                <w:bCs/>
              </w:rPr>
              <w:t>Title</w:t>
            </w:r>
          </w:p>
        </w:tc>
        <w:tc>
          <w:tcPr>
            <w:tcW w:w="2278" w:type="dxa"/>
            <w:shd w:val="clear" w:color="auto" w:fill="E7E6E6" w:themeFill="background2"/>
            <w:vAlign w:val="center"/>
          </w:tcPr>
          <w:p w14:paraId="5BFB5AE7" w14:textId="77777777" w:rsidR="00687942" w:rsidRDefault="00687942" w:rsidP="0081001A">
            <w:pPr>
              <w:spacing w:before="0"/>
              <w:jc w:val="center"/>
              <w:rPr>
                <w:lang w:val="en-US"/>
              </w:rPr>
            </w:pPr>
            <w:r w:rsidRPr="007C0CDC">
              <w:rPr>
                <w:b/>
                <w:bCs/>
              </w:rPr>
              <w:t>Allocated</w:t>
            </w:r>
            <w:r>
              <w:rPr>
                <w:b/>
                <w:bCs/>
              </w:rPr>
              <w:t xml:space="preserve"> to</w:t>
            </w:r>
            <w:r>
              <w:rPr>
                <w:b/>
                <w:bCs/>
              </w:rPr>
              <w:br/>
              <w:t>(TSAG, January 2024)</w:t>
            </w:r>
          </w:p>
        </w:tc>
      </w:tr>
      <w:tr w:rsidR="00687942" w14:paraId="1C08EA44" w14:textId="77777777" w:rsidTr="0081001A">
        <w:tc>
          <w:tcPr>
            <w:tcW w:w="1471" w:type="dxa"/>
            <w:gridSpan w:val="2"/>
          </w:tcPr>
          <w:p w14:paraId="76C10A70" w14:textId="77777777" w:rsidR="00687942" w:rsidRDefault="008A0058" w:rsidP="0081001A">
            <w:pPr>
              <w:rPr>
                <w:lang w:val="en-US"/>
              </w:rPr>
            </w:pPr>
            <w:hyperlink r:id="rId24" w:history="1">
              <w:proofErr w:type="spellStart"/>
              <w:r w:rsidR="00687942" w:rsidRPr="00DA5C05">
                <w:rPr>
                  <w:rStyle w:val="Hyperlink"/>
                  <w:b/>
                  <w:bCs/>
                </w:rPr>
                <w:t>FGMV</w:t>
              </w:r>
              <w:proofErr w:type="spellEnd"/>
              <w:r w:rsidR="00687942" w:rsidRPr="00DA5C05">
                <w:rPr>
                  <w:rStyle w:val="Hyperlink"/>
                  <w:b/>
                  <w:bCs/>
                </w:rPr>
                <w:t>-02</w:t>
              </w:r>
            </w:hyperlink>
            <w:r w:rsidR="00687942" w:rsidRPr="00DA5C05">
              <w:rPr>
                <w:b/>
                <w:bCs/>
              </w:rPr>
              <w:t xml:space="preserve"> (2023-10)</w:t>
            </w:r>
          </w:p>
        </w:tc>
        <w:tc>
          <w:tcPr>
            <w:tcW w:w="5885" w:type="dxa"/>
          </w:tcPr>
          <w:p w14:paraId="66BA6D49" w14:textId="77777777" w:rsidR="00687942" w:rsidRDefault="00687942" w:rsidP="0081001A">
            <w:pPr>
              <w:rPr>
                <w:lang w:val="en-US"/>
              </w:rPr>
            </w:pPr>
            <w:r w:rsidRPr="00DA5C05">
              <w:t>Technical Report on Metaverse: an analysis of definitions</w:t>
            </w:r>
          </w:p>
        </w:tc>
        <w:tc>
          <w:tcPr>
            <w:tcW w:w="2278" w:type="dxa"/>
          </w:tcPr>
          <w:p w14:paraId="18FF7A70" w14:textId="77777777" w:rsidR="00687942" w:rsidRDefault="00687942" w:rsidP="0081001A">
            <w:pPr>
              <w:rPr>
                <w:lang w:val="en-US"/>
              </w:rPr>
            </w:pPr>
            <w:r w:rsidRPr="00DA5C05">
              <w:rPr>
                <w:lang w:val="fr-CH"/>
              </w:rPr>
              <w:t xml:space="preserve">All ITU-T </w:t>
            </w:r>
            <w:proofErr w:type="spellStart"/>
            <w:r w:rsidRPr="00DA5C05">
              <w:rPr>
                <w:lang w:val="fr-CH"/>
              </w:rPr>
              <w:t>SGs</w:t>
            </w:r>
            <w:proofErr w:type="spellEnd"/>
          </w:p>
        </w:tc>
      </w:tr>
      <w:tr w:rsidR="00687942" w14:paraId="0E53005D" w14:textId="77777777" w:rsidTr="0081001A">
        <w:tc>
          <w:tcPr>
            <w:tcW w:w="241" w:type="dxa"/>
            <w:vMerge w:val="restart"/>
          </w:tcPr>
          <w:p w14:paraId="1D0FE26F" w14:textId="77777777" w:rsidR="00687942" w:rsidRDefault="00687942" w:rsidP="0081001A"/>
        </w:tc>
        <w:tc>
          <w:tcPr>
            <w:tcW w:w="1230" w:type="dxa"/>
          </w:tcPr>
          <w:p w14:paraId="056E8ADA" w14:textId="77777777" w:rsidR="00687942" w:rsidRDefault="00687942" w:rsidP="0081001A">
            <w:r w:rsidRPr="00DE31F1">
              <w:rPr>
                <w:b/>
                <w:bCs/>
                <w:lang w:val="en-US"/>
              </w:rPr>
              <w:t>Summary</w:t>
            </w:r>
          </w:p>
        </w:tc>
        <w:tc>
          <w:tcPr>
            <w:tcW w:w="8163" w:type="dxa"/>
            <w:gridSpan w:val="2"/>
          </w:tcPr>
          <w:p w14:paraId="7CD18E74" w14:textId="25E712CB" w:rsidR="00687942" w:rsidRPr="006A13BD" w:rsidRDefault="00687942" w:rsidP="0081001A">
            <w:r>
              <w:t xml:space="preserve">This Technical Report contains a detailed gap analysis in literature of </w:t>
            </w:r>
            <w:r w:rsidR="00B52046">
              <w:t>"</w:t>
            </w:r>
            <w:r>
              <w:t>metaverse</w:t>
            </w:r>
            <w:r w:rsidR="00B52046">
              <w:t>"</w:t>
            </w:r>
            <w:r>
              <w:t xml:space="preserve"> definitions with an explained terminology. This Technical Report studied and analysed approximately 150 existing definitions of metaverse from various sources.</w:t>
            </w:r>
          </w:p>
        </w:tc>
      </w:tr>
      <w:tr w:rsidR="00687942" w14:paraId="76CF1B80" w14:textId="77777777" w:rsidTr="0081001A">
        <w:tc>
          <w:tcPr>
            <w:tcW w:w="241" w:type="dxa"/>
            <w:vMerge/>
          </w:tcPr>
          <w:p w14:paraId="2141ABF4" w14:textId="77777777" w:rsidR="00687942" w:rsidRDefault="00687942" w:rsidP="0081001A"/>
        </w:tc>
        <w:tc>
          <w:tcPr>
            <w:tcW w:w="1230" w:type="dxa"/>
          </w:tcPr>
          <w:p w14:paraId="6F6E8402" w14:textId="77777777" w:rsidR="00687942" w:rsidRDefault="00687942" w:rsidP="0081001A">
            <w:r w:rsidRPr="00DE31F1">
              <w:rPr>
                <w:b/>
                <w:bCs/>
                <w:lang w:val="en-US" w:eastAsia="ko-KR"/>
              </w:rPr>
              <w:t xml:space="preserve">SG16 </w:t>
            </w:r>
            <w:r>
              <w:rPr>
                <w:b/>
                <w:bCs/>
                <w:lang w:val="en-US" w:eastAsia="ko-KR"/>
              </w:rPr>
              <w:t>suggestion</w:t>
            </w:r>
          </w:p>
        </w:tc>
        <w:tc>
          <w:tcPr>
            <w:tcW w:w="8163" w:type="dxa"/>
            <w:gridSpan w:val="2"/>
          </w:tcPr>
          <w:p w14:paraId="7DCB2ECB" w14:textId="770FA9C8" w:rsidR="00687942" w:rsidRPr="006A13BD" w:rsidRDefault="00687942" w:rsidP="0081001A">
            <w:r w:rsidRPr="00462DB7">
              <w:t xml:space="preserve">SG16 should handle this task because </w:t>
            </w:r>
            <w:r>
              <w:rPr>
                <w:rFonts w:hint="eastAsia"/>
                <w:lang w:eastAsia="ko-KR"/>
              </w:rPr>
              <w:t>its</w:t>
            </w:r>
            <w:r w:rsidRPr="00462DB7">
              <w:t xml:space="preserve"> role in standardizing multimedia and communication technologies includes ensuring clarity in technical language. Conducting a</w:t>
            </w:r>
            <w:r>
              <w:rPr>
                <w:lang w:val="en-US"/>
              </w:rPr>
              <w:t xml:space="preserve">n </w:t>
            </w:r>
            <w:r w:rsidRPr="00462DB7">
              <w:t xml:space="preserve">analysis of metaverse definitions fits </w:t>
            </w:r>
            <w:proofErr w:type="spellStart"/>
            <w:r>
              <w:t>SG16</w:t>
            </w:r>
            <w:r w:rsidR="00B52046">
              <w:t>'</w:t>
            </w:r>
            <w:r>
              <w:t>s</w:t>
            </w:r>
            <w:proofErr w:type="spellEnd"/>
            <w:r w:rsidRPr="00462DB7">
              <w:t xml:space="preserve"> mandate, as it promotes uniformity and interoperability across various technological domains.</w:t>
            </w:r>
            <w:r>
              <w:t xml:space="preserve"> Therefore, if there is no specific request from other ITU-T </w:t>
            </w:r>
            <w:proofErr w:type="spellStart"/>
            <w:r>
              <w:t>SGs</w:t>
            </w:r>
            <w:proofErr w:type="spellEnd"/>
            <w:r>
              <w:t>, SG16 would like to consider it for further review and take appropriate action if necessary.</w:t>
            </w:r>
          </w:p>
        </w:tc>
      </w:tr>
    </w:tbl>
    <w:p w14:paraId="122EE905" w14:textId="77777777" w:rsidR="00687942" w:rsidRDefault="00687942" w:rsidP="00687942">
      <w:pPr>
        <w:spacing w:before="0" w:after="160" w:line="259" w:lineRule="auto"/>
        <w:rPr>
          <w:lang w:val="en-US" w:eastAsia="ko-KR"/>
        </w:rPr>
      </w:pPr>
      <w:r>
        <w:rPr>
          <w:lang w:val="en-US" w:eastAsia="ko-KR"/>
        </w:rPr>
        <w:br w:type="page"/>
      </w:r>
    </w:p>
    <w:p w14:paraId="2D824273" w14:textId="1DD2035B" w:rsidR="00687942" w:rsidRPr="00C24E8F" w:rsidRDefault="00687942" w:rsidP="00DA6BBA">
      <w:pPr>
        <w:pStyle w:val="AnnexNotitle"/>
        <w:rPr>
          <w:lang w:eastAsia="ko-KR"/>
        </w:rPr>
      </w:pPr>
      <w:r w:rsidRPr="007E1E92">
        <w:lastRenderedPageBreak/>
        <w:t xml:space="preserve">Annex </w:t>
      </w:r>
      <w:r>
        <w:t>B</w:t>
      </w:r>
      <w:r w:rsidR="00DA6BBA">
        <w:br/>
      </w:r>
      <w:r>
        <w:t>Interest</w:t>
      </w:r>
      <w:r w:rsidRPr="007E1E92">
        <w:t xml:space="preserve"> of SG16 on deliverables </w:t>
      </w:r>
      <w:r>
        <w:t>(</w:t>
      </w:r>
      <w:r w:rsidR="00DA6BBA">
        <w:t xml:space="preserve">approved and </w:t>
      </w:r>
      <w:r>
        <w:t xml:space="preserve">ongoing items) </w:t>
      </w:r>
      <w:r w:rsidRPr="007E1E92">
        <w:t>in FG-MV</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01"/>
        <w:gridCol w:w="687"/>
        <w:gridCol w:w="5675"/>
        <w:gridCol w:w="1557"/>
      </w:tblGrid>
      <w:tr w:rsidR="00687942" w:rsidRPr="00976AB3" w14:paraId="5E534E71" w14:textId="77777777" w:rsidTr="0081001A">
        <w:trPr>
          <w:trHeight w:val="343"/>
          <w:tblHeader/>
        </w:trPr>
        <w:tc>
          <w:tcPr>
            <w:tcW w:w="1701" w:type="dxa"/>
            <w:shd w:val="clear" w:color="auto" w:fill="D9D9D9" w:themeFill="background1" w:themeFillShade="D9"/>
            <w:tcMar>
              <w:top w:w="105" w:type="dxa"/>
              <w:left w:w="75" w:type="dxa"/>
              <w:bottom w:w="90" w:type="dxa"/>
              <w:right w:w="75" w:type="dxa"/>
            </w:tcMar>
            <w:vAlign w:val="center"/>
            <w:hideMark/>
          </w:tcPr>
          <w:p w14:paraId="793BFCE2" w14:textId="77777777" w:rsidR="00687942" w:rsidRPr="00976AB3" w:rsidRDefault="00687942" w:rsidP="00FA4399">
            <w:pPr>
              <w:pStyle w:val="Tabletext"/>
              <w:rPr>
                <w:color w:val="FFFFFF" w:themeColor="background1"/>
              </w:rPr>
            </w:pPr>
            <w:r w:rsidRPr="00976AB3">
              <w:rPr>
                <w:bdr w:val="none" w:sz="0" w:space="0" w:color="auto" w:frame="1"/>
              </w:rPr>
              <w:t xml:space="preserve">FG/ </w:t>
            </w:r>
            <w:proofErr w:type="spellStart"/>
            <w:r w:rsidRPr="00976AB3">
              <w:rPr>
                <w:bdr w:val="none" w:sz="0" w:space="0" w:color="auto" w:frame="1"/>
              </w:rPr>
              <w:t>WGs</w:t>
            </w:r>
            <w:proofErr w:type="spellEnd"/>
          </w:p>
        </w:tc>
        <w:tc>
          <w:tcPr>
            <w:tcW w:w="687" w:type="dxa"/>
            <w:shd w:val="clear" w:color="auto" w:fill="D9D9D9" w:themeFill="background1" w:themeFillShade="D9"/>
            <w:tcMar>
              <w:top w:w="105" w:type="dxa"/>
              <w:left w:w="75" w:type="dxa"/>
              <w:bottom w:w="90" w:type="dxa"/>
              <w:right w:w="75" w:type="dxa"/>
            </w:tcMar>
            <w:vAlign w:val="center"/>
            <w:hideMark/>
          </w:tcPr>
          <w:p w14:paraId="0D615268" w14:textId="77777777" w:rsidR="00687942" w:rsidRPr="00976AB3" w:rsidRDefault="00687942" w:rsidP="0081001A">
            <w:pPr>
              <w:pStyle w:val="Tablehead"/>
              <w:spacing w:before="0" w:after="0"/>
              <w:rPr>
                <w:color w:val="FFFFFF" w:themeColor="background1"/>
              </w:rPr>
            </w:pPr>
            <w:r w:rsidRPr="00976AB3">
              <w:rPr>
                <w:bdr w:val="none" w:sz="0" w:space="0" w:color="auto" w:frame="1"/>
              </w:rPr>
              <w:t>Type</w:t>
            </w:r>
          </w:p>
        </w:tc>
        <w:tc>
          <w:tcPr>
            <w:tcW w:w="5675" w:type="dxa"/>
            <w:shd w:val="clear" w:color="auto" w:fill="D9D9D9" w:themeFill="background1" w:themeFillShade="D9"/>
            <w:tcMar>
              <w:top w:w="105" w:type="dxa"/>
              <w:left w:w="75" w:type="dxa"/>
              <w:bottom w:w="90" w:type="dxa"/>
              <w:right w:w="75" w:type="dxa"/>
            </w:tcMar>
            <w:vAlign w:val="center"/>
            <w:hideMark/>
          </w:tcPr>
          <w:p w14:paraId="69A30D43" w14:textId="77777777" w:rsidR="00687942" w:rsidRPr="00976AB3" w:rsidRDefault="00687942" w:rsidP="0081001A">
            <w:pPr>
              <w:pStyle w:val="Tablehead"/>
              <w:spacing w:before="0" w:after="0"/>
              <w:rPr>
                <w:color w:val="FFFFFF" w:themeColor="background1"/>
              </w:rPr>
            </w:pPr>
            <w:r w:rsidRPr="00976AB3">
              <w:rPr>
                <w:bdr w:val="none" w:sz="0" w:space="0" w:color="auto" w:frame="1"/>
              </w:rPr>
              <w:t>Title of deliverable</w:t>
            </w:r>
            <w:r>
              <w:rPr>
                <w:bdr w:val="none" w:sz="0" w:space="0" w:color="auto" w:frame="1"/>
              </w:rPr>
              <w:t xml:space="preserve"> (incl. draft)</w:t>
            </w:r>
          </w:p>
        </w:tc>
        <w:tc>
          <w:tcPr>
            <w:tcW w:w="1557" w:type="dxa"/>
            <w:shd w:val="clear" w:color="auto" w:fill="D9D9D9" w:themeFill="background1" w:themeFillShade="D9"/>
            <w:vAlign w:val="center"/>
          </w:tcPr>
          <w:p w14:paraId="2F40A6FF" w14:textId="77777777" w:rsidR="00687942" w:rsidRPr="00976AB3" w:rsidRDefault="00687942" w:rsidP="0081001A">
            <w:pPr>
              <w:pStyle w:val="Tablehead"/>
              <w:spacing w:before="0" w:after="0"/>
              <w:rPr>
                <w:bdr w:val="none" w:sz="0" w:space="0" w:color="auto" w:frame="1"/>
                <w:lang w:val="en-US"/>
              </w:rPr>
            </w:pPr>
            <w:r>
              <w:rPr>
                <w:bdr w:val="none" w:sz="0" w:space="0" w:color="auto" w:frame="1"/>
                <w:lang w:val="en-US"/>
              </w:rPr>
              <w:t>SG</w:t>
            </w:r>
            <w:r w:rsidRPr="00976AB3">
              <w:rPr>
                <w:bdr w:val="none" w:sz="0" w:space="0" w:color="auto" w:frame="1"/>
                <w:lang w:val="en-US"/>
              </w:rPr>
              <w:t>16</w:t>
            </w:r>
            <w:r>
              <w:rPr>
                <w:bdr w:val="none" w:sz="0" w:space="0" w:color="auto" w:frame="1"/>
                <w:lang w:val="en-US"/>
              </w:rPr>
              <w:t xml:space="preserve"> interest</w:t>
            </w:r>
          </w:p>
        </w:tc>
      </w:tr>
      <w:tr w:rsidR="00687942" w:rsidRPr="00976AB3" w14:paraId="08C3C11C" w14:textId="77777777" w:rsidTr="0081001A">
        <w:trPr>
          <w:trHeight w:val="435"/>
        </w:trPr>
        <w:tc>
          <w:tcPr>
            <w:tcW w:w="1701" w:type="dxa"/>
            <w:vMerge w:val="restart"/>
            <w:shd w:val="clear" w:color="auto" w:fill="FFFFFF" w:themeFill="background1"/>
            <w:tcMar>
              <w:top w:w="105" w:type="dxa"/>
              <w:left w:w="75" w:type="dxa"/>
              <w:bottom w:w="90" w:type="dxa"/>
              <w:right w:w="75" w:type="dxa"/>
            </w:tcMar>
            <w:vAlign w:val="center"/>
            <w:hideMark/>
          </w:tcPr>
          <w:p w14:paraId="3CF51BAB" w14:textId="77777777" w:rsidR="00687942" w:rsidRPr="007C6A34" w:rsidRDefault="00687942" w:rsidP="00FA4399">
            <w:pPr>
              <w:pStyle w:val="Tabletext"/>
              <w:rPr>
                <w:b/>
                <w:bCs/>
                <w:color w:val="444444"/>
                <w:szCs w:val="22"/>
                <w:lang w:val="en-US"/>
              </w:rPr>
            </w:pPr>
            <w:proofErr w:type="spellStart"/>
            <w:r w:rsidRPr="007C6A34">
              <w:rPr>
                <w:b/>
                <w:bCs/>
                <w:color w:val="444444"/>
                <w:szCs w:val="22"/>
                <w:bdr w:val="none" w:sz="0" w:space="0" w:color="auto" w:frame="1"/>
              </w:rPr>
              <w:t>WG</w:t>
            </w:r>
            <w:proofErr w:type="spellEnd"/>
            <w:r w:rsidRPr="007C6A34">
              <w:rPr>
                <w:b/>
                <w:bCs/>
                <w:color w:val="444444"/>
                <w:szCs w:val="22"/>
                <w:bdr w:val="none" w:sz="0" w:space="0" w:color="auto" w:frame="1"/>
              </w:rPr>
              <w:t xml:space="preserve"> 1</w:t>
            </w:r>
          </w:p>
          <w:p w14:paraId="22334810" w14:textId="5454AB6B" w:rsidR="00687942" w:rsidRPr="00FA4399" w:rsidRDefault="008A0058" w:rsidP="00FA4399">
            <w:pPr>
              <w:pStyle w:val="Tabletext"/>
            </w:pPr>
            <w:hyperlink r:id="rId25" w:history="1">
              <w:r w:rsidR="00687942" w:rsidRPr="00FA4399">
                <w:rPr>
                  <w:rStyle w:val="Hyperlink"/>
                  <w:rFonts w:eastAsia="Malgun Gothic"/>
                </w:rPr>
                <w:t xml:space="preserve">General </w:t>
              </w:r>
            </w:hyperlink>
          </w:p>
        </w:tc>
        <w:tc>
          <w:tcPr>
            <w:tcW w:w="687" w:type="dxa"/>
            <w:shd w:val="clear" w:color="auto" w:fill="FFFFFF" w:themeFill="background1"/>
            <w:tcMar>
              <w:top w:w="105" w:type="dxa"/>
              <w:left w:w="75" w:type="dxa"/>
              <w:bottom w:w="90" w:type="dxa"/>
              <w:right w:w="75" w:type="dxa"/>
            </w:tcMar>
            <w:vAlign w:val="center"/>
            <w:hideMark/>
          </w:tcPr>
          <w:p w14:paraId="24605898"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1F337D56" w14:textId="77777777" w:rsidR="00687942" w:rsidRPr="00976AB3" w:rsidRDefault="00687942" w:rsidP="0081001A">
            <w:pPr>
              <w:pStyle w:val="Tabletext"/>
              <w:spacing w:before="0" w:after="0"/>
              <w:rPr>
                <w:color w:val="444444"/>
                <w:szCs w:val="22"/>
              </w:rPr>
            </w:pPr>
            <w:r w:rsidRPr="00976AB3">
              <w:rPr>
                <w:color w:val="444444"/>
                <w:szCs w:val="22"/>
              </w:rPr>
              <w:t>Overview of metaverse</w:t>
            </w:r>
          </w:p>
        </w:tc>
        <w:tc>
          <w:tcPr>
            <w:tcW w:w="1557" w:type="dxa"/>
            <w:shd w:val="clear" w:color="auto" w:fill="FFFFFF" w:themeFill="background1"/>
            <w:vAlign w:val="center"/>
          </w:tcPr>
          <w:p w14:paraId="155C15F9" w14:textId="77777777" w:rsidR="00687942" w:rsidRPr="000258F6" w:rsidRDefault="00687942" w:rsidP="0081001A">
            <w:pPr>
              <w:pStyle w:val="Tabletext"/>
              <w:spacing w:before="0" w:after="0"/>
              <w:jc w:val="center"/>
              <w:rPr>
                <w:color w:val="444444"/>
                <w:szCs w:val="22"/>
                <w:lang w:val="en-US" w:eastAsia="ko-KR"/>
              </w:rPr>
            </w:pPr>
            <w:r>
              <w:rPr>
                <w:rFonts w:hint="eastAsia"/>
                <w:noProof/>
                <w:color w:val="444444"/>
                <w:szCs w:val="22"/>
                <w:lang w:val="en-US" w:eastAsia="ko-KR"/>
              </w:rPr>
              <w:drawing>
                <wp:inline distT="0" distB="0" distL="0" distR="0" wp14:anchorId="62237607" wp14:editId="0573D086">
                  <wp:extent cx="217358" cy="217358"/>
                  <wp:effectExtent l="0" t="0" r="0" b="0"/>
                  <wp:docPr id="294322137"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473F6F17" w14:textId="77777777" w:rsidTr="6C4DED91">
        <w:trPr>
          <w:trHeight w:val="435"/>
        </w:trPr>
        <w:tc>
          <w:tcPr>
            <w:tcW w:w="1701" w:type="dxa"/>
            <w:vMerge/>
            <w:vAlign w:val="center"/>
            <w:hideMark/>
          </w:tcPr>
          <w:p w14:paraId="58D405DE"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58F2066A"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57ECF882" w14:textId="77777777" w:rsidR="00687942" w:rsidRPr="00976AB3" w:rsidRDefault="00687942" w:rsidP="0081001A">
            <w:pPr>
              <w:pStyle w:val="Tabletext"/>
              <w:spacing w:before="0" w:after="0"/>
              <w:rPr>
                <w:color w:val="444444"/>
                <w:szCs w:val="22"/>
              </w:rPr>
            </w:pPr>
            <w:r w:rsidRPr="00976AB3">
              <w:rPr>
                <w:color w:val="444444"/>
                <w:szCs w:val="22"/>
              </w:rPr>
              <w:t>Vocabulary for metaverse</w:t>
            </w:r>
          </w:p>
        </w:tc>
        <w:tc>
          <w:tcPr>
            <w:tcW w:w="1557" w:type="dxa"/>
            <w:shd w:val="clear" w:color="auto" w:fill="FFFFFF" w:themeFill="background1"/>
            <w:vAlign w:val="center"/>
          </w:tcPr>
          <w:p w14:paraId="39067190" w14:textId="77777777" w:rsidR="00687942" w:rsidRPr="00406320" w:rsidRDefault="00687942" w:rsidP="0081001A">
            <w:pPr>
              <w:pStyle w:val="Tabletext"/>
              <w:spacing w:before="0" w:after="0"/>
              <w:jc w:val="center"/>
              <w:rPr>
                <w:color w:val="444444"/>
                <w:szCs w:val="22"/>
                <w:lang w:val="en-US"/>
              </w:rPr>
            </w:pPr>
            <w:r>
              <w:rPr>
                <w:rFonts w:hint="eastAsia"/>
                <w:noProof/>
                <w:color w:val="444444"/>
                <w:szCs w:val="22"/>
                <w:lang w:val="en-US" w:eastAsia="ko-KR"/>
              </w:rPr>
              <w:drawing>
                <wp:inline distT="0" distB="0" distL="0" distR="0" wp14:anchorId="47136053" wp14:editId="4D631A1B">
                  <wp:extent cx="217358" cy="217358"/>
                  <wp:effectExtent l="0" t="0" r="0" b="0"/>
                  <wp:docPr id="679979646"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04C6680C" w14:textId="77777777" w:rsidTr="6C4DED91">
        <w:trPr>
          <w:trHeight w:val="435"/>
        </w:trPr>
        <w:tc>
          <w:tcPr>
            <w:tcW w:w="1701" w:type="dxa"/>
            <w:vMerge/>
            <w:vAlign w:val="center"/>
            <w:hideMark/>
          </w:tcPr>
          <w:p w14:paraId="67958DA9"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6F687118" w14:textId="77777777" w:rsidR="00687942" w:rsidRPr="00976AB3" w:rsidRDefault="00687942" w:rsidP="0081001A">
            <w:pPr>
              <w:pStyle w:val="Tabletext"/>
              <w:spacing w:before="0" w:after="0"/>
              <w:jc w:val="center"/>
              <w:rPr>
                <w:color w:val="444444"/>
                <w:szCs w:val="22"/>
              </w:rPr>
            </w:pPr>
            <w:r w:rsidRPr="00976AB3">
              <w:rPr>
                <w:color w:val="444444"/>
                <w:szCs w:val="22"/>
                <w:bdr w:val="none" w:sz="0" w:space="0" w:color="auto" w:frame="1"/>
              </w:rPr>
              <w:t>TS</w:t>
            </w:r>
          </w:p>
        </w:tc>
        <w:tc>
          <w:tcPr>
            <w:tcW w:w="5675" w:type="dxa"/>
            <w:shd w:val="clear" w:color="auto" w:fill="FFFFFF" w:themeFill="background1"/>
            <w:tcMar>
              <w:top w:w="105" w:type="dxa"/>
              <w:left w:w="75" w:type="dxa"/>
              <w:bottom w:w="90" w:type="dxa"/>
              <w:right w:w="75" w:type="dxa"/>
            </w:tcMar>
            <w:vAlign w:val="center"/>
            <w:hideMark/>
          </w:tcPr>
          <w:p w14:paraId="14C7AAB8" w14:textId="77777777" w:rsidR="00687942" w:rsidRPr="00976AB3" w:rsidRDefault="00687942" w:rsidP="0081001A">
            <w:pPr>
              <w:pStyle w:val="Tabletext"/>
              <w:spacing w:before="0" w:after="0"/>
              <w:rPr>
                <w:color w:val="444444"/>
              </w:rPr>
            </w:pPr>
            <w:r w:rsidRPr="6C4DED91">
              <w:rPr>
                <w:color w:val="444444"/>
              </w:rPr>
              <w:t xml:space="preserve">Definition of </w:t>
            </w:r>
            <w:proofErr w:type="spellStart"/>
            <w:r w:rsidRPr="6C4DED91">
              <w:rPr>
                <w:color w:val="444444"/>
              </w:rPr>
              <w:t>CitiVerse</w:t>
            </w:r>
            <w:proofErr w:type="spellEnd"/>
          </w:p>
        </w:tc>
        <w:tc>
          <w:tcPr>
            <w:tcW w:w="1557" w:type="dxa"/>
            <w:shd w:val="clear" w:color="auto" w:fill="FFFFFF" w:themeFill="background1"/>
            <w:vAlign w:val="center"/>
          </w:tcPr>
          <w:p w14:paraId="4AED1834" w14:textId="77777777" w:rsidR="00687942" w:rsidRPr="00406320" w:rsidRDefault="00687942" w:rsidP="0081001A">
            <w:pPr>
              <w:pStyle w:val="Tabletext"/>
              <w:spacing w:before="0" w:after="0"/>
              <w:jc w:val="center"/>
              <w:rPr>
                <w:color w:val="444444"/>
                <w:szCs w:val="22"/>
                <w:lang w:val="en-US"/>
              </w:rPr>
            </w:pPr>
          </w:p>
        </w:tc>
      </w:tr>
      <w:tr w:rsidR="00687942" w:rsidRPr="00976AB3" w14:paraId="2B849900" w14:textId="77777777" w:rsidTr="6C4DED91">
        <w:trPr>
          <w:trHeight w:val="435"/>
        </w:trPr>
        <w:tc>
          <w:tcPr>
            <w:tcW w:w="1701" w:type="dxa"/>
            <w:vMerge/>
            <w:vAlign w:val="center"/>
            <w:hideMark/>
          </w:tcPr>
          <w:p w14:paraId="4A925014"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6A16E030" w14:textId="77777777" w:rsidR="00687942" w:rsidRPr="00976AB3" w:rsidRDefault="00687942" w:rsidP="0081001A">
            <w:pPr>
              <w:pStyle w:val="Tabletext"/>
              <w:spacing w:before="0" w:after="0"/>
              <w:jc w:val="center"/>
              <w:rPr>
                <w:color w:val="444444"/>
                <w:szCs w:val="22"/>
              </w:rPr>
            </w:pPr>
            <w:r w:rsidRPr="00976AB3">
              <w:rPr>
                <w:color w:val="444444"/>
                <w:szCs w:val="22"/>
              </w:rPr>
              <w:t>TR</w:t>
            </w:r>
          </w:p>
        </w:tc>
        <w:tc>
          <w:tcPr>
            <w:tcW w:w="5675" w:type="dxa"/>
            <w:shd w:val="clear" w:color="auto" w:fill="FFFFFF" w:themeFill="background1"/>
            <w:tcMar>
              <w:top w:w="105" w:type="dxa"/>
              <w:left w:w="75" w:type="dxa"/>
              <w:bottom w:w="90" w:type="dxa"/>
              <w:right w:w="75" w:type="dxa"/>
            </w:tcMar>
            <w:vAlign w:val="center"/>
            <w:hideMark/>
          </w:tcPr>
          <w:p w14:paraId="0AA371E0" w14:textId="77777777" w:rsidR="00687942" w:rsidRPr="00976AB3" w:rsidRDefault="00687942" w:rsidP="0081001A">
            <w:pPr>
              <w:pStyle w:val="Tabletext"/>
              <w:spacing w:before="0" w:after="0"/>
              <w:rPr>
                <w:color w:val="444444"/>
              </w:rPr>
            </w:pPr>
            <w:r w:rsidRPr="6C4DED91">
              <w:rPr>
                <w:color w:val="444444"/>
              </w:rPr>
              <w:t xml:space="preserve">Pre-standardisation roadmap for an inclusive and sustainable </w:t>
            </w:r>
            <w:proofErr w:type="spellStart"/>
            <w:r w:rsidRPr="6C4DED91">
              <w:rPr>
                <w:color w:val="444444"/>
              </w:rPr>
              <w:t>CitiVerse</w:t>
            </w:r>
            <w:proofErr w:type="spellEnd"/>
          </w:p>
        </w:tc>
        <w:tc>
          <w:tcPr>
            <w:tcW w:w="1557" w:type="dxa"/>
            <w:shd w:val="clear" w:color="auto" w:fill="FFFFFF" w:themeFill="background1"/>
            <w:vAlign w:val="center"/>
          </w:tcPr>
          <w:p w14:paraId="3B544916" w14:textId="77777777" w:rsidR="00687942" w:rsidRPr="00406320" w:rsidRDefault="00687942" w:rsidP="0081001A">
            <w:pPr>
              <w:pStyle w:val="Tabletext"/>
              <w:spacing w:before="0" w:after="0"/>
              <w:jc w:val="center"/>
              <w:rPr>
                <w:color w:val="444444"/>
                <w:szCs w:val="22"/>
                <w:lang w:val="en-US"/>
              </w:rPr>
            </w:pPr>
          </w:p>
        </w:tc>
      </w:tr>
      <w:tr w:rsidR="00687942" w:rsidRPr="00976AB3" w14:paraId="77565476" w14:textId="77777777" w:rsidTr="6C4DED91">
        <w:trPr>
          <w:trHeight w:val="435"/>
        </w:trPr>
        <w:tc>
          <w:tcPr>
            <w:tcW w:w="1701" w:type="dxa"/>
            <w:vMerge/>
            <w:vAlign w:val="center"/>
            <w:hideMark/>
          </w:tcPr>
          <w:p w14:paraId="18EE5DD5"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0B927D23" w14:textId="77777777" w:rsidR="00687942" w:rsidRPr="00976AB3" w:rsidRDefault="00687942" w:rsidP="0081001A">
            <w:pPr>
              <w:pStyle w:val="Tabletext"/>
              <w:spacing w:before="0" w:after="0"/>
              <w:jc w:val="center"/>
              <w:rPr>
                <w:color w:val="444444"/>
                <w:szCs w:val="22"/>
              </w:rPr>
            </w:pPr>
            <w:r w:rsidRPr="00976AB3">
              <w:rPr>
                <w:color w:val="444444"/>
                <w:szCs w:val="22"/>
              </w:rPr>
              <w:t>TR</w:t>
            </w:r>
          </w:p>
        </w:tc>
        <w:tc>
          <w:tcPr>
            <w:tcW w:w="5675" w:type="dxa"/>
            <w:shd w:val="clear" w:color="auto" w:fill="FFFFFF" w:themeFill="background1"/>
            <w:tcMar>
              <w:top w:w="105" w:type="dxa"/>
              <w:left w:w="75" w:type="dxa"/>
              <w:bottom w:w="90" w:type="dxa"/>
              <w:right w:w="75" w:type="dxa"/>
            </w:tcMar>
            <w:vAlign w:val="center"/>
            <w:hideMark/>
          </w:tcPr>
          <w:p w14:paraId="0DD76981" w14:textId="77777777" w:rsidR="00687942" w:rsidRPr="00976AB3" w:rsidRDefault="00687942" w:rsidP="0081001A">
            <w:pPr>
              <w:pStyle w:val="Tabletext"/>
              <w:spacing w:before="0" w:after="0"/>
              <w:rPr>
                <w:color w:val="444444"/>
              </w:rPr>
            </w:pPr>
            <w:r w:rsidRPr="6C4DED91">
              <w:rPr>
                <w:color w:val="444444"/>
              </w:rPr>
              <w:t xml:space="preserve">Building a People-centred </w:t>
            </w:r>
            <w:proofErr w:type="spellStart"/>
            <w:r w:rsidRPr="6C4DED91">
              <w:rPr>
                <w:color w:val="444444"/>
              </w:rPr>
              <w:t>CitiVerse</w:t>
            </w:r>
            <w:proofErr w:type="spellEnd"/>
          </w:p>
        </w:tc>
        <w:tc>
          <w:tcPr>
            <w:tcW w:w="1557" w:type="dxa"/>
            <w:shd w:val="clear" w:color="auto" w:fill="FFFFFF" w:themeFill="background1"/>
            <w:vAlign w:val="center"/>
          </w:tcPr>
          <w:p w14:paraId="1BF73FC6" w14:textId="77777777" w:rsidR="00687942" w:rsidRPr="00976AB3" w:rsidRDefault="00687942" w:rsidP="0081001A">
            <w:pPr>
              <w:pStyle w:val="Tabletext"/>
              <w:spacing w:before="0" w:after="0"/>
              <w:jc w:val="center"/>
              <w:rPr>
                <w:color w:val="444444"/>
                <w:szCs w:val="22"/>
              </w:rPr>
            </w:pPr>
          </w:p>
        </w:tc>
      </w:tr>
      <w:tr w:rsidR="00687942" w:rsidRPr="00976AB3" w14:paraId="673D1BF0" w14:textId="77777777" w:rsidTr="6C4DED91">
        <w:trPr>
          <w:trHeight w:val="435"/>
        </w:trPr>
        <w:tc>
          <w:tcPr>
            <w:tcW w:w="1701" w:type="dxa"/>
            <w:vMerge/>
            <w:vAlign w:val="center"/>
            <w:hideMark/>
          </w:tcPr>
          <w:p w14:paraId="45F32249"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1B772842" w14:textId="77777777" w:rsidR="00687942" w:rsidRPr="00976AB3" w:rsidRDefault="00687942" w:rsidP="0081001A">
            <w:pPr>
              <w:pStyle w:val="Tabletext"/>
              <w:spacing w:before="0" w:after="0"/>
              <w:jc w:val="center"/>
              <w:rPr>
                <w:color w:val="444444"/>
                <w:szCs w:val="22"/>
                <w:lang w:eastAsia="ko-KR"/>
              </w:rPr>
            </w:pPr>
            <w:r w:rsidRPr="00976AB3">
              <w:rPr>
                <w:color w:val="444444"/>
                <w:szCs w:val="22"/>
              </w:rPr>
              <w:t>TR</w:t>
            </w:r>
          </w:p>
        </w:tc>
        <w:tc>
          <w:tcPr>
            <w:tcW w:w="5675" w:type="dxa"/>
            <w:shd w:val="clear" w:color="auto" w:fill="FFFFFF" w:themeFill="background1"/>
            <w:tcMar>
              <w:top w:w="105" w:type="dxa"/>
              <w:left w:w="75" w:type="dxa"/>
              <w:bottom w:w="90" w:type="dxa"/>
              <w:right w:w="75" w:type="dxa"/>
            </w:tcMar>
            <w:vAlign w:val="center"/>
            <w:hideMark/>
          </w:tcPr>
          <w:p w14:paraId="4550285E" w14:textId="77777777" w:rsidR="00687942" w:rsidRPr="00976AB3" w:rsidRDefault="00687942" w:rsidP="0081001A">
            <w:pPr>
              <w:pStyle w:val="Tabletext"/>
              <w:spacing w:before="0" w:after="0"/>
              <w:rPr>
                <w:color w:val="444444"/>
                <w:szCs w:val="22"/>
              </w:rPr>
            </w:pPr>
            <w:r w:rsidRPr="00976AB3">
              <w:rPr>
                <w:color w:val="444444"/>
                <w:szCs w:val="22"/>
              </w:rPr>
              <w:t>Near-term and long-term Implications for people in the metaverse</w:t>
            </w:r>
            <w:r>
              <w:rPr>
                <w:color w:val="444444"/>
                <w:szCs w:val="22"/>
              </w:rPr>
              <w:t xml:space="preserve"> </w:t>
            </w:r>
            <w:r w:rsidRPr="00ED6BC6">
              <w:rPr>
                <w:b/>
                <w:bCs/>
                <w:i/>
                <w:iCs/>
                <w:color w:val="444444"/>
                <w:szCs w:val="22"/>
              </w:rPr>
              <w:t>(approved at the 5</w:t>
            </w:r>
            <w:r w:rsidRPr="00ED6BC6">
              <w:rPr>
                <w:b/>
                <w:bCs/>
                <w:i/>
                <w:iCs/>
                <w:color w:val="444444"/>
                <w:szCs w:val="22"/>
                <w:vertAlign w:val="superscript"/>
              </w:rPr>
              <w:t>th</w:t>
            </w:r>
            <w:r w:rsidRPr="00ED6BC6">
              <w:rPr>
                <w:b/>
                <w:bCs/>
                <w:i/>
                <w:iCs/>
                <w:color w:val="444444"/>
                <w:szCs w:val="22"/>
              </w:rPr>
              <w:t xml:space="preserve"> FG-MV meeting)</w:t>
            </w:r>
          </w:p>
        </w:tc>
        <w:tc>
          <w:tcPr>
            <w:tcW w:w="1557" w:type="dxa"/>
            <w:shd w:val="clear" w:color="auto" w:fill="FFFFFF" w:themeFill="background1"/>
            <w:vAlign w:val="center"/>
          </w:tcPr>
          <w:p w14:paraId="2F29876D" w14:textId="77777777" w:rsidR="00687942" w:rsidRPr="00976AB3" w:rsidRDefault="00687942" w:rsidP="0081001A">
            <w:pPr>
              <w:pStyle w:val="Tabletext"/>
              <w:spacing w:before="0" w:after="0"/>
              <w:jc w:val="center"/>
              <w:rPr>
                <w:color w:val="444444"/>
                <w:szCs w:val="22"/>
              </w:rPr>
            </w:pPr>
          </w:p>
        </w:tc>
      </w:tr>
      <w:tr w:rsidR="00687942" w:rsidRPr="00976AB3" w14:paraId="7580EFC5" w14:textId="77777777" w:rsidTr="6C4DED91">
        <w:trPr>
          <w:trHeight w:val="435"/>
        </w:trPr>
        <w:tc>
          <w:tcPr>
            <w:tcW w:w="1701" w:type="dxa"/>
            <w:vMerge/>
            <w:vAlign w:val="center"/>
            <w:hideMark/>
          </w:tcPr>
          <w:p w14:paraId="2E65C0FF"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10A9C551" w14:textId="77777777" w:rsidR="00687942" w:rsidRPr="00976AB3" w:rsidRDefault="00687942" w:rsidP="0081001A">
            <w:pPr>
              <w:pStyle w:val="Tabletext"/>
              <w:spacing w:before="0" w:after="0"/>
              <w:jc w:val="center"/>
              <w:rPr>
                <w:color w:val="444444"/>
                <w:szCs w:val="22"/>
                <w:lang w:eastAsia="ko-KR"/>
              </w:rPr>
            </w:pPr>
            <w:r w:rsidRPr="00976AB3">
              <w:rPr>
                <w:color w:val="444444"/>
                <w:szCs w:val="22"/>
              </w:rPr>
              <w:t>TR</w:t>
            </w:r>
          </w:p>
        </w:tc>
        <w:tc>
          <w:tcPr>
            <w:tcW w:w="5675" w:type="dxa"/>
            <w:shd w:val="clear" w:color="auto" w:fill="FFFFFF" w:themeFill="background1"/>
            <w:tcMar>
              <w:top w:w="105" w:type="dxa"/>
              <w:left w:w="75" w:type="dxa"/>
              <w:bottom w:w="90" w:type="dxa"/>
              <w:right w:w="75" w:type="dxa"/>
            </w:tcMar>
            <w:vAlign w:val="center"/>
            <w:hideMark/>
          </w:tcPr>
          <w:p w14:paraId="5C035D43" w14:textId="77777777" w:rsidR="00687942" w:rsidRPr="00976AB3" w:rsidRDefault="00687942" w:rsidP="0081001A">
            <w:pPr>
              <w:pStyle w:val="Tabletext"/>
              <w:spacing w:before="0" w:after="0"/>
              <w:rPr>
                <w:color w:val="444444"/>
                <w:szCs w:val="22"/>
              </w:rPr>
            </w:pPr>
            <w:r w:rsidRPr="00976AB3">
              <w:rPr>
                <w:color w:val="444444"/>
                <w:szCs w:val="22"/>
              </w:rPr>
              <w:t>A framework for confidence in the metaverse</w:t>
            </w:r>
            <w:r>
              <w:rPr>
                <w:color w:val="444444"/>
                <w:szCs w:val="22"/>
              </w:rPr>
              <w:t xml:space="preserve"> </w:t>
            </w:r>
            <w:r w:rsidRPr="00C24E8F">
              <w:rPr>
                <w:i/>
                <w:iCs/>
                <w:color w:val="444444"/>
                <w:szCs w:val="22"/>
              </w:rPr>
              <w:t>(approved at the 5</w:t>
            </w:r>
            <w:r w:rsidRPr="00C24E8F">
              <w:rPr>
                <w:i/>
                <w:iCs/>
                <w:color w:val="444444"/>
                <w:szCs w:val="22"/>
                <w:vertAlign w:val="superscript"/>
              </w:rPr>
              <w:t>th</w:t>
            </w:r>
            <w:r w:rsidRPr="00C24E8F">
              <w:rPr>
                <w:i/>
                <w:iCs/>
                <w:color w:val="444444"/>
                <w:szCs w:val="22"/>
              </w:rPr>
              <w:t xml:space="preserve"> FG-MV meeting)</w:t>
            </w:r>
          </w:p>
        </w:tc>
        <w:tc>
          <w:tcPr>
            <w:tcW w:w="1557" w:type="dxa"/>
            <w:shd w:val="clear" w:color="auto" w:fill="FFFFFF" w:themeFill="background1"/>
            <w:vAlign w:val="center"/>
          </w:tcPr>
          <w:p w14:paraId="081DACF5" w14:textId="77777777" w:rsidR="00687942" w:rsidRPr="00976AB3" w:rsidRDefault="00687942" w:rsidP="0081001A">
            <w:pPr>
              <w:pStyle w:val="Tabletext"/>
              <w:spacing w:before="0" w:after="0"/>
              <w:jc w:val="center"/>
              <w:rPr>
                <w:color w:val="444444"/>
                <w:szCs w:val="22"/>
              </w:rPr>
            </w:pPr>
          </w:p>
        </w:tc>
      </w:tr>
      <w:tr w:rsidR="00687942" w:rsidRPr="00976AB3" w14:paraId="512F8C5A" w14:textId="77777777" w:rsidTr="0081001A">
        <w:trPr>
          <w:trHeight w:val="577"/>
        </w:trPr>
        <w:tc>
          <w:tcPr>
            <w:tcW w:w="1701" w:type="dxa"/>
            <w:vMerge w:val="restart"/>
            <w:shd w:val="clear" w:color="auto" w:fill="FFFFFF" w:themeFill="background1"/>
            <w:tcMar>
              <w:top w:w="105" w:type="dxa"/>
              <w:left w:w="75" w:type="dxa"/>
              <w:bottom w:w="90" w:type="dxa"/>
              <w:right w:w="75" w:type="dxa"/>
            </w:tcMar>
            <w:vAlign w:val="center"/>
            <w:hideMark/>
          </w:tcPr>
          <w:p w14:paraId="6E7B3E51" w14:textId="77777777" w:rsidR="00687942" w:rsidRDefault="00687942" w:rsidP="00FA4399">
            <w:pPr>
              <w:pStyle w:val="Tabletext"/>
              <w:rPr>
                <w:b/>
                <w:bCs/>
                <w:color w:val="444444"/>
                <w:szCs w:val="22"/>
              </w:rPr>
            </w:pPr>
            <w:proofErr w:type="spellStart"/>
            <w:r w:rsidRPr="007C6A34">
              <w:rPr>
                <w:b/>
                <w:bCs/>
                <w:color w:val="444444"/>
                <w:szCs w:val="22"/>
                <w:bdr w:val="none" w:sz="0" w:space="0" w:color="auto" w:frame="1"/>
              </w:rPr>
              <w:t>WG</w:t>
            </w:r>
            <w:proofErr w:type="spellEnd"/>
            <w:r w:rsidRPr="007C6A34">
              <w:rPr>
                <w:b/>
                <w:bCs/>
                <w:color w:val="444444"/>
                <w:szCs w:val="22"/>
                <w:bdr w:val="none" w:sz="0" w:space="0" w:color="auto" w:frame="1"/>
              </w:rPr>
              <w:t xml:space="preserve"> 2</w:t>
            </w:r>
          </w:p>
          <w:p w14:paraId="09129D0B" w14:textId="77777777" w:rsidR="00687942" w:rsidRPr="00FA4399" w:rsidRDefault="008A0058" w:rsidP="00FA4399">
            <w:pPr>
              <w:pStyle w:val="Tabletext"/>
            </w:pPr>
            <w:hyperlink r:id="rId28" w:history="1">
              <w:r w:rsidR="00687942" w:rsidRPr="00FA4399">
                <w:rPr>
                  <w:rStyle w:val="Hyperlink"/>
                  <w:rFonts w:eastAsia="Malgun Gothic"/>
                </w:rPr>
                <w:t>Applications &amp; Services</w:t>
              </w:r>
            </w:hyperlink>
          </w:p>
        </w:tc>
        <w:tc>
          <w:tcPr>
            <w:tcW w:w="687" w:type="dxa"/>
            <w:shd w:val="clear" w:color="auto" w:fill="FFFFFF" w:themeFill="background1"/>
            <w:tcMar>
              <w:top w:w="105" w:type="dxa"/>
              <w:left w:w="75" w:type="dxa"/>
              <w:bottom w:w="90" w:type="dxa"/>
              <w:right w:w="75" w:type="dxa"/>
            </w:tcMar>
            <w:vAlign w:val="center"/>
            <w:hideMark/>
          </w:tcPr>
          <w:p w14:paraId="2A1F6CF7" w14:textId="77777777" w:rsidR="00687942" w:rsidRPr="00976AB3" w:rsidRDefault="00687942" w:rsidP="0081001A">
            <w:pPr>
              <w:pStyle w:val="Tabletext"/>
              <w:spacing w:before="0" w:after="0"/>
              <w:jc w:val="center"/>
              <w:rPr>
                <w:color w:val="444444"/>
                <w:szCs w:val="22"/>
              </w:rPr>
            </w:pPr>
            <w:r w:rsidRPr="00976AB3">
              <w:rPr>
                <w:color w:val="444444"/>
                <w:szCs w:val="22"/>
              </w:rPr>
              <w:t>TR</w:t>
            </w:r>
          </w:p>
        </w:tc>
        <w:tc>
          <w:tcPr>
            <w:tcW w:w="5675" w:type="dxa"/>
            <w:shd w:val="clear" w:color="auto" w:fill="FFFFFF" w:themeFill="background1"/>
            <w:tcMar>
              <w:top w:w="105" w:type="dxa"/>
              <w:left w:w="75" w:type="dxa"/>
              <w:bottom w:w="90" w:type="dxa"/>
              <w:right w:w="75" w:type="dxa"/>
            </w:tcMar>
            <w:vAlign w:val="center"/>
            <w:hideMark/>
          </w:tcPr>
          <w:p w14:paraId="12A3FB87" w14:textId="77777777" w:rsidR="00687942" w:rsidRPr="00976AB3" w:rsidRDefault="00687942" w:rsidP="0081001A">
            <w:pPr>
              <w:pStyle w:val="Tabletext"/>
              <w:spacing w:before="0" w:after="0"/>
              <w:rPr>
                <w:color w:val="444444"/>
                <w:szCs w:val="22"/>
              </w:rPr>
            </w:pPr>
            <w:r w:rsidRPr="00976AB3">
              <w:rPr>
                <w:color w:val="444444"/>
                <w:szCs w:val="22"/>
              </w:rPr>
              <w:t>Overview of the application requirements of metaverse on emergency management in chemical industrial parks</w:t>
            </w:r>
          </w:p>
        </w:tc>
        <w:tc>
          <w:tcPr>
            <w:tcW w:w="1557" w:type="dxa"/>
            <w:shd w:val="clear" w:color="auto" w:fill="FFFFFF" w:themeFill="background1"/>
            <w:vAlign w:val="center"/>
          </w:tcPr>
          <w:p w14:paraId="37F51B92" w14:textId="77777777" w:rsidR="00687942" w:rsidRPr="00976AB3" w:rsidRDefault="00687942" w:rsidP="0081001A">
            <w:pPr>
              <w:pStyle w:val="Tabletext"/>
              <w:spacing w:before="0" w:after="0"/>
              <w:jc w:val="center"/>
              <w:rPr>
                <w:color w:val="444444"/>
                <w:szCs w:val="22"/>
              </w:rPr>
            </w:pPr>
            <w:r>
              <w:rPr>
                <w:rFonts w:hint="eastAsia"/>
                <w:noProof/>
                <w:color w:val="444444"/>
                <w:szCs w:val="22"/>
                <w:lang w:val="en-US" w:eastAsia="ko-KR"/>
              </w:rPr>
              <w:drawing>
                <wp:inline distT="0" distB="0" distL="0" distR="0" wp14:anchorId="6DED625C" wp14:editId="46E35A7C">
                  <wp:extent cx="217358" cy="217358"/>
                  <wp:effectExtent l="0" t="0" r="0" b="0"/>
                  <wp:docPr id="784725404"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1CBC7638" w14:textId="77777777" w:rsidTr="6C4DED91">
        <w:trPr>
          <w:trHeight w:val="577"/>
        </w:trPr>
        <w:tc>
          <w:tcPr>
            <w:tcW w:w="1701" w:type="dxa"/>
            <w:vMerge/>
            <w:vAlign w:val="center"/>
            <w:hideMark/>
          </w:tcPr>
          <w:p w14:paraId="28282A25"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27E591ED"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2D1C0BB0" w14:textId="77777777" w:rsidR="00687942" w:rsidRPr="00976AB3" w:rsidRDefault="00687942" w:rsidP="0081001A">
            <w:pPr>
              <w:pStyle w:val="Tabletext"/>
              <w:spacing w:before="0" w:after="0"/>
              <w:rPr>
                <w:color w:val="444444"/>
                <w:szCs w:val="22"/>
              </w:rPr>
            </w:pPr>
            <w:r w:rsidRPr="00976AB3">
              <w:rPr>
                <w:color w:val="444444"/>
                <w:szCs w:val="22"/>
              </w:rPr>
              <w:t>Use case and requirements for virtual and real fusion coding in metaverse application</w:t>
            </w:r>
          </w:p>
        </w:tc>
        <w:tc>
          <w:tcPr>
            <w:tcW w:w="1557" w:type="dxa"/>
            <w:shd w:val="clear" w:color="auto" w:fill="FFFFFF" w:themeFill="background1"/>
            <w:vAlign w:val="center"/>
          </w:tcPr>
          <w:p w14:paraId="27F92991" w14:textId="77777777" w:rsidR="00687942" w:rsidRPr="00806EE4" w:rsidRDefault="00687942" w:rsidP="0081001A">
            <w:pPr>
              <w:pStyle w:val="Tabletext"/>
              <w:spacing w:before="0" w:after="0"/>
              <w:jc w:val="center"/>
              <w:rPr>
                <w:rFonts w:eastAsia="Malgun Gothic"/>
                <w:color w:val="444444"/>
                <w:szCs w:val="22"/>
                <w:lang w:val="en-US" w:eastAsia="ko-KR"/>
              </w:rPr>
            </w:pPr>
            <w:r>
              <w:rPr>
                <w:rFonts w:hint="eastAsia"/>
                <w:noProof/>
                <w:color w:val="444444"/>
                <w:szCs w:val="22"/>
                <w:lang w:val="en-US" w:eastAsia="ko-KR"/>
              </w:rPr>
              <w:drawing>
                <wp:inline distT="0" distB="0" distL="0" distR="0" wp14:anchorId="1B1312A7" wp14:editId="45BF4EB5">
                  <wp:extent cx="217358" cy="217358"/>
                  <wp:effectExtent l="0" t="0" r="0" b="0"/>
                  <wp:docPr id="1326785688"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0B39E467" w14:textId="77777777" w:rsidTr="6C4DED91">
        <w:trPr>
          <w:trHeight w:val="577"/>
        </w:trPr>
        <w:tc>
          <w:tcPr>
            <w:tcW w:w="1701" w:type="dxa"/>
            <w:vMerge/>
            <w:vAlign w:val="center"/>
            <w:hideMark/>
          </w:tcPr>
          <w:p w14:paraId="05101452"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54E83653"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6B78F241" w14:textId="77777777" w:rsidR="00687942" w:rsidRPr="00976AB3" w:rsidRDefault="00687942" w:rsidP="0081001A">
            <w:pPr>
              <w:pStyle w:val="Tabletext"/>
              <w:spacing w:before="0" w:after="0"/>
              <w:rPr>
                <w:color w:val="444444"/>
                <w:szCs w:val="22"/>
              </w:rPr>
            </w:pPr>
            <w:r w:rsidRPr="00976AB3">
              <w:rPr>
                <w:color w:val="444444"/>
                <w:szCs w:val="22"/>
              </w:rPr>
              <w:t>Use cases and requirements on immersive audio coding for metaverse applications and services</w:t>
            </w:r>
          </w:p>
        </w:tc>
        <w:tc>
          <w:tcPr>
            <w:tcW w:w="1557" w:type="dxa"/>
            <w:shd w:val="clear" w:color="auto" w:fill="FFFFFF" w:themeFill="background1"/>
            <w:vAlign w:val="center"/>
          </w:tcPr>
          <w:p w14:paraId="19F29B3B" w14:textId="77777777" w:rsidR="00687942" w:rsidRPr="00806EE4" w:rsidRDefault="00687942" w:rsidP="0081001A">
            <w:pPr>
              <w:pStyle w:val="Tabletext"/>
              <w:spacing w:before="0" w:after="0"/>
              <w:jc w:val="center"/>
              <w:rPr>
                <w:rFonts w:eastAsia="Malgun Gothic"/>
                <w:color w:val="444444"/>
                <w:szCs w:val="22"/>
                <w:lang w:val="en-US" w:eastAsia="ko-KR"/>
              </w:rPr>
            </w:pPr>
            <w:r>
              <w:rPr>
                <w:rFonts w:hint="eastAsia"/>
                <w:noProof/>
                <w:color w:val="444444"/>
                <w:szCs w:val="22"/>
                <w:lang w:val="en-US" w:eastAsia="ko-KR"/>
              </w:rPr>
              <w:drawing>
                <wp:inline distT="0" distB="0" distL="0" distR="0" wp14:anchorId="573B5EE1" wp14:editId="1BB3B183">
                  <wp:extent cx="217358" cy="217358"/>
                  <wp:effectExtent l="0" t="0" r="0" b="0"/>
                  <wp:docPr id="1376344430"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1B3C649E" w14:textId="77777777" w:rsidTr="6C4DED91">
        <w:trPr>
          <w:trHeight w:val="577"/>
        </w:trPr>
        <w:tc>
          <w:tcPr>
            <w:tcW w:w="1701" w:type="dxa"/>
            <w:vMerge/>
            <w:vAlign w:val="center"/>
            <w:hideMark/>
          </w:tcPr>
          <w:p w14:paraId="46FBFF36"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4C7A9282"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1553618B" w14:textId="77777777" w:rsidR="00687942" w:rsidRPr="00976AB3" w:rsidRDefault="00687942" w:rsidP="0081001A">
            <w:pPr>
              <w:pStyle w:val="Tabletext"/>
              <w:spacing w:before="0" w:after="0"/>
              <w:rPr>
                <w:color w:val="444444"/>
                <w:szCs w:val="22"/>
              </w:rPr>
            </w:pPr>
            <w:r w:rsidRPr="00976AB3">
              <w:rPr>
                <w:color w:val="444444"/>
                <w:szCs w:val="22"/>
              </w:rPr>
              <w:t>Framework and requirements for the construction of 3D manual driven digital human application system based on image recognition algorithm</w:t>
            </w:r>
          </w:p>
        </w:tc>
        <w:tc>
          <w:tcPr>
            <w:tcW w:w="1557" w:type="dxa"/>
            <w:shd w:val="clear" w:color="auto" w:fill="FFFFFF" w:themeFill="background1"/>
            <w:vAlign w:val="center"/>
          </w:tcPr>
          <w:p w14:paraId="3AD1BC95" w14:textId="77777777" w:rsidR="00687942" w:rsidRPr="00394311" w:rsidRDefault="00687942" w:rsidP="0081001A">
            <w:pPr>
              <w:pStyle w:val="Tabletext"/>
              <w:spacing w:before="0" w:after="0"/>
              <w:jc w:val="center"/>
              <w:rPr>
                <w:rFonts w:eastAsia="Malgun Gothic"/>
                <w:color w:val="444444"/>
                <w:szCs w:val="22"/>
                <w:lang w:eastAsia="ko-KR"/>
              </w:rPr>
            </w:pPr>
            <w:r>
              <w:rPr>
                <w:rFonts w:hint="eastAsia"/>
                <w:noProof/>
                <w:color w:val="444444"/>
                <w:szCs w:val="22"/>
                <w:lang w:val="en-US" w:eastAsia="ko-KR"/>
              </w:rPr>
              <w:drawing>
                <wp:inline distT="0" distB="0" distL="0" distR="0" wp14:anchorId="57ADA4E9" wp14:editId="3B9C72EF">
                  <wp:extent cx="217358" cy="217358"/>
                  <wp:effectExtent l="0" t="0" r="0" b="0"/>
                  <wp:docPr id="715386515"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42A56322" w14:textId="77777777" w:rsidTr="6C4DED91">
        <w:trPr>
          <w:trHeight w:val="577"/>
        </w:trPr>
        <w:tc>
          <w:tcPr>
            <w:tcW w:w="1701" w:type="dxa"/>
            <w:vMerge/>
            <w:vAlign w:val="center"/>
            <w:hideMark/>
          </w:tcPr>
          <w:p w14:paraId="76ECB59F"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720085C0"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191813A8" w14:textId="77777777" w:rsidR="00687942" w:rsidRPr="00976AB3" w:rsidRDefault="00687942" w:rsidP="0081001A">
            <w:pPr>
              <w:pStyle w:val="Tabletext"/>
              <w:spacing w:before="0" w:after="0"/>
              <w:rPr>
                <w:color w:val="444444"/>
                <w:szCs w:val="22"/>
              </w:rPr>
            </w:pPr>
            <w:r w:rsidRPr="00976AB3">
              <w:rPr>
                <w:color w:val="444444"/>
                <w:szCs w:val="22"/>
              </w:rPr>
              <w:t>Requirements and framework for extended reality content creation system based on artificial intelligence</w:t>
            </w:r>
          </w:p>
        </w:tc>
        <w:tc>
          <w:tcPr>
            <w:tcW w:w="1557" w:type="dxa"/>
            <w:shd w:val="clear" w:color="auto" w:fill="FFFFFF" w:themeFill="background1"/>
            <w:vAlign w:val="center"/>
          </w:tcPr>
          <w:p w14:paraId="4BB6E614" w14:textId="77777777" w:rsidR="00687942" w:rsidRPr="00976AB3" w:rsidRDefault="00687942" w:rsidP="0081001A">
            <w:pPr>
              <w:pStyle w:val="Tabletext"/>
              <w:spacing w:before="0" w:after="0"/>
              <w:jc w:val="center"/>
              <w:rPr>
                <w:rFonts w:eastAsia="Malgun Gothic"/>
                <w:color w:val="444444"/>
                <w:szCs w:val="22"/>
                <w:lang w:eastAsia="ko-KR"/>
              </w:rPr>
            </w:pPr>
            <w:r>
              <w:rPr>
                <w:rFonts w:hint="eastAsia"/>
                <w:noProof/>
                <w:color w:val="444444"/>
                <w:szCs w:val="22"/>
                <w:lang w:val="en-US" w:eastAsia="ko-KR"/>
              </w:rPr>
              <w:drawing>
                <wp:inline distT="0" distB="0" distL="0" distR="0" wp14:anchorId="7BF21110" wp14:editId="108595A4">
                  <wp:extent cx="217358" cy="217358"/>
                  <wp:effectExtent l="0" t="0" r="0" b="0"/>
                  <wp:docPr id="600703537"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7A62631B" w14:textId="77777777" w:rsidTr="6C4DED91">
        <w:trPr>
          <w:trHeight w:val="577"/>
        </w:trPr>
        <w:tc>
          <w:tcPr>
            <w:tcW w:w="1701" w:type="dxa"/>
            <w:vMerge/>
            <w:vAlign w:val="center"/>
            <w:hideMark/>
          </w:tcPr>
          <w:p w14:paraId="5DD8EF55"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666283DE" w14:textId="77777777" w:rsidR="00687942" w:rsidRPr="00976AB3" w:rsidRDefault="00687942" w:rsidP="0081001A">
            <w:pPr>
              <w:pStyle w:val="Tabletext"/>
              <w:spacing w:before="0" w:after="0"/>
              <w:jc w:val="center"/>
              <w:rPr>
                <w:color w:val="444444"/>
                <w:szCs w:val="22"/>
              </w:rPr>
            </w:pPr>
            <w:r w:rsidRPr="00976AB3">
              <w:rPr>
                <w:color w:val="444444"/>
                <w:szCs w:val="22"/>
              </w:rPr>
              <w:t>TR</w:t>
            </w:r>
          </w:p>
        </w:tc>
        <w:tc>
          <w:tcPr>
            <w:tcW w:w="5675" w:type="dxa"/>
            <w:shd w:val="clear" w:color="auto" w:fill="FFFFFF" w:themeFill="background1"/>
            <w:tcMar>
              <w:top w:w="105" w:type="dxa"/>
              <w:left w:w="75" w:type="dxa"/>
              <w:bottom w:w="90" w:type="dxa"/>
              <w:right w:w="75" w:type="dxa"/>
            </w:tcMar>
            <w:vAlign w:val="center"/>
            <w:hideMark/>
          </w:tcPr>
          <w:p w14:paraId="6C69BC61" w14:textId="77777777" w:rsidR="00687942" w:rsidRPr="00976AB3" w:rsidRDefault="00687942" w:rsidP="0081001A">
            <w:pPr>
              <w:pStyle w:val="Tabletext"/>
              <w:spacing w:before="0" w:after="0"/>
              <w:rPr>
                <w:color w:val="444444"/>
                <w:szCs w:val="22"/>
              </w:rPr>
            </w:pPr>
            <w:r w:rsidRPr="00976AB3">
              <w:rPr>
                <w:color w:val="444444"/>
                <w:szCs w:val="22"/>
              </w:rPr>
              <w:t>Guidelines and use cases on tourism in the metaverse</w:t>
            </w:r>
          </w:p>
        </w:tc>
        <w:tc>
          <w:tcPr>
            <w:tcW w:w="1557" w:type="dxa"/>
            <w:shd w:val="clear" w:color="auto" w:fill="FFFFFF" w:themeFill="background1"/>
            <w:vAlign w:val="center"/>
          </w:tcPr>
          <w:p w14:paraId="2F6CC22F" w14:textId="77777777" w:rsidR="00687942" w:rsidRPr="00976AB3" w:rsidRDefault="00687942" w:rsidP="0081001A">
            <w:pPr>
              <w:pStyle w:val="Tabletext"/>
              <w:spacing w:before="0" w:after="0"/>
              <w:jc w:val="center"/>
              <w:rPr>
                <w:rFonts w:eastAsia="Malgun Gothic"/>
                <w:color w:val="444444"/>
                <w:szCs w:val="22"/>
                <w:lang w:eastAsia="ko-KR"/>
              </w:rPr>
            </w:pPr>
            <w:r>
              <w:rPr>
                <w:rFonts w:hint="eastAsia"/>
                <w:noProof/>
                <w:color w:val="444444"/>
                <w:szCs w:val="22"/>
                <w:lang w:val="en-US" w:eastAsia="ko-KR"/>
              </w:rPr>
              <w:drawing>
                <wp:inline distT="0" distB="0" distL="0" distR="0" wp14:anchorId="6FCA6DBF" wp14:editId="43E128EE">
                  <wp:extent cx="217358" cy="217358"/>
                  <wp:effectExtent l="0" t="0" r="0" b="0"/>
                  <wp:docPr id="1465283206"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3224EEE1" w14:textId="77777777" w:rsidTr="6C4DED91">
        <w:trPr>
          <w:trHeight w:val="577"/>
        </w:trPr>
        <w:tc>
          <w:tcPr>
            <w:tcW w:w="1701" w:type="dxa"/>
            <w:vMerge/>
            <w:vAlign w:val="center"/>
            <w:hideMark/>
          </w:tcPr>
          <w:p w14:paraId="2B810170"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0F20FEA1" w14:textId="77777777" w:rsidR="00687942" w:rsidRPr="00976AB3" w:rsidRDefault="00687942" w:rsidP="0081001A">
            <w:pPr>
              <w:pStyle w:val="Tabletext"/>
              <w:spacing w:before="0" w:after="0"/>
              <w:jc w:val="center"/>
              <w:rPr>
                <w:color w:val="444444"/>
                <w:szCs w:val="22"/>
              </w:rPr>
            </w:pPr>
            <w:r w:rsidRPr="00976AB3">
              <w:rPr>
                <w:color w:val="444444"/>
                <w:szCs w:val="22"/>
              </w:rPr>
              <w:t>TR</w:t>
            </w:r>
          </w:p>
        </w:tc>
        <w:tc>
          <w:tcPr>
            <w:tcW w:w="5675" w:type="dxa"/>
            <w:shd w:val="clear" w:color="auto" w:fill="FFFFFF" w:themeFill="background1"/>
            <w:tcMar>
              <w:top w:w="105" w:type="dxa"/>
              <w:left w:w="75" w:type="dxa"/>
              <w:bottom w:w="90" w:type="dxa"/>
              <w:right w:w="75" w:type="dxa"/>
            </w:tcMar>
            <w:vAlign w:val="center"/>
            <w:hideMark/>
          </w:tcPr>
          <w:p w14:paraId="7FD53143" w14:textId="77777777" w:rsidR="00687942" w:rsidRPr="00976AB3" w:rsidRDefault="00687942" w:rsidP="0081001A">
            <w:pPr>
              <w:pStyle w:val="Tabletext"/>
              <w:spacing w:before="0" w:after="0"/>
              <w:rPr>
                <w:color w:val="444444"/>
                <w:szCs w:val="22"/>
              </w:rPr>
            </w:pPr>
            <w:r w:rsidRPr="00976AB3">
              <w:rPr>
                <w:color w:val="444444"/>
                <w:szCs w:val="22"/>
              </w:rPr>
              <w:t>Use case and requirements for remote amusement service with automatic movable robot (AMR) with multimedia functions on metaverse</w:t>
            </w:r>
          </w:p>
        </w:tc>
        <w:tc>
          <w:tcPr>
            <w:tcW w:w="1557" w:type="dxa"/>
            <w:shd w:val="clear" w:color="auto" w:fill="FFFFFF" w:themeFill="background1"/>
            <w:vAlign w:val="center"/>
          </w:tcPr>
          <w:p w14:paraId="30CFE22F" w14:textId="77777777" w:rsidR="00687942" w:rsidRPr="00976AB3" w:rsidRDefault="00687942" w:rsidP="0081001A">
            <w:pPr>
              <w:pStyle w:val="Tabletext"/>
              <w:spacing w:before="0" w:after="0"/>
              <w:jc w:val="center"/>
              <w:rPr>
                <w:color w:val="444444"/>
                <w:szCs w:val="22"/>
              </w:rPr>
            </w:pPr>
            <w:r>
              <w:rPr>
                <w:rFonts w:hint="eastAsia"/>
                <w:noProof/>
                <w:color w:val="444444"/>
                <w:szCs w:val="22"/>
                <w:lang w:val="en-US" w:eastAsia="ko-KR"/>
              </w:rPr>
              <w:drawing>
                <wp:inline distT="0" distB="0" distL="0" distR="0" wp14:anchorId="2FEC05B5" wp14:editId="0CA3C307">
                  <wp:extent cx="217358" cy="217358"/>
                  <wp:effectExtent l="0" t="0" r="0" b="0"/>
                  <wp:docPr id="89880789"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1C5FDDA9" w14:textId="77777777" w:rsidTr="6C4DED91">
        <w:trPr>
          <w:trHeight w:val="577"/>
        </w:trPr>
        <w:tc>
          <w:tcPr>
            <w:tcW w:w="1701" w:type="dxa"/>
            <w:vMerge/>
            <w:vAlign w:val="center"/>
            <w:hideMark/>
          </w:tcPr>
          <w:p w14:paraId="4DED045B"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18CCF000" w14:textId="77777777" w:rsidR="00687942" w:rsidRPr="00976AB3" w:rsidRDefault="00687942" w:rsidP="0081001A">
            <w:pPr>
              <w:pStyle w:val="Tabletext"/>
              <w:spacing w:before="0" w:after="0"/>
              <w:jc w:val="center"/>
              <w:rPr>
                <w:color w:val="444444"/>
                <w:szCs w:val="22"/>
              </w:rPr>
            </w:pPr>
            <w:r w:rsidRPr="00976AB3">
              <w:rPr>
                <w:color w:val="444444"/>
                <w:szCs w:val="22"/>
              </w:rPr>
              <w:t>TR</w:t>
            </w:r>
          </w:p>
        </w:tc>
        <w:tc>
          <w:tcPr>
            <w:tcW w:w="5675" w:type="dxa"/>
            <w:shd w:val="clear" w:color="auto" w:fill="FFFFFF" w:themeFill="background1"/>
            <w:tcMar>
              <w:top w:w="105" w:type="dxa"/>
              <w:left w:w="75" w:type="dxa"/>
              <w:bottom w:w="90" w:type="dxa"/>
              <w:right w:w="75" w:type="dxa"/>
            </w:tcMar>
            <w:vAlign w:val="center"/>
            <w:hideMark/>
          </w:tcPr>
          <w:p w14:paraId="091FFAC8" w14:textId="77777777" w:rsidR="00687942" w:rsidRPr="00976AB3" w:rsidRDefault="00687942" w:rsidP="0081001A">
            <w:pPr>
              <w:pStyle w:val="Tabletext"/>
              <w:spacing w:before="0" w:after="0"/>
              <w:rPr>
                <w:color w:val="444444"/>
                <w:szCs w:val="22"/>
              </w:rPr>
            </w:pPr>
            <w:r w:rsidRPr="00976AB3">
              <w:rPr>
                <w:color w:val="444444"/>
                <w:szCs w:val="22"/>
              </w:rPr>
              <w:t>Medical metaverse: Use-case Relevant to Medical Training and Hospital</w:t>
            </w:r>
          </w:p>
        </w:tc>
        <w:tc>
          <w:tcPr>
            <w:tcW w:w="1557" w:type="dxa"/>
            <w:shd w:val="clear" w:color="auto" w:fill="FFFFFF" w:themeFill="background1"/>
            <w:vAlign w:val="center"/>
          </w:tcPr>
          <w:p w14:paraId="2AE488C6" w14:textId="77777777" w:rsidR="00687942" w:rsidRPr="00976AB3" w:rsidRDefault="00687942" w:rsidP="0081001A">
            <w:pPr>
              <w:pStyle w:val="Tabletext"/>
              <w:spacing w:before="0" w:after="0"/>
              <w:jc w:val="center"/>
              <w:rPr>
                <w:color w:val="444444"/>
                <w:szCs w:val="22"/>
              </w:rPr>
            </w:pPr>
            <w:r>
              <w:rPr>
                <w:rFonts w:hint="eastAsia"/>
                <w:noProof/>
                <w:color w:val="444444"/>
                <w:szCs w:val="22"/>
                <w:lang w:val="en-US" w:eastAsia="ko-KR"/>
              </w:rPr>
              <w:drawing>
                <wp:inline distT="0" distB="0" distL="0" distR="0" wp14:anchorId="017DA7F5" wp14:editId="4CA10F43">
                  <wp:extent cx="217358" cy="217358"/>
                  <wp:effectExtent l="0" t="0" r="0" b="0"/>
                  <wp:docPr id="1775445645"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67CB8F7F" w14:textId="77777777" w:rsidTr="6C4DED91">
        <w:trPr>
          <w:trHeight w:val="577"/>
        </w:trPr>
        <w:tc>
          <w:tcPr>
            <w:tcW w:w="1701" w:type="dxa"/>
            <w:vMerge/>
            <w:vAlign w:val="center"/>
            <w:hideMark/>
          </w:tcPr>
          <w:p w14:paraId="24C76C0C"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1188BF0F" w14:textId="77777777" w:rsidR="00687942" w:rsidRPr="002A0F35" w:rsidRDefault="00687942" w:rsidP="0081001A">
            <w:pPr>
              <w:pStyle w:val="Tabletext"/>
              <w:spacing w:before="0" w:after="0"/>
              <w:jc w:val="center"/>
              <w:rPr>
                <w:color w:val="444444"/>
                <w:szCs w:val="22"/>
                <w:bdr w:val="none" w:sz="0" w:space="0" w:color="auto" w:frame="1"/>
                <w:lang w:eastAsia="ko-KR"/>
              </w:rPr>
            </w:pPr>
            <w:r w:rsidRPr="00976AB3">
              <w:rPr>
                <w:color w:val="444444"/>
                <w:szCs w:val="22"/>
                <w:bdr w:val="none" w:sz="0" w:space="0" w:color="auto" w:frame="1"/>
              </w:rPr>
              <w:t>TR</w:t>
            </w:r>
          </w:p>
        </w:tc>
        <w:tc>
          <w:tcPr>
            <w:tcW w:w="5675" w:type="dxa"/>
            <w:shd w:val="clear" w:color="auto" w:fill="FFFFFF" w:themeFill="background1"/>
            <w:tcMar>
              <w:top w:w="105" w:type="dxa"/>
              <w:left w:w="75" w:type="dxa"/>
              <w:bottom w:w="90" w:type="dxa"/>
              <w:right w:w="75" w:type="dxa"/>
            </w:tcMar>
            <w:vAlign w:val="center"/>
            <w:hideMark/>
          </w:tcPr>
          <w:p w14:paraId="46166CDA" w14:textId="77777777" w:rsidR="00687942" w:rsidRPr="00976AB3" w:rsidRDefault="00687942" w:rsidP="0081001A">
            <w:pPr>
              <w:pStyle w:val="Tabletext"/>
              <w:spacing w:before="0" w:after="0"/>
              <w:rPr>
                <w:color w:val="444444"/>
                <w:szCs w:val="22"/>
              </w:rPr>
            </w:pPr>
            <w:r w:rsidRPr="00976AB3">
              <w:rPr>
                <w:color w:val="444444"/>
                <w:szCs w:val="22"/>
              </w:rPr>
              <w:t>Guidelines for metaverse application in power system</w:t>
            </w:r>
            <w:r>
              <w:rPr>
                <w:color w:val="444444"/>
                <w:szCs w:val="22"/>
              </w:rPr>
              <w:t xml:space="preserve"> </w:t>
            </w:r>
            <w:r w:rsidRPr="00ED6BC6">
              <w:rPr>
                <w:b/>
                <w:bCs/>
                <w:i/>
                <w:iCs/>
                <w:color w:val="444444"/>
                <w:szCs w:val="22"/>
              </w:rPr>
              <w:t>(approved at the 5</w:t>
            </w:r>
            <w:r w:rsidRPr="00ED6BC6">
              <w:rPr>
                <w:b/>
                <w:bCs/>
                <w:i/>
                <w:iCs/>
                <w:color w:val="444444"/>
                <w:szCs w:val="22"/>
                <w:vertAlign w:val="superscript"/>
              </w:rPr>
              <w:t>th</w:t>
            </w:r>
            <w:r w:rsidRPr="00ED6BC6">
              <w:rPr>
                <w:b/>
                <w:bCs/>
                <w:i/>
                <w:iCs/>
                <w:color w:val="444444"/>
                <w:szCs w:val="22"/>
              </w:rPr>
              <w:t xml:space="preserve"> FG-MV meeting)</w:t>
            </w:r>
          </w:p>
        </w:tc>
        <w:tc>
          <w:tcPr>
            <w:tcW w:w="1557" w:type="dxa"/>
            <w:shd w:val="clear" w:color="auto" w:fill="FFFFFF" w:themeFill="background1"/>
            <w:vAlign w:val="center"/>
          </w:tcPr>
          <w:p w14:paraId="655ACF32" w14:textId="77777777" w:rsidR="00687942" w:rsidRPr="00976AB3" w:rsidRDefault="00687942" w:rsidP="0081001A">
            <w:pPr>
              <w:pStyle w:val="Tabletext"/>
              <w:spacing w:before="0" w:after="0"/>
              <w:jc w:val="center"/>
              <w:rPr>
                <w:color w:val="444444"/>
                <w:szCs w:val="22"/>
              </w:rPr>
            </w:pPr>
            <w:r>
              <w:rPr>
                <w:rFonts w:hint="eastAsia"/>
                <w:noProof/>
                <w:color w:val="444444"/>
                <w:szCs w:val="22"/>
                <w:lang w:val="en-US" w:eastAsia="ko-KR"/>
              </w:rPr>
              <w:drawing>
                <wp:inline distT="0" distB="0" distL="0" distR="0" wp14:anchorId="59D34C17" wp14:editId="1A1AEFFD">
                  <wp:extent cx="217358" cy="217358"/>
                  <wp:effectExtent l="0" t="0" r="0" b="0"/>
                  <wp:docPr id="1656238426"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22860F52" w14:textId="77777777" w:rsidTr="6C4DED91">
        <w:trPr>
          <w:trHeight w:val="577"/>
        </w:trPr>
        <w:tc>
          <w:tcPr>
            <w:tcW w:w="1701" w:type="dxa"/>
            <w:vMerge/>
            <w:vAlign w:val="center"/>
            <w:hideMark/>
          </w:tcPr>
          <w:p w14:paraId="074CEF48"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2D843F1A" w14:textId="77777777" w:rsidR="00687942" w:rsidRPr="00976AB3" w:rsidRDefault="00687942" w:rsidP="0081001A">
            <w:pPr>
              <w:pStyle w:val="Tabletext"/>
              <w:spacing w:before="0" w:after="0"/>
              <w:jc w:val="center"/>
              <w:rPr>
                <w:color w:val="444444"/>
                <w:szCs w:val="22"/>
              </w:rPr>
            </w:pPr>
            <w:r w:rsidRPr="00976AB3">
              <w:rPr>
                <w:color w:val="444444"/>
                <w:szCs w:val="22"/>
              </w:rPr>
              <w:t>TR</w:t>
            </w:r>
          </w:p>
        </w:tc>
        <w:tc>
          <w:tcPr>
            <w:tcW w:w="5675" w:type="dxa"/>
            <w:shd w:val="clear" w:color="auto" w:fill="FFFFFF" w:themeFill="background1"/>
            <w:tcMar>
              <w:top w:w="105" w:type="dxa"/>
              <w:left w:w="75" w:type="dxa"/>
              <w:bottom w:w="90" w:type="dxa"/>
              <w:right w:w="75" w:type="dxa"/>
            </w:tcMar>
            <w:vAlign w:val="center"/>
            <w:hideMark/>
          </w:tcPr>
          <w:p w14:paraId="457586C9" w14:textId="77777777" w:rsidR="00687942" w:rsidRPr="00976AB3" w:rsidRDefault="00687942" w:rsidP="0081001A">
            <w:pPr>
              <w:pStyle w:val="Tabletext"/>
              <w:spacing w:before="0" w:after="0"/>
              <w:rPr>
                <w:color w:val="444444"/>
                <w:szCs w:val="22"/>
              </w:rPr>
            </w:pPr>
            <w:r w:rsidRPr="00976AB3">
              <w:rPr>
                <w:color w:val="444444"/>
                <w:szCs w:val="22"/>
              </w:rPr>
              <w:t>Landscape and Use cases for the Industrial metaverse</w:t>
            </w:r>
          </w:p>
        </w:tc>
        <w:tc>
          <w:tcPr>
            <w:tcW w:w="1557" w:type="dxa"/>
            <w:shd w:val="clear" w:color="auto" w:fill="FFFFFF" w:themeFill="background1"/>
            <w:vAlign w:val="center"/>
          </w:tcPr>
          <w:p w14:paraId="48C0ABA7" w14:textId="77777777" w:rsidR="00687942" w:rsidRPr="00976AB3" w:rsidRDefault="00687942" w:rsidP="0081001A">
            <w:pPr>
              <w:pStyle w:val="Tabletext"/>
              <w:spacing w:before="0" w:after="0"/>
              <w:jc w:val="center"/>
              <w:rPr>
                <w:color w:val="444444"/>
                <w:szCs w:val="22"/>
              </w:rPr>
            </w:pPr>
            <w:r>
              <w:rPr>
                <w:rFonts w:hint="eastAsia"/>
                <w:noProof/>
                <w:color w:val="444444"/>
                <w:szCs w:val="22"/>
                <w:lang w:val="en-US" w:eastAsia="ko-KR"/>
              </w:rPr>
              <w:drawing>
                <wp:inline distT="0" distB="0" distL="0" distR="0" wp14:anchorId="16758A64" wp14:editId="364ACAC3">
                  <wp:extent cx="217358" cy="217358"/>
                  <wp:effectExtent l="0" t="0" r="0" b="0"/>
                  <wp:docPr id="874701294"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216D666D" w14:textId="77777777" w:rsidTr="0081001A">
        <w:trPr>
          <w:trHeight w:val="577"/>
        </w:trPr>
        <w:tc>
          <w:tcPr>
            <w:tcW w:w="1701" w:type="dxa"/>
            <w:vMerge w:val="restart"/>
            <w:shd w:val="clear" w:color="auto" w:fill="FFFFFF" w:themeFill="background1"/>
            <w:tcMar>
              <w:top w:w="105" w:type="dxa"/>
              <w:left w:w="75" w:type="dxa"/>
              <w:bottom w:w="90" w:type="dxa"/>
              <w:right w:w="75" w:type="dxa"/>
            </w:tcMar>
            <w:vAlign w:val="center"/>
            <w:hideMark/>
          </w:tcPr>
          <w:p w14:paraId="0C06749D" w14:textId="77777777" w:rsidR="00687942" w:rsidRDefault="00687942" w:rsidP="00FA4399">
            <w:pPr>
              <w:pStyle w:val="Tabletext"/>
              <w:rPr>
                <w:b/>
                <w:bCs/>
                <w:color w:val="444444"/>
                <w:szCs w:val="22"/>
              </w:rPr>
            </w:pPr>
            <w:proofErr w:type="spellStart"/>
            <w:r w:rsidRPr="007C6A34">
              <w:rPr>
                <w:b/>
                <w:bCs/>
                <w:color w:val="444444"/>
                <w:szCs w:val="22"/>
                <w:bdr w:val="none" w:sz="0" w:space="0" w:color="auto" w:frame="1"/>
              </w:rPr>
              <w:lastRenderedPageBreak/>
              <w:t>WG</w:t>
            </w:r>
            <w:proofErr w:type="spellEnd"/>
            <w:r w:rsidRPr="007C6A34">
              <w:rPr>
                <w:b/>
                <w:bCs/>
                <w:color w:val="444444"/>
                <w:szCs w:val="22"/>
                <w:bdr w:val="none" w:sz="0" w:space="0" w:color="auto" w:frame="1"/>
              </w:rPr>
              <w:t xml:space="preserve"> 3</w:t>
            </w:r>
          </w:p>
          <w:p w14:paraId="6EB46ADF" w14:textId="77777777" w:rsidR="00687942" w:rsidRPr="00FA4399" w:rsidRDefault="008A0058" w:rsidP="00FA4399">
            <w:pPr>
              <w:pStyle w:val="Tabletext"/>
            </w:pPr>
            <w:hyperlink r:id="rId29" w:history="1">
              <w:r w:rsidR="00687942" w:rsidRPr="00FA4399">
                <w:rPr>
                  <w:rStyle w:val="Hyperlink"/>
                  <w:rFonts w:eastAsia="Malgun Gothic"/>
                </w:rPr>
                <w:t>Architecture &amp; Infrastructure</w:t>
              </w:r>
            </w:hyperlink>
          </w:p>
        </w:tc>
        <w:tc>
          <w:tcPr>
            <w:tcW w:w="687" w:type="dxa"/>
            <w:shd w:val="clear" w:color="auto" w:fill="FFFFFF" w:themeFill="background1"/>
            <w:tcMar>
              <w:top w:w="105" w:type="dxa"/>
              <w:left w:w="75" w:type="dxa"/>
              <w:bottom w:w="90" w:type="dxa"/>
              <w:right w:w="75" w:type="dxa"/>
            </w:tcMar>
            <w:vAlign w:val="center"/>
            <w:hideMark/>
          </w:tcPr>
          <w:p w14:paraId="1A74E3ED" w14:textId="77777777" w:rsidR="00687942" w:rsidRPr="00976AB3" w:rsidRDefault="00687942" w:rsidP="0081001A">
            <w:pPr>
              <w:pStyle w:val="Tabletext"/>
              <w:spacing w:before="0" w:after="0"/>
              <w:jc w:val="center"/>
              <w:rPr>
                <w:color w:val="444444"/>
                <w:szCs w:val="22"/>
              </w:rPr>
            </w:pPr>
            <w:r w:rsidRPr="00976AB3">
              <w:rPr>
                <w:color w:val="444444"/>
                <w:szCs w:val="22"/>
              </w:rPr>
              <w:t>TR</w:t>
            </w:r>
          </w:p>
        </w:tc>
        <w:tc>
          <w:tcPr>
            <w:tcW w:w="5675" w:type="dxa"/>
            <w:shd w:val="clear" w:color="auto" w:fill="FFFFFF" w:themeFill="background1"/>
            <w:tcMar>
              <w:top w:w="105" w:type="dxa"/>
              <w:left w:w="75" w:type="dxa"/>
              <w:bottom w:w="90" w:type="dxa"/>
              <w:right w:w="75" w:type="dxa"/>
            </w:tcMar>
            <w:vAlign w:val="center"/>
            <w:hideMark/>
          </w:tcPr>
          <w:p w14:paraId="1158B8C4" w14:textId="77777777" w:rsidR="00687942" w:rsidRPr="00976AB3" w:rsidRDefault="00687942" w:rsidP="0081001A">
            <w:pPr>
              <w:pStyle w:val="Tabletext"/>
              <w:spacing w:before="0" w:after="0"/>
              <w:rPr>
                <w:color w:val="444444"/>
                <w:szCs w:val="22"/>
              </w:rPr>
            </w:pPr>
            <w:r w:rsidRPr="00976AB3">
              <w:rPr>
                <w:color w:val="444444"/>
                <w:szCs w:val="22"/>
              </w:rPr>
              <w:t>Requirements and challenge associated with network infrastructure to enable the metaverse</w:t>
            </w:r>
          </w:p>
        </w:tc>
        <w:tc>
          <w:tcPr>
            <w:tcW w:w="1557" w:type="dxa"/>
            <w:shd w:val="clear" w:color="auto" w:fill="FFFFFF" w:themeFill="background1"/>
            <w:vAlign w:val="center"/>
          </w:tcPr>
          <w:p w14:paraId="13B4FD7D" w14:textId="77777777" w:rsidR="00687942" w:rsidRPr="00976AB3" w:rsidRDefault="00687942" w:rsidP="0081001A">
            <w:pPr>
              <w:pStyle w:val="Tabletext"/>
              <w:spacing w:before="0" w:after="0"/>
              <w:jc w:val="center"/>
              <w:rPr>
                <w:color w:val="444444"/>
                <w:szCs w:val="22"/>
              </w:rPr>
            </w:pPr>
          </w:p>
        </w:tc>
      </w:tr>
      <w:tr w:rsidR="00687942" w:rsidRPr="00976AB3" w14:paraId="4730240C" w14:textId="77777777" w:rsidTr="6C4DED91">
        <w:trPr>
          <w:trHeight w:val="577"/>
        </w:trPr>
        <w:tc>
          <w:tcPr>
            <w:tcW w:w="1701" w:type="dxa"/>
            <w:vMerge/>
            <w:vAlign w:val="center"/>
            <w:hideMark/>
          </w:tcPr>
          <w:p w14:paraId="7CFF180B"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614A63E4"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7DE71271" w14:textId="77777777" w:rsidR="00687942" w:rsidRPr="00976AB3" w:rsidRDefault="00687942" w:rsidP="0081001A">
            <w:pPr>
              <w:pStyle w:val="Tabletext"/>
              <w:spacing w:before="0" w:after="0"/>
              <w:rPr>
                <w:color w:val="444444"/>
                <w:szCs w:val="22"/>
              </w:rPr>
            </w:pPr>
            <w:r w:rsidRPr="00976AB3">
              <w:rPr>
                <w:color w:val="444444"/>
                <w:szCs w:val="22"/>
              </w:rPr>
              <w:t>Functional framework and capability of IoT for metaverse</w:t>
            </w:r>
          </w:p>
        </w:tc>
        <w:tc>
          <w:tcPr>
            <w:tcW w:w="1557" w:type="dxa"/>
            <w:shd w:val="clear" w:color="auto" w:fill="FFFFFF" w:themeFill="background1"/>
            <w:vAlign w:val="center"/>
          </w:tcPr>
          <w:p w14:paraId="24BB797B" w14:textId="77777777" w:rsidR="00687942" w:rsidRPr="00976AB3" w:rsidRDefault="00687942" w:rsidP="0081001A">
            <w:pPr>
              <w:pStyle w:val="Tabletext"/>
              <w:spacing w:before="0" w:after="0"/>
              <w:jc w:val="center"/>
              <w:rPr>
                <w:color w:val="444444"/>
                <w:szCs w:val="22"/>
              </w:rPr>
            </w:pPr>
          </w:p>
        </w:tc>
      </w:tr>
      <w:tr w:rsidR="00687942" w:rsidRPr="00976AB3" w14:paraId="617675DE" w14:textId="77777777" w:rsidTr="6C4DED91">
        <w:trPr>
          <w:trHeight w:val="577"/>
        </w:trPr>
        <w:tc>
          <w:tcPr>
            <w:tcW w:w="1701" w:type="dxa"/>
            <w:vMerge/>
            <w:vAlign w:val="center"/>
            <w:hideMark/>
          </w:tcPr>
          <w:p w14:paraId="1CE3BB53"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67962642" w14:textId="77777777" w:rsidR="00687942" w:rsidRPr="007C6A34"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06469A48" w14:textId="77777777" w:rsidR="00687942" w:rsidRPr="00976AB3" w:rsidRDefault="00687942" w:rsidP="0081001A">
            <w:pPr>
              <w:pStyle w:val="Tabletext"/>
              <w:spacing w:before="0" w:after="0"/>
              <w:rPr>
                <w:color w:val="444444"/>
                <w:szCs w:val="22"/>
              </w:rPr>
            </w:pPr>
            <w:r w:rsidRPr="00976AB3">
              <w:rPr>
                <w:color w:val="444444"/>
                <w:szCs w:val="22"/>
              </w:rPr>
              <w:t>The reference framework of industrial metaverse</w:t>
            </w:r>
          </w:p>
        </w:tc>
        <w:tc>
          <w:tcPr>
            <w:tcW w:w="1557" w:type="dxa"/>
            <w:shd w:val="clear" w:color="auto" w:fill="FFFFFF" w:themeFill="background1"/>
            <w:vAlign w:val="center"/>
          </w:tcPr>
          <w:p w14:paraId="5D9969A3" w14:textId="77777777" w:rsidR="00687942" w:rsidRPr="00976AB3" w:rsidRDefault="00687942" w:rsidP="0081001A">
            <w:pPr>
              <w:pStyle w:val="Tabletext"/>
              <w:spacing w:before="0" w:after="0"/>
              <w:jc w:val="center"/>
              <w:rPr>
                <w:color w:val="444444"/>
                <w:szCs w:val="22"/>
              </w:rPr>
            </w:pPr>
            <w:r>
              <w:rPr>
                <w:rFonts w:hint="eastAsia"/>
                <w:noProof/>
                <w:color w:val="444444"/>
                <w:szCs w:val="22"/>
                <w:lang w:val="en-US" w:eastAsia="ko-KR"/>
              </w:rPr>
              <w:drawing>
                <wp:inline distT="0" distB="0" distL="0" distR="0" wp14:anchorId="6E5169A9" wp14:editId="444F7BE5">
                  <wp:extent cx="217358" cy="217358"/>
                  <wp:effectExtent l="0" t="0" r="0" b="0"/>
                  <wp:docPr id="802855293"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1B3082B6" w14:textId="77777777" w:rsidTr="6C4DED91">
        <w:trPr>
          <w:trHeight w:val="577"/>
        </w:trPr>
        <w:tc>
          <w:tcPr>
            <w:tcW w:w="1701" w:type="dxa"/>
            <w:vMerge/>
            <w:vAlign w:val="center"/>
            <w:hideMark/>
          </w:tcPr>
          <w:p w14:paraId="1894B5D2"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1C0FE98C"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297F5270" w14:textId="77777777" w:rsidR="00687942" w:rsidRPr="00976AB3" w:rsidRDefault="00687942" w:rsidP="0081001A">
            <w:pPr>
              <w:pStyle w:val="Tabletext"/>
              <w:spacing w:before="0" w:after="0"/>
              <w:rPr>
                <w:color w:val="444444"/>
                <w:szCs w:val="22"/>
              </w:rPr>
            </w:pPr>
            <w:r w:rsidRPr="00976AB3">
              <w:rPr>
                <w:color w:val="444444"/>
                <w:szCs w:val="22"/>
              </w:rPr>
              <w:t>Setting the framework for an ICT architecture to enable the metaverse</w:t>
            </w:r>
          </w:p>
        </w:tc>
        <w:tc>
          <w:tcPr>
            <w:tcW w:w="1557" w:type="dxa"/>
            <w:shd w:val="clear" w:color="auto" w:fill="FFFFFF" w:themeFill="background1"/>
            <w:vAlign w:val="center"/>
          </w:tcPr>
          <w:p w14:paraId="148A5D78" w14:textId="77777777" w:rsidR="00687942" w:rsidRPr="00976AB3" w:rsidRDefault="00687942" w:rsidP="0081001A">
            <w:pPr>
              <w:pStyle w:val="Tabletext"/>
              <w:spacing w:before="0" w:after="0"/>
              <w:jc w:val="center"/>
              <w:rPr>
                <w:color w:val="444444"/>
                <w:szCs w:val="22"/>
              </w:rPr>
            </w:pPr>
            <w:r>
              <w:rPr>
                <w:rFonts w:hint="eastAsia"/>
                <w:noProof/>
                <w:color w:val="444444"/>
                <w:szCs w:val="22"/>
                <w:lang w:val="en-US" w:eastAsia="ko-KR"/>
              </w:rPr>
              <w:drawing>
                <wp:inline distT="0" distB="0" distL="0" distR="0" wp14:anchorId="3850D1A4" wp14:editId="0F874511">
                  <wp:extent cx="217358" cy="217358"/>
                  <wp:effectExtent l="0" t="0" r="0" b="0"/>
                  <wp:docPr id="294956228"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785D7261" w14:textId="77777777" w:rsidTr="6C4DED91">
        <w:trPr>
          <w:trHeight w:val="577"/>
        </w:trPr>
        <w:tc>
          <w:tcPr>
            <w:tcW w:w="1701" w:type="dxa"/>
            <w:vMerge/>
            <w:vAlign w:val="center"/>
            <w:hideMark/>
          </w:tcPr>
          <w:p w14:paraId="2F1349D9"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1204D97C"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5F1820BE" w14:textId="77777777" w:rsidR="00687942" w:rsidRPr="00976AB3" w:rsidRDefault="00687942" w:rsidP="0081001A">
            <w:pPr>
              <w:pStyle w:val="Tabletext"/>
              <w:spacing w:before="0" w:after="0"/>
              <w:rPr>
                <w:color w:val="444444"/>
                <w:szCs w:val="22"/>
              </w:rPr>
            </w:pPr>
            <w:r w:rsidRPr="00976AB3">
              <w:rPr>
                <w:color w:val="444444"/>
                <w:szCs w:val="22"/>
              </w:rPr>
              <w:t>Multimedia aspect of metaverse architecture</w:t>
            </w:r>
          </w:p>
        </w:tc>
        <w:tc>
          <w:tcPr>
            <w:tcW w:w="1557" w:type="dxa"/>
            <w:shd w:val="clear" w:color="auto" w:fill="FFFFFF" w:themeFill="background1"/>
            <w:vAlign w:val="center"/>
          </w:tcPr>
          <w:p w14:paraId="3BAD09CB" w14:textId="77777777" w:rsidR="00687942" w:rsidRPr="00976AB3" w:rsidRDefault="00687942" w:rsidP="0081001A">
            <w:pPr>
              <w:pStyle w:val="Tabletext"/>
              <w:spacing w:before="0" w:after="0"/>
              <w:jc w:val="center"/>
              <w:rPr>
                <w:color w:val="444444"/>
                <w:szCs w:val="22"/>
              </w:rPr>
            </w:pPr>
            <w:r>
              <w:rPr>
                <w:rFonts w:hint="eastAsia"/>
                <w:noProof/>
                <w:color w:val="444444"/>
                <w:szCs w:val="22"/>
                <w:lang w:val="en-US" w:eastAsia="ko-KR"/>
              </w:rPr>
              <w:drawing>
                <wp:inline distT="0" distB="0" distL="0" distR="0" wp14:anchorId="53715166" wp14:editId="3D4CA70C">
                  <wp:extent cx="217358" cy="217358"/>
                  <wp:effectExtent l="0" t="0" r="0" b="0"/>
                  <wp:docPr id="183833168"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30EFD660" w14:textId="77777777" w:rsidTr="0081001A">
        <w:trPr>
          <w:trHeight w:val="577"/>
        </w:trPr>
        <w:tc>
          <w:tcPr>
            <w:tcW w:w="1701" w:type="dxa"/>
            <w:vMerge w:val="restart"/>
            <w:shd w:val="clear" w:color="auto" w:fill="FFFFFF" w:themeFill="background1"/>
            <w:tcMar>
              <w:top w:w="105" w:type="dxa"/>
              <w:left w:w="75" w:type="dxa"/>
              <w:bottom w:w="90" w:type="dxa"/>
              <w:right w:w="75" w:type="dxa"/>
            </w:tcMar>
            <w:vAlign w:val="center"/>
            <w:hideMark/>
          </w:tcPr>
          <w:p w14:paraId="33F9F7F0" w14:textId="77777777" w:rsidR="00687942" w:rsidRDefault="00687942" w:rsidP="00FA4399">
            <w:pPr>
              <w:pStyle w:val="Tabletext"/>
              <w:rPr>
                <w:b/>
                <w:bCs/>
                <w:color w:val="444444"/>
                <w:szCs w:val="22"/>
              </w:rPr>
            </w:pPr>
            <w:proofErr w:type="spellStart"/>
            <w:r w:rsidRPr="007C6A34">
              <w:rPr>
                <w:b/>
                <w:bCs/>
                <w:color w:val="444444"/>
                <w:szCs w:val="22"/>
                <w:bdr w:val="none" w:sz="0" w:space="0" w:color="auto" w:frame="1"/>
              </w:rPr>
              <w:t>WG</w:t>
            </w:r>
            <w:proofErr w:type="spellEnd"/>
            <w:r w:rsidRPr="007C6A34">
              <w:rPr>
                <w:b/>
                <w:bCs/>
                <w:color w:val="444444"/>
                <w:szCs w:val="22"/>
                <w:bdr w:val="none" w:sz="0" w:space="0" w:color="auto" w:frame="1"/>
              </w:rPr>
              <w:t xml:space="preserve"> 4</w:t>
            </w:r>
          </w:p>
          <w:p w14:paraId="17A9800A" w14:textId="77777777" w:rsidR="00687942" w:rsidRPr="00FA4399" w:rsidRDefault="008A0058" w:rsidP="00FA4399">
            <w:pPr>
              <w:pStyle w:val="Tabletext"/>
            </w:pPr>
            <w:hyperlink r:id="rId30" w:history="1">
              <w:r w:rsidR="00687942" w:rsidRPr="00FA4399">
                <w:rPr>
                  <w:rStyle w:val="Hyperlink"/>
                  <w:rFonts w:eastAsia="Malgun Gothic"/>
                </w:rPr>
                <w:t>Virtual/Real World Integration</w:t>
              </w:r>
            </w:hyperlink>
            <w:r w:rsidR="00687942" w:rsidRPr="00FA4399">
              <w:rPr>
                <w:rFonts w:eastAsia="Malgun Gothic"/>
              </w:rPr>
              <w:t xml:space="preserve"> </w:t>
            </w:r>
          </w:p>
        </w:tc>
        <w:tc>
          <w:tcPr>
            <w:tcW w:w="687" w:type="dxa"/>
            <w:shd w:val="clear" w:color="auto" w:fill="FFFFFF" w:themeFill="background1"/>
            <w:tcMar>
              <w:top w:w="105" w:type="dxa"/>
              <w:left w:w="75" w:type="dxa"/>
              <w:bottom w:w="90" w:type="dxa"/>
              <w:right w:w="75" w:type="dxa"/>
            </w:tcMar>
            <w:vAlign w:val="center"/>
            <w:hideMark/>
          </w:tcPr>
          <w:p w14:paraId="5CA1CEE8" w14:textId="77777777" w:rsidR="00687942" w:rsidRPr="00976AB3" w:rsidRDefault="00687942" w:rsidP="0081001A">
            <w:pPr>
              <w:pStyle w:val="Tabletext"/>
              <w:spacing w:before="0" w:after="0"/>
              <w:jc w:val="center"/>
              <w:rPr>
                <w:color w:val="444444"/>
                <w:szCs w:val="22"/>
                <w:lang w:eastAsia="ko-KR"/>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468B7ADD" w14:textId="77777777" w:rsidR="00687942" w:rsidRPr="00976AB3" w:rsidRDefault="00687942" w:rsidP="0081001A">
            <w:pPr>
              <w:pStyle w:val="Tabletext"/>
              <w:spacing w:before="0" w:after="0"/>
              <w:rPr>
                <w:color w:val="444444"/>
                <w:szCs w:val="22"/>
              </w:rPr>
            </w:pPr>
            <w:r w:rsidRPr="00976AB3">
              <w:rPr>
                <w:color w:val="444444"/>
                <w:szCs w:val="22"/>
              </w:rPr>
              <w:t>Requirements for the metaverse based on digital twins enabling integration of virtual and physical worlds</w:t>
            </w:r>
            <w:r>
              <w:rPr>
                <w:color w:val="444444"/>
                <w:szCs w:val="22"/>
              </w:rPr>
              <w:t xml:space="preserve"> </w:t>
            </w:r>
            <w:r w:rsidRPr="00ED6BC6">
              <w:rPr>
                <w:b/>
                <w:bCs/>
                <w:i/>
                <w:iCs/>
                <w:color w:val="444444"/>
                <w:szCs w:val="22"/>
              </w:rPr>
              <w:t>(approved at the 5</w:t>
            </w:r>
            <w:r w:rsidRPr="00ED6BC6">
              <w:rPr>
                <w:b/>
                <w:bCs/>
                <w:i/>
                <w:iCs/>
                <w:color w:val="444444"/>
                <w:szCs w:val="22"/>
                <w:vertAlign w:val="superscript"/>
              </w:rPr>
              <w:t>th</w:t>
            </w:r>
            <w:r w:rsidRPr="00ED6BC6">
              <w:rPr>
                <w:b/>
                <w:bCs/>
                <w:i/>
                <w:iCs/>
                <w:color w:val="444444"/>
                <w:szCs w:val="22"/>
              </w:rPr>
              <w:t xml:space="preserve"> FG-MV meeting)</w:t>
            </w:r>
          </w:p>
        </w:tc>
        <w:tc>
          <w:tcPr>
            <w:tcW w:w="1557" w:type="dxa"/>
            <w:shd w:val="clear" w:color="auto" w:fill="FFFFFF" w:themeFill="background1"/>
            <w:vAlign w:val="center"/>
          </w:tcPr>
          <w:p w14:paraId="6FF54F4B" w14:textId="77777777" w:rsidR="00687942" w:rsidRPr="00976AB3" w:rsidRDefault="00687942" w:rsidP="0081001A">
            <w:pPr>
              <w:pStyle w:val="Tabletext"/>
              <w:spacing w:before="0" w:after="0"/>
              <w:jc w:val="center"/>
              <w:rPr>
                <w:color w:val="444444"/>
                <w:szCs w:val="22"/>
              </w:rPr>
            </w:pPr>
          </w:p>
        </w:tc>
      </w:tr>
      <w:tr w:rsidR="00687942" w:rsidRPr="00976AB3" w14:paraId="7966BB2D" w14:textId="77777777" w:rsidTr="6C4DED91">
        <w:trPr>
          <w:trHeight w:val="577"/>
        </w:trPr>
        <w:tc>
          <w:tcPr>
            <w:tcW w:w="1701" w:type="dxa"/>
            <w:vMerge/>
            <w:vAlign w:val="center"/>
            <w:hideMark/>
          </w:tcPr>
          <w:p w14:paraId="7BFFEA87"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23D52C17" w14:textId="77777777" w:rsidR="00687942" w:rsidRPr="00976AB3" w:rsidRDefault="00687942" w:rsidP="0081001A">
            <w:pPr>
              <w:pStyle w:val="Tabletext"/>
              <w:spacing w:before="0" w:after="0"/>
              <w:jc w:val="center"/>
              <w:rPr>
                <w:color w:val="444444"/>
                <w:szCs w:val="22"/>
                <w:lang w:eastAsia="ko-KR"/>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44092953" w14:textId="77777777" w:rsidR="00687942" w:rsidRPr="00976AB3" w:rsidRDefault="00687942" w:rsidP="0081001A">
            <w:pPr>
              <w:pStyle w:val="Tabletext"/>
              <w:spacing w:before="0" w:after="0"/>
              <w:rPr>
                <w:color w:val="444444"/>
                <w:szCs w:val="22"/>
              </w:rPr>
            </w:pPr>
            <w:r w:rsidRPr="00976AB3">
              <w:rPr>
                <w:color w:val="444444"/>
                <w:szCs w:val="22"/>
              </w:rPr>
              <w:t>Reference model for the metaverse based on a digital twin enabling integration of virtual and physical worlds</w:t>
            </w:r>
            <w:r>
              <w:rPr>
                <w:color w:val="444444"/>
                <w:szCs w:val="22"/>
              </w:rPr>
              <w:t xml:space="preserve"> </w:t>
            </w:r>
            <w:r w:rsidRPr="00ED6BC6">
              <w:rPr>
                <w:b/>
                <w:bCs/>
                <w:i/>
                <w:iCs/>
                <w:color w:val="444444"/>
                <w:szCs w:val="22"/>
              </w:rPr>
              <w:t>(approved at the 5</w:t>
            </w:r>
            <w:r w:rsidRPr="00ED6BC6">
              <w:rPr>
                <w:b/>
                <w:bCs/>
                <w:i/>
                <w:iCs/>
                <w:color w:val="444444"/>
                <w:szCs w:val="22"/>
                <w:vertAlign w:val="superscript"/>
              </w:rPr>
              <w:t>th</w:t>
            </w:r>
            <w:r w:rsidRPr="00ED6BC6">
              <w:rPr>
                <w:b/>
                <w:bCs/>
                <w:i/>
                <w:iCs/>
                <w:color w:val="444444"/>
                <w:szCs w:val="22"/>
              </w:rPr>
              <w:t xml:space="preserve"> FG-MV meeting)</w:t>
            </w:r>
          </w:p>
        </w:tc>
        <w:tc>
          <w:tcPr>
            <w:tcW w:w="1557" w:type="dxa"/>
            <w:shd w:val="clear" w:color="auto" w:fill="FFFFFF" w:themeFill="background1"/>
            <w:vAlign w:val="center"/>
          </w:tcPr>
          <w:p w14:paraId="2E832D1F" w14:textId="77777777" w:rsidR="00687942" w:rsidRPr="00976AB3" w:rsidRDefault="00687942" w:rsidP="0081001A">
            <w:pPr>
              <w:pStyle w:val="Tabletext"/>
              <w:spacing w:before="0" w:after="0"/>
              <w:rPr>
                <w:color w:val="444444"/>
                <w:szCs w:val="22"/>
              </w:rPr>
            </w:pPr>
          </w:p>
        </w:tc>
      </w:tr>
      <w:tr w:rsidR="00687942" w:rsidRPr="00976AB3" w14:paraId="01F7D75F" w14:textId="77777777" w:rsidTr="6C4DED91">
        <w:trPr>
          <w:trHeight w:val="577"/>
        </w:trPr>
        <w:tc>
          <w:tcPr>
            <w:tcW w:w="1701" w:type="dxa"/>
            <w:vMerge w:val="restart"/>
            <w:shd w:val="clear" w:color="auto" w:fill="FFFFFF" w:themeFill="background1"/>
            <w:vAlign w:val="center"/>
          </w:tcPr>
          <w:p w14:paraId="7527A109" w14:textId="77777777" w:rsidR="00687942" w:rsidRDefault="00687942" w:rsidP="00FA4399">
            <w:pPr>
              <w:pStyle w:val="Tabletext"/>
              <w:rPr>
                <w:b/>
                <w:bCs/>
                <w:color w:val="444444"/>
                <w:szCs w:val="22"/>
              </w:rPr>
            </w:pPr>
            <w:proofErr w:type="spellStart"/>
            <w:r w:rsidRPr="007C6A34">
              <w:rPr>
                <w:b/>
                <w:bCs/>
                <w:color w:val="444444"/>
                <w:szCs w:val="22"/>
                <w:bdr w:val="none" w:sz="0" w:space="0" w:color="auto" w:frame="1"/>
              </w:rPr>
              <w:t>WG</w:t>
            </w:r>
            <w:proofErr w:type="spellEnd"/>
            <w:r w:rsidRPr="007C6A34">
              <w:rPr>
                <w:b/>
                <w:bCs/>
                <w:color w:val="444444"/>
                <w:szCs w:val="22"/>
                <w:bdr w:val="none" w:sz="0" w:space="0" w:color="auto" w:frame="1"/>
              </w:rPr>
              <w:t xml:space="preserve"> </w:t>
            </w:r>
            <w:r>
              <w:rPr>
                <w:b/>
                <w:bCs/>
                <w:color w:val="444444"/>
                <w:szCs w:val="22"/>
                <w:bdr w:val="none" w:sz="0" w:space="0" w:color="auto" w:frame="1"/>
              </w:rPr>
              <w:t>5</w:t>
            </w:r>
          </w:p>
          <w:p w14:paraId="0C59C17F" w14:textId="77777777" w:rsidR="00687942" w:rsidRPr="00976AB3" w:rsidRDefault="008A0058" w:rsidP="00FA4399">
            <w:pPr>
              <w:pStyle w:val="Tabletext"/>
              <w:rPr>
                <w:color w:val="444444"/>
                <w:szCs w:val="22"/>
              </w:rPr>
            </w:pPr>
            <w:hyperlink r:id="rId31" w:history="1">
              <w:r w:rsidR="00687942" w:rsidRPr="00FA4399">
                <w:rPr>
                  <w:rStyle w:val="Hyperlink"/>
                  <w:rFonts w:eastAsia="Malgun Gothic"/>
                </w:rPr>
                <w:t>Interoperability</w:t>
              </w:r>
            </w:hyperlink>
          </w:p>
        </w:tc>
        <w:tc>
          <w:tcPr>
            <w:tcW w:w="687" w:type="dxa"/>
            <w:shd w:val="clear" w:color="auto" w:fill="FFFFFF" w:themeFill="background1"/>
            <w:tcMar>
              <w:top w:w="105" w:type="dxa"/>
              <w:left w:w="75" w:type="dxa"/>
              <w:bottom w:w="90" w:type="dxa"/>
              <w:right w:w="75" w:type="dxa"/>
            </w:tcMar>
            <w:vAlign w:val="center"/>
          </w:tcPr>
          <w:p w14:paraId="6A60D5EA"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tcPr>
          <w:p w14:paraId="1FFB555D" w14:textId="77777777" w:rsidR="00687942" w:rsidRPr="00976AB3" w:rsidRDefault="00687942" w:rsidP="0081001A">
            <w:pPr>
              <w:pStyle w:val="Tabletext"/>
              <w:spacing w:before="0" w:after="0"/>
              <w:rPr>
                <w:color w:val="444444"/>
                <w:szCs w:val="22"/>
              </w:rPr>
            </w:pPr>
            <w:r w:rsidRPr="00976AB3">
              <w:rPr>
                <w:color w:val="444444"/>
                <w:szCs w:val="22"/>
              </w:rPr>
              <w:t>Interoperability of identity of things across metaverses</w:t>
            </w:r>
          </w:p>
        </w:tc>
        <w:tc>
          <w:tcPr>
            <w:tcW w:w="1557" w:type="dxa"/>
            <w:shd w:val="clear" w:color="auto" w:fill="FFFFFF" w:themeFill="background1"/>
            <w:vAlign w:val="center"/>
          </w:tcPr>
          <w:p w14:paraId="0806A515" w14:textId="77777777" w:rsidR="00687942" w:rsidRDefault="00687942" w:rsidP="0081001A">
            <w:pPr>
              <w:pStyle w:val="Tabletext"/>
              <w:spacing w:before="0" w:after="0"/>
              <w:jc w:val="center"/>
              <w:rPr>
                <w:noProof/>
                <w:color w:val="444444"/>
                <w:szCs w:val="22"/>
                <w:lang w:val="en-US" w:eastAsia="ko-KR"/>
              </w:rPr>
            </w:pPr>
            <w:r>
              <w:rPr>
                <w:rFonts w:hint="eastAsia"/>
                <w:noProof/>
                <w:color w:val="444444"/>
                <w:szCs w:val="22"/>
                <w:lang w:val="en-US" w:eastAsia="ko-KR"/>
              </w:rPr>
              <w:drawing>
                <wp:inline distT="0" distB="0" distL="0" distR="0" wp14:anchorId="40B14DE7" wp14:editId="6D0668E3">
                  <wp:extent cx="217358" cy="217358"/>
                  <wp:effectExtent l="0" t="0" r="0" b="0"/>
                  <wp:docPr id="1170311887"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2EAD22E0" w14:textId="77777777" w:rsidTr="6C4DED91">
        <w:trPr>
          <w:trHeight w:val="577"/>
        </w:trPr>
        <w:tc>
          <w:tcPr>
            <w:tcW w:w="1701" w:type="dxa"/>
            <w:vMerge/>
            <w:vAlign w:val="center"/>
          </w:tcPr>
          <w:p w14:paraId="1C0E0898"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tcPr>
          <w:p w14:paraId="616C61B9"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tcPr>
          <w:p w14:paraId="15EDD106" w14:textId="77777777" w:rsidR="00687942" w:rsidRPr="00976AB3" w:rsidRDefault="00687942" w:rsidP="0081001A">
            <w:pPr>
              <w:pStyle w:val="Tabletext"/>
              <w:spacing w:before="0" w:after="0"/>
              <w:rPr>
                <w:color w:val="444444"/>
                <w:szCs w:val="22"/>
              </w:rPr>
            </w:pPr>
            <w:r w:rsidRPr="00976AB3">
              <w:rPr>
                <w:color w:val="444444"/>
                <w:szCs w:val="22"/>
              </w:rPr>
              <w:t>High-level interoperability architecture for cross-platform metaverse</w:t>
            </w:r>
          </w:p>
        </w:tc>
        <w:tc>
          <w:tcPr>
            <w:tcW w:w="1557" w:type="dxa"/>
            <w:shd w:val="clear" w:color="auto" w:fill="FFFFFF" w:themeFill="background1"/>
            <w:vAlign w:val="center"/>
          </w:tcPr>
          <w:p w14:paraId="5F788C59" w14:textId="77777777" w:rsidR="00687942" w:rsidRDefault="00687942" w:rsidP="0081001A">
            <w:pPr>
              <w:pStyle w:val="Tabletext"/>
              <w:spacing w:before="0" w:after="0"/>
              <w:jc w:val="center"/>
              <w:rPr>
                <w:noProof/>
                <w:color w:val="444444"/>
                <w:szCs w:val="22"/>
                <w:lang w:val="en-US" w:eastAsia="ko-KR"/>
              </w:rPr>
            </w:pPr>
            <w:r>
              <w:rPr>
                <w:rFonts w:hint="eastAsia"/>
                <w:noProof/>
                <w:color w:val="444444"/>
                <w:szCs w:val="22"/>
                <w:lang w:val="en-US" w:eastAsia="ko-KR"/>
              </w:rPr>
              <w:drawing>
                <wp:inline distT="0" distB="0" distL="0" distR="0" wp14:anchorId="29F2C1BB" wp14:editId="60FEE0BF">
                  <wp:extent cx="217358" cy="217358"/>
                  <wp:effectExtent l="0" t="0" r="0" b="0"/>
                  <wp:docPr id="472596475"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650E2728" w14:textId="77777777" w:rsidTr="0081001A">
        <w:trPr>
          <w:trHeight w:val="577"/>
        </w:trPr>
        <w:tc>
          <w:tcPr>
            <w:tcW w:w="1701" w:type="dxa"/>
            <w:vMerge w:val="restart"/>
            <w:shd w:val="clear" w:color="auto" w:fill="FFFFFF" w:themeFill="background1"/>
            <w:tcMar>
              <w:top w:w="105" w:type="dxa"/>
              <w:left w:w="75" w:type="dxa"/>
              <w:bottom w:w="90" w:type="dxa"/>
              <w:right w:w="75" w:type="dxa"/>
            </w:tcMar>
            <w:vAlign w:val="center"/>
            <w:hideMark/>
          </w:tcPr>
          <w:p w14:paraId="431FBE78" w14:textId="77777777" w:rsidR="00687942" w:rsidRPr="007C6A34" w:rsidRDefault="00687942" w:rsidP="00FA4399">
            <w:pPr>
              <w:pStyle w:val="Tabletext"/>
              <w:rPr>
                <w:b/>
                <w:bCs/>
                <w:color w:val="444444"/>
                <w:szCs w:val="22"/>
              </w:rPr>
            </w:pPr>
            <w:proofErr w:type="spellStart"/>
            <w:r w:rsidRPr="007C6A34">
              <w:rPr>
                <w:b/>
                <w:bCs/>
                <w:color w:val="444444"/>
                <w:szCs w:val="22"/>
                <w:bdr w:val="none" w:sz="0" w:space="0" w:color="auto" w:frame="1"/>
              </w:rPr>
              <w:t>WG</w:t>
            </w:r>
            <w:proofErr w:type="spellEnd"/>
            <w:r w:rsidRPr="007C6A34">
              <w:rPr>
                <w:b/>
                <w:bCs/>
                <w:color w:val="444444"/>
                <w:szCs w:val="22"/>
                <w:bdr w:val="none" w:sz="0" w:space="0" w:color="auto" w:frame="1"/>
              </w:rPr>
              <w:t xml:space="preserve"> 6</w:t>
            </w:r>
          </w:p>
          <w:p w14:paraId="33DAEC4B" w14:textId="77777777" w:rsidR="00687942" w:rsidRPr="00976AB3" w:rsidRDefault="008A0058" w:rsidP="00FA4399">
            <w:pPr>
              <w:pStyle w:val="Tabletext"/>
              <w:rPr>
                <w:color w:val="444444"/>
                <w:szCs w:val="22"/>
              </w:rPr>
            </w:pPr>
            <w:hyperlink r:id="rId32" w:history="1">
              <w:r w:rsidR="00687942" w:rsidRPr="00FA4399">
                <w:rPr>
                  <w:rStyle w:val="Hyperlink"/>
                  <w:rFonts w:eastAsia="Malgun Gothic"/>
                </w:rPr>
                <w:t>Security, Data &amp; PII Protection</w:t>
              </w:r>
            </w:hyperlink>
          </w:p>
        </w:tc>
        <w:tc>
          <w:tcPr>
            <w:tcW w:w="687" w:type="dxa"/>
            <w:shd w:val="clear" w:color="auto" w:fill="FFFFFF" w:themeFill="background1"/>
            <w:tcMar>
              <w:top w:w="105" w:type="dxa"/>
              <w:left w:w="75" w:type="dxa"/>
              <w:bottom w:w="90" w:type="dxa"/>
              <w:right w:w="75" w:type="dxa"/>
            </w:tcMar>
            <w:vAlign w:val="center"/>
            <w:hideMark/>
          </w:tcPr>
          <w:p w14:paraId="70A7C5E5"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6F5FDB6C" w14:textId="77777777" w:rsidR="00687942" w:rsidRPr="00976AB3" w:rsidRDefault="00687942" w:rsidP="0081001A">
            <w:pPr>
              <w:pStyle w:val="Tabletext"/>
              <w:spacing w:before="0" w:after="0"/>
              <w:rPr>
                <w:color w:val="444444"/>
                <w:szCs w:val="22"/>
              </w:rPr>
            </w:pPr>
            <w:r w:rsidRPr="00976AB3">
              <w:rPr>
                <w:color w:val="444444"/>
                <w:szCs w:val="22"/>
              </w:rPr>
              <w:t>Data security for things across metaverses in aspects of data processing and management</w:t>
            </w:r>
          </w:p>
        </w:tc>
        <w:tc>
          <w:tcPr>
            <w:tcW w:w="1557" w:type="dxa"/>
            <w:shd w:val="clear" w:color="auto" w:fill="FFFFFF" w:themeFill="background1"/>
            <w:vAlign w:val="center"/>
          </w:tcPr>
          <w:p w14:paraId="4B71BA8A" w14:textId="77777777" w:rsidR="00687942" w:rsidRPr="00976AB3" w:rsidRDefault="00687942" w:rsidP="0081001A">
            <w:pPr>
              <w:pStyle w:val="Tabletext"/>
              <w:spacing w:before="0" w:after="0"/>
              <w:jc w:val="center"/>
              <w:rPr>
                <w:color w:val="444444"/>
                <w:szCs w:val="22"/>
              </w:rPr>
            </w:pPr>
          </w:p>
        </w:tc>
      </w:tr>
      <w:tr w:rsidR="00687942" w:rsidRPr="00976AB3" w14:paraId="5B4F45F2" w14:textId="77777777" w:rsidTr="6C4DED91">
        <w:trPr>
          <w:trHeight w:val="577"/>
        </w:trPr>
        <w:tc>
          <w:tcPr>
            <w:tcW w:w="1701" w:type="dxa"/>
            <w:vMerge/>
            <w:vAlign w:val="center"/>
            <w:hideMark/>
          </w:tcPr>
          <w:p w14:paraId="6B01205D"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tcPr>
          <w:p w14:paraId="25439323"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tcPr>
          <w:p w14:paraId="2C70693A" w14:textId="77777777" w:rsidR="00687942" w:rsidRPr="00976AB3" w:rsidRDefault="00687942" w:rsidP="0081001A">
            <w:pPr>
              <w:pStyle w:val="Tabletext"/>
              <w:spacing w:before="0" w:after="0"/>
              <w:rPr>
                <w:color w:val="444444"/>
                <w:szCs w:val="22"/>
              </w:rPr>
            </w:pPr>
            <w:r w:rsidRPr="00976AB3">
              <w:rPr>
                <w:color w:val="444444"/>
                <w:szCs w:val="22"/>
              </w:rPr>
              <w:t>Security framework for the metaverse architecture</w:t>
            </w:r>
          </w:p>
        </w:tc>
        <w:tc>
          <w:tcPr>
            <w:tcW w:w="1557" w:type="dxa"/>
            <w:shd w:val="clear" w:color="auto" w:fill="FFFFFF" w:themeFill="background1"/>
            <w:vAlign w:val="center"/>
          </w:tcPr>
          <w:p w14:paraId="6F81A2CB" w14:textId="77777777" w:rsidR="00687942" w:rsidRPr="00976AB3" w:rsidRDefault="00687942" w:rsidP="0081001A">
            <w:pPr>
              <w:pStyle w:val="Tabletext"/>
              <w:spacing w:before="0" w:after="0"/>
              <w:jc w:val="center"/>
              <w:rPr>
                <w:color w:val="444444"/>
                <w:szCs w:val="22"/>
              </w:rPr>
            </w:pPr>
          </w:p>
        </w:tc>
      </w:tr>
      <w:tr w:rsidR="00687942" w:rsidRPr="00976AB3" w14:paraId="61EBE235" w14:textId="77777777" w:rsidTr="6C4DED91">
        <w:trPr>
          <w:trHeight w:val="577"/>
        </w:trPr>
        <w:tc>
          <w:tcPr>
            <w:tcW w:w="1701" w:type="dxa"/>
            <w:vMerge/>
            <w:vAlign w:val="center"/>
            <w:hideMark/>
          </w:tcPr>
          <w:p w14:paraId="0B3B4D07"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tcPr>
          <w:p w14:paraId="7D06BF89"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tcPr>
          <w:p w14:paraId="06EEDB3E" w14:textId="77777777" w:rsidR="00687942" w:rsidRPr="00976AB3" w:rsidRDefault="00687942" w:rsidP="0081001A">
            <w:pPr>
              <w:pStyle w:val="Tabletext"/>
              <w:spacing w:before="0" w:after="0"/>
              <w:rPr>
                <w:color w:val="444444"/>
                <w:szCs w:val="22"/>
              </w:rPr>
            </w:pPr>
            <w:r w:rsidRPr="00976AB3">
              <w:rPr>
                <w:color w:val="444444"/>
                <w:szCs w:val="22"/>
              </w:rPr>
              <w:t>Asset management Security guidelines for owners within the metaverse</w:t>
            </w:r>
          </w:p>
        </w:tc>
        <w:tc>
          <w:tcPr>
            <w:tcW w:w="1557" w:type="dxa"/>
            <w:shd w:val="clear" w:color="auto" w:fill="FFFFFF" w:themeFill="background1"/>
            <w:vAlign w:val="center"/>
          </w:tcPr>
          <w:p w14:paraId="145D7F5D" w14:textId="77777777" w:rsidR="00687942" w:rsidRPr="00976AB3" w:rsidRDefault="00687942" w:rsidP="0081001A">
            <w:pPr>
              <w:pStyle w:val="Tabletext"/>
              <w:spacing w:before="0" w:after="0"/>
              <w:jc w:val="center"/>
              <w:rPr>
                <w:color w:val="444444"/>
                <w:szCs w:val="22"/>
              </w:rPr>
            </w:pPr>
          </w:p>
        </w:tc>
      </w:tr>
      <w:tr w:rsidR="00687942" w:rsidRPr="00976AB3" w14:paraId="6BC53122" w14:textId="77777777" w:rsidTr="6C4DED91">
        <w:trPr>
          <w:trHeight w:val="577"/>
        </w:trPr>
        <w:tc>
          <w:tcPr>
            <w:tcW w:w="1701" w:type="dxa"/>
            <w:vMerge/>
            <w:vAlign w:val="center"/>
            <w:hideMark/>
          </w:tcPr>
          <w:p w14:paraId="3151F9C6"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tcPr>
          <w:p w14:paraId="30E7F7B3" w14:textId="77777777" w:rsidR="00687942" w:rsidRPr="00976AB3" w:rsidRDefault="00687942" w:rsidP="0081001A">
            <w:pPr>
              <w:pStyle w:val="Tabletext"/>
              <w:spacing w:before="0" w:after="0"/>
              <w:jc w:val="center"/>
              <w:rPr>
                <w:color w:val="444444"/>
                <w:szCs w:val="22"/>
                <w:lang w:eastAsia="ko-KR"/>
              </w:rPr>
            </w:pPr>
            <w:r w:rsidRPr="00976AB3">
              <w:rPr>
                <w:color w:val="444444"/>
                <w:szCs w:val="22"/>
              </w:rPr>
              <w:t>TR</w:t>
            </w:r>
          </w:p>
        </w:tc>
        <w:tc>
          <w:tcPr>
            <w:tcW w:w="5675" w:type="dxa"/>
            <w:shd w:val="clear" w:color="auto" w:fill="FFFFFF" w:themeFill="background1"/>
            <w:tcMar>
              <w:top w:w="105" w:type="dxa"/>
              <w:left w:w="75" w:type="dxa"/>
              <w:bottom w:w="90" w:type="dxa"/>
              <w:right w:w="75" w:type="dxa"/>
            </w:tcMar>
            <w:vAlign w:val="center"/>
          </w:tcPr>
          <w:p w14:paraId="4E164E8A" w14:textId="77777777" w:rsidR="00687942" w:rsidRPr="00976AB3" w:rsidRDefault="00687942" w:rsidP="0081001A">
            <w:pPr>
              <w:pStyle w:val="Tabletext"/>
              <w:spacing w:before="0" w:after="0"/>
              <w:rPr>
                <w:color w:val="444444"/>
                <w:szCs w:val="22"/>
              </w:rPr>
            </w:pPr>
            <w:r w:rsidRPr="00976AB3">
              <w:rPr>
                <w:color w:val="444444"/>
                <w:szCs w:val="22"/>
              </w:rPr>
              <w:t>Considering online and offline implications in efforts to build confidence and security in the metaverse</w:t>
            </w:r>
            <w:r>
              <w:rPr>
                <w:color w:val="444444"/>
                <w:szCs w:val="22"/>
              </w:rPr>
              <w:t xml:space="preserve"> </w:t>
            </w:r>
            <w:r w:rsidRPr="00ED6BC6">
              <w:rPr>
                <w:b/>
                <w:bCs/>
                <w:i/>
                <w:iCs/>
                <w:color w:val="444444"/>
                <w:szCs w:val="22"/>
              </w:rPr>
              <w:t>(approved at the 5</w:t>
            </w:r>
            <w:r w:rsidRPr="00ED6BC6">
              <w:rPr>
                <w:b/>
                <w:bCs/>
                <w:i/>
                <w:iCs/>
                <w:color w:val="444444"/>
                <w:szCs w:val="22"/>
                <w:vertAlign w:val="superscript"/>
              </w:rPr>
              <w:t>th</w:t>
            </w:r>
            <w:r w:rsidRPr="00ED6BC6">
              <w:rPr>
                <w:b/>
                <w:bCs/>
                <w:i/>
                <w:iCs/>
                <w:color w:val="444444"/>
                <w:szCs w:val="22"/>
              </w:rPr>
              <w:t xml:space="preserve"> FG-MV meeting)</w:t>
            </w:r>
          </w:p>
        </w:tc>
        <w:tc>
          <w:tcPr>
            <w:tcW w:w="1557" w:type="dxa"/>
            <w:shd w:val="clear" w:color="auto" w:fill="FFFFFF" w:themeFill="background1"/>
            <w:vAlign w:val="center"/>
          </w:tcPr>
          <w:p w14:paraId="48CFED08" w14:textId="77777777" w:rsidR="00687942" w:rsidRPr="00976AB3" w:rsidRDefault="00687942" w:rsidP="0081001A">
            <w:pPr>
              <w:pStyle w:val="Tabletext"/>
              <w:spacing w:before="0" w:after="0"/>
              <w:jc w:val="center"/>
              <w:rPr>
                <w:color w:val="444444"/>
                <w:szCs w:val="22"/>
              </w:rPr>
            </w:pPr>
          </w:p>
        </w:tc>
      </w:tr>
      <w:tr w:rsidR="00687942" w:rsidRPr="00976AB3" w14:paraId="14BA8517" w14:textId="77777777" w:rsidTr="6C4DED91">
        <w:trPr>
          <w:trHeight w:val="577"/>
        </w:trPr>
        <w:tc>
          <w:tcPr>
            <w:tcW w:w="1701" w:type="dxa"/>
            <w:vMerge/>
            <w:vAlign w:val="center"/>
            <w:hideMark/>
          </w:tcPr>
          <w:p w14:paraId="06FACE68"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tcPr>
          <w:p w14:paraId="5ECD125E" w14:textId="77777777" w:rsidR="00687942" w:rsidRPr="00976AB3" w:rsidRDefault="00687942" w:rsidP="0081001A">
            <w:pPr>
              <w:pStyle w:val="Tabletext"/>
              <w:spacing w:before="0" w:after="0"/>
              <w:jc w:val="center"/>
              <w:rPr>
                <w:color w:val="444444"/>
                <w:szCs w:val="22"/>
              </w:rPr>
            </w:pPr>
            <w:r w:rsidRPr="00976AB3">
              <w:rPr>
                <w:color w:val="444444"/>
                <w:szCs w:val="22"/>
              </w:rPr>
              <w:t>TR</w:t>
            </w:r>
          </w:p>
        </w:tc>
        <w:tc>
          <w:tcPr>
            <w:tcW w:w="5675" w:type="dxa"/>
            <w:shd w:val="clear" w:color="auto" w:fill="FFFFFF" w:themeFill="background1"/>
            <w:tcMar>
              <w:top w:w="105" w:type="dxa"/>
              <w:left w:w="75" w:type="dxa"/>
              <w:bottom w:w="90" w:type="dxa"/>
              <w:right w:w="75" w:type="dxa"/>
            </w:tcMar>
            <w:vAlign w:val="center"/>
          </w:tcPr>
          <w:p w14:paraId="7C468EE4" w14:textId="77777777" w:rsidR="00687942" w:rsidRPr="00976AB3" w:rsidRDefault="00687942" w:rsidP="0081001A">
            <w:pPr>
              <w:pStyle w:val="Tabletext"/>
              <w:spacing w:before="0" w:after="0"/>
              <w:rPr>
                <w:color w:val="444444"/>
                <w:szCs w:val="22"/>
              </w:rPr>
            </w:pPr>
            <w:r w:rsidRPr="00976AB3">
              <w:rPr>
                <w:color w:val="444444"/>
                <w:szCs w:val="22"/>
              </w:rPr>
              <w:t>Challenges to achieving trustworthy metaverse</w:t>
            </w:r>
          </w:p>
        </w:tc>
        <w:tc>
          <w:tcPr>
            <w:tcW w:w="1557" w:type="dxa"/>
            <w:shd w:val="clear" w:color="auto" w:fill="FFFFFF" w:themeFill="background1"/>
            <w:vAlign w:val="center"/>
          </w:tcPr>
          <w:p w14:paraId="39E4AC80" w14:textId="77777777" w:rsidR="00687942" w:rsidRPr="00976AB3" w:rsidRDefault="00687942" w:rsidP="0081001A">
            <w:pPr>
              <w:pStyle w:val="Tabletext"/>
              <w:spacing w:before="0" w:after="0"/>
              <w:jc w:val="center"/>
              <w:rPr>
                <w:color w:val="444444"/>
                <w:szCs w:val="22"/>
              </w:rPr>
            </w:pPr>
          </w:p>
        </w:tc>
      </w:tr>
      <w:tr w:rsidR="00687942" w:rsidRPr="00976AB3" w14:paraId="6558FA9C" w14:textId="77777777" w:rsidTr="6C4DED91">
        <w:trPr>
          <w:trHeight w:val="577"/>
        </w:trPr>
        <w:tc>
          <w:tcPr>
            <w:tcW w:w="1701" w:type="dxa"/>
            <w:vMerge/>
            <w:vAlign w:val="center"/>
            <w:hideMark/>
          </w:tcPr>
          <w:p w14:paraId="52908DFC"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tcPr>
          <w:p w14:paraId="0EA3D318" w14:textId="77777777" w:rsidR="00687942" w:rsidRPr="00976AB3" w:rsidRDefault="00687942" w:rsidP="0081001A">
            <w:pPr>
              <w:pStyle w:val="Tabletext"/>
              <w:spacing w:before="0" w:after="0"/>
              <w:jc w:val="center"/>
              <w:rPr>
                <w:color w:val="444444"/>
                <w:szCs w:val="22"/>
              </w:rPr>
            </w:pPr>
            <w:r w:rsidRPr="00976AB3">
              <w:rPr>
                <w:color w:val="444444"/>
                <w:szCs w:val="22"/>
                <w:bdr w:val="none" w:sz="0" w:space="0" w:color="auto" w:frame="1"/>
              </w:rPr>
              <w:t>TR</w:t>
            </w:r>
          </w:p>
        </w:tc>
        <w:tc>
          <w:tcPr>
            <w:tcW w:w="5675" w:type="dxa"/>
            <w:shd w:val="clear" w:color="auto" w:fill="FFFFFF" w:themeFill="background1"/>
            <w:tcMar>
              <w:top w:w="105" w:type="dxa"/>
              <w:left w:w="75" w:type="dxa"/>
              <w:bottom w:w="90" w:type="dxa"/>
              <w:right w:w="75" w:type="dxa"/>
            </w:tcMar>
            <w:vAlign w:val="center"/>
          </w:tcPr>
          <w:p w14:paraId="3DE5EB54" w14:textId="77777777" w:rsidR="00687942" w:rsidRPr="00976AB3" w:rsidRDefault="00687942" w:rsidP="0081001A">
            <w:pPr>
              <w:pStyle w:val="Tabletext"/>
              <w:spacing w:before="0" w:after="0"/>
              <w:rPr>
                <w:color w:val="444444"/>
                <w:szCs w:val="22"/>
              </w:rPr>
            </w:pPr>
            <w:r w:rsidRPr="00976AB3">
              <w:rPr>
                <w:color w:val="444444"/>
                <w:szCs w:val="22"/>
                <w:bdr w:val="none" w:sz="0" w:space="0" w:color="auto" w:frame="1"/>
              </w:rPr>
              <w:t>The framework of building a trustworthy digital human</w:t>
            </w:r>
          </w:p>
        </w:tc>
        <w:tc>
          <w:tcPr>
            <w:tcW w:w="1557" w:type="dxa"/>
            <w:shd w:val="clear" w:color="auto" w:fill="FFFFFF" w:themeFill="background1"/>
            <w:vAlign w:val="center"/>
          </w:tcPr>
          <w:p w14:paraId="3881C46A" w14:textId="77777777" w:rsidR="00687942" w:rsidRPr="00976AB3" w:rsidRDefault="00687942" w:rsidP="0081001A">
            <w:pPr>
              <w:pStyle w:val="Tabletext"/>
              <w:spacing w:before="0" w:after="0"/>
              <w:jc w:val="center"/>
              <w:rPr>
                <w:color w:val="444444"/>
                <w:szCs w:val="22"/>
              </w:rPr>
            </w:pPr>
          </w:p>
        </w:tc>
      </w:tr>
      <w:tr w:rsidR="00687942" w:rsidRPr="00976AB3" w14:paraId="356BA195" w14:textId="77777777" w:rsidTr="6C4DED91">
        <w:trPr>
          <w:trHeight w:val="577"/>
        </w:trPr>
        <w:tc>
          <w:tcPr>
            <w:tcW w:w="1701" w:type="dxa"/>
            <w:vMerge/>
            <w:vAlign w:val="center"/>
            <w:hideMark/>
          </w:tcPr>
          <w:p w14:paraId="2193264A"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tcPr>
          <w:p w14:paraId="2530A2C7" w14:textId="77777777" w:rsidR="00687942" w:rsidRPr="00976AB3" w:rsidRDefault="00687942" w:rsidP="0081001A">
            <w:pPr>
              <w:pStyle w:val="Tabletext"/>
              <w:spacing w:before="0" w:after="0"/>
              <w:jc w:val="center"/>
              <w:rPr>
                <w:color w:val="444444"/>
                <w:szCs w:val="22"/>
              </w:rPr>
            </w:pPr>
            <w:r w:rsidRPr="00976AB3">
              <w:rPr>
                <w:color w:val="444444"/>
                <w:szCs w:val="22"/>
              </w:rPr>
              <w:t>TR</w:t>
            </w:r>
          </w:p>
        </w:tc>
        <w:tc>
          <w:tcPr>
            <w:tcW w:w="5675" w:type="dxa"/>
            <w:shd w:val="clear" w:color="auto" w:fill="FFFFFF" w:themeFill="background1"/>
            <w:tcMar>
              <w:top w:w="105" w:type="dxa"/>
              <w:left w:w="75" w:type="dxa"/>
              <w:bottom w:w="90" w:type="dxa"/>
              <w:right w:w="75" w:type="dxa"/>
            </w:tcMar>
            <w:vAlign w:val="center"/>
          </w:tcPr>
          <w:p w14:paraId="55E1611E" w14:textId="77777777" w:rsidR="00687942" w:rsidRPr="00976AB3" w:rsidRDefault="00687942" w:rsidP="0081001A">
            <w:pPr>
              <w:pStyle w:val="Tabletext"/>
              <w:spacing w:before="0" w:after="0"/>
              <w:rPr>
                <w:color w:val="444444"/>
                <w:szCs w:val="22"/>
              </w:rPr>
            </w:pPr>
            <w:r w:rsidRPr="00976AB3">
              <w:rPr>
                <w:color w:val="444444"/>
                <w:szCs w:val="22"/>
              </w:rPr>
              <w:t>Guidelines on trusted data use in building a trustworthy metaverse</w:t>
            </w:r>
          </w:p>
        </w:tc>
        <w:tc>
          <w:tcPr>
            <w:tcW w:w="1557" w:type="dxa"/>
            <w:shd w:val="clear" w:color="auto" w:fill="FFFFFF" w:themeFill="background1"/>
            <w:vAlign w:val="center"/>
          </w:tcPr>
          <w:p w14:paraId="425797E9" w14:textId="77777777" w:rsidR="00687942" w:rsidRPr="00976AB3" w:rsidRDefault="00687942" w:rsidP="0081001A">
            <w:pPr>
              <w:pStyle w:val="Tabletext"/>
              <w:spacing w:before="0" w:after="0"/>
              <w:jc w:val="center"/>
              <w:rPr>
                <w:color w:val="444444"/>
                <w:szCs w:val="22"/>
              </w:rPr>
            </w:pPr>
          </w:p>
        </w:tc>
      </w:tr>
      <w:tr w:rsidR="00687942" w:rsidRPr="00976AB3" w14:paraId="485347CB" w14:textId="77777777" w:rsidTr="0081001A">
        <w:trPr>
          <w:trHeight w:val="364"/>
        </w:trPr>
        <w:tc>
          <w:tcPr>
            <w:tcW w:w="1701" w:type="dxa"/>
            <w:vMerge w:val="restart"/>
            <w:shd w:val="clear" w:color="auto" w:fill="FFFFFF" w:themeFill="background1"/>
            <w:tcMar>
              <w:top w:w="105" w:type="dxa"/>
              <w:left w:w="75" w:type="dxa"/>
              <w:bottom w:w="90" w:type="dxa"/>
              <w:right w:w="75" w:type="dxa"/>
            </w:tcMar>
            <w:vAlign w:val="center"/>
            <w:hideMark/>
          </w:tcPr>
          <w:p w14:paraId="7D22A618" w14:textId="77777777" w:rsidR="00687942" w:rsidRPr="007C6A34" w:rsidRDefault="00687942" w:rsidP="00FA4399">
            <w:pPr>
              <w:pStyle w:val="Tabletext"/>
              <w:keepNext/>
              <w:rPr>
                <w:b/>
                <w:bCs/>
                <w:color w:val="444444"/>
                <w:szCs w:val="22"/>
              </w:rPr>
            </w:pPr>
            <w:proofErr w:type="spellStart"/>
            <w:r w:rsidRPr="007C6A34">
              <w:rPr>
                <w:b/>
                <w:bCs/>
                <w:color w:val="444444"/>
                <w:szCs w:val="22"/>
                <w:bdr w:val="none" w:sz="0" w:space="0" w:color="auto" w:frame="1"/>
              </w:rPr>
              <w:lastRenderedPageBreak/>
              <w:t>WG</w:t>
            </w:r>
            <w:proofErr w:type="spellEnd"/>
            <w:r w:rsidRPr="007C6A34">
              <w:rPr>
                <w:b/>
                <w:bCs/>
                <w:color w:val="444444"/>
                <w:szCs w:val="22"/>
                <w:bdr w:val="none" w:sz="0" w:space="0" w:color="auto" w:frame="1"/>
              </w:rPr>
              <w:t xml:space="preserve"> 7</w:t>
            </w:r>
          </w:p>
          <w:p w14:paraId="354AE62C" w14:textId="77777777" w:rsidR="00687942" w:rsidRPr="00976AB3" w:rsidRDefault="008A0058" w:rsidP="00FA4399">
            <w:pPr>
              <w:pStyle w:val="Tabletext"/>
              <w:keepNext/>
              <w:rPr>
                <w:rFonts w:eastAsia="Malgun Gothic"/>
                <w:szCs w:val="22"/>
                <w:lang w:val="en-US" w:eastAsia="ko-KR"/>
              </w:rPr>
            </w:pPr>
            <w:hyperlink r:id="rId33" w:history="1">
              <w:r w:rsidR="00687942" w:rsidRPr="00FA4399">
                <w:rPr>
                  <w:rStyle w:val="Hyperlink"/>
                  <w:rFonts w:eastAsia="Malgun Gothic"/>
                </w:rPr>
                <w:t>Economic, regulatory &amp; competition aspects</w:t>
              </w:r>
            </w:hyperlink>
          </w:p>
          <w:p w14:paraId="156CFEC7" w14:textId="77777777" w:rsidR="00687942" w:rsidRPr="00976AB3" w:rsidRDefault="008A0058" w:rsidP="00FA4399">
            <w:pPr>
              <w:pStyle w:val="Tabletext"/>
              <w:keepNext/>
              <w:rPr>
                <w:color w:val="444444"/>
                <w:szCs w:val="22"/>
              </w:rPr>
            </w:pPr>
            <w:hyperlink r:id="rId34" w:history="1">
              <w:r w:rsidR="00687942" w:rsidRPr="00FA4399">
                <w:rPr>
                  <w:rStyle w:val="Hyperlink"/>
                  <w:rFonts w:eastAsia="Malgun Gothic"/>
                </w:rPr>
                <w:t>Sustainability, Accessibility &amp; Inclusion</w:t>
              </w:r>
            </w:hyperlink>
          </w:p>
        </w:tc>
        <w:tc>
          <w:tcPr>
            <w:tcW w:w="687" w:type="dxa"/>
            <w:shd w:val="clear" w:color="auto" w:fill="FFFFFF" w:themeFill="background1"/>
            <w:tcMar>
              <w:top w:w="105" w:type="dxa"/>
              <w:left w:w="75" w:type="dxa"/>
              <w:bottom w:w="90" w:type="dxa"/>
              <w:right w:w="75" w:type="dxa"/>
            </w:tcMar>
            <w:vAlign w:val="center"/>
            <w:hideMark/>
          </w:tcPr>
          <w:p w14:paraId="1176D523" w14:textId="77777777" w:rsidR="00687942" w:rsidRPr="00976AB3" w:rsidRDefault="00687942" w:rsidP="00FA4399">
            <w:pPr>
              <w:pStyle w:val="Tabletext"/>
              <w:keepNext/>
              <w:keepLines/>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16DB6613" w14:textId="77777777" w:rsidR="00687942" w:rsidRPr="00976AB3" w:rsidRDefault="00687942" w:rsidP="00FA4399">
            <w:pPr>
              <w:pStyle w:val="Tabletext"/>
              <w:keepNext/>
              <w:keepLines/>
              <w:spacing w:before="0" w:after="0"/>
              <w:rPr>
                <w:color w:val="444444"/>
                <w:szCs w:val="22"/>
              </w:rPr>
            </w:pPr>
            <w:r w:rsidRPr="00976AB3">
              <w:rPr>
                <w:color w:val="444444"/>
                <w:szCs w:val="22"/>
              </w:rPr>
              <w:t>Economic Value Creation and Competition in metaverse</w:t>
            </w:r>
          </w:p>
        </w:tc>
        <w:tc>
          <w:tcPr>
            <w:tcW w:w="1557" w:type="dxa"/>
            <w:shd w:val="clear" w:color="auto" w:fill="FFFFFF" w:themeFill="background1"/>
            <w:vAlign w:val="center"/>
          </w:tcPr>
          <w:p w14:paraId="79E7AFE1" w14:textId="77777777" w:rsidR="00687942" w:rsidRPr="00976AB3" w:rsidRDefault="00687942" w:rsidP="00FA4399">
            <w:pPr>
              <w:pStyle w:val="Tabletext"/>
              <w:keepNext/>
              <w:keepLines/>
              <w:spacing w:before="0" w:after="0"/>
              <w:jc w:val="center"/>
              <w:rPr>
                <w:color w:val="444444"/>
                <w:szCs w:val="22"/>
              </w:rPr>
            </w:pPr>
          </w:p>
        </w:tc>
      </w:tr>
      <w:tr w:rsidR="00687942" w:rsidRPr="00976AB3" w14:paraId="44292F6B" w14:textId="77777777" w:rsidTr="6C4DED91">
        <w:trPr>
          <w:trHeight w:val="364"/>
        </w:trPr>
        <w:tc>
          <w:tcPr>
            <w:tcW w:w="1701" w:type="dxa"/>
            <w:vMerge/>
            <w:vAlign w:val="center"/>
            <w:hideMark/>
          </w:tcPr>
          <w:p w14:paraId="3DF616BB"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24D2D190"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46BE3BAE" w14:textId="77777777" w:rsidR="00687942" w:rsidRPr="00976AB3" w:rsidRDefault="00687942" w:rsidP="0081001A">
            <w:pPr>
              <w:pStyle w:val="Tabletext"/>
              <w:spacing w:before="0" w:after="0"/>
              <w:rPr>
                <w:color w:val="444444"/>
                <w:szCs w:val="22"/>
              </w:rPr>
            </w:pPr>
            <w:r w:rsidRPr="00976AB3">
              <w:rPr>
                <w:color w:val="444444"/>
                <w:szCs w:val="22"/>
              </w:rPr>
              <w:t>Guidance on green and low carbon development of metaverse</w:t>
            </w:r>
          </w:p>
        </w:tc>
        <w:tc>
          <w:tcPr>
            <w:tcW w:w="1557" w:type="dxa"/>
            <w:shd w:val="clear" w:color="auto" w:fill="FFFFFF" w:themeFill="background1"/>
            <w:vAlign w:val="center"/>
          </w:tcPr>
          <w:p w14:paraId="0B046F29" w14:textId="77777777" w:rsidR="00687942" w:rsidRPr="00976AB3" w:rsidRDefault="00687942" w:rsidP="0081001A">
            <w:pPr>
              <w:pStyle w:val="Tabletext"/>
              <w:spacing w:before="0" w:after="0"/>
              <w:jc w:val="center"/>
              <w:rPr>
                <w:color w:val="444444"/>
                <w:szCs w:val="22"/>
              </w:rPr>
            </w:pPr>
          </w:p>
        </w:tc>
      </w:tr>
      <w:tr w:rsidR="00687942" w:rsidRPr="00976AB3" w14:paraId="00BD66CC" w14:textId="77777777" w:rsidTr="6C4DED91">
        <w:trPr>
          <w:trHeight w:val="364"/>
        </w:trPr>
        <w:tc>
          <w:tcPr>
            <w:tcW w:w="1701" w:type="dxa"/>
            <w:vMerge/>
            <w:vAlign w:val="center"/>
            <w:hideMark/>
          </w:tcPr>
          <w:p w14:paraId="7B0CE632"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38E8138F"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3A43377B" w14:textId="77777777" w:rsidR="00687942" w:rsidRPr="00976AB3" w:rsidRDefault="00687942" w:rsidP="0081001A">
            <w:pPr>
              <w:pStyle w:val="Tabletext"/>
              <w:spacing w:before="0" w:after="0"/>
              <w:rPr>
                <w:color w:val="444444"/>
                <w:szCs w:val="22"/>
              </w:rPr>
            </w:pPr>
            <w:r w:rsidRPr="00976AB3">
              <w:rPr>
                <w:color w:val="444444"/>
                <w:szCs w:val="22"/>
              </w:rPr>
              <w:t>Methodology on assessment of GHG emissions of metaverse</w:t>
            </w:r>
          </w:p>
        </w:tc>
        <w:tc>
          <w:tcPr>
            <w:tcW w:w="1557" w:type="dxa"/>
            <w:shd w:val="clear" w:color="auto" w:fill="FFFFFF" w:themeFill="background1"/>
            <w:vAlign w:val="center"/>
          </w:tcPr>
          <w:p w14:paraId="3FB43E0E" w14:textId="77777777" w:rsidR="00687942" w:rsidRPr="00976AB3" w:rsidRDefault="00687942" w:rsidP="0081001A">
            <w:pPr>
              <w:pStyle w:val="Tabletext"/>
              <w:spacing w:before="0" w:after="0"/>
              <w:jc w:val="center"/>
              <w:rPr>
                <w:color w:val="444444"/>
                <w:szCs w:val="22"/>
              </w:rPr>
            </w:pPr>
          </w:p>
        </w:tc>
      </w:tr>
      <w:tr w:rsidR="00687942" w:rsidRPr="00976AB3" w14:paraId="639FD21B" w14:textId="77777777" w:rsidTr="6C4DED91">
        <w:trPr>
          <w:trHeight w:val="364"/>
        </w:trPr>
        <w:tc>
          <w:tcPr>
            <w:tcW w:w="1701" w:type="dxa"/>
            <w:vMerge/>
            <w:vAlign w:val="center"/>
            <w:hideMark/>
          </w:tcPr>
          <w:p w14:paraId="7D1D4D10"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68225E6A" w14:textId="77777777" w:rsidR="00687942" w:rsidRPr="00976AB3" w:rsidRDefault="00687942" w:rsidP="0081001A">
            <w:pPr>
              <w:pStyle w:val="Tabletext"/>
              <w:spacing w:before="0" w:after="0"/>
              <w:jc w:val="center"/>
              <w:rPr>
                <w:color w:val="444444"/>
                <w:szCs w:val="22"/>
              </w:rPr>
            </w:pPr>
            <w:r w:rsidRPr="00976AB3">
              <w:rPr>
                <w:color w:val="444444"/>
                <w:szCs w:val="22"/>
              </w:rPr>
              <w:t>TR</w:t>
            </w:r>
          </w:p>
        </w:tc>
        <w:tc>
          <w:tcPr>
            <w:tcW w:w="5675" w:type="dxa"/>
            <w:shd w:val="clear" w:color="auto" w:fill="FFFFFF" w:themeFill="background1"/>
            <w:tcMar>
              <w:top w:w="105" w:type="dxa"/>
              <w:left w:w="75" w:type="dxa"/>
              <w:bottom w:w="90" w:type="dxa"/>
              <w:right w:w="75" w:type="dxa"/>
            </w:tcMar>
            <w:vAlign w:val="center"/>
            <w:hideMark/>
          </w:tcPr>
          <w:p w14:paraId="098CFAC7" w14:textId="77777777" w:rsidR="00687942" w:rsidRPr="00976AB3" w:rsidRDefault="00687942" w:rsidP="0081001A">
            <w:pPr>
              <w:pStyle w:val="Tabletext"/>
              <w:spacing w:before="0" w:after="0"/>
              <w:rPr>
                <w:color w:val="444444"/>
                <w:szCs w:val="22"/>
              </w:rPr>
            </w:pPr>
            <w:r w:rsidRPr="00976AB3">
              <w:rPr>
                <w:color w:val="444444"/>
                <w:szCs w:val="22"/>
              </w:rPr>
              <w:t>Guidance on how to build a metaverse for all: Part II - Survey and framework</w:t>
            </w:r>
          </w:p>
        </w:tc>
        <w:tc>
          <w:tcPr>
            <w:tcW w:w="1557" w:type="dxa"/>
            <w:shd w:val="clear" w:color="auto" w:fill="FFFFFF" w:themeFill="background1"/>
            <w:vAlign w:val="center"/>
          </w:tcPr>
          <w:p w14:paraId="007D57D9" w14:textId="77777777" w:rsidR="00687942" w:rsidRPr="00976AB3" w:rsidRDefault="00687942" w:rsidP="0081001A">
            <w:pPr>
              <w:pStyle w:val="Tabletext"/>
              <w:spacing w:before="0" w:after="0"/>
              <w:jc w:val="center"/>
              <w:rPr>
                <w:color w:val="444444"/>
                <w:szCs w:val="22"/>
              </w:rPr>
            </w:pPr>
          </w:p>
        </w:tc>
      </w:tr>
      <w:tr w:rsidR="00687942" w:rsidRPr="00976AB3" w14:paraId="186A59AA" w14:textId="77777777" w:rsidTr="6C4DED91">
        <w:trPr>
          <w:trHeight w:val="364"/>
        </w:trPr>
        <w:tc>
          <w:tcPr>
            <w:tcW w:w="1701" w:type="dxa"/>
            <w:vMerge/>
            <w:vAlign w:val="center"/>
            <w:hideMark/>
          </w:tcPr>
          <w:p w14:paraId="054C5172"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5BDD361D" w14:textId="77777777" w:rsidR="00687942" w:rsidRPr="00976AB3" w:rsidRDefault="00687942" w:rsidP="0081001A">
            <w:pPr>
              <w:pStyle w:val="Tabletext"/>
              <w:spacing w:before="0" w:after="0"/>
              <w:jc w:val="center"/>
              <w:rPr>
                <w:color w:val="444444"/>
                <w:szCs w:val="22"/>
                <w:lang w:eastAsia="ko-KR"/>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5071DD1C" w14:textId="77777777" w:rsidR="00687942" w:rsidRPr="00976AB3" w:rsidRDefault="00687942" w:rsidP="0081001A">
            <w:pPr>
              <w:pStyle w:val="Tabletext"/>
              <w:spacing w:before="0" w:after="0"/>
              <w:rPr>
                <w:color w:val="444444"/>
                <w:szCs w:val="22"/>
              </w:rPr>
            </w:pPr>
            <w:r w:rsidRPr="00976AB3">
              <w:rPr>
                <w:color w:val="444444"/>
                <w:szCs w:val="22"/>
              </w:rPr>
              <w:t>Requirements for communication between human-avatar languages in the metaverse</w:t>
            </w:r>
            <w:r>
              <w:rPr>
                <w:color w:val="444444"/>
                <w:szCs w:val="22"/>
              </w:rPr>
              <w:t xml:space="preserve"> </w:t>
            </w:r>
            <w:r w:rsidRPr="00ED6BC6">
              <w:rPr>
                <w:b/>
                <w:bCs/>
                <w:i/>
                <w:iCs/>
                <w:color w:val="444444"/>
                <w:szCs w:val="22"/>
              </w:rPr>
              <w:t>(approved at the 5</w:t>
            </w:r>
            <w:r w:rsidRPr="00ED6BC6">
              <w:rPr>
                <w:b/>
                <w:bCs/>
                <w:i/>
                <w:iCs/>
                <w:color w:val="444444"/>
                <w:szCs w:val="22"/>
                <w:vertAlign w:val="superscript"/>
              </w:rPr>
              <w:t>th</w:t>
            </w:r>
            <w:r w:rsidRPr="00ED6BC6">
              <w:rPr>
                <w:b/>
                <w:bCs/>
                <w:i/>
                <w:iCs/>
                <w:color w:val="444444"/>
                <w:szCs w:val="22"/>
              </w:rPr>
              <w:t xml:space="preserve"> FG-MV meeting)</w:t>
            </w:r>
          </w:p>
        </w:tc>
        <w:tc>
          <w:tcPr>
            <w:tcW w:w="1557" w:type="dxa"/>
            <w:shd w:val="clear" w:color="auto" w:fill="FFFFFF" w:themeFill="background1"/>
            <w:vAlign w:val="center"/>
          </w:tcPr>
          <w:p w14:paraId="3B3C6E90" w14:textId="77777777" w:rsidR="00687942" w:rsidRPr="00976AB3" w:rsidRDefault="00687942" w:rsidP="0081001A">
            <w:pPr>
              <w:pStyle w:val="Tabletext"/>
              <w:spacing w:before="0" w:after="0"/>
              <w:jc w:val="center"/>
              <w:rPr>
                <w:rFonts w:eastAsia="Malgun Gothic"/>
                <w:color w:val="444444"/>
                <w:szCs w:val="22"/>
                <w:lang w:eastAsia="ko-KR"/>
              </w:rPr>
            </w:pPr>
            <w:r>
              <w:rPr>
                <w:rFonts w:hint="eastAsia"/>
                <w:noProof/>
                <w:color w:val="444444"/>
                <w:szCs w:val="22"/>
                <w:lang w:val="en-US" w:eastAsia="ko-KR"/>
              </w:rPr>
              <w:drawing>
                <wp:inline distT="0" distB="0" distL="0" distR="0" wp14:anchorId="2D00F9F9" wp14:editId="19827F3B">
                  <wp:extent cx="217358" cy="217358"/>
                  <wp:effectExtent l="0" t="0" r="0" b="0"/>
                  <wp:docPr id="794367491"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7AFCBA35" w14:textId="77777777" w:rsidTr="6C4DED91">
        <w:trPr>
          <w:trHeight w:val="364"/>
        </w:trPr>
        <w:tc>
          <w:tcPr>
            <w:tcW w:w="1701" w:type="dxa"/>
            <w:vMerge/>
            <w:vAlign w:val="center"/>
            <w:hideMark/>
          </w:tcPr>
          <w:p w14:paraId="42FE8FF2" w14:textId="77777777" w:rsidR="00687942" w:rsidRPr="00976AB3" w:rsidRDefault="00687942" w:rsidP="00FA4399">
            <w:pPr>
              <w:pStyle w:val="Tabletext"/>
              <w:rPr>
                <w:color w:val="444444"/>
                <w:szCs w:val="22"/>
                <w:lang w:val="es-AR"/>
              </w:rPr>
            </w:pPr>
          </w:p>
        </w:tc>
        <w:tc>
          <w:tcPr>
            <w:tcW w:w="687" w:type="dxa"/>
            <w:shd w:val="clear" w:color="auto" w:fill="FFFFFF" w:themeFill="background1"/>
            <w:tcMar>
              <w:top w:w="105" w:type="dxa"/>
              <w:left w:w="75" w:type="dxa"/>
              <w:bottom w:w="90" w:type="dxa"/>
              <w:right w:w="75" w:type="dxa"/>
            </w:tcMar>
            <w:vAlign w:val="center"/>
            <w:hideMark/>
          </w:tcPr>
          <w:p w14:paraId="3AE511CD"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00E8CBFB" w14:textId="77777777" w:rsidR="00687942" w:rsidRPr="00976AB3" w:rsidRDefault="00687942" w:rsidP="0081001A">
            <w:pPr>
              <w:pStyle w:val="Tabletext"/>
              <w:spacing w:before="0" w:after="0"/>
              <w:rPr>
                <w:color w:val="444444"/>
                <w:szCs w:val="22"/>
              </w:rPr>
            </w:pPr>
            <w:r w:rsidRPr="00976AB3">
              <w:rPr>
                <w:color w:val="444444"/>
                <w:szCs w:val="22"/>
              </w:rPr>
              <w:t>Incentive strategies to boost high-impact sustainable metaverse applications</w:t>
            </w:r>
          </w:p>
        </w:tc>
        <w:tc>
          <w:tcPr>
            <w:tcW w:w="1557" w:type="dxa"/>
            <w:shd w:val="clear" w:color="auto" w:fill="FFFFFF" w:themeFill="background1"/>
            <w:vAlign w:val="center"/>
          </w:tcPr>
          <w:p w14:paraId="7DE5FBE0" w14:textId="77777777" w:rsidR="00687942" w:rsidRPr="00976AB3" w:rsidRDefault="00687942" w:rsidP="0081001A">
            <w:pPr>
              <w:pStyle w:val="Tabletext"/>
              <w:spacing w:before="0" w:after="0"/>
              <w:jc w:val="center"/>
              <w:rPr>
                <w:color w:val="444444"/>
                <w:szCs w:val="22"/>
              </w:rPr>
            </w:pPr>
          </w:p>
        </w:tc>
      </w:tr>
      <w:tr w:rsidR="00687942" w:rsidRPr="00976AB3" w14:paraId="457E55BE" w14:textId="77777777" w:rsidTr="6C4DED91">
        <w:trPr>
          <w:trHeight w:val="364"/>
        </w:trPr>
        <w:tc>
          <w:tcPr>
            <w:tcW w:w="1701" w:type="dxa"/>
            <w:vMerge/>
            <w:vAlign w:val="center"/>
            <w:hideMark/>
          </w:tcPr>
          <w:p w14:paraId="4C8075F8"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773A8887" w14:textId="77777777" w:rsidR="00687942" w:rsidRPr="00976AB3" w:rsidRDefault="00687942" w:rsidP="0081001A">
            <w:pPr>
              <w:pStyle w:val="Tabletext"/>
              <w:spacing w:before="0" w:after="0"/>
              <w:jc w:val="center"/>
              <w:rPr>
                <w:color w:val="444444"/>
                <w:szCs w:val="22"/>
              </w:rPr>
            </w:pPr>
            <w:r w:rsidRPr="00976AB3">
              <w:rPr>
                <w:color w:val="444444"/>
                <w:szCs w:val="22"/>
              </w:rPr>
              <w:t>TS</w:t>
            </w:r>
          </w:p>
        </w:tc>
        <w:tc>
          <w:tcPr>
            <w:tcW w:w="5675" w:type="dxa"/>
            <w:shd w:val="clear" w:color="auto" w:fill="FFFFFF" w:themeFill="background1"/>
            <w:tcMar>
              <w:top w:w="105" w:type="dxa"/>
              <w:left w:w="75" w:type="dxa"/>
              <w:bottom w:w="90" w:type="dxa"/>
              <w:right w:w="75" w:type="dxa"/>
            </w:tcMar>
            <w:vAlign w:val="center"/>
            <w:hideMark/>
          </w:tcPr>
          <w:p w14:paraId="1B94904A" w14:textId="77777777" w:rsidR="00687942" w:rsidRPr="00976AB3" w:rsidRDefault="00687942" w:rsidP="0081001A">
            <w:pPr>
              <w:pStyle w:val="Tabletext"/>
              <w:spacing w:before="0" w:after="0"/>
              <w:rPr>
                <w:color w:val="444444"/>
                <w:szCs w:val="22"/>
              </w:rPr>
            </w:pPr>
            <w:r w:rsidRPr="00976AB3">
              <w:rPr>
                <w:color w:val="444444"/>
                <w:szCs w:val="22"/>
              </w:rPr>
              <w:t>Metrics and indicators to drive the design of sustainable metaverse applications</w:t>
            </w:r>
          </w:p>
        </w:tc>
        <w:tc>
          <w:tcPr>
            <w:tcW w:w="1557" w:type="dxa"/>
            <w:shd w:val="clear" w:color="auto" w:fill="FFFFFF" w:themeFill="background1"/>
            <w:vAlign w:val="center"/>
          </w:tcPr>
          <w:p w14:paraId="2D703A6E" w14:textId="77777777" w:rsidR="00687942" w:rsidRPr="00976AB3" w:rsidRDefault="00687942" w:rsidP="0081001A">
            <w:pPr>
              <w:pStyle w:val="Tabletext"/>
              <w:spacing w:before="0" w:after="0"/>
              <w:jc w:val="center"/>
              <w:rPr>
                <w:color w:val="444444"/>
                <w:szCs w:val="22"/>
              </w:rPr>
            </w:pPr>
          </w:p>
        </w:tc>
      </w:tr>
      <w:tr w:rsidR="00687942" w:rsidRPr="00976AB3" w14:paraId="79AD9D56" w14:textId="77777777" w:rsidTr="6C4DED91">
        <w:trPr>
          <w:trHeight w:val="364"/>
        </w:trPr>
        <w:tc>
          <w:tcPr>
            <w:tcW w:w="1701" w:type="dxa"/>
            <w:vMerge/>
            <w:vAlign w:val="center"/>
            <w:hideMark/>
          </w:tcPr>
          <w:p w14:paraId="1AAC3451"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5B5FB62E" w14:textId="77777777" w:rsidR="00687942" w:rsidRPr="00976AB3" w:rsidRDefault="00687942" w:rsidP="0081001A">
            <w:pPr>
              <w:pStyle w:val="Tabletext"/>
              <w:spacing w:before="0" w:after="0"/>
              <w:jc w:val="center"/>
              <w:rPr>
                <w:color w:val="444444"/>
                <w:szCs w:val="22"/>
              </w:rPr>
            </w:pPr>
            <w:r w:rsidRPr="00976AB3">
              <w:rPr>
                <w:color w:val="444444"/>
                <w:szCs w:val="22"/>
              </w:rPr>
              <w:t>TR</w:t>
            </w:r>
          </w:p>
        </w:tc>
        <w:tc>
          <w:tcPr>
            <w:tcW w:w="5675" w:type="dxa"/>
            <w:shd w:val="clear" w:color="auto" w:fill="FFFFFF" w:themeFill="background1"/>
            <w:tcMar>
              <w:top w:w="105" w:type="dxa"/>
              <w:left w:w="75" w:type="dxa"/>
              <w:bottom w:w="90" w:type="dxa"/>
              <w:right w:w="75" w:type="dxa"/>
            </w:tcMar>
            <w:vAlign w:val="center"/>
            <w:hideMark/>
          </w:tcPr>
          <w:p w14:paraId="01DCE9BE" w14:textId="77777777" w:rsidR="00687942" w:rsidRPr="00976AB3" w:rsidRDefault="00687942" w:rsidP="0081001A">
            <w:pPr>
              <w:pStyle w:val="Tabletext"/>
              <w:spacing w:before="0" w:after="0"/>
              <w:rPr>
                <w:color w:val="444444"/>
                <w:szCs w:val="22"/>
              </w:rPr>
            </w:pPr>
            <w:r w:rsidRPr="00976AB3">
              <w:rPr>
                <w:color w:val="444444"/>
                <w:szCs w:val="22"/>
              </w:rPr>
              <w:t>Metaverse social safety: mitigating harassment in the metaverse</w:t>
            </w:r>
          </w:p>
        </w:tc>
        <w:tc>
          <w:tcPr>
            <w:tcW w:w="1557" w:type="dxa"/>
            <w:shd w:val="clear" w:color="auto" w:fill="FFFFFF" w:themeFill="background1"/>
            <w:vAlign w:val="center"/>
          </w:tcPr>
          <w:p w14:paraId="12FFC823" w14:textId="77777777" w:rsidR="00687942" w:rsidRPr="00976AB3" w:rsidRDefault="00687942" w:rsidP="0081001A">
            <w:pPr>
              <w:pStyle w:val="Tabletext"/>
              <w:spacing w:before="0" w:after="0"/>
              <w:jc w:val="center"/>
              <w:rPr>
                <w:color w:val="444444"/>
                <w:szCs w:val="22"/>
              </w:rPr>
            </w:pPr>
          </w:p>
        </w:tc>
      </w:tr>
      <w:tr w:rsidR="00687942" w:rsidRPr="00976AB3" w14:paraId="4D2E982B" w14:textId="77777777" w:rsidTr="0081001A">
        <w:trPr>
          <w:trHeight w:val="435"/>
        </w:trPr>
        <w:tc>
          <w:tcPr>
            <w:tcW w:w="1701" w:type="dxa"/>
            <w:vMerge w:val="restart"/>
            <w:shd w:val="clear" w:color="auto" w:fill="FFFFFF" w:themeFill="background1"/>
            <w:tcMar>
              <w:top w:w="105" w:type="dxa"/>
              <w:left w:w="75" w:type="dxa"/>
              <w:bottom w:w="90" w:type="dxa"/>
              <w:right w:w="75" w:type="dxa"/>
            </w:tcMar>
            <w:vAlign w:val="center"/>
            <w:hideMark/>
          </w:tcPr>
          <w:p w14:paraId="1479ED0C" w14:textId="77777777" w:rsidR="00687942" w:rsidRPr="007C6A34" w:rsidRDefault="00687942" w:rsidP="00FA4399">
            <w:pPr>
              <w:pStyle w:val="Tabletext"/>
              <w:rPr>
                <w:b/>
                <w:bCs/>
                <w:color w:val="444444"/>
                <w:szCs w:val="22"/>
              </w:rPr>
            </w:pPr>
            <w:proofErr w:type="spellStart"/>
            <w:r w:rsidRPr="007C6A34">
              <w:rPr>
                <w:b/>
                <w:bCs/>
                <w:color w:val="444444"/>
                <w:szCs w:val="22"/>
                <w:bdr w:val="none" w:sz="0" w:space="0" w:color="auto" w:frame="1"/>
              </w:rPr>
              <w:t>WG</w:t>
            </w:r>
            <w:proofErr w:type="spellEnd"/>
            <w:r w:rsidRPr="007C6A34">
              <w:rPr>
                <w:b/>
                <w:bCs/>
                <w:color w:val="444444"/>
                <w:szCs w:val="22"/>
                <w:bdr w:val="none" w:sz="0" w:space="0" w:color="auto" w:frame="1"/>
              </w:rPr>
              <w:t xml:space="preserve"> 9</w:t>
            </w:r>
          </w:p>
          <w:p w14:paraId="2487A221" w14:textId="77777777" w:rsidR="00687942" w:rsidRPr="007C6A34" w:rsidRDefault="008A0058" w:rsidP="00FA4399">
            <w:pPr>
              <w:pStyle w:val="Tabletext"/>
              <w:rPr>
                <w:rFonts w:eastAsia="Malgun Gothic"/>
                <w:szCs w:val="22"/>
                <w:lang w:val="en-US" w:eastAsia="ko-KR"/>
              </w:rPr>
            </w:pPr>
            <w:hyperlink r:id="rId35" w:history="1">
              <w:r w:rsidR="00687942" w:rsidRPr="00FA4399">
                <w:rPr>
                  <w:rStyle w:val="Hyperlink"/>
                  <w:rFonts w:eastAsia="Malgun Gothic"/>
                </w:rPr>
                <w:t>Collaboration</w:t>
              </w:r>
            </w:hyperlink>
          </w:p>
        </w:tc>
        <w:tc>
          <w:tcPr>
            <w:tcW w:w="687" w:type="dxa"/>
            <w:shd w:val="clear" w:color="auto" w:fill="FFFFFF" w:themeFill="background1"/>
            <w:tcMar>
              <w:top w:w="105" w:type="dxa"/>
              <w:left w:w="75" w:type="dxa"/>
              <w:bottom w:w="90" w:type="dxa"/>
              <w:right w:w="75" w:type="dxa"/>
            </w:tcMar>
            <w:vAlign w:val="center"/>
            <w:hideMark/>
          </w:tcPr>
          <w:p w14:paraId="02638B62" w14:textId="77777777" w:rsidR="00687942" w:rsidRPr="00976AB3" w:rsidRDefault="00687942" w:rsidP="0081001A">
            <w:pPr>
              <w:pStyle w:val="Tabletext"/>
              <w:spacing w:before="0" w:after="0"/>
              <w:jc w:val="center"/>
              <w:rPr>
                <w:color w:val="444444"/>
                <w:szCs w:val="22"/>
              </w:rPr>
            </w:pPr>
            <w:r w:rsidRPr="00976AB3">
              <w:rPr>
                <w:color w:val="444444"/>
                <w:szCs w:val="22"/>
              </w:rPr>
              <w:t>TR</w:t>
            </w:r>
          </w:p>
        </w:tc>
        <w:tc>
          <w:tcPr>
            <w:tcW w:w="5675" w:type="dxa"/>
            <w:shd w:val="clear" w:color="auto" w:fill="FFFFFF" w:themeFill="background1"/>
            <w:tcMar>
              <w:top w:w="105" w:type="dxa"/>
              <w:left w:w="75" w:type="dxa"/>
              <w:bottom w:w="90" w:type="dxa"/>
              <w:right w:w="75" w:type="dxa"/>
            </w:tcMar>
            <w:vAlign w:val="center"/>
            <w:hideMark/>
          </w:tcPr>
          <w:p w14:paraId="3FE6D557" w14:textId="77777777" w:rsidR="00687942" w:rsidRPr="00976AB3" w:rsidRDefault="00687942" w:rsidP="0081001A">
            <w:pPr>
              <w:pStyle w:val="Tabletext"/>
              <w:spacing w:before="0" w:after="0"/>
              <w:rPr>
                <w:color w:val="444444"/>
                <w:szCs w:val="22"/>
              </w:rPr>
            </w:pPr>
            <w:r w:rsidRPr="00976AB3">
              <w:rPr>
                <w:color w:val="444444"/>
                <w:szCs w:val="22"/>
              </w:rPr>
              <w:t>Standardization roadmap for metaverse</w:t>
            </w:r>
          </w:p>
        </w:tc>
        <w:tc>
          <w:tcPr>
            <w:tcW w:w="1557" w:type="dxa"/>
            <w:shd w:val="clear" w:color="auto" w:fill="FFFFFF" w:themeFill="background1"/>
            <w:vAlign w:val="center"/>
          </w:tcPr>
          <w:p w14:paraId="159340EE" w14:textId="77777777" w:rsidR="00687942" w:rsidRPr="00976AB3" w:rsidRDefault="00687942" w:rsidP="0081001A">
            <w:pPr>
              <w:pStyle w:val="Tabletext"/>
              <w:spacing w:before="0" w:after="0"/>
              <w:jc w:val="center"/>
              <w:rPr>
                <w:color w:val="444444"/>
                <w:szCs w:val="22"/>
                <w:highlight w:val="green"/>
              </w:rPr>
            </w:pPr>
            <w:r>
              <w:rPr>
                <w:rFonts w:hint="eastAsia"/>
                <w:noProof/>
                <w:color w:val="444444"/>
                <w:szCs w:val="22"/>
                <w:lang w:val="en-US" w:eastAsia="ko-KR"/>
              </w:rPr>
              <w:drawing>
                <wp:inline distT="0" distB="0" distL="0" distR="0" wp14:anchorId="3E57AFA2" wp14:editId="44F9B258">
                  <wp:extent cx="217358" cy="217358"/>
                  <wp:effectExtent l="0" t="0" r="0" b="0"/>
                  <wp:docPr id="1749805014"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r w:rsidR="00687942" w:rsidRPr="00976AB3" w14:paraId="0FDE4C66" w14:textId="77777777" w:rsidTr="6C4DED91">
        <w:trPr>
          <w:trHeight w:val="435"/>
        </w:trPr>
        <w:tc>
          <w:tcPr>
            <w:tcW w:w="1701" w:type="dxa"/>
            <w:vMerge/>
            <w:vAlign w:val="center"/>
            <w:hideMark/>
          </w:tcPr>
          <w:p w14:paraId="0F907BD2" w14:textId="77777777" w:rsidR="00687942" w:rsidRPr="00976AB3" w:rsidRDefault="00687942" w:rsidP="00FA4399">
            <w:pPr>
              <w:pStyle w:val="Tabletext"/>
              <w:rPr>
                <w:color w:val="444444"/>
                <w:szCs w:val="22"/>
              </w:rPr>
            </w:pPr>
          </w:p>
        </w:tc>
        <w:tc>
          <w:tcPr>
            <w:tcW w:w="687" w:type="dxa"/>
            <w:shd w:val="clear" w:color="auto" w:fill="FFFFFF" w:themeFill="background1"/>
            <w:tcMar>
              <w:top w:w="105" w:type="dxa"/>
              <w:left w:w="75" w:type="dxa"/>
              <w:bottom w:w="90" w:type="dxa"/>
              <w:right w:w="75" w:type="dxa"/>
            </w:tcMar>
            <w:vAlign w:val="center"/>
            <w:hideMark/>
          </w:tcPr>
          <w:p w14:paraId="34EAE4BB" w14:textId="77777777" w:rsidR="00687942" w:rsidRPr="00976AB3" w:rsidRDefault="00687942" w:rsidP="0081001A">
            <w:pPr>
              <w:pStyle w:val="Tabletext"/>
              <w:spacing w:before="0" w:after="0"/>
              <w:jc w:val="center"/>
              <w:rPr>
                <w:color w:val="444444"/>
                <w:szCs w:val="22"/>
              </w:rPr>
            </w:pPr>
            <w:r w:rsidRPr="00976AB3">
              <w:rPr>
                <w:color w:val="444444"/>
                <w:szCs w:val="22"/>
              </w:rPr>
              <w:t>TR</w:t>
            </w:r>
          </w:p>
        </w:tc>
        <w:tc>
          <w:tcPr>
            <w:tcW w:w="5675" w:type="dxa"/>
            <w:shd w:val="clear" w:color="auto" w:fill="FFFFFF" w:themeFill="background1"/>
            <w:tcMar>
              <w:top w:w="105" w:type="dxa"/>
              <w:left w:w="75" w:type="dxa"/>
              <w:bottom w:w="90" w:type="dxa"/>
              <w:right w:w="75" w:type="dxa"/>
            </w:tcMar>
            <w:vAlign w:val="center"/>
            <w:hideMark/>
          </w:tcPr>
          <w:p w14:paraId="3255B1AD" w14:textId="77777777" w:rsidR="00687942" w:rsidRPr="00976AB3" w:rsidRDefault="00687942" w:rsidP="0081001A">
            <w:pPr>
              <w:pStyle w:val="Tabletext"/>
              <w:spacing w:before="0" w:after="0"/>
              <w:rPr>
                <w:color w:val="444444"/>
                <w:szCs w:val="22"/>
              </w:rPr>
            </w:pPr>
            <w:r w:rsidRPr="00976AB3">
              <w:rPr>
                <w:color w:val="444444"/>
                <w:szCs w:val="22"/>
              </w:rPr>
              <w:t>Gap analysis on metaverse standardization</w:t>
            </w:r>
          </w:p>
        </w:tc>
        <w:tc>
          <w:tcPr>
            <w:tcW w:w="1557" w:type="dxa"/>
            <w:shd w:val="clear" w:color="auto" w:fill="FFFFFF" w:themeFill="background1"/>
            <w:vAlign w:val="center"/>
          </w:tcPr>
          <w:p w14:paraId="1C8E083A" w14:textId="77777777" w:rsidR="00687942" w:rsidRPr="00976AB3" w:rsidRDefault="00687942" w:rsidP="0081001A">
            <w:pPr>
              <w:pStyle w:val="Tabletext"/>
              <w:spacing w:before="0" w:after="0"/>
              <w:jc w:val="center"/>
              <w:rPr>
                <w:color w:val="444444"/>
                <w:szCs w:val="22"/>
                <w:highlight w:val="green"/>
              </w:rPr>
            </w:pPr>
            <w:r>
              <w:rPr>
                <w:rFonts w:hint="eastAsia"/>
                <w:noProof/>
                <w:color w:val="444444"/>
                <w:szCs w:val="22"/>
                <w:lang w:val="en-US" w:eastAsia="ko-KR"/>
              </w:rPr>
              <w:drawing>
                <wp:inline distT="0" distB="0" distL="0" distR="0" wp14:anchorId="3A3BA14D" wp14:editId="1CA7DDD1">
                  <wp:extent cx="217358" cy="217358"/>
                  <wp:effectExtent l="0" t="0" r="0" b="0"/>
                  <wp:docPr id="1488830678" name="그래픽 1" descr="확인 표시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2137" name="그래픽 294322137" descr="확인 표시 단색으로 채워진"/>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31993" cy="231993"/>
                          </a:xfrm>
                          <a:prstGeom prst="rect">
                            <a:avLst/>
                          </a:prstGeom>
                        </pic:spPr>
                      </pic:pic>
                    </a:graphicData>
                  </a:graphic>
                </wp:inline>
              </w:drawing>
            </w:r>
          </w:p>
        </w:tc>
      </w:tr>
    </w:tbl>
    <w:p w14:paraId="5E25A8CA" w14:textId="3B46C233" w:rsidR="00F961F4" w:rsidRDefault="00F961F4" w:rsidP="00687942">
      <w:pPr>
        <w:spacing w:before="0" w:after="160" w:line="259" w:lineRule="auto"/>
        <w:rPr>
          <w:rFonts w:eastAsia="MS Mincho"/>
          <w:lang w:val="en-US"/>
        </w:rPr>
      </w:pPr>
    </w:p>
    <w:p w14:paraId="2494F90B" w14:textId="77777777" w:rsidR="00F961F4" w:rsidRDefault="00F961F4">
      <w:pPr>
        <w:spacing w:before="0" w:after="160" w:line="259" w:lineRule="auto"/>
        <w:rPr>
          <w:rFonts w:eastAsia="MS Mincho"/>
          <w:lang w:val="en-US"/>
        </w:rPr>
      </w:pPr>
      <w:r>
        <w:rPr>
          <w:rFonts w:eastAsia="MS Mincho"/>
          <w:lang w:val="en-US"/>
        </w:rPr>
        <w:br w:type="page"/>
      </w:r>
    </w:p>
    <w:p w14:paraId="14C8519B" w14:textId="682818AF" w:rsidR="00B7465D" w:rsidRPr="001521B5" w:rsidRDefault="00687942" w:rsidP="00FA4399">
      <w:pPr>
        <w:pStyle w:val="AnnexNotitle"/>
      </w:pPr>
      <w:r w:rsidRPr="00F961F4">
        <w:lastRenderedPageBreak/>
        <w:t>Annex C</w:t>
      </w:r>
      <w:r w:rsidR="00CD15FF">
        <w:br/>
        <w:t xml:space="preserve">Text </w:t>
      </w:r>
      <w:r w:rsidR="00B013F3">
        <w:t>of</w:t>
      </w:r>
      <w:r w:rsidR="00CD15FF">
        <w:t xml:space="preserve"> a </w:t>
      </w:r>
      <w:r w:rsidR="00B013F3">
        <w:t xml:space="preserve">proposed </w:t>
      </w:r>
      <w:r w:rsidR="00CD15FF">
        <w:t xml:space="preserve">new </w:t>
      </w:r>
      <w:r w:rsidR="00B7465D" w:rsidRPr="002B6BB7">
        <w:t xml:space="preserve">Question </w:t>
      </w:r>
      <w:r w:rsidR="00B7465D">
        <w:t>Q.MV</w:t>
      </w:r>
      <w:r w:rsidR="00B7465D" w:rsidRPr="002B6BB7">
        <w:t>/16</w:t>
      </w:r>
      <w:r w:rsidR="00B013F3">
        <w:t xml:space="preserve"> </w:t>
      </w:r>
      <w:r w:rsidR="00B013F3">
        <w:br/>
        <w:t>"</w:t>
      </w:r>
      <w:r w:rsidR="00B7465D">
        <w:t>M</w:t>
      </w:r>
      <w:r w:rsidR="00B7465D" w:rsidRPr="00701A9E">
        <w:t>etaverse</w:t>
      </w:r>
      <w:r w:rsidR="00B7465D">
        <w:t xml:space="preserve"> cross-platform interoperability</w:t>
      </w:r>
      <w:r w:rsidR="00B7465D" w:rsidRPr="00701A9E">
        <w:t xml:space="preserve"> </w:t>
      </w:r>
      <w:r w:rsidR="00B7465D">
        <w:t>in multimedia aspects</w:t>
      </w:r>
      <w:r w:rsidR="00B013F3">
        <w:t>"</w:t>
      </w:r>
    </w:p>
    <w:p w14:paraId="63EF6CBA" w14:textId="77777777" w:rsidR="00B7465D" w:rsidRPr="002E3B63" w:rsidRDefault="00B7465D" w:rsidP="00B7465D">
      <w:pPr>
        <w:pStyle w:val="Questionhistory"/>
      </w:pPr>
      <w:r w:rsidRPr="002E3B63">
        <w:t>(</w:t>
      </w:r>
      <w:r>
        <w:t>New Question</w:t>
      </w:r>
      <w:r w:rsidRPr="002E3B63">
        <w:t>)</w:t>
      </w:r>
    </w:p>
    <w:p w14:paraId="732B13B7" w14:textId="77777777" w:rsidR="00B7465D" w:rsidRPr="00A96011" w:rsidRDefault="00B7465D" w:rsidP="00B7465D">
      <w:pPr>
        <w:pStyle w:val="Heading3"/>
        <w:ind w:left="0" w:firstLine="0"/>
        <w:rPr>
          <w:rFonts w:eastAsia="Malgun Gothic"/>
          <w:lang w:eastAsia="ko-KR"/>
        </w:rPr>
      </w:pPr>
      <w:r w:rsidRPr="008F1FC4">
        <w:t>1</w:t>
      </w:r>
      <w:r w:rsidRPr="008F1FC4">
        <w:tab/>
        <w:t>Motivation</w:t>
      </w:r>
    </w:p>
    <w:p w14:paraId="56A04A77" w14:textId="77777777" w:rsidR="00B7465D" w:rsidRPr="00802190" w:rsidRDefault="00B7465D" w:rsidP="00B7465D">
      <w:pPr>
        <w:rPr>
          <w:rFonts w:eastAsia="Malgun Gothic"/>
          <w:lang w:val="en-US" w:eastAsia="ko-KR"/>
        </w:rPr>
      </w:pPr>
      <w:r>
        <w:rPr>
          <w:rFonts w:eastAsia="Malgun Gothic"/>
          <w:lang w:val="en-US" w:eastAsia="ko-KR"/>
        </w:rPr>
        <w:t>M</w:t>
      </w:r>
      <w:r w:rsidRPr="0055530C">
        <w:rPr>
          <w:rFonts w:eastAsia="Malgun Gothic"/>
          <w:lang w:val="en-US" w:eastAsia="ko-KR"/>
        </w:rPr>
        <w:t xml:space="preserve">etaverse, coupled with advances in digital technology, is revolutionizing </w:t>
      </w:r>
      <w:r>
        <w:rPr>
          <w:rFonts w:eastAsia="Malgun Gothic"/>
          <w:lang w:val="en-US" w:eastAsia="ko-KR"/>
        </w:rPr>
        <w:t>the way</w:t>
      </w:r>
      <w:r w:rsidRPr="0055530C">
        <w:rPr>
          <w:rFonts w:eastAsia="Malgun Gothic"/>
          <w:lang w:val="en-US" w:eastAsia="ko-KR"/>
        </w:rPr>
        <w:t xml:space="preserve"> people live. This shift is having a profound impact on society as a whole, enabling new levels of experience beyond the boundaries of </w:t>
      </w:r>
      <w:r>
        <w:rPr>
          <w:rFonts w:eastAsia="Malgun Gothic"/>
          <w:lang w:val="en-US" w:eastAsia="ko-KR"/>
        </w:rPr>
        <w:t xml:space="preserve">the </w:t>
      </w:r>
      <w:r w:rsidRPr="0055530C">
        <w:rPr>
          <w:rFonts w:eastAsia="Malgun Gothic"/>
          <w:lang w:val="en-US" w:eastAsia="ko-KR"/>
        </w:rPr>
        <w:t>virtual and real</w:t>
      </w:r>
      <w:r>
        <w:rPr>
          <w:rFonts w:eastAsia="Malgun Gothic"/>
          <w:lang w:val="en-US" w:eastAsia="ko-KR"/>
        </w:rPr>
        <w:t xml:space="preserve"> world</w:t>
      </w:r>
      <w:r w:rsidRPr="0055530C">
        <w:rPr>
          <w:rFonts w:eastAsia="Malgun Gothic"/>
          <w:lang w:val="en-US" w:eastAsia="ko-KR"/>
        </w:rPr>
        <w:t xml:space="preserve">. </w:t>
      </w:r>
      <w:r>
        <w:rPr>
          <w:rFonts w:eastAsia="Malgun Gothic"/>
          <w:lang w:val="en-US" w:eastAsia="ko-KR"/>
        </w:rPr>
        <w:t>M</w:t>
      </w:r>
      <w:r w:rsidRPr="0055530C">
        <w:rPr>
          <w:rFonts w:eastAsia="Malgun Gothic"/>
          <w:lang w:val="en-US" w:eastAsia="ko-KR"/>
        </w:rPr>
        <w:t xml:space="preserve">etaverse </w:t>
      </w:r>
      <w:r>
        <w:rPr>
          <w:rFonts w:eastAsia="Malgun Gothic"/>
          <w:lang w:val="en-US" w:eastAsia="ko-KR"/>
        </w:rPr>
        <w:t xml:space="preserve">is </w:t>
      </w:r>
      <w:r w:rsidRPr="0055530C">
        <w:rPr>
          <w:rFonts w:eastAsia="Malgun Gothic"/>
          <w:lang w:val="en-US" w:eastAsia="ko-KR"/>
        </w:rPr>
        <w:t>spurring innovation in industry, education, healthcare, real estate, entertainment, and more, creating new business models and markets.</w:t>
      </w:r>
      <w:r>
        <w:rPr>
          <w:rFonts w:eastAsia="Malgun Gothic"/>
          <w:lang w:val="en-US" w:eastAsia="ko-KR"/>
        </w:rPr>
        <w:t xml:space="preserve"> </w:t>
      </w:r>
      <w:r w:rsidRPr="00802190">
        <w:rPr>
          <w:rFonts w:eastAsia="Malgun Gothic"/>
          <w:lang w:val="en-US" w:eastAsia="ko-KR"/>
        </w:rPr>
        <w:t>The spread of metaverse is breaking down barriers between the virtual and real worlds, offering</w:t>
      </w:r>
      <w:r>
        <w:rPr>
          <w:rFonts w:eastAsia="Malgun Gothic"/>
          <w:lang w:val="en-US" w:eastAsia="ko-KR"/>
        </w:rPr>
        <w:t xml:space="preserve"> immersive</w:t>
      </w:r>
      <w:r w:rsidRPr="00802190">
        <w:rPr>
          <w:rFonts w:eastAsia="Malgun Gothic"/>
          <w:lang w:val="en-US" w:eastAsia="ko-KR"/>
        </w:rPr>
        <w:t xml:space="preserve"> experiences where reality and virtuality merge. This is causing changes across many areas, from daily life to professional work environments. It's a significant turning point, reshaping how we live, work, and interact socially.</w:t>
      </w:r>
      <w:r>
        <w:rPr>
          <w:rFonts w:eastAsia="Malgun Gothic" w:hint="eastAsia"/>
          <w:lang w:val="en-US" w:eastAsia="ko-KR"/>
        </w:rPr>
        <w:t xml:space="preserve"> </w:t>
      </w:r>
      <w:r>
        <w:rPr>
          <w:rFonts w:eastAsia="Malgun Gothic"/>
          <w:lang w:val="en-US" w:eastAsia="ko-KR"/>
        </w:rPr>
        <w:t>Many big tech</w:t>
      </w:r>
      <w:r w:rsidRPr="00802190">
        <w:rPr>
          <w:rFonts w:eastAsia="Malgun Gothic"/>
          <w:lang w:val="en-US" w:eastAsia="ko-KR"/>
        </w:rPr>
        <w:t xml:space="preserve"> companies and investors worldwide are increasing their investments in metaverse technology</w:t>
      </w:r>
      <w:r>
        <w:rPr>
          <w:rFonts w:eastAsia="Malgun Gothic"/>
          <w:lang w:val="en-US" w:eastAsia="ko-KR"/>
        </w:rPr>
        <w:t>,</w:t>
      </w:r>
      <w:r w:rsidRPr="00802190">
        <w:rPr>
          <w:rFonts w:eastAsia="Malgun Gothic"/>
          <w:lang w:val="en-US" w:eastAsia="ko-KR"/>
        </w:rPr>
        <w:t xml:space="preserve"> platforms</w:t>
      </w:r>
      <w:r>
        <w:rPr>
          <w:rFonts w:eastAsia="Malgun Gothic"/>
          <w:lang w:val="en-US" w:eastAsia="ko-KR"/>
        </w:rPr>
        <w:t>,</w:t>
      </w:r>
      <w:r w:rsidRPr="00802190">
        <w:rPr>
          <w:rFonts w:eastAsia="Malgun Gothic"/>
          <w:lang w:val="en-US" w:eastAsia="ko-KR"/>
        </w:rPr>
        <w:t xml:space="preserve"> </w:t>
      </w:r>
      <w:r>
        <w:rPr>
          <w:rFonts w:eastAsia="Malgun Gothic"/>
          <w:lang w:val="en-US" w:eastAsia="ko-KR"/>
        </w:rPr>
        <w:t xml:space="preserve">applications, and services, </w:t>
      </w:r>
      <w:r w:rsidRPr="00802190">
        <w:rPr>
          <w:rFonts w:eastAsia="Malgun Gothic"/>
          <w:lang w:val="en-US" w:eastAsia="ko-KR"/>
        </w:rPr>
        <w:t>aiming to create new user experiences, expand the virtual economy, and reshape social interactions. Thus, the ris</w:t>
      </w:r>
      <w:r>
        <w:rPr>
          <w:rFonts w:eastAsia="Malgun Gothic"/>
          <w:lang w:val="en-US" w:eastAsia="ko-KR"/>
        </w:rPr>
        <w:t>e</w:t>
      </w:r>
      <w:r w:rsidRPr="00802190">
        <w:rPr>
          <w:rFonts w:eastAsia="Malgun Gothic"/>
          <w:lang w:val="en-US" w:eastAsia="ko-KR"/>
        </w:rPr>
        <w:t xml:space="preserve"> of metaverse is becoming a key driver of social and economic change</w:t>
      </w:r>
      <w:r>
        <w:rPr>
          <w:rFonts w:eastAsia="Malgun Gothic"/>
          <w:lang w:val="en-US" w:eastAsia="ko-KR"/>
        </w:rPr>
        <w:t>s</w:t>
      </w:r>
      <w:r w:rsidRPr="00802190">
        <w:rPr>
          <w:rFonts w:eastAsia="Malgun Gothic"/>
          <w:lang w:val="en-US" w:eastAsia="ko-KR"/>
        </w:rPr>
        <w:t xml:space="preserve"> beyond just technological advancement.</w:t>
      </w:r>
    </w:p>
    <w:p w14:paraId="5E55A227" w14:textId="77777777" w:rsidR="00B7465D" w:rsidRDefault="00B7465D" w:rsidP="00B7465D">
      <w:pPr>
        <w:rPr>
          <w:rFonts w:eastAsia="Malgun Gothic"/>
          <w:lang w:val="en-US" w:eastAsia="ko-KR"/>
        </w:rPr>
      </w:pPr>
      <w:r>
        <w:rPr>
          <w:rFonts w:eastAsia="Malgun Gothic"/>
          <w:lang w:val="en-US" w:eastAsia="ko-KR"/>
        </w:rPr>
        <w:t>M</w:t>
      </w:r>
      <w:r w:rsidRPr="00802190">
        <w:rPr>
          <w:rFonts w:eastAsia="Malgun Gothic"/>
          <w:lang w:val="en-US" w:eastAsia="ko-KR"/>
        </w:rPr>
        <w:t xml:space="preserve">etaverse </w:t>
      </w:r>
      <w:r>
        <w:rPr>
          <w:rFonts w:eastAsia="Malgun Gothic"/>
          <w:lang w:val="en-US" w:eastAsia="ko-KR"/>
        </w:rPr>
        <w:t xml:space="preserve">itself is not </w:t>
      </w:r>
      <w:r w:rsidRPr="00802190">
        <w:rPr>
          <w:rFonts w:eastAsia="Malgun Gothic"/>
          <w:lang w:val="en-US" w:eastAsia="ko-KR"/>
        </w:rPr>
        <w:t xml:space="preserve">a </w:t>
      </w:r>
      <w:r>
        <w:rPr>
          <w:rFonts w:eastAsia="Malgun Gothic"/>
          <w:lang w:val="en-US" w:eastAsia="ko-KR"/>
        </w:rPr>
        <w:t>new</w:t>
      </w:r>
      <w:r w:rsidRPr="00802190">
        <w:rPr>
          <w:rFonts w:eastAsia="Malgun Gothic"/>
          <w:lang w:val="en-US" w:eastAsia="ko-KR"/>
        </w:rPr>
        <w:t xml:space="preserve"> technology</w:t>
      </w:r>
      <w:r>
        <w:rPr>
          <w:rFonts w:eastAsia="Malgun Gothic"/>
          <w:lang w:val="en-US" w:eastAsia="ko-KR"/>
        </w:rPr>
        <w:t xml:space="preserve"> but a combination of various technologies. It can be realized by converging various elemental technologies and </w:t>
      </w:r>
      <w:r w:rsidRPr="00802190">
        <w:rPr>
          <w:rFonts w:eastAsia="Malgun Gothic"/>
          <w:lang w:val="en-US" w:eastAsia="ko-KR"/>
        </w:rPr>
        <w:t>standards</w:t>
      </w:r>
      <w:r>
        <w:rPr>
          <w:rFonts w:eastAsia="Malgun Gothic"/>
          <w:lang w:val="en-US" w:eastAsia="ko-KR"/>
        </w:rPr>
        <w:t xml:space="preserve"> from</w:t>
      </w:r>
      <w:r w:rsidRPr="00802190">
        <w:rPr>
          <w:rFonts w:eastAsia="Malgun Gothic"/>
          <w:lang w:val="en-US" w:eastAsia="ko-KR"/>
        </w:rPr>
        <w:t xml:space="preserve"> </w:t>
      </w:r>
      <w:r>
        <w:rPr>
          <w:rFonts w:eastAsia="Malgun Gothic"/>
          <w:lang w:val="en-US" w:eastAsia="ko-KR"/>
        </w:rPr>
        <w:t xml:space="preserve">many relevant </w:t>
      </w:r>
      <w:proofErr w:type="spellStart"/>
      <w:r>
        <w:rPr>
          <w:rFonts w:eastAsia="Malgun Gothic"/>
          <w:lang w:val="en-US" w:eastAsia="ko-KR"/>
        </w:rPr>
        <w:t>SDOs</w:t>
      </w:r>
      <w:proofErr w:type="spellEnd"/>
      <w:r>
        <w:rPr>
          <w:rFonts w:eastAsia="Malgun Gothic"/>
          <w:lang w:val="en-US" w:eastAsia="ko-KR"/>
        </w:rPr>
        <w:t>.</w:t>
      </w:r>
      <w:r>
        <w:rPr>
          <w:rFonts w:eastAsia="Malgun Gothic" w:hint="eastAsia"/>
          <w:lang w:val="en-US" w:eastAsia="ko-KR"/>
        </w:rPr>
        <w:t xml:space="preserve"> </w:t>
      </w:r>
      <w:r w:rsidRPr="00F33B55">
        <w:rPr>
          <w:rFonts w:eastAsia="Malgun Gothic"/>
          <w:lang w:val="en-US" w:eastAsia="ko-KR"/>
        </w:rPr>
        <w:t xml:space="preserve">Interoperability between metaverse platforms will accelerate </w:t>
      </w:r>
      <w:r>
        <w:rPr>
          <w:rFonts w:eastAsia="Malgun Gothic"/>
          <w:lang w:val="en-US" w:eastAsia="ko-KR"/>
        </w:rPr>
        <w:t xml:space="preserve">the growth of the </w:t>
      </w:r>
      <w:r w:rsidRPr="00F33B55">
        <w:rPr>
          <w:rFonts w:eastAsia="Malgun Gothic"/>
          <w:lang w:val="en-US" w:eastAsia="ko-KR"/>
        </w:rPr>
        <w:t>ecosystem</w:t>
      </w:r>
      <w:r>
        <w:rPr>
          <w:rFonts w:eastAsia="Malgun Gothic"/>
          <w:lang w:val="en-US" w:eastAsia="ko-KR"/>
        </w:rPr>
        <w:t xml:space="preserve"> for different stakeholders</w:t>
      </w:r>
      <w:r w:rsidRPr="00F33B55">
        <w:rPr>
          <w:rFonts w:eastAsia="Malgun Gothic"/>
          <w:lang w:val="en-US" w:eastAsia="ko-KR"/>
        </w:rPr>
        <w:t>.</w:t>
      </w:r>
      <w:r>
        <w:rPr>
          <w:rFonts w:eastAsia="Malgun Gothic" w:hint="eastAsia"/>
          <w:lang w:val="en-US" w:eastAsia="ko-KR"/>
        </w:rPr>
        <w:t xml:space="preserve"> </w:t>
      </w:r>
    </w:p>
    <w:p w14:paraId="163A93BA" w14:textId="77777777" w:rsidR="00B7465D" w:rsidRPr="00833CB8" w:rsidRDefault="00B7465D" w:rsidP="00B7465D">
      <w:pPr>
        <w:rPr>
          <w:rFonts w:eastAsia="Malgun Gothic"/>
          <w:lang w:val="en-US" w:eastAsia="ko-KR"/>
        </w:rPr>
      </w:pPr>
      <w:r w:rsidRPr="00833CB8">
        <w:rPr>
          <w:rFonts w:eastAsia="Malgun Gothic"/>
          <w:lang w:val="en-US" w:eastAsia="ko-KR"/>
        </w:rPr>
        <w:t>Lack of interoperability among metaverse platforms can lead to a fragmented user experience and inconvenience, as user</w:t>
      </w:r>
      <w:r>
        <w:rPr>
          <w:rFonts w:eastAsia="Malgun Gothic"/>
          <w:lang w:val="en-US" w:eastAsia="ko-KR"/>
        </w:rPr>
        <w:t>s</w:t>
      </w:r>
      <w:r w:rsidRPr="00833CB8">
        <w:rPr>
          <w:rFonts w:eastAsia="Malgun Gothic"/>
          <w:lang w:val="en-US" w:eastAsia="ko-KR"/>
        </w:rPr>
        <w:t xml:space="preserve"> cannot interact or share their experiences across different metaverse platform environments. This restriction may limit user engagement and increase development costs, as creators need to duplicate efforts for multiple platforms.</w:t>
      </w:r>
    </w:p>
    <w:p w14:paraId="60420D14" w14:textId="77777777" w:rsidR="00B7465D" w:rsidRPr="00802190" w:rsidRDefault="00B7465D" w:rsidP="00B7465D">
      <w:pPr>
        <w:rPr>
          <w:rFonts w:eastAsia="Malgun Gothic"/>
          <w:lang w:val="en-US" w:eastAsia="ko-KR"/>
        </w:rPr>
      </w:pPr>
      <w:r>
        <w:rPr>
          <w:rFonts w:eastAsia="Malgun Gothic"/>
          <w:lang w:val="en-US" w:eastAsia="ko-KR"/>
        </w:rPr>
        <w:t>To realize the interoperable metaverse, it is essential to provide standards</w:t>
      </w:r>
      <w:r w:rsidRPr="00802190">
        <w:rPr>
          <w:rFonts w:eastAsia="Malgun Gothic"/>
          <w:lang w:val="en-US" w:eastAsia="ko-KR"/>
        </w:rPr>
        <w:t xml:space="preserve"> </w:t>
      </w:r>
      <w:r>
        <w:rPr>
          <w:rFonts w:eastAsia="Malgun Gothic"/>
          <w:lang w:val="en-US" w:eastAsia="ko-KR"/>
        </w:rPr>
        <w:t>for cross-platform interoperability</w:t>
      </w:r>
      <w:r w:rsidRPr="00802190">
        <w:rPr>
          <w:rFonts w:eastAsia="Malgun Gothic"/>
          <w:lang w:val="en-US" w:eastAsia="ko-KR"/>
        </w:rPr>
        <w:t xml:space="preserve">, including standardized protocols and interfaces </w:t>
      </w:r>
      <w:r>
        <w:rPr>
          <w:rFonts w:eastAsia="Malgun Gothic"/>
          <w:lang w:val="en-US" w:eastAsia="ko-KR"/>
        </w:rPr>
        <w:t>over</w:t>
      </w:r>
      <w:r w:rsidRPr="00802190">
        <w:rPr>
          <w:rFonts w:eastAsia="Malgun Gothic"/>
          <w:lang w:val="en-US" w:eastAsia="ko-KR"/>
        </w:rPr>
        <w:t xml:space="preserve"> different technologies and platforms</w:t>
      </w:r>
      <w:r>
        <w:rPr>
          <w:rFonts w:eastAsia="Malgun Gothic"/>
          <w:lang w:val="en-US" w:eastAsia="ko-KR"/>
        </w:rPr>
        <w:t xml:space="preserve">. </w:t>
      </w:r>
      <w:r w:rsidRPr="00802190">
        <w:rPr>
          <w:rFonts w:eastAsia="Malgun Gothic"/>
          <w:lang w:val="en-US" w:eastAsia="ko-KR"/>
        </w:rPr>
        <w:t xml:space="preserve">Therefore, </w:t>
      </w:r>
      <w:r>
        <w:rPr>
          <w:rFonts w:eastAsia="Malgun Gothic" w:hint="eastAsia"/>
          <w:lang w:val="en-US" w:eastAsia="ko-KR"/>
        </w:rPr>
        <w:t xml:space="preserve">it </w:t>
      </w:r>
      <w:r>
        <w:rPr>
          <w:rFonts w:eastAsia="Malgun Gothic"/>
          <w:lang w:val="en-US" w:eastAsia="ko-KR"/>
        </w:rPr>
        <w:t xml:space="preserve">is necessary </w:t>
      </w:r>
      <w:r w:rsidRPr="00802190">
        <w:rPr>
          <w:rFonts w:eastAsia="Malgun Gothic"/>
          <w:lang w:val="en-US" w:eastAsia="ko-KR"/>
        </w:rPr>
        <w:t xml:space="preserve">standardization </w:t>
      </w:r>
      <w:r>
        <w:rPr>
          <w:rFonts w:eastAsia="Malgun Gothic"/>
          <w:lang w:val="en-US" w:eastAsia="ko-KR"/>
        </w:rPr>
        <w:t xml:space="preserve">work </w:t>
      </w:r>
      <w:r w:rsidRPr="00802190">
        <w:rPr>
          <w:rFonts w:eastAsia="Malgun Gothic"/>
          <w:lang w:val="en-US" w:eastAsia="ko-KR"/>
        </w:rPr>
        <w:t>to ensure that the various technical components of the metaverse can effectively integrate and interoperate</w:t>
      </w:r>
      <w:r>
        <w:rPr>
          <w:rFonts w:eastAsia="Malgun Gothic"/>
          <w:lang w:val="en-US" w:eastAsia="ko-KR"/>
        </w:rPr>
        <w:t xml:space="preserve"> for providing the cross-platform interoperability. ITU-T SG16 needs to work on the multimedia aspects of cross-platform interoperability.</w:t>
      </w:r>
      <w:r w:rsidRPr="00802190">
        <w:rPr>
          <w:rFonts w:eastAsia="Malgun Gothic"/>
          <w:lang w:val="en-US" w:eastAsia="ko-KR"/>
        </w:rPr>
        <w:t xml:space="preserve"> </w:t>
      </w:r>
      <w:r w:rsidRPr="003932BB">
        <w:rPr>
          <w:rFonts w:eastAsia="Malgun Gothic"/>
          <w:lang w:val="en-US" w:eastAsia="ko-KR"/>
        </w:rPr>
        <w:t xml:space="preserve">These standards can increase compatibility and efficiency across </w:t>
      </w:r>
      <w:r>
        <w:rPr>
          <w:rFonts w:eastAsia="Malgun Gothic"/>
          <w:lang w:val="en-US" w:eastAsia="ko-KR"/>
        </w:rPr>
        <w:t>m</w:t>
      </w:r>
      <w:r w:rsidRPr="003932BB">
        <w:rPr>
          <w:rFonts w:eastAsia="Malgun Gothic"/>
          <w:lang w:val="en-US" w:eastAsia="ko-KR"/>
        </w:rPr>
        <w:t>etaverse systems and provide richer experiences for users.</w:t>
      </w:r>
    </w:p>
    <w:p w14:paraId="60FC8F2E" w14:textId="77777777" w:rsidR="00B7465D" w:rsidRDefault="00B7465D" w:rsidP="00B7465D">
      <w:pPr>
        <w:pStyle w:val="Head"/>
        <w:tabs>
          <w:tab w:val="clear" w:pos="6663"/>
        </w:tabs>
        <w:overflowPunct w:val="0"/>
        <w:autoSpaceDE w:val="0"/>
        <w:autoSpaceDN w:val="0"/>
        <w:adjustRightInd w:val="0"/>
        <w:spacing w:before="120"/>
        <w:jc w:val="both"/>
        <w:textAlignment w:val="baseline"/>
        <w:rPr>
          <w:lang w:eastAsia="ko-KR"/>
        </w:rPr>
      </w:pPr>
      <w:r w:rsidRPr="008F1FC4">
        <w:rPr>
          <w:lang w:eastAsia="ko-KR"/>
        </w:rPr>
        <w:t>Th</w:t>
      </w:r>
      <w:r>
        <w:rPr>
          <w:lang w:eastAsia="ko-KR"/>
        </w:rPr>
        <w:t xml:space="preserve">is question will cover relevant work items on </w:t>
      </w:r>
      <w:r w:rsidRPr="005D1915">
        <w:rPr>
          <w:lang w:val="en-US" w:eastAsia="ko-KR"/>
        </w:rPr>
        <w:t>multimedia aspects</w:t>
      </w:r>
      <w:r w:rsidRPr="005D1915">
        <w:rPr>
          <w:lang w:eastAsia="ko-KR"/>
        </w:rPr>
        <w:t xml:space="preserve"> of metaverse cross-platform </w:t>
      </w:r>
      <w:r w:rsidRPr="005D1915">
        <w:rPr>
          <w:lang w:val="en-US" w:eastAsia="ko-KR"/>
        </w:rPr>
        <w:t>interoperability</w:t>
      </w:r>
      <w:r w:rsidRPr="005D1915">
        <w:t>.</w:t>
      </w:r>
    </w:p>
    <w:p w14:paraId="540DCC86" w14:textId="77777777" w:rsidR="00B7465D" w:rsidRPr="008F1FC4" w:rsidRDefault="00B7465D" w:rsidP="00B7465D">
      <w:pPr>
        <w:pStyle w:val="Heading3"/>
        <w:ind w:left="0" w:firstLine="0"/>
      </w:pPr>
      <w:r w:rsidRPr="008F1FC4">
        <w:t>2</w:t>
      </w:r>
      <w:r w:rsidRPr="008F1FC4">
        <w:tab/>
      </w:r>
      <w:r>
        <w:t>Study items</w:t>
      </w:r>
    </w:p>
    <w:p w14:paraId="306C1157" w14:textId="77777777" w:rsidR="00B7465D" w:rsidRPr="008F1FC4" w:rsidRDefault="00B7465D" w:rsidP="00B7465D">
      <w:pPr>
        <w:pStyle w:val="Head"/>
        <w:tabs>
          <w:tab w:val="clear" w:pos="6663"/>
        </w:tabs>
        <w:overflowPunct w:val="0"/>
        <w:autoSpaceDE w:val="0"/>
        <w:autoSpaceDN w:val="0"/>
        <w:adjustRightInd w:val="0"/>
        <w:spacing w:before="120"/>
        <w:textAlignment w:val="baseline"/>
      </w:pPr>
      <w:r w:rsidRPr="008F1FC4">
        <w:t>Study items to be considered include, but are not limited to:</w:t>
      </w:r>
    </w:p>
    <w:p w14:paraId="3CE1F638" w14:textId="77777777" w:rsidR="00B7465D" w:rsidRPr="00320E36" w:rsidRDefault="00B7465D" w:rsidP="00B7465D">
      <w:pPr>
        <w:pStyle w:val="enumlev1"/>
      </w:pPr>
      <w:r w:rsidRPr="005D1915">
        <w:t>–</w:t>
      </w:r>
      <w:r w:rsidRPr="005D1915">
        <w:tab/>
        <w:t>investigate and identify the multimedia aspects of metaverse cross-platform interoperability;</w:t>
      </w:r>
    </w:p>
    <w:p w14:paraId="43AFA45A" w14:textId="77777777" w:rsidR="00B7465D" w:rsidRPr="00320E36" w:rsidRDefault="00B7465D" w:rsidP="00B7465D">
      <w:pPr>
        <w:pStyle w:val="enumlev1"/>
      </w:pPr>
      <w:r w:rsidRPr="00320E36">
        <w:t>–</w:t>
      </w:r>
      <w:r w:rsidRPr="00320E36">
        <w:tab/>
        <w:t>review and analyse existing enabling technologies and their evolution for metaverse</w:t>
      </w:r>
      <w:r>
        <w:t xml:space="preserve"> cross-platform interoperability in </w:t>
      </w:r>
      <w:r w:rsidRPr="00802693">
        <w:t>multimedia aspects</w:t>
      </w:r>
      <w:r w:rsidRPr="00320E36">
        <w:t>;</w:t>
      </w:r>
    </w:p>
    <w:p w14:paraId="4440DAA6" w14:textId="77777777" w:rsidR="00B7465D" w:rsidRPr="00320E36" w:rsidRDefault="00B7465D" w:rsidP="00B7465D">
      <w:pPr>
        <w:pStyle w:val="enumlev1"/>
      </w:pPr>
      <w:r w:rsidRPr="00833CB8">
        <w:t>–</w:t>
      </w:r>
      <w:r w:rsidRPr="00833CB8">
        <w:tab/>
        <w:t xml:space="preserve">investigate and identify the requirements, functional architecture, </w:t>
      </w:r>
      <w:r>
        <w:t xml:space="preserve">and application-level </w:t>
      </w:r>
      <w:r w:rsidRPr="00833CB8">
        <w:t xml:space="preserve">protocols for metaverse </w:t>
      </w:r>
      <w:r>
        <w:t xml:space="preserve">cross-platform interoperability in </w:t>
      </w:r>
      <w:r w:rsidRPr="00802693">
        <w:t>multimedia aspects</w:t>
      </w:r>
      <w:r w:rsidRPr="005D1915">
        <w:t>;</w:t>
      </w:r>
    </w:p>
    <w:p w14:paraId="0710F6DD" w14:textId="77777777" w:rsidR="00B7465D" w:rsidRPr="00320E36" w:rsidRDefault="00B7465D" w:rsidP="00B7465D">
      <w:pPr>
        <w:pStyle w:val="enumlev1"/>
      </w:pPr>
      <w:r w:rsidRPr="00320E36">
        <w:t>–</w:t>
      </w:r>
      <w:r w:rsidRPr="00320E36">
        <w:tab/>
        <w:t xml:space="preserve">considerations of new emerging </w:t>
      </w:r>
      <w:r>
        <w:t xml:space="preserve">technologies </w:t>
      </w:r>
      <w:r w:rsidRPr="00320E36">
        <w:t xml:space="preserve">for </w:t>
      </w:r>
      <w:r w:rsidRPr="00802693">
        <w:t>multimedia aspects of</w:t>
      </w:r>
      <w:r>
        <w:t xml:space="preserve"> </w:t>
      </w:r>
      <w:r w:rsidRPr="00320E36">
        <w:t>metaverse</w:t>
      </w:r>
      <w:r>
        <w:t xml:space="preserve"> cross-platform interoperability</w:t>
      </w:r>
      <w:r w:rsidRPr="00320E36">
        <w:t>;</w:t>
      </w:r>
    </w:p>
    <w:p w14:paraId="30DB269F" w14:textId="77777777" w:rsidR="00B7465D" w:rsidRPr="00320E36" w:rsidRDefault="00B7465D" w:rsidP="00B7465D">
      <w:pPr>
        <w:pStyle w:val="enumlev1"/>
      </w:pPr>
      <w:r w:rsidRPr="00320E36">
        <w:t>–</w:t>
      </w:r>
      <w:r w:rsidRPr="00320E36">
        <w:tab/>
        <w:t xml:space="preserve">considerations on the collaboration and harmonization with other </w:t>
      </w:r>
      <w:proofErr w:type="spellStart"/>
      <w:r w:rsidRPr="00320E36">
        <w:t>SDOs</w:t>
      </w:r>
      <w:proofErr w:type="spellEnd"/>
      <w:r w:rsidRPr="00320E36">
        <w:t xml:space="preserve"> related to </w:t>
      </w:r>
      <w:r w:rsidRPr="00802693">
        <w:t>multimedia aspects of</w:t>
      </w:r>
      <w:r w:rsidRPr="00320E36">
        <w:t xml:space="preserve"> metaverse</w:t>
      </w:r>
      <w:r>
        <w:t xml:space="preserve"> cross-platform interoperability</w:t>
      </w:r>
      <w:r w:rsidRPr="00320E36">
        <w:t>;</w:t>
      </w:r>
    </w:p>
    <w:p w14:paraId="62656D4A" w14:textId="77777777" w:rsidR="00B7465D" w:rsidRPr="00320E36" w:rsidRDefault="00B7465D" w:rsidP="00B7465D">
      <w:pPr>
        <w:pStyle w:val="enumlev1"/>
      </w:pPr>
      <w:r w:rsidRPr="005406AB">
        <w:lastRenderedPageBreak/>
        <w:t>–</w:t>
      </w:r>
      <w:r w:rsidRPr="005406AB">
        <w:tab/>
        <w:t xml:space="preserve">study and update </w:t>
      </w:r>
      <w:r>
        <w:t xml:space="preserve">the </w:t>
      </w:r>
      <w:r w:rsidRPr="005D1915">
        <w:t>gap analysis</w:t>
      </w:r>
      <w:r w:rsidRPr="005406AB">
        <w:t xml:space="preserve"> for standardization on </w:t>
      </w:r>
      <w:r w:rsidRPr="00802693">
        <w:t>multimedia aspects</w:t>
      </w:r>
      <w:r w:rsidRPr="005406AB">
        <w:t xml:space="preserve"> </w:t>
      </w:r>
      <w:r>
        <w:t xml:space="preserve">of </w:t>
      </w:r>
      <w:r w:rsidRPr="005406AB">
        <w:t>metaverse cross-platform interoperability.</w:t>
      </w:r>
    </w:p>
    <w:p w14:paraId="681E8D51" w14:textId="77777777" w:rsidR="00B7465D" w:rsidRPr="008F1FC4" w:rsidRDefault="00B7465D" w:rsidP="00B7465D">
      <w:pPr>
        <w:pStyle w:val="Heading3"/>
        <w:ind w:left="0" w:firstLine="0"/>
      </w:pPr>
      <w:r w:rsidRPr="008F1FC4">
        <w:t>3</w:t>
      </w:r>
      <w:r w:rsidRPr="008F1FC4">
        <w:tab/>
        <w:t>Tasks</w:t>
      </w:r>
    </w:p>
    <w:p w14:paraId="772049AB" w14:textId="77777777" w:rsidR="00B7465D" w:rsidRPr="008F1FC4" w:rsidRDefault="00B7465D" w:rsidP="00B7465D">
      <w:pPr>
        <w:pStyle w:val="Head"/>
        <w:tabs>
          <w:tab w:val="clear" w:pos="6663"/>
        </w:tabs>
        <w:overflowPunct w:val="0"/>
        <w:autoSpaceDE w:val="0"/>
        <w:autoSpaceDN w:val="0"/>
        <w:adjustRightInd w:val="0"/>
        <w:spacing w:before="120"/>
        <w:textAlignment w:val="baseline"/>
        <w:rPr>
          <w:lang w:eastAsia="ko-KR"/>
        </w:rPr>
      </w:pPr>
      <w:r w:rsidRPr="008F1FC4">
        <w:t>Tasks include, but are not limited to</w:t>
      </w:r>
      <w:r w:rsidRPr="006A04AB">
        <w:t xml:space="preserve">, the development of deliverables </w:t>
      </w:r>
      <w:r>
        <w:t>i</w:t>
      </w:r>
      <w:r w:rsidRPr="006A04AB">
        <w:t>n the following areas</w:t>
      </w:r>
      <w:r w:rsidRPr="008F1FC4">
        <w:t>:</w:t>
      </w:r>
    </w:p>
    <w:p w14:paraId="2CB71EE2" w14:textId="77777777" w:rsidR="00B7465D" w:rsidRPr="00833CB8" w:rsidRDefault="00B7465D" w:rsidP="00B7465D">
      <w:pPr>
        <w:pStyle w:val="enumlev1"/>
        <w:rPr>
          <w:rFonts w:eastAsia="MS Mincho"/>
        </w:rPr>
      </w:pPr>
      <w:r w:rsidRPr="00833CB8">
        <w:t>–</w:t>
      </w:r>
      <w:r w:rsidRPr="00833CB8">
        <w:tab/>
        <w:t>existing enabling technologies and their evolution for metaverse</w:t>
      </w:r>
      <w:r w:rsidRPr="001521B5">
        <w:t xml:space="preserve"> cross-platform interoperability in </w:t>
      </w:r>
      <w:r w:rsidRPr="00833CB8">
        <w:t>multimedia aspects;</w:t>
      </w:r>
    </w:p>
    <w:p w14:paraId="08287E06" w14:textId="77777777" w:rsidR="00B7465D" w:rsidRDefault="00B7465D" w:rsidP="00B7465D">
      <w:pPr>
        <w:pStyle w:val="enumlev1"/>
      </w:pPr>
      <w:r w:rsidRPr="00320E36">
        <w:t>–</w:t>
      </w:r>
      <w:r w:rsidRPr="00320E36">
        <w:tab/>
      </w:r>
      <w:r>
        <w:t xml:space="preserve">use-cases and service scenarios, requirements, and </w:t>
      </w:r>
      <w:r w:rsidRPr="00320E36">
        <w:t xml:space="preserve">functional architecture for </w:t>
      </w:r>
      <w:r w:rsidRPr="00802693">
        <w:t>multimedia aspects of</w:t>
      </w:r>
      <w:r>
        <w:t xml:space="preserve"> </w:t>
      </w:r>
      <w:r w:rsidRPr="00320E36">
        <w:t xml:space="preserve">metaverse </w:t>
      </w:r>
      <w:r>
        <w:t>cross-</w:t>
      </w:r>
      <w:r w:rsidRPr="00320E36">
        <w:t>platform</w:t>
      </w:r>
      <w:r>
        <w:t xml:space="preserve"> interoperability</w:t>
      </w:r>
      <w:r w:rsidRPr="00320E36">
        <w:t>;</w:t>
      </w:r>
    </w:p>
    <w:p w14:paraId="14776F52" w14:textId="77777777" w:rsidR="00B7465D" w:rsidRPr="00320E36" w:rsidRDefault="00B7465D" w:rsidP="00B7465D">
      <w:pPr>
        <w:pStyle w:val="enumlev1"/>
      </w:pPr>
      <w:r w:rsidRPr="00320E36">
        <w:t>–</w:t>
      </w:r>
      <w:r w:rsidRPr="00320E36">
        <w:tab/>
      </w:r>
      <w:r>
        <w:t xml:space="preserve">application-level protocols </w:t>
      </w:r>
      <w:r w:rsidRPr="00320E36">
        <w:t xml:space="preserve">for </w:t>
      </w:r>
      <w:r w:rsidRPr="00802693">
        <w:t>multimedia aspects of</w:t>
      </w:r>
      <w:r>
        <w:t xml:space="preserve"> </w:t>
      </w:r>
      <w:r w:rsidRPr="00320E36">
        <w:t xml:space="preserve">metaverse </w:t>
      </w:r>
      <w:r>
        <w:t>cross-</w:t>
      </w:r>
      <w:r w:rsidRPr="00320E36">
        <w:t>platform</w:t>
      </w:r>
      <w:r>
        <w:t xml:space="preserve"> interoperability</w:t>
      </w:r>
      <w:r w:rsidRPr="00320E36">
        <w:t>;</w:t>
      </w:r>
    </w:p>
    <w:p w14:paraId="44F646AD" w14:textId="77777777" w:rsidR="00B7465D" w:rsidRPr="00320E36" w:rsidRDefault="00B7465D" w:rsidP="00B7465D">
      <w:pPr>
        <w:pStyle w:val="enumlev1"/>
      </w:pPr>
      <w:r w:rsidRPr="00320E36">
        <w:t>–</w:t>
      </w:r>
      <w:r w:rsidRPr="00320E36">
        <w:tab/>
        <w:t xml:space="preserve">emerging </w:t>
      </w:r>
      <w:r>
        <w:t>technologies</w:t>
      </w:r>
      <w:r w:rsidRPr="00320E36">
        <w:t xml:space="preserve"> for </w:t>
      </w:r>
      <w:r w:rsidRPr="00802693">
        <w:t xml:space="preserve">multimedia aspects </w:t>
      </w:r>
      <w:r>
        <w:t xml:space="preserve">of </w:t>
      </w:r>
      <w:r w:rsidRPr="00320E36">
        <w:t>metaverse</w:t>
      </w:r>
      <w:r>
        <w:t xml:space="preserve"> cross-</w:t>
      </w:r>
      <w:r w:rsidRPr="00320E36">
        <w:t>platform</w:t>
      </w:r>
      <w:r>
        <w:t xml:space="preserve"> interoperability</w:t>
      </w:r>
      <w:r w:rsidRPr="00320E36">
        <w:t>;</w:t>
      </w:r>
    </w:p>
    <w:p w14:paraId="370222EE" w14:textId="77777777" w:rsidR="00B7465D" w:rsidRPr="00320E36" w:rsidRDefault="00B7465D" w:rsidP="00B7465D">
      <w:pPr>
        <w:pStyle w:val="enumlev1"/>
      </w:pPr>
      <w:r w:rsidRPr="00320E36">
        <w:t>–</w:t>
      </w:r>
      <w:r w:rsidRPr="00320E36">
        <w:tab/>
        <w:t>gap analysis for standardization</w:t>
      </w:r>
      <w:r>
        <w:t xml:space="preserve"> on </w:t>
      </w:r>
      <w:r w:rsidRPr="00802693">
        <w:t xml:space="preserve">multimedia aspects </w:t>
      </w:r>
      <w:r>
        <w:t>of metaverse cross-platform interoperability</w:t>
      </w:r>
      <w:r w:rsidRPr="00320E36">
        <w:t>.</w:t>
      </w:r>
    </w:p>
    <w:p w14:paraId="6802D442" w14:textId="77777777" w:rsidR="00B7465D" w:rsidRPr="008F1FC4" w:rsidRDefault="00B7465D" w:rsidP="00B7465D">
      <w:pPr>
        <w:pStyle w:val="Heading3"/>
        <w:ind w:left="0" w:firstLine="0"/>
      </w:pPr>
      <w:r w:rsidRPr="008F1FC4">
        <w:t>4</w:t>
      </w:r>
      <w:r w:rsidRPr="008F1FC4">
        <w:tab/>
        <w:t>Relationships</w:t>
      </w:r>
    </w:p>
    <w:p w14:paraId="4F95D2F9" w14:textId="77777777" w:rsidR="00B7465D" w:rsidRPr="008F1FC4" w:rsidRDefault="00B7465D" w:rsidP="00B7465D">
      <w:pPr>
        <w:pStyle w:val="Headingb"/>
        <w:rPr>
          <w:lang w:eastAsia="ko-KR"/>
        </w:rPr>
      </w:pPr>
      <w:r w:rsidRPr="008F1FC4">
        <w:rPr>
          <w:lang w:eastAsia="ko-KR"/>
        </w:rPr>
        <w:t>Recommendations:</w:t>
      </w:r>
    </w:p>
    <w:p w14:paraId="41CB82FB" w14:textId="77777777" w:rsidR="00B7465D" w:rsidRPr="00320E36" w:rsidRDefault="00B7465D" w:rsidP="00B7465D">
      <w:pPr>
        <w:pStyle w:val="enumlev1"/>
      </w:pPr>
      <w:r w:rsidRPr="00320E36">
        <w:t>–</w:t>
      </w:r>
      <w:r w:rsidRPr="00320E36">
        <w:tab/>
        <w:t xml:space="preserve">F, G, H, J, L, Q, X, Y-series Recommendations under the responsibility of SG16 </w:t>
      </w:r>
    </w:p>
    <w:p w14:paraId="376CBFEF" w14:textId="77777777" w:rsidR="00B7465D" w:rsidRPr="008F1FC4" w:rsidRDefault="00B7465D" w:rsidP="00B7465D">
      <w:pPr>
        <w:pStyle w:val="Headingb"/>
        <w:rPr>
          <w:lang w:eastAsia="ko-KR"/>
        </w:rPr>
      </w:pPr>
      <w:r w:rsidRPr="008F1FC4">
        <w:rPr>
          <w:lang w:eastAsia="ko-KR"/>
        </w:rPr>
        <w:t>Questions:</w:t>
      </w:r>
    </w:p>
    <w:p w14:paraId="620C0B1D" w14:textId="77777777" w:rsidR="00B7465D" w:rsidRPr="00320E36" w:rsidRDefault="00B7465D" w:rsidP="00B7465D">
      <w:pPr>
        <w:pStyle w:val="enumlev1"/>
      </w:pPr>
      <w:r w:rsidRPr="00320E36">
        <w:t>–</w:t>
      </w:r>
      <w:r w:rsidRPr="00320E36">
        <w:tab/>
        <w:t>All Questions of ITU-T SG16</w:t>
      </w:r>
    </w:p>
    <w:p w14:paraId="031348D5" w14:textId="77777777" w:rsidR="00B7465D" w:rsidRPr="008F1FC4" w:rsidRDefault="00B7465D" w:rsidP="00B7465D">
      <w:pPr>
        <w:pStyle w:val="Headingb"/>
        <w:rPr>
          <w:lang w:eastAsia="ko-KR"/>
        </w:rPr>
      </w:pPr>
      <w:r w:rsidRPr="008F1FC4">
        <w:rPr>
          <w:lang w:eastAsia="ko-KR"/>
        </w:rPr>
        <w:t>Study Groups:</w:t>
      </w:r>
    </w:p>
    <w:p w14:paraId="15DDB912" w14:textId="77777777" w:rsidR="00B7465D" w:rsidRPr="00320E36" w:rsidRDefault="00B7465D" w:rsidP="00B7465D">
      <w:pPr>
        <w:pStyle w:val="enumlev1"/>
      </w:pPr>
      <w:r w:rsidRPr="00320E36">
        <w:t>–</w:t>
      </w:r>
      <w:r w:rsidRPr="00320E36">
        <w:tab/>
      </w:r>
      <w:r>
        <w:t xml:space="preserve">All </w:t>
      </w:r>
      <w:r w:rsidRPr="00320E36">
        <w:t xml:space="preserve">ITU-T </w:t>
      </w:r>
      <w:proofErr w:type="spellStart"/>
      <w:r w:rsidRPr="00320E36">
        <w:t>SG</w:t>
      </w:r>
      <w:r>
        <w:t>s</w:t>
      </w:r>
      <w:proofErr w:type="spellEnd"/>
    </w:p>
    <w:p w14:paraId="7611A907" w14:textId="77777777" w:rsidR="00B7465D" w:rsidRPr="008F1FC4" w:rsidRDefault="00B7465D" w:rsidP="00B7465D">
      <w:pPr>
        <w:pStyle w:val="Headingb"/>
        <w:rPr>
          <w:lang w:eastAsia="ko-KR"/>
        </w:rPr>
      </w:pPr>
      <w:r w:rsidRPr="008F1FC4">
        <w:rPr>
          <w:lang w:eastAsia="ko-KR"/>
        </w:rPr>
        <w:t>Standardisation bodies:</w:t>
      </w:r>
    </w:p>
    <w:p w14:paraId="1E8E58F2" w14:textId="77777777" w:rsidR="00B7465D" w:rsidRPr="00320E36" w:rsidRDefault="00B7465D" w:rsidP="00B7465D">
      <w:pPr>
        <w:pStyle w:val="enumlev1"/>
      </w:pPr>
      <w:r w:rsidRPr="00320E36">
        <w:t>–</w:t>
      </w:r>
      <w:r w:rsidRPr="00320E36">
        <w:tab/>
        <w:t xml:space="preserve">ISO TC 133, TC 172 on metaverse </w:t>
      </w:r>
    </w:p>
    <w:p w14:paraId="55F708DD" w14:textId="77777777" w:rsidR="00B7465D" w:rsidRPr="00320E36" w:rsidRDefault="00B7465D" w:rsidP="00B7465D">
      <w:pPr>
        <w:pStyle w:val="enumlev1"/>
      </w:pPr>
      <w:r w:rsidRPr="00320E36">
        <w:t>–</w:t>
      </w:r>
      <w:r w:rsidRPr="00320E36">
        <w:tab/>
        <w:t>IEC TC 100, TC 110, TC 159 on metaverse devices and systems</w:t>
      </w:r>
    </w:p>
    <w:p w14:paraId="011BF509" w14:textId="77777777" w:rsidR="00B7465D" w:rsidRPr="00320E36" w:rsidRDefault="00B7465D" w:rsidP="00B7465D">
      <w:pPr>
        <w:pStyle w:val="enumlev1"/>
      </w:pPr>
      <w:r w:rsidRPr="00320E36">
        <w:t>–</w:t>
      </w:r>
      <w:r w:rsidRPr="00320E36">
        <w:tab/>
        <w:t xml:space="preserve">ISO &amp; IEC </w:t>
      </w:r>
      <w:proofErr w:type="spellStart"/>
      <w:r w:rsidRPr="00320E36">
        <w:t>JSEG</w:t>
      </w:r>
      <w:proofErr w:type="spellEnd"/>
      <w:r w:rsidRPr="00320E36">
        <w:t xml:space="preserve"> 15</w:t>
      </w:r>
      <w:r>
        <w:t xml:space="preserve"> </w:t>
      </w:r>
      <w:r w:rsidRPr="00320E36">
        <w:t xml:space="preserve">(metaverse) </w:t>
      </w:r>
    </w:p>
    <w:p w14:paraId="2893F937" w14:textId="77777777" w:rsidR="00B7465D" w:rsidRPr="00320E36" w:rsidRDefault="00B7465D" w:rsidP="00B7465D">
      <w:pPr>
        <w:pStyle w:val="enumlev1"/>
      </w:pPr>
      <w:r w:rsidRPr="00320E36">
        <w:t>–</w:t>
      </w:r>
      <w:r w:rsidRPr="00320E36">
        <w:tab/>
        <w:t xml:space="preserve">ISO/IEC </w:t>
      </w:r>
      <w:proofErr w:type="spellStart"/>
      <w:r w:rsidRPr="00320E36">
        <w:t>JTC</w:t>
      </w:r>
      <w:proofErr w:type="spellEnd"/>
      <w:r w:rsidRPr="00320E36">
        <w:t xml:space="preserve"> 1 SC</w:t>
      </w:r>
      <w:r>
        <w:t xml:space="preserve"> </w:t>
      </w:r>
      <w:r w:rsidRPr="00320E36">
        <w:t xml:space="preserve">6, SC 24, SC 29, SC 35, SC 36 on metaverse </w:t>
      </w:r>
      <w:r>
        <w:t xml:space="preserve">related </w:t>
      </w:r>
      <w:r w:rsidRPr="00320E36">
        <w:t>aspects</w:t>
      </w:r>
    </w:p>
    <w:p w14:paraId="4FCC8D7F" w14:textId="77777777" w:rsidR="00B7465D" w:rsidRPr="00320E36" w:rsidRDefault="00B7465D" w:rsidP="00B7465D">
      <w:pPr>
        <w:pStyle w:val="enumlev1"/>
      </w:pPr>
      <w:r w:rsidRPr="00320E36">
        <w:t>–</w:t>
      </w:r>
      <w:r w:rsidRPr="00320E36">
        <w:tab/>
        <w:t xml:space="preserve">IEEE SA </w:t>
      </w:r>
      <w:proofErr w:type="spellStart"/>
      <w:r w:rsidRPr="00320E36">
        <w:t>MWG</w:t>
      </w:r>
      <w:proofErr w:type="spellEnd"/>
      <w:r w:rsidRPr="00320E36">
        <w:t xml:space="preserve"> (Metaverse </w:t>
      </w:r>
      <w:proofErr w:type="spellStart"/>
      <w:r w:rsidRPr="00320E36">
        <w:t>WG</w:t>
      </w:r>
      <w:proofErr w:type="spellEnd"/>
      <w:r w:rsidRPr="00320E36">
        <w:t xml:space="preserve">), </w:t>
      </w:r>
      <w:proofErr w:type="spellStart"/>
      <w:r w:rsidRPr="00320E36">
        <w:t>ARMDWG</w:t>
      </w:r>
      <w:proofErr w:type="spellEnd"/>
      <w:r w:rsidRPr="00320E36">
        <w:t xml:space="preserve"> (Augmented Reality on Mobile Devices </w:t>
      </w:r>
      <w:proofErr w:type="spellStart"/>
      <w:r w:rsidRPr="00320E36">
        <w:t>WG</w:t>
      </w:r>
      <w:proofErr w:type="spellEnd"/>
      <w:r w:rsidRPr="00320E36">
        <w:t xml:space="preserve">), 2888 </w:t>
      </w:r>
      <w:proofErr w:type="spellStart"/>
      <w:r w:rsidRPr="00320E36">
        <w:t>WG</w:t>
      </w:r>
      <w:proofErr w:type="spellEnd"/>
      <w:r w:rsidRPr="00320E36">
        <w:t xml:space="preserve"> (Interfacing Cyber and Physical World </w:t>
      </w:r>
      <w:proofErr w:type="spellStart"/>
      <w:r w:rsidRPr="00320E36">
        <w:t>WG</w:t>
      </w:r>
      <w:proofErr w:type="spellEnd"/>
      <w:r w:rsidRPr="00320E36">
        <w:t xml:space="preserve">) </w:t>
      </w:r>
    </w:p>
    <w:p w14:paraId="755D104C" w14:textId="77777777" w:rsidR="00B7465D" w:rsidRPr="008A0058" w:rsidRDefault="00B7465D" w:rsidP="00B7465D">
      <w:pPr>
        <w:pStyle w:val="enumlev1"/>
      </w:pPr>
      <w:r w:rsidRPr="008A0058">
        <w:t>–</w:t>
      </w:r>
      <w:r w:rsidRPr="008A0058">
        <w:tab/>
        <w:t xml:space="preserve">IETF </w:t>
      </w:r>
      <w:proofErr w:type="spellStart"/>
      <w:r w:rsidRPr="008A0058">
        <w:t>ICNRG</w:t>
      </w:r>
      <w:proofErr w:type="spellEnd"/>
      <w:r w:rsidRPr="008A0058">
        <w:t xml:space="preserve"> on metaverse contents distributions </w:t>
      </w:r>
    </w:p>
    <w:p w14:paraId="0E471CF6" w14:textId="77777777" w:rsidR="00B7465D" w:rsidRPr="008A0058" w:rsidRDefault="00B7465D" w:rsidP="00B7465D">
      <w:pPr>
        <w:pStyle w:val="enumlev1"/>
      </w:pPr>
      <w:r w:rsidRPr="008A0058">
        <w:t>–</w:t>
      </w:r>
      <w:r w:rsidRPr="008A0058">
        <w:tab/>
      </w:r>
      <w:proofErr w:type="spellStart"/>
      <w:r w:rsidRPr="008A0058">
        <w:t>3GPP</w:t>
      </w:r>
      <w:proofErr w:type="spellEnd"/>
      <w:r w:rsidRPr="008A0058">
        <w:t xml:space="preserve"> </w:t>
      </w:r>
      <w:proofErr w:type="spellStart"/>
      <w:r w:rsidRPr="008A0058">
        <w:t>SA2</w:t>
      </w:r>
      <w:proofErr w:type="spellEnd"/>
      <w:r w:rsidRPr="008A0058">
        <w:t xml:space="preserve"> on mobile metaverse</w:t>
      </w:r>
    </w:p>
    <w:p w14:paraId="592ECBD4" w14:textId="77777777" w:rsidR="00B7465D" w:rsidRPr="00320E36" w:rsidRDefault="00B7465D" w:rsidP="00B7465D">
      <w:pPr>
        <w:pStyle w:val="enumlev1"/>
      </w:pPr>
      <w:r w:rsidRPr="00320E36">
        <w:t>–</w:t>
      </w:r>
      <w:r w:rsidRPr="00320E36">
        <w:tab/>
        <w:t>Khronos 3D Formats Working Group on metaverse content format</w:t>
      </w:r>
    </w:p>
    <w:p w14:paraId="734E6246" w14:textId="77777777" w:rsidR="00B7465D" w:rsidRPr="00320E36" w:rsidRDefault="00B7465D" w:rsidP="00B7465D">
      <w:pPr>
        <w:pStyle w:val="enumlev1"/>
      </w:pPr>
      <w:r w:rsidRPr="00320E36">
        <w:t>–</w:t>
      </w:r>
      <w:r w:rsidRPr="00320E36">
        <w:tab/>
      </w:r>
      <w:proofErr w:type="spellStart"/>
      <w:r w:rsidRPr="00320E36">
        <w:t>OpenUSD</w:t>
      </w:r>
      <w:proofErr w:type="spellEnd"/>
      <w:r w:rsidRPr="00320E36">
        <w:t xml:space="preserve"> on metaverse content and environment format</w:t>
      </w:r>
    </w:p>
    <w:p w14:paraId="211D049A" w14:textId="77777777" w:rsidR="00B7465D" w:rsidRPr="00320E36" w:rsidRDefault="00B7465D" w:rsidP="00B7465D">
      <w:pPr>
        <w:pStyle w:val="enumlev1"/>
      </w:pPr>
      <w:r w:rsidRPr="00320E36">
        <w:t>–</w:t>
      </w:r>
      <w:r w:rsidRPr="00320E36">
        <w:tab/>
      </w:r>
      <w:proofErr w:type="spellStart"/>
      <w:r w:rsidRPr="00320E36">
        <w:t>W3C</w:t>
      </w:r>
      <w:proofErr w:type="spellEnd"/>
      <w:r w:rsidRPr="00320E36">
        <w:t xml:space="preserve"> Metaverse Interoperability CG, DID (Distributed ID) </w:t>
      </w:r>
      <w:proofErr w:type="spellStart"/>
      <w:r w:rsidRPr="00320E36">
        <w:t>WG</w:t>
      </w:r>
      <w:proofErr w:type="spellEnd"/>
      <w:r w:rsidRPr="00320E36">
        <w:t xml:space="preserve"> </w:t>
      </w:r>
    </w:p>
    <w:p w14:paraId="71465472" w14:textId="77777777" w:rsidR="00B7465D" w:rsidRPr="00320E36" w:rsidRDefault="00B7465D" w:rsidP="00B7465D">
      <w:pPr>
        <w:pStyle w:val="enumlev1"/>
      </w:pPr>
      <w:r w:rsidRPr="00320E36">
        <w:t>–</w:t>
      </w:r>
      <w:r w:rsidRPr="00320E36">
        <w:tab/>
        <w:t xml:space="preserve">MSF (Metaverse Standards Forum) </w:t>
      </w:r>
    </w:p>
    <w:p w14:paraId="322284B6" w14:textId="77777777" w:rsidR="00B7465D" w:rsidRPr="00320E36" w:rsidRDefault="00B7465D" w:rsidP="00B7465D">
      <w:pPr>
        <w:pStyle w:val="enumlev1"/>
      </w:pPr>
      <w:r w:rsidRPr="00320E36">
        <w:t>–</w:t>
      </w:r>
      <w:r w:rsidRPr="00320E36">
        <w:tab/>
      </w:r>
      <w:proofErr w:type="spellStart"/>
      <w:r w:rsidRPr="00320E36">
        <w:t>OMF</w:t>
      </w:r>
      <w:proofErr w:type="spellEnd"/>
      <w:r w:rsidRPr="00320E36">
        <w:t xml:space="preserve"> (Open Metaverse Foundation) </w:t>
      </w:r>
    </w:p>
    <w:p w14:paraId="714A1826" w14:textId="77777777" w:rsidR="00B7465D" w:rsidRPr="0014160A" w:rsidRDefault="00B7465D" w:rsidP="00B7465D">
      <w:pPr>
        <w:pStyle w:val="enumlev1"/>
        <w:rPr>
          <w:lang w:val="it-IT"/>
        </w:rPr>
      </w:pPr>
      <w:r w:rsidRPr="0014160A">
        <w:rPr>
          <w:lang w:val="it-IT"/>
        </w:rPr>
        <w:t>–</w:t>
      </w:r>
      <w:r w:rsidRPr="0014160A">
        <w:rPr>
          <w:lang w:val="it-IT"/>
        </w:rPr>
        <w:tab/>
        <w:t xml:space="preserve">OMI (Open Metaverse Interoperability) </w:t>
      </w:r>
    </w:p>
    <w:p w14:paraId="428D686F" w14:textId="77777777" w:rsidR="00B7465D" w:rsidRDefault="00B7465D" w:rsidP="00B7465D">
      <w:pPr>
        <w:pStyle w:val="enumlev1"/>
        <w:rPr>
          <w:lang w:val="it-IT"/>
        </w:rPr>
      </w:pPr>
      <w:r w:rsidRPr="0014160A">
        <w:rPr>
          <w:lang w:val="it-IT"/>
        </w:rPr>
        <w:t>–</w:t>
      </w:r>
      <w:r w:rsidRPr="0014160A">
        <w:rPr>
          <w:lang w:val="it-IT"/>
        </w:rPr>
        <w:tab/>
        <w:t>OMA3 (Open Metaverse Alliance)</w:t>
      </w:r>
    </w:p>
    <w:p w14:paraId="45EC4344" w14:textId="77777777" w:rsidR="00B7465D" w:rsidRPr="0037034C" w:rsidRDefault="00B7465D" w:rsidP="00B7465D">
      <w:pPr>
        <w:pStyle w:val="enumlev1"/>
      </w:pPr>
      <w:r w:rsidRPr="0037034C">
        <w:t>–</w:t>
      </w:r>
      <w:r w:rsidRPr="0037034C">
        <w:tab/>
      </w:r>
      <w:proofErr w:type="spellStart"/>
      <w:r w:rsidRPr="0037034C">
        <w:t>MPAI</w:t>
      </w:r>
      <w:proofErr w:type="spellEnd"/>
      <w:r w:rsidRPr="0037034C">
        <w:t xml:space="preserve"> (Moving pictures, audio and data coding by artificial intelligence)</w:t>
      </w:r>
    </w:p>
    <w:p w14:paraId="089455AD" w14:textId="77777777" w:rsidR="00D80A58" w:rsidRDefault="00D80A58">
      <w:pPr>
        <w:spacing w:before="0" w:after="160" w:line="259" w:lineRule="auto"/>
        <w:rPr>
          <w:rFonts w:eastAsia="Times New Roman"/>
          <w:b/>
          <w:szCs w:val="20"/>
          <w:lang w:eastAsia="en-US"/>
        </w:rPr>
      </w:pPr>
      <w:r>
        <w:br w:type="page"/>
      </w:r>
    </w:p>
    <w:p w14:paraId="3AEC5D19" w14:textId="3933E51D" w:rsidR="00687942" w:rsidRPr="007E7954" w:rsidRDefault="00687942" w:rsidP="0059323B">
      <w:pPr>
        <w:pStyle w:val="AnnexNotitle"/>
      </w:pPr>
      <w:r w:rsidRPr="007E7954">
        <w:lastRenderedPageBreak/>
        <w:t>Annex D</w:t>
      </w:r>
      <w:r w:rsidR="007E7954">
        <w:t>:</w:t>
      </w:r>
      <w:r w:rsidR="007E7954">
        <w:br/>
      </w:r>
      <w:proofErr w:type="spellStart"/>
      <w:r w:rsidR="6082FC13" w:rsidRPr="007E7954">
        <w:t>ToR</w:t>
      </w:r>
      <w:proofErr w:type="spellEnd"/>
      <w:r w:rsidR="6082FC13" w:rsidRPr="007E7954">
        <w:t xml:space="preserve"> for a SG16 </w:t>
      </w:r>
      <w:proofErr w:type="spellStart"/>
      <w:r w:rsidR="6082FC13" w:rsidRPr="007E7954">
        <w:t>AHG</w:t>
      </w:r>
      <w:proofErr w:type="spellEnd"/>
      <w:r w:rsidR="6082FC13" w:rsidRPr="007E7954">
        <w:t xml:space="preserve"> on metaverse standardization work in ITU-T SG16 (</w:t>
      </w:r>
      <w:proofErr w:type="spellStart"/>
      <w:r w:rsidR="6082FC13" w:rsidRPr="007E7954">
        <w:t>AHG</w:t>
      </w:r>
      <w:proofErr w:type="spellEnd"/>
      <w:r w:rsidR="6082FC13" w:rsidRPr="007E7954">
        <w:t>-MV)</w:t>
      </w:r>
    </w:p>
    <w:p w14:paraId="413BA54F" w14:textId="3E87D748" w:rsidR="00687942" w:rsidRDefault="6082FC13" w:rsidP="00B013F3">
      <w:pPr>
        <w:pStyle w:val="Headingb"/>
      </w:pPr>
      <w:r w:rsidRPr="6C4DED91">
        <w:rPr>
          <w:lang w:val="en-US"/>
        </w:rPr>
        <w:t>1.</w:t>
      </w:r>
      <w:r w:rsidR="00687942">
        <w:tab/>
      </w:r>
      <w:r w:rsidRPr="6C4DED91">
        <w:rPr>
          <w:lang w:val="en-US"/>
        </w:rPr>
        <w:t>Scope and objectives</w:t>
      </w:r>
    </w:p>
    <w:p w14:paraId="2863472F" w14:textId="47A2B9D2" w:rsidR="00687942" w:rsidRDefault="6082FC13" w:rsidP="6C4DED91">
      <w:r w:rsidRPr="6C4DED91">
        <w:rPr>
          <w:rFonts w:eastAsia="Times New Roman"/>
          <w:lang w:val="en-US"/>
        </w:rPr>
        <w:t>The SG16 ad hoc group on metaverse (</w:t>
      </w:r>
      <w:proofErr w:type="spellStart"/>
      <w:r w:rsidRPr="6C4DED91">
        <w:rPr>
          <w:rFonts w:eastAsia="Times New Roman"/>
          <w:lang w:val="en-US"/>
        </w:rPr>
        <w:t>AHG</w:t>
      </w:r>
      <w:proofErr w:type="spellEnd"/>
      <w:r w:rsidRPr="6C4DED91">
        <w:rPr>
          <w:rFonts w:eastAsia="Times New Roman"/>
          <w:lang w:val="en-US"/>
        </w:rPr>
        <w:t>-MV) will coordinate the metaverse standards development work in ITU-T SG16 until the first meeting of SG16 in the next study period, as well as foster work on those items not yet allocated to a specific SG16 Question.</w:t>
      </w:r>
    </w:p>
    <w:p w14:paraId="676D4943" w14:textId="144BBB02" w:rsidR="00687942" w:rsidRDefault="6082FC13" w:rsidP="6C4DED91">
      <w:r w:rsidRPr="6C4DED91">
        <w:rPr>
          <w:rFonts w:eastAsia="Times New Roman"/>
          <w:lang w:val="en-US"/>
        </w:rPr>
        <w:t>The objectives are to promote the understanding and development of ITU-T Recommendations and other types of standard documents, including Supplement and Technical Report, based on the deliverables developed by FG-MV and assigned to SG16 by TSAG in 2024.</w:t>
      </w:r>
    </w:p>
    <w:p w14:paraId="5B5B3611" w14:textId="7126298C" w:rsidR="00687942" w:rsidRDefault="6082FC13" w:rsidP="6C4DED91">
      <w:r w:rsidRPr="6C4DED91">
        <w:rPr>
          <w:rFonts w:eastAsia="Times New Roman"/>
          <w:lang w:val="en-US"/>
        </w:rPr>
        <w:t xml:space="preserve">In addition, </w:t>
      </w:r>
      <w:proofErr w:type="spellStart"/>
      <w:r w:rsidRPr="6C4DED91">
        <w:rPr>
          <w:rFonts w:eastAsia="Times New Roman"/>
          <w:lang w:val="en-US"/>
        </w:rPr>
        <w:t>AHG</w:t>
      </w:r>
      <w:proofErr w:type="spellEnd"/>
      <w:r w:rsidRPr="6C4DED91">
        <w:rPr>
          <w:rFonts w:eastAsia="Times New Roman"/>
          <w:lang w:val="en-US"/>
        </w:rPr>
        <w:t xml:space="preserve"> aims to prepare a plan to allocate metaverse standard development items at SG16 according to the </w:t>
      </w:r>
      <w:proofErr w:type="spellStart"/>
      <w:r w:rsidRPr="6C4DED91">
        <w:rPr>
          <w:rFonts w:eastAsia="Times New Roman"/>
          <w:lang w:val="en-US"/>
        </w:rPr>
        <w:t>ToR</w:t>
      </w:r>
      <w:proofErr w:type="spellEnd"/>
      <w:r w:rsidRPr="6C4DED91">
        <w:rPr>
          <w:rFonts w:eastAsia="Times New Roman"/>
          <w:lang w:val="en-US"/>
        </w:rPr>
        <w:t xml:space="preserve"> of each Question approved at WTSA-24 and propose it to the first meeting of ITU-T SG16 in 2025.</w:t>
      </w:r>
    </w:p>
    <w:p w14:paraId="2ACE5691" w14:textId="1105B720" w:rsidR="00687942" w:rsidRDefault="6082FC13" w:rsidP="6C4DED91">
      <w:r w:rsidRPr="6C4DED91">
        <w:rPr>
          <w:rFonts w:eastAsia="Times New Roman"/>
          <w:lang w:val="en-US"/>
        </w:rPr>
        <w:t xml:space="preserve">The </w:t>
      </w:r>
      <w:proofErr w:type="spellStart"/>
      <w:r w:rsidRPr="6C4DED91">
        <w:rPr>
          <w:rFonts w:eastAsia="Times New Roman"/>
          <w:lang w:val="en-US"/>
        </w:rPr>
        <w:t>AHG</w:t>
      </w:r>
      <w:proofErr w:type="spellEnd"/>
      <w:r w:rsidRPr="6C4DED91">
        <w:rPr>
          <w:rFonts w:eastAsia="Times New Roman"/>
          <w:lang w:val="en-US"/>
        </w:rPr>
        <w:t xml:space="preserve"> will develop a report of </w:t>
      </w:r>
      <w:proofErr w:type="spellStart"/>
      <w:r w:rsidRPr="6C4DED91">
        <w:rPr>
          <w:rFonts w:eastAsia="Times New Roman"/>
          <w:lang w:val="en-US"/>
        </w:rPr>
        <w:t>AHG</w:t>
      </w:r>
      <w:proofErr w:type="spellEnd"/>
      <w:r w:rsidRPr="6C4DED91">
        <w:rPr>
          <w:rFonts w:eastAsia="Times New Roman"/>
          <w:lang w:val="en-US"/>
        </w:rPr>
        <w:t xml:space="preserve"> activities based on the discussions that took place.</w:t>
      </w:r>
    </w:p>
    <w:p w14:paraId="2E454FF8" w14:textId="6ABD7B16" w:rsidR="00687942" w:rsidRDefault="6082FC13" w:rsidP="00B013F3">
      <w:pPr>
        <w:pStyle w:val="Headingb"/>
      </w:pPr>
      <w:r w:rsidRPr="6C4DED91">
        <w:rPr>
          <w:lang w:val="en-US"/>
        </w:rPr>
        <w:t>2.</w:t>
      </w:r>
      <w:r w:rsidR="00687942">
        <w:tab/>
      </w:r>
      <w:r w:rsidRPr="6C4DED91">
        <w:rPr>
          <w:lang w:val="en-US"/>
        </w:rPr>
        <w:t>Work methods</w:t>
      </w:r>
    </w:p>
    <w:p w14:paraId="4D06352E" w14:textId="17DFB569" w:rsidR="00687942" w:rsidRDefault="00B013F3" w:rsidP="00B013F3">
      <w:pPr>
        <w:overflowPunct w:val="0"/>
        <w:autoSpaceDE w:val="0"/>
        <w:autoSpaceDN w:val="0"/>
        <w:adjustRightInd w:val="0"/>
        <w:ind w:left="567" w:hanging="567"/>
        <w:textAlignment w:val="baseline"/>
        <w:rPr>
          <w:lang w:val="en-US"/>
        </w:rPr>
      </w:pPr>
      <w:r>
        <w:rPr>
          <w:lang w:val="en-US"/>
        </w:rPr>
        <w:t>a)</w:t>
      </w:r>
      <w:r>
        <w:rPr>
          <w:lang w:val="en-US"/>
        </w:rPr>
        <w:tab/>
      </w:r>
      <w:r w:rsidR="6082FC13" w:rsidRPr="6C4DED91">
        <w:rPr>
          <w:lang w:val="en-US"/>
        </w:rPr>
        <w:t>Open to all ITU-T SG16 members.</w:t>
      </w:r>
    </w:p>
    <w:p w14:paraId="2309BE2A" w14:textId="6401106B" w:rsidR="00687942" w:rsidRDefault="00B013F3" w:rsidP="00B013F3">
      <w:pPr>
        <w:overflowPunct w:val="0"/>
        <w:autoSpaceDE w:val="0"/>
        <w:autoSpaceDN w:val="0"/>
        <w:adjustRightInd w:val="0"/>
        <w:ind w:left="567" w:hanging="567"/>
        <w:textAlignment w:val="baseline"/>
        <w:rPr>
          <w:lang w:val="en-US"/>
        </w:rPr>
      </w:pPr>
      <w:r>
        <w:rPr>
          <w:lang w:val="en-US"/>
        </w:rPr>
        <w:t>b)</w:t>
      </w:r>
      <w:r>
        <w:rPr>
          <w:lang w:val="en-US"/>
        </w:rPr>
        <w:tab/>
      </w:r>
      <w:r w:rsidR="6082FC13" w:rsidRPr="6C4DED91">
        <w:rPr>
          <w:lang w:val="en-US"/>
        </w:rPr>
        <w:t xml:space="preserve">Report the results of the </w:t>
      </w:r>
      <w:proofErr w:type="spellStart"/>
      <w:r w:rsidR="6082FC13" w:rsidRPr="6C4DED91">
        <w:rPr>
          <w:lang w:val="en-US"/>
        </w:rPr>
        <w:t>AHG</w:t>
      </w:r>
      <w:proofErr w:type="spellEnd"/>
      <w:r w:rsidR="6082FC13" w:rsidRPr="6C4DED91">
        <w:rPr>
          <w:lang w:val="en-US"/>
        </w:rPr>
        <w:t xml:space="preserve"> activities two weeks before to the first SG16 meeting in 2025 for further SG16 consideration on metaverse standardization work.</w:t>
      </w:r>
    </w:p>
    <w:p w14:paraId="6EF3543F" w14:textId="03AB7701" w:rsidR="00687942" w:rsidRDefault="00B013F3" w:rsidP="00B013F3">
      <w:pPr>
        <w:overflowPunct w:val="0"/>
        <w:autoSpaceDE w:val="0"/>
        <w:autoSpaceDN w:val="0"/>
        <w:adjustRightInd w:val="0"/>
        <w:ind w:left="567" w:hanging="567"/>
        <w:textAlignment w:val="baseline"/>
        <w:rPr>
          <w:lang w:val="en-US"/>
        </w:rPr>
      </w:pPr>
      <w:r>
        <w:rPr>
          <w:lang w:val="en-US"/>
        </w:rPr>
        <w:t>c)</w:t>
      </w:r>
      <w:r>
        <w:rPr>
          <w:lang w:val="en-US"/>
        </w:rPr>
        <w:tab/>
      </w:r>
      <w:r w:rsidR="6082FC13" w:rsidRPr="6C4DED91">
        <w:rPr>
          <w:lang w:val="en-US"/>
        </w:rPr>
        <w:t xml:space="preserve">The </w:t>
      </w:r>
      <w:proofErr w:type="spellStart"/>
      <w:r w:rsidR="6082FC13" w:rsidRPr="6C4DED91">
        <w:rPr>
          <w:lang w:val="en-US"/>
        </w:rPr>
        <w:t>AHG</w:t>
      </w:r>
      <w:proofErr w:type="spellEnd"/>
      <w:r w:rsidR="6082FC13" w:rsidRPr="6C4DED91">
        <w:rPr>
          <w:lang w:val="en-US"/>
        </w:rPr>
        <w:t xml:space="preserve"> activities will be carried out normally at virtual meetings but may also hold physical meeting (e.g. if other SG16 Questions are also meeting) based on the participants' agreement.</w:t>
      </w:r>
    </w:p>
    <w:p w14:paraId="06320749" w14:textId="57B2DBEA" w:rsidR="00687942" w:rsidRDefault="00B013F3" w:rsidP="00B013F3">
      <w:pPr>
        <w:overflowPunct w:val="0"/>
        <w:autoSpaceDE w:val="0"/>
        <w:autoSpaceDN w:val="0"/>
        <w:adjustRightInd w:val="0"/>
        <w:ind w:left="567" w:hanging="567"/>
        <w:textAlignment w:val="baseline"/>
        <w:rPr>
          <w:lang w:val="en-US"/>
        </w:rPr>
      </w:pPr>
      <w:r>
        <w:rPr>
          <w:lang w:val="en-US"/>
        </w:rPr>
        <w:t>d)</w:t>
      </w:r>
      <w:r>
        <w:rPr>
          <w:lang w:val="en-US"/>
        </w:rPr>
        <w:tab/>
      </w:r>
      <w:r w:rsidR="6082FC13" w:rsidRPr="6C4DED91">
        <w:rPr>
          <w:lang w:val="en-US"/>
        </w:rPr>
        <w:t xml:space="preserve">The </w:t>
      </w:r>
      <w:proofErr w:type="spellStart"/>
      <w:r w:rsidR="6082FC13" w:rsidRPr="6C4DED91">
        <w:rPr>
          <w:lang w:val="en-US"/>
        </w:rPr>
        <w:t>AHG</w:t>
      </w:r>
      <w:proofErr w:type="spellEnd"/>
      <w:r w:rsidR="6082FC13" w:rsidRPr="6C4DED91">
        <w:rPr>
          <w:lang w:val="en-US"/>
        </w:rPr>
        <w:t xml:space="preserve"> activities will be carried out through the dedicated mailing list </w:t>
      </w:r>
      <w:hyperlink r:id="rId36">
        <w:r w:rsidR="6082FC13" w:rsidRPr="6C4DED91">
          <w:rPr>
            <w:rStyle w:val="Hyperlink"/>
            <w:rFonts w:eastAsia="Times New Roman"/>
            <w:lang w:val="en-US"/>
          </w:rPr>
          <w:t>t22sg16ahgmv@lists.itu.int</w:t>
        </w:r>
      </w:hyperlink>
      <w:r w:rsidR="6082FC13" w:rsidRPr="6C4DED91">
        <w:rPr>
          <w:lang w:val="en-US"/>
        </w:rPr>
        <w:t xml:space="preserve">. The </w:t>
      </w:r>
      <w:proofErr w:type="spellStart"/>
      <w:r w:rsidR="6082FC13" w:rsidRPr="6C4DED91">
        <w:rPr>
          <w:lang w:val="en-US"/>
        </w:rPr>
        <w:t>AHG</w:t>
      </w:r>
      <w:proofErr w:type="spellEnd"/>
      <w:r w:rsidR="6082FC13" w:rsidRPr="6C4DED91">
        <w:rPr>
          <w:lang w:val="en-US"/>
        </w:rPr>
        <w:t xml:space="preserve"> virtual meeting will be organized using meeting tools supported by TSB.</w:t>
      </w:r>
    </w:p>
    <w:p w14:paraId="1341DC71" w14:textId="73D54487" w:rsidR="00687942" w:rsidRDefault="00B013F3" w:rsidP="00B013F3">
      <w:pPr>
        <w:overflowPunct w:val="0"/>
        <w:autoSpaceDE w:val="0"/>
        <w:autoSpaceDN w:val="0"/>
        <w:adjustRightInd w:val="0"/>
        <w:ind w:left="567" w:hanging="567"/>
        <w:textAlignment w:val="baseline"/>
        <w:rPr>
          <w:lang w:val="en-US"/>
        </w:rPr>
      </w:pPr>
      <w:r>
        <w:rPr>
          <w:lang w:val="en-US"/>
        </w:rPr>
        <w:t>e)</w:t>
      </w:r>
      <w:r>
        <w:rPr>
          <w:lang w:val="en-US"/>
        </w:rPr>
        <w:tab/>
      </w:r>
      <w:r w:rsidR="6082FC13" w:rsidRPr="6C4DED91">
        <w:rPr>
          <w:lang w:val="en-US"/>
        </w:rPr>
        <w:t>Meeting announcements including the draft agenda will be made available by e-mail and in the SG16 website at least four weeks in advance.</w:t>
      </w:r>
    </w:p>
    <w:p w14:paraId="4BE28235" w14:textId="2D10AD4E" w:rsidR="00687942" w:rsidRDefault="00B013F3" w:rsidP="00B013F3">
      <w:pPr>
        <w:overflowPunct w:val="0"/>
        <w:autoSpaceDE w:val="0"/>
        <w:autoSpaceDN w:val="0"/>
        <w:adjustRightInd w:val="0"/>
        <w:ind w:left="567" w:hanging="567"/>
        <w:textAlignment w:val="baseline"/>
        <w:rPr>
          <w:lang w:val="en-US"/>
        </w:rPr>
      </w:pPr>
      <w:r>
        <w:rPr>
          <w:lang w:val="en-US"/>
        </w:rPr>
        <w:t>f)</w:t>
      </w:r>
      <w:r>
        <w:rPr>
          <w:lang w:val="en-US"/>
        </w:rPr>
        <w:tab/>
      </w:r>
      <w:r w:rsidR="6082FC13" w:rsidRPr="6C4DED91">
        <w:rPr>
          <w:lang w:val="en-US"/>
        </w:rPr>
        <w:t xml:space="preserve">The </w:t>
      </w:r>
      <w:proofErr w:type="spellStart"/>
      <w:r w:rsidR="6082FC13" w:rsidRPr="6C4DED91">
        <w:rPr>
          <w:lang w:val="en-US"/>
        </w:rPr>
        <w:t>AHG</w:t>
      </w:r>
      <w:proofErr w:type="spellEnd"/>
      <w:r w:rsidR="6082FC13" w:rsidRPr="6C4DED91">
        <w:rPr>
          <w:lang w:val="en-US"/>
        </w:rPr>
        <w:t xml:space="preserve"> Convenors will be Shin Gak Kang (ETRI, Rep. of Korea).</w:t>
      </w:r>
    </w:p>
    <w:p w14:paraId="2B5662A1" w14:textId="46A7C3D5" w:rsidR="00687942" w:rsidRDefault="00B013F3" w:rsidP="00B013F3">
      <w:pPr>
        <w:overflowPunct w:val="0"/>
        <w:autoSpaceDE w:val="0"/>
        <w:autoSpaceDN w:val="0"/>
        <w:adjustRightInd w:val="0"/>
        <w:ind w:left="567" w:hanging="567"/>
        <w:textAlignment w:val="baseline"/>
        <w:rPr>
          <w:lang w:val="en-US"/>
        </w:rPr>
      </w:pPr>
      <w:r>
        <w:rPr>
          <w:lang w:val="en-US"/>
        </w:rPr>
        <w:t>g)</w:t>
      </w:r>
      <w:r>
        <w:rPr>
          <w:lang w:val="en-US"/>
        </w:rPr>
        <w:tab/>
      </w:r>
      <w:r w:rsidR="6082FC13" w:rsidRPr="6C4DED91">
        <w:rPr>
          <w:lang w:val="en-US"/>
        </w:rPr>
        <w:t xml:space="preserve">The </w:t>
      </w:r>
      <w:proofErr w:type="spellStart"/>
      <w:r w:rsidR="6082FC13" w:rsidRPr="6C4DED91">
        <w:rPr>
          <w:lang w:val="en-US"/>
        </w:rPr>
        <w:t>AHG</w:t>
      </w:r>
      <w:proofErr w:type="spellEnd"/>
      <w:r w:rsidR="6082FC13" w:rsidRPr="6C4DED91">
        <w:rPr>
          <w:lang w:val="en-US"/>
        </w:rPr>
        <w:t xml:space="preserve"> will be active until the first SG16 meeting in 2025, and whether to extend </w:t>
      </w:r>
      <w:proofErr w:type="spellStart"/>
      <w:r w:rsidR="6082FC13" w:rsidRPr="6C4DED91">
        <w:rPr>
          <w:lang w:val="en-US"/>
        </w:rPr>
        <w:t>AHG</w:t>
      </w:r>
      <w:proofErr w:type="spellEnd"/>
      <w:r w:rsidR="6082FC13" w:rsidRPr="6C4DED91">
        <w:rPr>
          <w:lang w:val="en-US"/>
        </w:rPr>
        <w:t xml:space="preserve"> activities will be decided at the next SG16 meeting.</w:t>
      </w:r>
    </w:p>
    <w:p w14:paraId="70996802" w14:textId="1C2BFE7D" w:rsidR="00687942" w:rsidRDefault="00687942" w:rsidP="6C4DED91">
      <w:pPr>
        <w:jc w:val="center"/>
      </w:pPr>
      <w:r>
        <w:t>_________________</w:t>
      </w:r>
    </w:p>
    <w:sectPr w:rsidR="00687942" w:rsidSect="00484E83">
      <w:headerReference w:type="default" r:id="rId37"/>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D763" w14:textId="77777777" w:rsidR="003F1BA0" w:rsidRDefault="003F1BA0" w:rsidP="00C42125">
      <w:pPr>
        <w:spacing w:before="0"/>
      </w:pPr>
      <w:r>
        <w:separator/>
      </w:r>
    </w:p>
  </w:endnote>
  <w:endnote w:type="continuationSeparator" w:id="0">
    <w:p w14:paraId="5A70848A" w14:textId="77777777" w:rsidR="003F1BA0" w:rsidRDefault="003F1BA0" w:rsidP="00C42125">
      <w:pPr>
        <w:spacing w:before="0"/>
      </w:pPr>
      <w:r>
        <w:continuationSeparator/>
      </w:r>
    </w:p>
  </w:endnote>
  <w:endnote w:type="continuationNotice" w:id="1">
    <w:p w14:paraId="0274B745" w14:textId="77777777" w:rsidR="003F1BA0" w:rsidRDefault="003F1B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EF9F" w14:textId="77777777" w:rsidR="003F1BA0" w:rsidRDefault="003F1BA0" w:rsidP="00C42125">
      <w:pPr>
        <w:spacing w:before="0"/>
      </w:pPr>
      <w:r>
        <w:separator/>
      </w:r>
    </w:p>
  </w:footnote>
  <w:footnote w:type="continuationSeparator" w:id="0">
    <w:p w14:paraId="65DBBDFD" w14:textId="77777777" w:rsidR="003F1BA0" w:rsidRDefault="003F1BA0" w:rsidP="00C42125">
      <w:pPr>
        <w:spacing w:before="0"/>
      </w:pPr>
      <w:r>
        <w:continuationSeparator/>
      </w:r>
    </w:p>
  </w:footnote>
  <w:footnote w:type="continuationNotice" w:id="1">
    <w:p w14:paraId="40D2C2ED" w14:textId="77777777" w:rsidR="003F1BA0" w:rsidRDefault="003F1BA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5764" w14:textId="1612BCCE" w:rsidR="005976A1" w:rsidRPr="00687942" w:rsidRDefault="00687942" w:rsidP="00687942">
    <w:pPr>
      <w:pStyle w:val="Header"/>
    </w:pPr>
    <w:r w:rsidRPr="00687942">
      <w:t xml:space="preserve">- </w:t>
    </w:r>
    <w:r w:rsidRPr="00687942">
      <w:fldChar w:fldCharType="begin"/>
    </w:r>
    <w:r w:rsidRPr="00687942">
      <w:instrText xml:space="preserve"> PAGE  \* MERGEFORMAT </w:instrText>
    </w:r>
    <w:r w:rsidRPr="00687942">
      <w:fldChar w:fldCharType="separate"/>
    </w:r>
    <w:r w:rsidRPr="00687942">
      <w:rPr>
        <w:noProof/>
      </w:rPr>
      <w:t>1</w:t>
    </w:r>
    <w:r w:rsidRPr="00687942">
      <w:fldChar w:fldCharType="end"/>
    </w:r>
    <w:r w:rsidRPr="00687942">
      <w:t xml:space="preserve"> -</w:t>
    </w:r>
  </w:p>
  <w:p w14:paraId="62F46860" w14:textId="68853039" w:rsidR="00687942" w:rsidRPr="00687942" w:rsidRDefault="00687942" w:rsidP="00687942">
    <w:pPr>
      <w:pStyle w:val="Header"/>
      <w:spacing w:after="240"/>
    </w:pPr>
    <w:r w:rsidRPr="00687942">
      <w:fldChar w:fldCharType="begin"/>
    </w:r>
    <w:r w:rsidRPr="00687942">
      <w:instrText xml:space="preserve"> STYLEREF  Docnumber  </w:instrText>
    </w:r>
    <w:r w:rsidRPr="00687942">
      <w:fldChar w:fldCharType="separate"/>
    </w:r>
    <w:r w:rsidR="008A0058">
      <w:rPr>
        <w:noProof/>
      </w:rPr>
      <w:t>TSAG-TD570</w:t>
    </w:r>
    <w:r w:rsidRPr="0068794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BD8F3"/>
    <w:multiLevelType w:val="hybridMultilevel"/>
    <w:tmpl w:val="6084045E"/>
    <w:lvl w:ilvl="0" w:tplc="E2F2149C">
      <w:start w:val="2"/>
      <w:numFmt w:val="lowerLetter"/>
      <w:lvlText w:val="%1)"/>
      <w:lvlJc w:val="left"/>
      <w:pPr>
        <w:ind w:left="720" w:hanging="360"/>
      </w:pPr>
    </w:lvl>
    <w:lvl w:ilvl="1" w:tplc="1A0ED604">
      <w:start w:val="1"/>
      <w:numFmt w:val="lowerLetter"/>
      <w:lvlText w:val="%2."/>
      <w:lvlJc w:val="left"/>
      <w:pPr>
        <w:ind w:left="1440" w:hanging="360"/>
      </w:pPr>
    </w:lvl>
    <w:lvl w:ilvl="2" w:tplc="E092DFFE">
      <w:start w:val="1"/>
      <w:numFmt w:val="lowerRoman"/>
      <w:lvlText w:val="%3."/>
      <w:lvlJc w:val="right"/>
      <w:pPr>
        <w:ind w:left="2160" w:hanging="180"/>
      </w:pPr>
    </w:lvl>
    <w:lvl w:ilvl="3" w:tplc="9C16749E">
      <w:start w:val="1"/>
      <w:numFmt w:val="decimal"/>
      <w:lvlText w:val="%4."/>
      <w:lvlJc w:val="left"/>
      <w:pPr>
        <w:ind w:left="2880" w:hanging="360"/>
      </w:pPr>
    </w:lvl>
    <w:lvl w:ilvl="4" w:tplc="60D07E92">
      <w:start w:val="1"/>
      <w:numFmt w:val="lowerLetter"/>
      <w:lvlText w:val="%5."/>
      <w:lvlJc w:val="left"/>
      <w:pPr>
        <w:ind w:left="3600" w:hanging="360"/>
      </w:pPr>
    </w:lvl>
    <w:lvl w:ilvl="5" w:tplc="2CDE9A06">
      <w:start w:val="1"/>
      <w:numFmt w:val="lowerRoman"/>
      <w:lvlText w:val="%6."/>
      <w:lvlJc w:val="right"/>
      <w:pPr>
        <w:ind w:left="4320" w:hanging="180"/>
      </w:pPr>
    </w:lvl>
    <w:lvl w:ilvl="6" w:tplc="676E68E6">
      <w:start w:val="1"/>
      <w:numFmt w:val="decimal"/>
      <w:lvlText w:val="%7."/>
      <w:lvlJc w:val="left"/>
      <w:pPr>
        <w:ind w:left="5040" w:hanging="360"/>
      </w:pPr>
    </w:lvl>
    <w:lvl w:ilvl="7" w:tplc="982067D2">
      <w:start w:val="1"/>
      <w:numFmt w:val="lowerLetter"/>
      <w:lvlText w:val="%8."/>
      <w:lvlJc w:val="left"/>
      <w:pPr>
        <w:ind w:left="5760" w:hanging="360"/>
      </w:pPr>
    </w:lvl>
    <w:lvl w:ilvl="8" w:tplc="6E82F9D8">
      <w:start w:val="1"/>
      <w:numFmt w:val="lowerRoman"/>
      <w:lvlText w:val="%9."/>
      <w:lvlJc w:val="right"/>
      <w:pPr>
        <w:ind w:left="6480" w:hanging="180"/>
      </w:pPr>
    </w:lvl>
  </w:abstractNum>
  <w:abstractNum w:abstractNumId="11" w15:restartNumberingAfterBreak="0">
    <w:nsid w:val="18F363B7"/>
    <w:multiLevelType w:val="hybridMultilevel"/>
    <w:tmpl w:val="E3F48AEA"/>
    <w:lvl w:ilvl="0" w:tplc="9E7EC350">
      <w:start w:val="4"/>
      <w:numFmt w:val="lowerLetter"/>
      <w:lvlText w:val="%1)"/>
      <w:lvlJc w:val="left"/>
      <w:pPr>
        <w:ind w:left="720" w:hanging="360"/>
      </w:pPr>
    </w:lvl>
    <w:lvl w:ilvl="1" w:tplc="6FCA32A0">
      <w:start w:val="1"/>
      <w:numFmt w:val="lowerLetter"/>
      <w:lvlText w:val="%2."/>
      <w:lvlJc w:val="left"/>
      <w:pPr>
        <w:ind w:left="1440" w:hanging="360"/>
      </w:pPr>
    </w:lvl>
    <w:lvl w:ilvl="2" w:tplc="76143DD0">
      <w:start w:val="1"/>
      <w:numFmt w:val="lowerRoman"/>
      <w:lvlText w:val="%3."/>
      <w:lvlJc w:val="right"/>
      <w:pPr>
        <w:ind w:left="2160" w:hanging="180"/>
      </w:pPr>
    </w:lvl>
    <w:lvl w:ilvl="3" w:tplc="D632F526">
      <w:start w:val="1"/>
      <w:numFmt w:val="decimal"/>
      <w:lvlText w:val="%4."/>
      <w:lvlJc w:val="left"/>
      <w:pPr>
        <w:ind w:left="2880" w:hanging="360"/>
      </w:pPr>
    </w:lvl>
    <w:lvl w:ilvl="4" w:tplc="354C3474">
      <w:start w:val="1"/>
      <w:numFmt w:val="lowerLetter"/>
      <w:lvlText w:val="%5."/>
      <w:lvlJc w:val="left"/>
      <w:pPr>
        <w:ind w:left="3600" w:hanging="360"/>
      </w:pPr>
    </w:lvl>
    <w:lvl w:ilvl="5" w:tplc="BA8AD288">
      <w:start w:val="1"/>
      <w:numFmt w:val="lowerRoman"/>
      <w:lvlText w:val="%6."/>
      <w:lvlJc w:val="right"/>
      <w:pPr>
        <w:ind w:left="4320" w:hanging="180"/>
      </w:pPr>
    </w:lvl>
    <w:lvl w:ilvl="6" w:tplc="5A5290BC">
      <w:start w:val="1"/>
      <w:numFmt w:val="decimal"/>
      <w:lvlText w:val="%7."/>
      <w:lvlJc w:val="left"/>
      <w:pPr>
        <w:ind w:left="5040" w:hanging="360"/>
      </w:pPr>
    </w:lvl>
    <w:lvl w:ilvl="7" w:tplc="2A485BCA">
      <w:start w:val="1"/>
      <w:numFmt w:val="lowerLetter"/>
      <w:lvlText w:val="%8."/>
      <w:lvlJc w:val="left"/>
      <w:pPr>
        <w:ind w:left="5760" w:hanging="360"/>
      </w:pPr>
    </w:lvl>
    <w:lvl w:ilvl="8" w:tplc="EB8C0CC0">
      <w:start w:val="1"/>
      <w:numFmt w:val="lowerRoman"/>
      <w:lvlText w:val="%9."/>
      <w:lvlJc w:val="right"/>
      <w:pPr>
        <w:ind w:left="6480" w:hanging="180"/>
      </w:pPr>
    </w:lvl>
  </w:abstractNum>
  <w:abstractNum w:abstractNumId="12" w15:restartNumberingAfterBreak="0">
    <w:nsid w:val="262A40C8"/>
    <w:multiLevelType w:val="hybridMultilevel"/>
    <w:tmpl w:val="5CEA0562"/>
    <w:lvl w:ilvl="0" w:tplc="D8302E64">
      <w:start w:val="7"/>
      <w:numFmt w:val="lowerLetter"/>
      <w:lvlText w:val="%1)"/>
      <w:lvlJc w:val="left"/>
      <w:pPr>
        <w:ind w:left="720" w:hanging="360"/>
      </w:pPr>
    </w:lvl>
    <w:lvl w:ilvl="1" w:tplc="33140390">
      <w:start w:val="1"/>
      <w:numFmt w:val="lowerLetter"/>
      <w:lvlText w:val="%2."/>
      <w:lvlJc w:val="left"/>
      <w:pPr>
        <w:ind w:left="1440" w:hanging="360"/>
      </w:pPr>
    </w:lvl>
    <w:lvl w:ilvl="2" w:tplc="EB14E300">
      <w:start w:val="1"/>
      <w:numFmt w:val="lowerRoman"/>
      <w:lvlText w:val="%3."/>
      <w:lvlJc w:val="right"/>
      <w:pPr>
        <w:ind w:left="2160" w:hanging="180"/>
      </w:pPr>
    </w:lvl>
    <w:lvl w:ilvl="3" w:tplc="2312B538">
      <w:start w:val="1"/>
      <w:numFmt w:val="decimal"/>
      <w:lvlText w:val="%4."/>
      <w:lvlJc w:val="left"/>
      <w:pPr>
        <w:ind w:left="2880" w:hanging="360"/>
      </w:pPr>
    </w:lvl>
    <w:lvl w:ilvl="4" w:tplc="D610B28C">
      <w:start w:val="1"/>
      <w:numFmt w:val="lowerLetter"/>
      <w:lvlText w:val="%5."/>
      <w:lvlJc w:val="left"/>
      <w:pPr>
        <w:ind w:left="3600" w:hanging="360"/>
      </w:pPr>
    </w:lvl>
    <w:lvl w:ilvl="5" w:tplc="3AAAD85C">
      <w:start w:val="1"/>
      <w:numFmt w:val="lowerRoman"/>
      <w:lvlText w:val="%6."/>
      <w:lvlJc w:val="right"/>
      <w:pPr>
        <w:ind w:left="4320" w:hanging="180"/>
      </w:pPr>
    </w:lvl>
    <w:lvl w:ilvl="6" w:tplc="E3FE3E5A">
      <w:start w:val="1"/>
      <w:numFmt w:val="decimal"/>
      <w:lvlText w:val="%7."/>
      <w:lvlJc w:val="left"/>
      <w:pPr>
        <w:ind w:left="5040" w:hanging="360"/>
      </w:pPr>
    </w:lvl>
    <w:lvl w:ilvl="7" w:tplc="5E988784">
      <w:start w:val="1"/>
      <w:numFmt w:val="lowerLetter"/>
      <w:lvlText w:val="%8."/>
      <w:lvlJc w:val="left"/>
      <w:pPr>
        <w:ind w:left="5760" w:hanging="360"/>
      </w:pPr>
    </w:lvl>
    <w:lvl w:ilvl="8" w:tplc="7BA040B2">
      <w:start w:val="1"/>
      <w:numFmt w:val="lowerRoman"/>
      <w:lvlText w:val="%9."/>
      <w:lvlJc w:val="right"/>
      <w:pPr>
        <w:ind w:left="6480" w:hanging="180"/>
      </w:pPr>
    </w:lvl>
  </w:abstractNum>
  <w:abstractNum w:abstractNumId="13" w15:restartNumberingAfterBreak="0">
    <w:nsid w:val="37F8AFC4"/>
    <w:multiLevelType w:val="hybridMultilevel"/>
    <w:tmpl w:val="FA80C220"/>
    <w:lvl w:ilvl="0" w:tplc="E522D140">
      <w:start w:val="3"/>
      <w:numFmt w:val="lowerLetter"/>
      <w:lvlText w:val="%1)"/>
      <w:lvlJc w:val="left"/>
      <w:pPr>
        <w:ind w:left="720" w:hanging="360"/>
      </w:pPr>
    </w:lvl>
    <w:lvl w:ilvl="1" w:tplc="121C1FCA">
      <w:start w:val="1"/>
      <w:numFmt w:val="lowerLetter"/>
      <w:lvlText w:val="%2."/>
      <w:lvlJc w:val="left"/>
      <w:pPr>
        <w:ind w:left="1440" w:hanging="360"/>
      </w:pPr>
    </w:lvl>
    <w:lvl w:ilvl="2" w:tplc="E39214C2">
      <w:start w:val="1"/>
      <w:numFmt w:val="lowerRoman"/>
      <w:lvlText w:val="%3."/>
      <w:lvlJc w:val="right"/>
      <w:pPr>
        <w:ind w:left="2160" w:hanging="180"/>
      </w:pPr>
    </w:lvl>
    <w:lvl w:ilvl="3" w:tplc="DBF4CEB6">
      <w:start w:val="1"/>
      <w:numFmt w:val="decimal"/>
      <w:lvlText w:val="%4."/>
      <w:lvlJc w:val="left"/>
      <w:pPr>
        <w:ind w:left="2880" w:hanging="360"/>
      </w:pPr>
    </w:lvl>
    <w:lvl w:ilvl="4" w:tplc="B45827A0">
      <w:start w:val="1"/>
      <w:numFmt w:val="lowerLetter"/>
      <w:lvlText w:val="%5."/>
      <w:lvlJc w:val="left"/>
      <w:pPr>
        <w:ind w:left="3600" w:hanging="360"/>
      </w:pPr>
    </w:lvl>
    <w:lvl w:ilvl="5" w:tplc="A87C094E">
      <w:start w:val="1"/>
      <w:numFmt w:val="lowerRoman"/>
      <w:lvlText w:val="%6."/>
      <w:lvlJc w:val="right"/>
      <w:pPr>
        <w:ind w:left="4320" w:hanging="180"/>
      </w:pPr>
    </w:lvl>
    <w:lvl w:ilvl="6" w:tplc="67082462">
      <w:start w:val="1"/>
      <w:numFmt w:val="decimal"/>
      <w:lvlText w:val="%7."/>
      <w:lvlJc w:val="left"/>
      <w:pPr>
        <w:ind w:left="5040" w:hanging="360"/>
      </w:pPr>
    </w:lvl>
    <w:lvl w:ilvl="7" w:tplc="1958C6BA">
      <w:start w:val="1"/>
      <w:numFmt w:val="lowerLetter"/>
      <w:lvlText w:val="%8."/>
      <w:lvlJc w:val="left"/>
      <w:pPr>
        <w:ind w:left="5760" w:hanging="360"/>
      </w:pPr>
    </w:lvl>
    <w:lvl w:ilvl="8" w:tplc="472CBA20">
      <w:start w:val="1"/>
      <w:numFmt w:val="lowerRoman"/>
      <w:lvlText w:val="%9."/>
      <w:lvlJc w:val="right"/>
      <w:pPr>
        <w:ind w:left="6480" w:hanging="180"/>
      </w:pPr>
    </w:lvl>
  </w:abstractNum>
  <w:abstractNum w:abstractNumId="14" w15:restartNumberingAfterBreak="0">
    <w:nsid w:val="51AA1DD0"/>
    <w:multiLevelType w:val="hybridMultilevel"/>
    <w:tmpl w:val="B7BAE08E"/>
    <w:lvl w:ilvl="0" w:tplc="2FE600D2">
      <w:start w:val="6"/>
      <w:numFmt w:val="lowerLetter"/>
      <w:lvlText w:val="%1)"/>
      <w:lvlJc w:val="left"/>
      <w:pPr>
        <w:ind w:left="720" w:hanging="360"/>
      </w:pPr>
    </w:lvl>
    <w:lvl w:ilvl="1" w:tplc="B000710E">
      <w:start w:val="1"/>
      <w:numFmt w:val="lowerLetter"/>
      <w:lvlText w:val="%2."/>
      <w:lvlJc w:val="left"/>
      <w:pPr>
        <w:ind w:left="1440" w:hanging="360"/>
      </w:pPr>
    </w:lvl>
    <w:lvl w:ilvl="2" w:tplc="A8A444C2">
      <w:start w:val="1"/>
      <w:numFmt w:val="lowerRoman"/>
      <w:lvlText w:val="%3."/>
      <w:lvlJc w:val="right"/>
      <w:pPr>
        <w:ind w:left="2160" w:hanging="180"/>
      </w:pPr>
    </w:lvl>
    <w:lvl w:ilvl="3" w:tplc="3AA2CCC4">
      <w:start w:val="1"/>
      <w:numFmt w:val="decimal"/>
      <w:lvlText w:val="%4."/>
      <w:lvlJc w:val="left"/>
      <w:pPr>
        <w:ind w:left="2880" w:hanging="360"/>
      </w:pPr>
    </w:lvl>
    <w:lvl w:ilvl="4" w:tplc="38D23F1C">
      <w:start w:val="1"/>
      <w:numFmt w:val="lowerLetter"/>
      <w:lvlText w:val="%5."/>
      <w:lvlJc w:val="left"/>
      <w:pPr>
        <w:ind w:left="3600" w:hanging="360"/>
      </w:pPr>
    </w:lvl>
    <w:lvl w:ilvl="5" w:tplc="9F700E02">
      <w:start w:val="1"/>
      <w:numFmt w:val="lowerRoman"/>
      <w:lvlText w:val="%6."/>
      <w:lvlJc w:val="right"/>
      <w:pPr>
        <w:ind w:left="4320" w:hanging="180"/>
      </w:pPr>
    </w:lvl>
    <w:lvl w:ilvl="6" w:tplc="B5A61CC6">
      <w:start w:val="1"/>
      <w:numFmt w:val="decimal"/>
      <w:lvlText w:val="%7."/>
      <w:lvlJc w:val="left"/>
      <w:pPr>
        <w:ind w:left="5040" w:hanging="360"/>
      </w:pPr>
    </w:lvl>
    <w:lvl w:ilvl="7" w:tplc="1FBA86E0">
      <w:start w:val="1"/>
      <w:numFmt w:val="lowerLetter"/>
      <w:lvlText w:val="%8."/>
      <w:lvlJc w:val="left"/>
      <w:pPr>
        <w:ind w:left="5760" w:hanging="360"/>
      </w:pPr>
    </w:lvl>
    <w:lvl w:ilvl="8" w:tplc="DAAA326E">
      <w:start w:val="1"/>
      <w:numFmt w:val="lowerRoman"/>
      <w:lvlText w:val="%9."/>
      <w:lvlJc w:val="right"/>
      <w:pPr>
        <w:ind w:left="6480" w:hanging="180"/>
      </w:pPr>
    </w:lvl>
  </w:abstractNum>
  <w:abstractNum w:abstractNumId="15" w15:restartNumberingAfterBreak="0">
    <w:nsid w:val="57F0C36D"/>
    <w:multiLevelType w:val="hybridMultilevel"/>
    <w:tmpl w:val="AC34EAC0"/>
    <w:lvl w:ilvl="0" w:tplc="5798C542">
      <w:start w:val="1"/>
      <w:numFmt w:val="lowerLetter"/>
      <w:lvlText w:val="%1)"/>
      <w:lvlJc w:val="left"/>
      <w:pPr>
        <w:ind w:left="720" w:hanging="360"/>
      </w:pPr>
    </w:lvl>
    <w:lvl w:ilvl="1" w:tplc="089EF842">
      <w:start w:val="1"/>
      <w:numFmt w:val="lowerLetter"/>
      <w:lvlText w:val="%2."/>
      <w:lvlJc w:val="left"/>
      <w:pPr>
        <w:ind w:left="1440" w:hanging="360"/>
      </w:pPr>
    </w:lvl>
    <w:lvl w:ilvl="2" w:tplc="C2FE038E">
      <w:start w:val="1"/>
      <w:numFmt w:val="lowerRoman"/>
      <w:lvlText w:val="%3."/>
      <w:lvlJc w:val="right"/>
      <w:pPr>
        <w:ind w:left="2160" w:hanging="180"/>
      </w:pPr>
    </w:lvl>
    <w:lvl w:ilvl="3" w:tplc="E096892A">
      <w:start w:val="1"/>
      <w:numFmt w:val="decimal"/>
      <w:lvlText w:val="%4."/>
      <w:lvlJc w:val="left"/>
      <w:pPr>
        <w:ind w:left="2880" w:hanging="360"/>
      </w:pPr>
    </w:lvl>
    <w:lvl w:ilvl="4" w:tplc="919EDB38">
      <w:start w:val="1"/>
      <w:numFmt w:val="lowerLetter"/>
      <w:lvlText w:val="%5."/>
      <w:lvlJc w:val="left"/>
      <w:pPr>
        <w:ind w:left="3600" w:hanging="360"/>
      </w:pPr>
    </w:lvl>
    <w:lvl w:ilvl="5" w:tplc="6FF451F0">
      <w:start w:val="1"/>
      <w:numFmt w:val="lowerRoman"/>
      <w:lvlText w:val="%6."/>
      <w:lvlJc w:val="right"/>
      <w:pPr>
        <w:ind w:left="4320" w:hanging="180"/>
      </w:pPr>
    </w:lvl>
    <w:lvl w:ilvl="6" w:tplc="BFF830F6">
      <w:start w:val="1"/>
      <w:numFmt w:val="decimal"/>
      <w:lvlText w:val="%7."/>
      <w:lvlJc w:val="left"/>
      <w:pPr>
        <w:ind w:left="5040" w:hanging="360"/>
      </w:pPr>
    </w:lvl>
    <w:lvl w:ilvl="7" w:tplc="D37E119C">
      <w:start w:val="1"/>
      <w:numFmt w:val="lowerLetter"/>
      <w:lvlText w:val="%8."/>
      <w:lvlJc w:val="left"/>
      <w:pPr>
        <w:ind w:left="5760" w:hanging="360"/>
      </w:pPr>
    </w:lvl>
    <w:lvl w:ilvl="8" w:tplc="EAA2013C">
      <w:start w:val="1"/>
      <w:numFmt w:val="lowerRoman"/>
      <w:lvlText w:val="%9."/>
      <w:lvlJc w:val="right"/>
      <w:pPr>
        <w:ind w:left="6480" w:hanging="180"/>
      </w:pPr>
    </w:lvl>
  </w:abstractNum>
  <w:abstractNum w:abstractNumId="16" w15:restartNumberingAfterBreak="0">
    <w:nsid w:val="62692C0C"/>
    <w:multiLevelType w:val="hybridMultilevel"/>
    <w:tmpl w:val="F550AEA2"/>
    <w:lvl w:ilvl="0" w:tplc="D6F0556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9650C"/>
    <w:multiLevelType w:val="hybridMultilevel"/>
    <w:tmpl w:val="C3763442"/>
    <w:lvl w:ilvl="0" w:tplc="AD144CB8">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8" w15:restartNumberingAfterBreak="0">
    <w:nsid w:val="644731BC"/>
    <w:multiLevelType w:val="hybridMultilevel"/>
    <w:tmpl w:val="69FED2C8"/>
    <w:lvl w:ilvl="0" w:tplc="589A7DB4">
      <w:start w:val="1"/>
      <w:numFmt w:val="decimal"/>
      <w:lvlRestart w:val="0"/>
      <w:lvlText w:val="%1."/>
      <w:lvlJc w:val="left"/>
      <w:pPr>
        <w:ind w:left="720" w:hanging="363"/>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0D4992"/>
    <w:multiLevelType w:val="hybridMultilevel"/>
    <w:tmpl w:val="A8903432"/>
    <w:lvl w:ilvl="0" w:tplc="E0E08AFA">
      <w:start w:val="5"/>
      <w:numFmt w:val="lowerLetter"/>
      <w:lvlText w:val="%1)"/>
      <w:lvlJc w:val="left"/>
      <w:pPr>
        <w:ind w:left="720" w:hanging="360"/>
      </w:pPr>
    </w:lvl>
    <w:lvl w:ilvl="1" w:tplc="19A640F8">
      <w:start w:val="1"/>
      <w:numFmt w:val="lowerLetter"/>
      <w:lvlText w:val="%2."/>
      <w:lvlJc w:val="left"/>
      <w:pPr>
        <w:ind w:left="1440" w:hanging="360"/>
      </w:pPr>
    </w:lvl>
    <w:lvl w:ilvl="2" w:tplc="C536378E">
      <w:start w:val="1"/>
      <w:numFmt w:val="lowerRoman"/>
      <w:lvlText w:val="%3."/>
      <w:lvlJc w:val="right"/>
      <w:pPr>
        <w:ind w:left="2160" w:hanging="180"/>
      </w:pPr>
    </w:lvl>
    <w:lvl w:ilvl="3" w:tplc="CCF69324">
      <w:start w:val="1"/>
      <w:numFmt w:val="decimal"/>
      <w:lvlText w:val="%4."/>
      <w:lvlJc w:val="left"/>
      <w:pPr>
        <w:ind w:left="2880" w:hanging="360"/>
      </w:pPr>
    </w:lvl>
    <w:lvl w:ilvl="4" w:tplc="536E3230">
      <w:start w:val="1"/>
      <w:numFmt w:val="lowerLetter"/>
      <w:lvlText w:val="%5."/>
      <w:lvlJc w:val="left"/>
      <w:pPr>
        <w:ind w:left="3600" w:hanging="360"/>
      </w:pPr>
    </w:lvl>
    <w:lvl w:ilvl="5" w:tplc="DEC242AC">
      <w:start w:val="1"/>
      <w:numFmt w:val="lowerRoman"/>
      <w:lvlText w:val="%6."/>
      <w:lvlJc w:val="right"/>
      <w:pPr>
        <w:ind w:left="4320" w:hanging="180"/>
      </w:pPr>
    </w:lvl>
    <w:lvl w:ilvl="6" w:tplc="1BACE1DE">
      <w:start w:val="1"/>
      <w:numFmt w:val="decimal"/>
      <w:lvlText w:val="%7."/>
      <w:lvlJc w:val="left"/>
      <w:pPr>
        <w:ind w:left="5040" w:hanging="360"/>
      </w:pPr>
    </w:lvl>
    <w:lvl w:ilvl="7" w:tplc="C2BC550A">
      <w:start w:val="1"/>
      <w:numFmt w:val="lowerLetter"/>
      <w:lvlText w:val="%8."/>
      <w:lvlJc w:val="left"/>
      <w:pPr>
        <w:ind w:left="5760" w:hanging="360"/>
      </w:pPr>
    </w:lvl>
    <w:lvl w:ilvl="8" w:tplc="F238D004">
      <w:start w:val="1"/>
      <w:numFmt w:val="lowerRoman"/>
      <w:lvlText w:val="%9."/>
      <w:lvlJc w:val="right"/>
      <w:pPr>
        <w:ind w:left="6480" w:hanging="180"/>
      </w:pPr>
    </w:lvl>
  </w:abstractNum>
  <w:abstractNum w:abstractNumId="20" w15:restartNumberingAfterBreak="0">
    <w:nsid w:val="7C385470"/>
    <w:multiLevelType w:val="hybridMultilevel"/>
    <w:tmpl w:val="3808D9F4"/>
    <w:lvl w:ilvl="0" w:tplc="08090017">
      <w:start w:val="1"/>
      <w:numFmt w:val="lowerLetter"/>
      <w:lvlText w:val="%1)"/>
      <w:lvlJc w:val="left"/>
      <w:pPr>
        <w:ind w:left="720" w:hanging="363"/>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0176496">
    <w:abstractNumId w:val="9"/>
  </w:num>
  <w:num w:numId="2" w16cid:durableId="211889481">
    <w:abstractNumId w:val="7"/>
  </w:num>
  <w:num w:numId="3" w16cid:durableId="209070992">
    <w:abstractNumId w:val="6"/>
  </w:num>
  <w:num w:numId="4" w16cid:durableId="104885643">
    <w:abstractNumId w:val="5"/>
  </w:num>
  <w:num w:numId="5" w16cid:durableId="933786636">
    <w:abstractNumId w:val="4"/>
  </w:num>
  <w:num w:numId="6" w16cid:durableId="450561951">
    <w:abstractNumId w:val="8"/>
  </w:num>
  <w:num w:numId="7" w16cid:durableId="452139044">
    <w:abstractNumId w:val="3"/>
  </w:num>
  <w:num w:numId="8" w16cid:durableId="48119203">
    <w:abstractNumId w:val="2"/>
  </w:num>
  <w:num w:numId="9" w16cid:durableId="243802267">
    <w:abstractNumId w:val="1"/>
  </w:num>
  <w:num w:numId="10" w16cid:durableId="37435115">
    <w:abstractNumId w:val="0"/>
  </w:num>
  <w:num w:numId="11" w16cid:durableId="791946913">
    <w:abstractNumId w:val="17"/>
  </w:num>
  <w:num w:numId="12" w16cid:durableId="1432824122">
    <w:abstractNumId w:val="16"/>
  </w:num>
  <w:num w:numId="13" w16cid:durableId="518349092">
    <w:abstractNumId w:val="12"/>
  </w:num>
  <w:num w:numId="14" w16cid:durableId="429744158">
    <w:abstractNumId w:val="14"/>
  </w:num>
  <w:num w:numId="15" w16cid:durableId="2129854804">
    <w:abstractNumId w:val="19"/>
  </w:num>
  <w:num w:numId="16" w16cid:durableId="878668019">
    <w:abstractNumId w:val="11"/>
  </w:num>
  <w:num w:numId="17" w16cid:durableId="1981615602">
    <w:abstractNumId w:val="13"/>
  </w:num>
  <w:num w:numId="18" w16cid:durableId="541602383">
    <w:abstractNumId w:val="10"/>
  </w:num>
  <w:num w:numId="19" w16cid:durableId="347492316">
    <w:abstractNumId w:val="15"/>
  </w:num>
  <w:num w:numId="20" w16cid:durableId="1278099345">
    <w:abstractNumId w:val="18"/>
  </w:num>
  <w:num w:numId="21" w16cid:durableId="5304583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877"/>
    <w:rsid w:val="00014F69"/>
    <w:rsid w:val="000171DB"/>
    <w:rsid w:val="00023D9A"/>
    <w:rsid w:val="00027F9A"/>
    <w:rsid w:val="0003582E"/>
    <w:rsid w:val="00043D75"/>
    <w:rsid w:val="000563F5"/>
    <w:rsid w:val="00057000"/>
    <w:rsid w:val="00061268"/>
    <w:rsid w:val="000640E0"/>
    <w:rsid w:val="000920CE"/>
    <w:rsid w:val="000966A8"/>
    <w:rsid w:val="000A5CA2"/>
    <w:rsid w:val="000B739D"/>
    <w:rsid w:val="000C397B"/>
    <w:rsid w:val="000E6125"/>
    <w:rsid w:val="00113DBE"/>
    <w:rsid w:val="001200A6"/>
    <w:rsid w:val="00124A40"/>
    <w:rsid w:val="001251DA"/>
    <w:rsid w:val="00125432"/>
    <w:rsid w:val="00136DDD"/>
    <w:rsid w:val="00137F40"/>
    <w:rsid w:val="001410FD"/>
    <w:rsid w:val="00144BDF"/>
    <w:rsid w:val="00155DDC"/>
    <w:rsid w:val="00161830"/>
    <w:rsid w:val="001625DA"/>
    <w:rsid w:val="001871EC"/>
    <w:rsid w:val="001A20C3"/>
    <w:rsid w:val="001A670F"/>
    <w:rsid w:val="001B6A45"/>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63B33"/>
    <w:rsid w:val="002759E7"/>
    <w:rsid w:val="00277326"/>
    <w:rsid w:val="00286DF1"/>
    <w:rsid w:val="002A11C4"/>
    <w:rsid w:val="002A399B"/>
    <w:rsid w:val="002C26C0"/>
    <w:rsid w:val="002C2BC5"/>
    <w:rsid w:val="002C502A"/>
    <w:rsid w:val="002D6447"/>
    <w:rsid w:val="002E0407"/>
    <w:rsid w:val="002E3C52"/>
    <w:rsid w:val="002E48A6"/>
    <w:rsid w:val="002E79CB"/>
    <w:rsid w:val="002F5070"/>
    <w:rsid w:val="002F7F55"/>
    <w:rsid w:val="0030745F"/>
    <w:rsid w:val="00314630"/>
    <w:rsid w:val="0032090A"/>
    <w:rsid w:val="00321CDE"/>
    <w:rsid w:val="00333E15"/>
    <w:rsid w:val="003449F4"/>
    <w:rsid w:val="003571BC"/>
    <w:rsid w:val="0036090C"/>
    <w:rsid w:val="00361116"/>
    <w:rsid w:val="00362562"/>
    <w:rsid w:val="00385FB5"/>
    <w:rsid w:val="0038715D"/>
    <w:rsid w:val="00394DBF"/>
    <w:rsid w:val="003957A6"/>
    <w:rsid w:val="003A43EF"/>
    <w:rsid w:val="003B4CF8"/>
    <w:rsid w:val="003C7445"/>
    <w:rsid w:val="003D0336"/>
    <w:rsid w:val="003E1F8C"/>
    <w:rsid w:val="003E39A2"/>
    <w:rsid w:val="003E57AB"/>
    <w:rsid w:val="003E7207"/>
    <w:rsid w:val="003F1BA0"/>
    <w:rsid w:val="003F2BED"/>
    <w:rsid w:val="00400B49"/>
    <w:rsid w:val="00443878"/>
    <w:rsid w:val="004539A8"/>
    <w:rsid w:val="004712CA"/>
    <w:rsid w:val="00473782"/>
    <w:rsid w:val="0047422E"/>
    <w:rsid w:val="00484E83"/>
    <w:rsid w:val="0049090D"/>
    <w:rsid w:val="0049674B"/>
    <w:rsid w:val="004C0673"/>
    <w:rsid w:val="004C4E4E"/>
    <w:rsid w:val="004F23BA"/>
    <w:rsid w:val="004F3816"/>
    <w:rsid w:val="0050586A"/>
    <w:rsid w:val="00520DBF"/>
    <w:rsid w:val="0053731C"/>
    <w:rsid w:val="00543D41"/>
    <w:rsid w:val="00556A5B"/>
    <w:rsid w:val="00566EDA"/>
    <w:rsid w:val="0057081A"/>
    <w:rsid w:val="00572654"/>
    <w:rsid w:val="0059323B"/>
    <w:rsid w:val="005976A1"/>
    <w:rsid w:val="005B5629"/>
    <w:rsid w:val="005B6B78"/>
    <w:rsid w:val="005C0300"/>
    <w:rsid w:val="005C27A2"/>
    <w:rsid w:val="005D4FEB"/>
    <w:rsid w:val="005F4B6A"/>
    <w:rsid w:val="006010F3"/>
    <w:rsid w:val="00606DB6"/>
    <w:rsid w:val="0061242E"/>
    <w:rsid w:val="00615A0A"/>
    <w:rsid w:val="00626673"/>
    <w:rsid w:val="006333D4"/>
    <w:rsid w:val="006369B2"/>
    <w:rsid w:val="0063718D"/>
    <w:rsid w:val="00647525"/>
    <w:rsid w:val="00647A71"/>
    <w:rsid w:val="00652D9F"/>
    <w:rsid w:val="006570B0"/>
    <w:rsid w:val="0066022F"/>
    <w:rsid w:val="006813BC"/>
    <w:rsid w:val="006823F3"/>
    <w:rsid w:val="00687942"/>
    <w:rsid w:val="0069210B"/>
    <w:rsid w:val="00692AB1"/>
    <w:rsid w:val="00695DD7"/>
    <w:rsid w:val="00695FC2"/>
    <w:rsid w:val="006A4055"/>
    <w:rsid w:val="006A6DA0"/>
    <w:rsid w:val="006A7C27"/>
    <w:rsid w:val="006B2FE4"/>
    <w:rsid w:val="006B37B0"/>
    <w:rsid w:val="006C5641"/>
    <w:rsid w:val="006D1089"/>
    <w:rsid w:val="006D1B86"/>
    <w:rsid w:val="006D7355"/>
    <w:rsid w:val="006F7DEE"/>
    <w:rsid w:val="00715551"/>
    <w:rsid w:val="00715CA6"/>
    <w:rsid w:val="00731135"/>
    <w:rsid w:val="007324AF"/>
    <w:rsid w:val="00740128"/>
    <w:rsid w:val="007409B4"/>
    <w:rsid w:val="00741974"/>
    <w:rsid w:val="00754192"/>
    <w:rsid w:val="0075525E"/>
    <w:rsid w:val="00756D3D"/>
    <w:rsid w:val="007806C2"/>
    <w:rsid w:val="00781FEE"/>
    <w:rsid w:val="007903F8"/>
    <w:rsid w:val="00794F4F"/>
    <w:rsid w:val="007974BE"/>
    <w:rsid w:val="007A0916"/>
    <w:rsid w:val="007A0DFD"/>
    <w:rsid w:val="007B2BC6"/>
    <w:rsid w:val="007B311A"/>
    <w:rsid w:val="007C7122"/>
    <w:rsid w:val="007D3F11"/>
    <w:rsid w:val="007D66E2"/>
    <w:rsid w:val="007E2C69"/>
    <w:rsid w:val="007E53E4"/>
    <w:rsid w:val="007E656A"/>
    <w:rsid w:val="007E7954"/>
    <w:rsid w:val="007F3CAA"/>
    <w:rsid w:val="007F664D"/>
    <w:rsid w:val="00812E67"/>
    <w:rsid w:val="00837203"/>
    <w:rsid w:val="00842137"/>
    <w:rsid w:val="00853F5F"/>
    <w:rsid w:val="008560AC"/>
    <w:rsid w:val="008623ED"/>
    <w:rsid w:val="00864B5A"/>
    <w:rsid w:val="00872559"/>
    <w:rsid w:val="00874AA3"/>
    <w:rsid w:val="00875AA6"/>
    <w:rsid w:val="00880944"/>
    <w:rsid w:val="0089088E"/>
    <w:rsid w:val="00892297"/>
    <w:rsid w:val="008964D6"/>
    <w:rsid w:val="008A0058"/>
    <w:rsid w:val="008B1877"/>
    <w:rsid w:val="008B5123"/>
    <w:rsid w:val="008E0172"/>
    <w:rsid w:val="00900EF1"/>
    <w:rsid w:val="00906CD2"/>
    <w:rsid w:val="009302DE"/>
    <w:rsid w:val="00936852"/>
    <w:rsid w:val="0094045D"/>
    <w:rsid w:val="009406B5"/>
    <w:rsid w:val="00946166"/>
    <w:rsid w:val="009507EC"/>
    <w:rsid w:val="00983164"/>
    <w:rsid w:val="009972EF"/>
    <w:rsid w:val="009B5035"/>
    <w:rsid w:val="009C3160"/>
    <w:rsid w:val="009E766E"/>
    <w:rsid w:val="009F1960"/>
    <w:rsid w:val="009F2C64"/>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84724"/>
    <w:rsid w:val="00A907B3"/>
    <w:rsid w:val="00A971A0"/>
    <w:rsid w:val="00AA1F22"/>
    <w:rsid w:val="00AF5A57"/>
    <w:rsid w:val="00AF735D"/>
    <w:rsid w:val="00B013F3"/>
    <w:rsid w:val="00B024D7"/>
    <w:rsid w:val="00B05821"/>
    <w:rsid w:val="00B100D6"/>
    <w:rsid w:val="00B164C9"/>
    <w:rsid w:val="00B26C28"/>
    <w:rsid w:val="00B30F21"/>
    <w:rsid w:val="00B376D2"/>
    <w:rsid w:val="00B4174C"/>
    <w:rsid w:val="00B453F5"/>
    <w:rsid w:val="00B52046"/>
    <w:rsid w:val="00B532CE"/>
    <w:rsid w:val="00B61624"/>
    <w:rsid w:val="00B66481"/>
    <w:rsid w:val="00B7189C"/>
    <w:rsid w:val="00B718A5"/>
    <w:rsid w:val="00B7465D"/>
    <w:rsid w:val="00B8730A"/>
    <w:rsid w:val="00B90AD6"/>
    <w:rsid w:val="00BA788A"/>
    <w:rsid w:val="00BB4983"/>
    <w:rsid w:val="00BB7597"/>
    <w:rsid w:val="00BC2AAB"/>
    <w:rsid w:val="00BC4C54"/>
    <w:rsid w:val="00BC62E2"/>
    <w:rsid w:val="00BF02DC"/>
    <w:rsid w:val="00BF1C1D"/>
    <w:rsid w:val="00C37820"/>
    <w:rsid w:val="00C42125"/>
    <w:rsid w:val="00C62814"/>
    <w:rsid w:val="00C62BE6"/>
    <w:rsid w:val="00C67B25"/>
    <w:rsid w:val="00C748F7"/>
    <w:rsid w:val="00C74937"/>
    <w:rsid w:val="00CA6409"/>
    <w:rsid w:val="00CB2599"/>
    <w:rsid w:val="00CD15FF"/>
    <w:rsid w:val="00CD2139"/>
    <w:rsid w:val="00CD2497"/>
    <w:rsid w:val="00CD6848"/>
    <w:rsid w:val="00CE1E6E"/>
    <w:rsid w:val="00CE5986"/>
    <w:rsid w:val="00CF34C4"/>
    <w:rsid w:val="00D11885"/>
    <w:rsid w:val="00D40884"/>
    <w:rsid w:val="00D60509"/>
    <w:rsid w:val="00D647EF"/>
    <w:rsid w:val="00D73137"/>
    <w:rsid w:val="00D745B2"/>
    <w:rsid w:val="00D80A58"/>
    <w:rsid w:val="00D977A2"/>
    <w:rsid w:val="00DA05F3"/>
    <w:rsid w:val="00DA1D47"/>
    <w:rsid w:val="00DA6BBA"/>
    <w:rsid w:val="00DC774A"/>
    <w:rsid w:val="00DD50DE"/>
    <w:rsid w:val="00DE3062"/>
    <w:rsid w:val="00E04178"/>
    <w:rsid w:val="00E0581D"/>
    <w:rsid w:val="00E06B01"/>
    <w:rsid w:val="00E204DD"/>
    <w:rsid w:val="00E353EC"/>
    <w:rsid w:val="00E51F61"/>
    <w:rsid w:val="00E53C24"/>
    <w:rsid w:val="00E56E77"/>
    <w:rsid w:val="00E71046"/>
    <w:rsid w:val="00E72E36"/>
    <w:rsid w:val="00E87795"/>
    <w:rsid w:val="00EB444D"/>
    <w:rsid w:val="00ED5B66"/>
    <w:rsid w:val="00EE5C0D"/>
    <w:rsid w:val="00EF4792"/>
    <w:rsid w:val="00F02294"/>
    <w:rsid w:val="00F30DE7"/>
    <w:rsid w:val="00F35F57"/>
    <w:rsid w:val="00F44D3D"/>
    <w:rsid w:val="00F50467"/>
    <w:rsid w:val="00F562A0"/>
    <w:rsid w:val="00F57FA4"/>
    <w:rsid w:val="00F961F4"/>
    <w:rsid w:val="00FA02CB"/>
    <w:rsid w:val="00FA2177"/>
    <w:rsid w:val="00FA4399"/>
    <w:rsid w:val="00FB0783"/>
    <w:rsid w:val="00FB0D88"/>
    <w:rsid w:val="00FB7A8B"/>
    <w:rsid w:val="00FD439E"/>
    <w:rsid w:val="00FD76CB"/>
    <w:rsid w:val="00FE152B"/>
    <w:rsid w:val="00FE239E"/>
    <w:rsid w:val="00FE3437"/>
    <w:rsid w:val="00FF4546"/>
    <w:rsid w:val="00FF538F"/>
    <w:rsid w:val="28EE24EE"/>
    <w:rsid w:val="3B7EA76E"/>
    <w:rsid w:val="6082FC13"/>
    <w:rsid w:val="62953438"/>
    <w:rsid w:val="65C9D526"/>
    <w:rsid w:val="6C4DED91"/>
    <w:rsid w:val="7C7D74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11A80"/>
  <w15:chartTrackingRefBased/>
  <w15:docId w15:val="{73CF30F7-CC25-41EF-A1AA-B6AF270D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D15FF"/>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CD15F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CD15FF"/>
  </w:style>
  <w:style w:type="paragraph" w:customStyle="1" w:styleId="CorrectionSeparatorBegin">
    <w:name w:val="Correction Separator Begin"/>
    <w:basedOn w:val="Normal"/>
    <w:rsid w:val="00CD15F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D15F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CD15F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CD15F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CD15F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CD15F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D15F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CD15FF"/>
    <w:rPr>
      <w:b/>
      <w:bCs/>
    </w:rPr>
  </w:style>
  <w:style w:type="paragraph" w:customStyle="1" w:styleId="Normalbeforetable">
    <w:name w:val="Normal before table"/>
    <w:basedOn w:val="Normal"/>
    <w:rsid w:val="00CD15FF"/>
    <w:pPr>
      <w:keepNext/>
      <w:spacing w:after="120"/>
    </w:pPr>
    <w:rPr>
      <w:rFonts w:eastAsia="????"/>
      <w:lang w:eastAsia="en-US"/>
    </w:rPr>
  </w:style>
  <w:style w:type="paragraph" w:customStyle="1" w:styleId="RecNo">
    <w:name w:val="Rec_No"/>
    <w:basedOn w:val="Normal"/>
    <w:next w:val="Normal"/>
    <w:rsid w:val="00CD15F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CD15F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CD15F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link w:val="TableheadChar"/>
    <w:rsid w:val="00CD15F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D15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D15F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CD15F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CD15FF"/>
    <w:pPr>
      <w:tabs>
        <w:tab w:val="right" w:leader="dot" w:pos="9639"/>
      </w:tabs>
    </w:pPr>
    <w:rPr>
      <w:rFonts w:eastAsia="MS Mincho"/>
    </w:rPr>
  </w:style>
  <w:style w:type="paragraph" w:styleId="TOC1">
    <w:name w:val="toc 1"/>
    <w:basedOn w:val="Normal"/>
    <w:uiPriority w:val="39"/>
    <w:rsid w:val="00CD15F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D15FF"/>
    <w:pPr>
      <w:tabs>
        <w:tab w:val="clear" w:pos="964"/>
      </w:tabs>
      <w:spacing w:before="80"/>
      <w:ind w:left="1531" w:hanging="851"/>
    </w:pPr>
  </w:style>
  <w:style w:type="paragraph" w:styleId="TOC3">
    <w:name w:val="toc 3"/>
    <w:basedOn w:val="TOC2"/>
    <w:rsid w:val="00CD15FF"/>
    <w:pPr>
      <w:ind w:left="2269"/>
    </w:pPr>
  </w:style>
  <w:style w:type="character" w:styleId="Hyperlink">
    <w:name w:val="Hyperlink"/>
    <w:basedOn w:val="DefaultParagraphFont"/>
    <w:rsid w:val="00CD15FF"/>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CD15F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CD15FF"/>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A907B3"/>
    <w:rPr>
      <w:bCs w:val="0"/>
    </w:rPr>
  </w:style>
  <w:style w:type="paragraph" w:customStyle="1" w:styleId="LSForAction">
    <w:name w:val="LSForAction"/>
    <w:basedOn w:val="LSTitle"/>
    <w:next w:val="Normal"/>
    <w:rsid w:val="00A907B3"/>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A907B3"/>
  </w:style>
  <w:style w:type="paragraph" w:customStyle="1" w:styleId="LSForComment">
    <w:name w:val="LSForComment"/>
    <w:basedOn w:val="LSTitle"/>
    <w:next w:val="Normal"/>
    <w:rsid w:val="00A907B3"/>
  </w:style>
  <w:style w:type="paragraph" w:customStyle="1" w:styleId="enumlev1">
    <w:name w:val="enumlev1"/>
    <w:basedOn w:val="Normal"/>
    <w:link w:val="enumlev1Char"/>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A907B3"/>
    <w:rPr>
      <w:bCs w:val="0"/>
    </w:rPr>
  </w:style>
  <w:style w:type="paragraph" w:customStyle="1" w:styleId="LSTitle">
    <w:name w:val="LSTitle"/>
    <w:basedOn w:val="Normal"/>
    <w:next w:val="Normal"/>
    <w:link w:val="LSTitleChar"/>
    <w:rsid w:val="00A907B3"/>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CD15FF"/>
    <w:pPr>
      <w:jc w:val="right"/>
    </w:p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unhideWhenUsed/>
    <w:rsid w:val="00740128"/>
    <w:rPr>
      <w:sz w:val="20"/>
      <w:szCs w:val="20"/>
    </w:rPr>
  </w:style>
  <w:style w:type="character" w:customStyle="1" w:styleId="CommentTextChar">
    <w:name w:val="Comment Text Char"/>
    <w:basedOn w:val="DefaultParagraphFont"/>
    <w:link w:val="CommentText"/>
    <w:uiPriority w:val="99"/>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CD15FF"/>
    <w:rPr>
      <w:rFonts w:ascii="Arial" w:hAnsi="Arial" w:cs="Arial"/>
      <w:sz w:val="18"/>
      <w:szCs w:val="18"/>
    </w:rPr>
  </w:style>
  <w:style w:type="paragraph" w:customStyle="1" w:styleId="Title4">
    <w:name w:val="Title 4"/>
    <w:basedOn w:val="Normal"/>
    <w:next w:val="Heading1"/>
    <w:rsid w:val="00CD15FF"/>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CD15F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link w:val="ListParagraphChar"/>
    <w:uiPriority w:val="34"/>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rsid w:val="00CD15FF"/>
  </w:style>
  <w:style w:type="paragraph" w:customStyle="1" w:styleId="TSBHeaderSource">
    <w:name w:val="TSBHeaderSource"/>
    <w:basedOn w:val="Normal"/>
    <w:rsid w:val="00CD15FF"/>
  </w:style>
  <w:style w:type="paragraph" w:customStyle="1" w:styleId="TSBHeaderTitle">
    <w:name w:val="TSBHeaderTitle"/>
    <w:basedOn w:val="Normal"/>
    <w:rsid w:val="00CD15FF"/>
  </w:style>
  <w:style w:type="paragraph" w:customStyle="1" w:styleId="TSBHeaderSummary">
    <w:name w:val="TSBHeaderSummary"/>
    <w:basedOn w:val="Normal"/>
    <w:rsid w:val="00CD15FF"/>
  </w:style>
  <w:style w:type="paragraph" w:customStyle="1" w:styleId="LSApproval">
    <w:name w:val="LSApproval"/>
    <w:basedOn w:val="LSTitle"/>
    <w:next w:val="Normal"/>
    <w:rsid w:val="00A907B3"/>
    <w:rPr>
      <w:bCs w:val="0"/>
    </w:rPr>
  </w:style>
  <w:style w:type="character" w:customStyle="1" w:styleId="TabletextChar">
    <w:name w:val="Table_text Char"/>
    <w:link w:val="Tabletext"/>
    <w:qFormat/>
    <w:locked/>
    <w:rsid w:val="00687942"/>
    <w:rPr>
      <w:rFonts w:ascii="Times New Roman" w:eastAsia="Times New Roman" w:hAnsi="Times New Roman" w:cs="Times New Roman"/>
      <w:szCs w:val="20"/>
      <w:lang w:val="en-GB" w:eastAsia="en-US"/>
    </w:rPr>
  </w:style>
  <w:style w:type="character" w:customStyle="1" w:styleId="LSTitleChar">
    <w:name w:val="LSTitle Char"/>
    <w:link w:val="LSTitle"/>
    <w:qFormat/>
    <w:rsid w:val="00687942"/>
    <w:rPr>
      <w:rFonts w:ascii="Times New Roman" w:eastAsiaTheme="minorHAnsi" w:hAnsi="Times New Roman" w:cs="Times New Roman"/>
      <w:bCs/>
      <w:sz w:val="24"/>
      <w:szCs w:val="24"/>
      <w:lang w:val="en-GB" w:eastAsia="ja-JP"/>
    </w:rPr>
  </w:style>
  <w:style w:type="table" w:styleId="TableGrid">
    <w:name w:val="Table Grid"/>
    <w:basedOn w:val="TableNormal"/>
    <w:uiPriority w:val="59"/>
    <w:qFormat/>
    <w:rsid w:val="0068794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number">
    <w:name w:val="LSnumber"/>
    <w:basedOn w:val="Normal"/>
    <w:rsid w:val="00687942"/>
    <w:pPr>
      <w:jc w:val="right"/>
    </w:pPr>
    <w:rPr>
      <w:b/>
      <w:bCs/>
      <w:sz w:val="32"/>
      <w:szCs w:val="32"/>
    </w:rPr>
  </w:style>
  <w:style w:type="character" w:customStyle="1" w:styleId="HeadingbChar">
    <w:name w:val="Heading_b Char"/>
    <w:link w:val="Headingb"/>
    <w:qFormat/>
    <w:locked/>
    <w:rsid w:val="00687942"/>
    <w:rPr>
      <w:rFonts w:ascii="Times New Roman" w:hAnsi="Times New Roman" w:cs="Times New Roman"/>
      <w:b/>
      <w:sz w:val="24"/>
      <w:szCs w:val="20"/>
      <w:lang w:val="en-GB" w:eastAsia="ja-JP"/>
    </w:rPr>
  </w:style>
  <w:style w:type="character" w:customStyle="1" w:styleId="ListParagraphChar">
    <w:name w:val="List Paragraph Char"/>
    <w:basedOn w:val="DefaultParagraphFont"/>
    <w:link w:val="ListParagraph"/>
    <w:uiPriority w:val="34"/>
    <w:qFormat/>
    <w:rsid w:val="00687942"/>
    <w:rPr>
      <w:rFonts w:ascii="Times New Roman" w:hAnsi="Times New Roman" w:cs="Times New Roman"/>
      <w:sz w:val="24"/>
      <w:szCs w:val="24"/>
      <w:lang w:val="en-GB" w:eastAsia="ja-JP"/>
    </w:rPr>
  </w:style>
  <w:style w:type="character" w:customStyle="1" w:styleId="TableheadChar">
    <w:name w:val="Table_head Char"/>
    <w:link w:val="Tablehead"/>
    <w:rsid w:val="00687942"/>
    <w:rPr>
      <w:rFonts w:ascii="Times New Roman" w:eastAsia="Times New Roman" w:hAnsi="Times New Roman" w:cs="Times New Roman"/>
      <w:b/>
      <w:szCs w:val="20"/>
      <w:lang w:val="en-GB" w:eastAsia="en-US"/>
    </w:rPr>
  </w:style>
  <w:style w:type="paragraph" w:customStyle="1" w:styleId="TSBHeaderRight14">
    <w:name w:val="TSBHeaderRight14"/>
    <w:basedOn w:val="Normal"/>
    <w:rsid w:val="00CD15FF"/>
    <w:pPr>
      <w:jc w:val="right"/>
    </w:pPr>
    <w:rPr>
      <w:b/>
      <w:bCs/>
      <w:sz w:val="28"/>
      <w:szCs w:val="28"/>
    </w:rPr>
  </w:style>
  <w:style w:type="character" w:customStyle="1" w:styleId="enumlev1Char">
    <w:name w:val="enumlev1 Char"/>
    <w:link w:val="enumlev1"/>
    <w:qFormat/>
    <w:rsid w:val="00B7465D"/>
    <w:rPr>
      <w:rFonts w:ascii="Times New Roman" w:eastAsia="Times New Roman" w:hAnsi="Times New Roman" w:cs="Times New Roman"/>
      <w:sz w:val="24"/>
      <w:szCs w:val="20"/>
      <w:lang w:val="en-GB" w:eastAsia="en-US"/>
    </w:rPr>
  </w:style>
  <w:style w:type="paragraph" w:customStyle="1" w:styleId="Questionhistory">
    <w:name w:val="Question_history"/>
    <w:basedOn w:val="Normal"/>
    <w:uiPriority w:val="99"/>
    <w:rsid w:val="00B7465D"/>
    <w:rPr>
      <w:rFonts w:eastAsiaTheme="minorHAnsi"/>
    </w:rPr>
  </w:style>
  <w:style w:type="paragraph" w:customStyle="1" w:styleId="Head">
    <w:name w:val="Head"/>
    <w:basedOn w:val="Normal"/>
    <w:rsid w:val="00B7465D"/>
    <w:pPr>
      <w:tabs>
        <w:tab w:val="left" w:pos="6663"/>
      </w:tabs>
      <w:spacing w:before="0"/>
    </w:pPr>
    <w:rPr>
      <w:rFonts w:eastAsia="Batang"/>
    </w:rPr>
  </w:style>
  <w:style w:type="paragraph" w:customStyle="1" w:styleId="toc0">
    <w:name w:val="toc 0"/>
    <w:basedOn w:val="Normal"/>
    <w:next w:val="TOC1"/>
    <w:rsid w:val="00CD15FF"/>
    <w:pPr>
      <w:tabs>
        <w:tab w:val="right" w:pos="9639"/>
      </w:tabs>
      <w:overflowPunct w:val="0"/>
      <w:autoSpaceDE w:val="0"/>
      <w:autoSpaceDN w:val="0"/>
      <w:adjustRightInd w:val="0"/>
      <w:textAlignment w:val="baseline"/>
    </w:pPr>
    <w:rPr>
      <w:rFonts w:eastAsia="Times New Roman"/>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gkang@etri.re.kr" TargetMode="External"/><Relationship Id="rId18" Type="http://schemas.openxmlformats.org/officeDocument/2006/relationships/hyperlink" Target="https://www.itu.int/en/ITU-T/focusgroups/mv/Documents/List%20of%20FG-MV%20deliverables/FGMV-18.pdf" TargetMode="External"/><Relationship Id="rId26" Type="http://schemas.openxmlformats.org/officeDocument/2006/relationships/image" Target="media/image2.png"/><Relationship Id="rId39" Type="http://schemas.openxmlformats.org/officeDocument/2006/relationships/theme" Target="theme/theme1.xml"/><Relationship Id="rId21" Type="http://schemas.openxmlformats.org/officeDocument/2006/relationships/hyperlink" Target="https://www.itu.int/en/ITU-T/focusgroups/mv/Documents/List%20of%20FG-MV%20deliverables/FGMV-05.pdf" TargetMode="External"/><Relationship Id="rId34" Type="http://schemas.openxmlformats.org/officeDocument/2006/relationships/hyperlink" Target="https://extranet.itu.int/sites/itu-t/focusgroups/mv/wg/SitePages/Working-Group-8.aspx" TargetMode="External"/><Relationship Id="rId7" Type="http://schemas.openxmlformats.org/officeDocument/2006/relationships/webSettings" Target="webSettings.xml"/><Relationship Id="rId12" Type="http://schemas.openxmlformats.org/officeDocument/2006/relationships/hyperlink" Target="mailto:noahluozz@gmail.com" TargetMode="External"/><Relationship Id="rId17" Type="http://schemas.openxmlformats.org/officeDocument/2006/relationships/hyperlink" Target="mailto:sgkang@etri.re.kr" TargetMode="External"/><Relationship Id="rId25" Type="http://schemas.openxmlformats.org/officeDocument/2006/relationships/hyperlink" Target="https://extranet.itu.int/sites/itu-t/focusgroups/mv/wg/SitePages/Working-Group-1.aspx" TargetMode="External"/><Relationship Id="rId33" Type="http://schemas.openxmlformats.org/officeDocument/2006/relationships/hyperlink" Target="https://extranet.itu.int/sites/itu-t/focusgroups/mv/wg/SitePages/Working-Group-7.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oahluozz@gmail.com" TargetMode="External"/><Relationship Id="rId20" Type="http://schemas.openxmlformats.org/officeDocument/2006/relationships/hyperlink" Target="https://www.itu.int/en/ITU-T/focusgroups/mv/Documents/List%20of%20FG-MV%20deliverables/FGMV-04.pdf" TargetMode="External"/><Relationship Id="rId29" Type="http://schemas.openxmlformats.org/officeDocument/2006/relationships/hyperlink" Target="https://extranet.itu.int/sites/itu-t/focusgroups/mv/wg/SitePages/Working-Group-3.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7-sg16-oLS-00153.docx" TargetMode="External"/><Relationship Id="rId24" Type="http://schemas.openxmlformats.org/officeDocument/2006/relationships/hyperlink" Target="https://www.itu.int/en/ITU-T/focusgroups/mv/Documents/List%20of%20FG-MV%20deliverables/FGMV-02.pdf" TargetMode="External"/><Relationship Id="rId32" Type="http://schemas.openxmlformats.org/officeDocument/2006/relationships/hyperlink" Target="https://extranet.itu.int/sites/itu-t/focusgroups/mv/wg/SitePages/Working-Group-6.aspx" TargetMode="External"/><Relationship Id="rId37"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handle.itu.int/11.1002/ls/sp17-sg16-oLS-00153.docx" TargetMode="External"/><Relationship Id="rId23" Type="http://schemas.openxmlformats.org/officeDocument/2006/relationships/hyperlink" Target="https://www.itu.int/en/ITU-T/focusgroups/mv/Documents/List%20of%20FG-MV%20deliverables/FGMV-21.pdf" TargetMode="External"/><Relationship Id="rId28" Type="http://schemas.openxmlformats.org/officeDocument/2006/relationships/hyperlink" Target="https://extranet.itu.int/sites/itu-t/focusgroups/mv/wg/SitePages/Working-Group-2.aspx" TargetMode="External"/><Relationship Id="rId36" Type="http://schemas.openxmlformats.org/officeDocument/2006/relationships/hyperlink" Target="mailto:t22sg16ahgmv@lists.itu.int" TargetMode="External"/><Relationship Id="rId10" Type="http://schemas.openxmlformats.org/officeDocument/2006/relationships/image" Target="media/image1.png"/><Relationship Id="rId19" Type="http://schemas.openxmlformats.org/officeDocument/2006/relationships/hyperlink" Target="https://www.itu.int/en/ITU-T/focusgroups/mv/Documents/List%20of%20FG-MV%20deliverables/FGMV-19.pdf" TargetMode="External"/><Relationship Id="rId31" Type="http://schemas.openxmlformats.org/officeDocument/2006/relationships/hyperlink" Target="https://extranet.itu.int/sites/itu-t/focusgroups/mv/wg/SitePages/Working-Group-4.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ifa/t/2022/ls/tsag/sp17-tsag-oLS-00035.docx" TargetMode="External"/><Relationship Id="rId22" Type="http://schemas.openxmlformats.org/officeDocument/2006/relationships/hyperlink" Target="http://handle.itu.int/11.1002/pub/82047d78-en" TargetMode="External"/><Relationship Id="rId27" Type="http://schemas.openxmlformats.org/officeDocument/2006/relationships/image" Target="media/image3.svg"/><Relationship Id="rId30" Type="http://schemas.openxmlformats.org/officeDocument/2006/relationships/hyperlink" Target="https://extranet.itu.int/sites/itu-t/focusgroups/mv/wg/SitePages/Working-Group-4.aspx" TargetMode="External"/><Relationship Id="rId35" Type="http://schemas.openxmlformats.org/officeDocument/2006/relationships/hyperlink" Target="https://extranet.itu.int/sites/itu-t/focusgroups/mv/wg/SitePages/Working-Group-9.aspx"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7" ma:contentTypeDescription="Create a new document." ma:contentTypeScope="" ma:versionID="0658a6bb24864c4bb377cd65e9bdb918">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c20f1d6c9eee58f8db42e35393c13046"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00821693-a2f2-4497-a909-07460881c924"/>
    <ds:schemaRef ds:uri="2dfbb2a9-9046-4b7d-bc0f-b7b915b8a872"/>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52356320-44E5-46F4-A6DC-C63B90952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3943</Words>
  <Characters>22478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Liaison Statement - Unformatted template (T21)</vt:lpstr>
    </vt:vector>
  </TitlesOfParts>
  <Manager>ITU-T</Manager>
  <Company>International Telecommunication Union (ITU)</Company>
  <LinksUpToDate>false</LinksUpToDate>
  <CharactersWithSpaces>26369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the allocation of deliverables from FG-MV and on metaverse-related issues (TSAG-LS35) [to ITU FG-MV and TSAG]</dc:title>
  <dc:subject/>
  <dc:creator>ITU-T Study Group 16</dc:creator>
  <cp:keywords/>
  <dc:description>SG16-LS153  For: Rennes, 15-26 April 2024_x000d_Document date: _x000d_Saved by ITU51017702 at 2:43:21 PM on 5/1/2024</dc:description>
  <cp:lastModifiedBy>Al-Mnini, Lara</cp:lastModifiedBy>
  <cp:revision>3</cp:revision>
  <cp:lastPrinted>2016-12-23T12:52:00Z</cp:lastPrinted>
  <dcterms:created xsi:type="dcterms:W3CDTF">2024-05-01T14:16:00Z</dcterms:created>
  <dcterms:modified xsi:type="dcterms:W3CDTF">2024-05-01T14:18:00Z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y fmtid="{D5CDD505-2E9C-101B-9397-08002B2CF9AE}" pid="3" name="MediaServiceImageTags">
    <vt:lpwstr/>
  </property>
  <property fmtid="{D5CDD505-2E9C-101B-9397-08002B2CF9AE}" pid="4" name="Docnum">
    <vt:lpwstr>SG16-LS153</vt:lpwstr>
  </property>
  <property fmtid="{D5CDD505-2E9C-101B-9397-08002B2CF9AE}" pid="5" name="Docdate">
    <vt:lpwstr/>
  </property>
  <property fmtid="{D5CDD505-2E9C-101B-9397-08002B2CF9AE}" pid="6" name="Docorlang">
    <vt:lpwstr/>
  </property>
  <property fmtid="{D5CDD505-2E9C-101B-9397-08002B2CF9AE}" pid="7" name="Docbluepink">
    <vt:lpwstr>All/16</vt:lpwstr>
  </property>
  <property fmtid="{D5CDD505-2E9C-101B-9397-08002B2CF9AE}" pid="8" name="Docdest">
    <vt:lpwstr>Rennes, 15-26 April 2024</vt:lpwstr>
  </property>
  <property fmtid="{D5CDD505-2E9C-101B-9397-08002B2CF9AE}" pid="9" name="Docauthor">
    <vt:lpwstr>ITU-T Study Group 16</vt:lpwstr>
  </property>
</Properties>
</file>