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A87AF0" w14:paraId="40F2DE96" w14:textId="77777777" w:rsidTr="009F363E">
        <w:trPr>
          <w:cantSplit/>
        </w:trPr>
        <w:tc>
          <w:tcPr>
            <w:tcW w:w="1191" w:type="dxa"/>
            <w:vMerge w:val="restart"/>
            <w:vAlign w:val="center"/>
          </w:tcPr>
          <w:p w14:paraId="14BEC47C" w14:textId="77777777" w:rsidR="00A87AF0" w:rsidRDefault="00A87AF0" w:rsidP="009F363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651B917" wp14:editId="08364A33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5847B3F" w14:textId="77777777" w:rsidR="00A87AF0" w:rsidRDefault="00A87AF0" w:rsidP="009F363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679148C" w14:textId="77777777" w:rsidR="00A87AF0" w:rsidRDefault="00A87AF0" w:rsidP="009F363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E163805" w14:textId="77777777" w:rsidR="00A87AF0" w:rsidRDefault="00A87AF0" w:rsidP="009F363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556FE6B7" w14:textId="77777777" w:rsidR="00A87AF0" w:rsidRDefault="00A87AF0" w:rsidP="009F363E">
            <w:pPr>
              <w:pStyle w:val="Docnumber"/>
            </w:pPr>
            <w:r>
              <w:t>TSAG-</w:t>
            </w:r>
            <w:proofErr w:type="spellStart"/>
            <w:r>
              <w:t>TD565</w:t>
            </w:r>
            <w:proofErr w:type="spellEnd"/>
          </w:p>
        </w:tc>
      </w:tr>
      <w:tr w:rsidR="00A87AF0" w14:paraId="4953E532" w14:textId="77777777" w:rsidTr="009F363E">
        <w:trPr>
          <w:cantSplit/>
          <w:trHeight w:val="461"/>
        </w:trPr>
        <w:tc>
          <w:tcPr>
            <w:tcW w:w="1191" w:type="dxa"/>
            <w:vMerge/>
          </w:tcPr>
          <w:p w14:paraId="4051EDBE" w14:textId="77777777" w:rsidR="00A87AF0" w:rsidRDefault="00A87AF0" w:rsidP="009F363E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221A7648" w14:textId="77777777" w:rsidR="00A87AF0" w:rsidRDefault="00A87AF0" w:rsidP="009F363E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C385CFA" w14:textId="77777777" w:rsidR="00A87AF0" w:rsidRDefault="00A87AF0" w:rsidP="009F363E">
            <w:pPr>
              <w:pStyle w:val="TSBHeaderRight14"/>
            </w:pPr>
            <w:r>
              <w:t>TSAG</w:t>
            </w:r>
          </w:p>
        </w:tc>
      </w:tr>
      <w:tr w:rsidR="00A87AF0" w14:paraId="7220764B" w14:textId="77777777" w:rsidTr="009F363E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28C8B1A" w14:textId="77777777" w:rsidR="00A87AF0" w:rsidRDefault="00A87AF0" w:rsidP="009F363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54C1396A" w14:textId="77777777" w:rsidR="00A87AF0" w:rsidRDefault="00A87AF0" w:rsidP="009F363E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3C4709A" w14:textId="77777777" w:rsidR="00A87AF0" w:rsidRDefault="00A87AF0" w:rsidP="009F363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A87AF0" w14:paraId="2B3C0D3A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62671DD8" w14:textId="77777777" w:rsidR="00A87AF0" w:rsidRDefault="00A87AF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8F0D863" w14:textId="4334AC74" w:rsidR="00A87AF0" w:rsidRDefault="0094345F" w:rsidP="009F363E">
            <w:pPr>
              <w:pStyle w:val="TSBHeaderQuestion"/>
            </w:pPr>
            <w:r>
              <w:t>N/A</w:t>
            </w:r>
          </w:p>
        </w:tc>
        <w:tc>
          <w:tcPr>
            <w:tcW w:w="3345" w:type="dxa"/>
          </w:tcPr>
          <w:p w14:paraId="3AAA1D8A" w14:textId="77777777" w:rsidR="00A87AF0" w:rsidRDefault="00A87AF0" w:rsidP="009F363E">
            <w:pPr>
              <w:pStyle w:val="VenueDate"/>
            </w:pPr>
            <w:r>
              <w:t>Geneva, 29 July - 2 August 2024</w:t>
            </w:r>
          </w:p>
        </w:tc>
      </w:tr>
      <w:tr w:rsidR="00A87AF0" w14:paraId="1D8C06D9" w14:textId="77777777" w:rsidTr="009F363E">
        <w:trPr>
          <w:cantSplit/>
          <w:trHeight w:val="357"/>
        </w:trPr>
        <w:tc>
          <w:tcPr>
            <w:tcW w:w="9639" w:type="dxa"/>
            <w:gridSpan w:val="5"/>
          </w:tcPr>
          <w:p w14:paraId="39D43899" w14:textId="3A91AB70" w:rsidR="00A87AF0" w:rsidRDefault="00A87AF0" w:rsidP="009F363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4345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SG2-</w:t>
              </w:r>
              <w:proofErr w:type="spellStart"/>
              <w:r>
                <w:rPr>
                  <w:rStyle w:val="Hyperlink"/>
                </w:rPr>
                <w:t>LS102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A87AF0" w14:paraId="1EB37634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1FEF6E54" w14:textId="77777777" w:rsidR="00A87AF0" w:rsidRDefault="00A87AF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3F684889" w14:textId="77777777" w:rsidR="00A87AF0" w:rsidRDefault="00A87AF0" w:rsidP="009F363E">
            <w:pPr>
              <w:pStyle w:val="TSBHeaderSource"/>
            </w:pPr>
            <w:r>
              <w:t>ITU-T Study Group 2</w:t>
            </w:r>
          </w:p>
        </w:tc>
      </w:tr>
      <w:tr w:rsidR="00A87AF0" w14:paraId="188FA722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65CA78D6" w14:textId="77777777" w:rsidR="00A87AF0" w:rsidRDefault="00A87AF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238AA2AE" w14:textId="2FCA2C08" w:rsidR="00A87AF0" w:rsidRDefault="00A87AF0" w:rsidP="009F363E">
            <w:pPr>
              <w:pStyle w:val="TSBHeaderTitle"/>
            </w:pPr>
            <w:r>
              <w:t xml:space="preserve">LS/r on Further review of draft Recommendation ITU-T </w:t>
            </w:r>
            <w:proofErr w:type="spellStart"/>
            <w:r>
              <w:t>A.RA</w:t>
            </w:r>
            <w:proofErr w:type="spellEnd"/>
            <w:r>
              <w:t xml:space="preserve"> "Appointment and operations of registration authorities" (reply to TSAG-</w:t>
            </w:r>
            <w:proofErr w:type="spellStart"/>
            <w:r>
              <w:t>LS37</w:t>
            </w:r>
            <w:proofErr w:type="spellEnd"/>
            <w:r>
              <w:t>)</w:t>
            </w:r>
            <w:r w:rsidR="0094345F">
              <w:t xml:space="preserve"> [from ITU-T SG2]</w:t>
            </w:r>
          </w:p>
        </w:tc>
      </w:tr>
      <w:tr w:rsidR="00A87AF0" w14:paraId="073339AA" w14:textId="77777777" w:rsidTr="009F363E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5A0B867C" w14:textId="77777777" w:rsidR="00A87AF0" w:rsidRDefault="00A87AF0" w:rsidP="009F363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87AF0" w14:paraId="4E4F71E5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5337D07A" w14:textId="77777777" w:rsidR="00A87AF0" w:rsidRDefault="00A87AF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1F45A81F" w14:textId="77777777" w:rsidR="00A87AF0" w:rsidRDefault="00A87AF0" w:rsidP="009F363E">
            <w:r>
              <w:t>TSAG</w:t>
            </w:r>
          </w:p>
        </w:tc>
      </w:tr>
      <w:tr w:rsidR="00A87AF0" w14:paraId="6C5885B9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58D146B7" w14:textId="77777777" w:rsidR="00A87AF0" w:rsidRDefault="00A87AF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6F92C33A" w14:textId="77777777" w:rsidR="00A87AF0" w:rsidRDefault="00A87AF0" w:rsidP="009F363E">
            <w:r>
              <w:t>-</w:t>
            </w:r>
          </w:p>
        </w:tc>
      </w:tr>
      <w:tr w:rsidR="00A87AF0" w14:paraId="363737D6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1B0EFB93" w14:textId="77777777" w:rsidR="00A87AF0" w:rsidRDefault="00A87AF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8D60980" w14:textId="77777777" w:rsidR="00A87AF0" w:rsidRDefault="00A87AF0" w:rsidP="009F363E">
            <w:r>
              <w:t>ITU-T Study Group 2 management (19 April 2024, by correspondence)</w:t>
            </w:r>
          </w:p>
        </w:tc>
      </w:tr>
      <w:tr w:rsidR="00A87AF0" w14:paraId="39D4CC42" w14:textId="77777777" w:rsidTr="009F363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F65D964" w14:textId="77777777" w:rsidR="00A87AF0" w:rsidRDefault="00A87AF0" w:rsidP="009F363E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0151CA91" w14:textId="77777777" w:rsidR="00A87AF0" w:rsidRDefault="00A87AF0" w:rsidP="009F363E">
            <w:r>
              <w:t>-</w:t>
            </w:r>
          </w:p>
        </w:tc>
      </w:tr>
      <w:tr w:rsidR="00A87AF0" w:rsidRPr="0094345F" w14:paraId="469B799F" w14:textId="77777777" w:rsidTr="009F363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3ACC091" w14:textId="77777777" w:rsidR="00A87AF0" w:rsidRDefault="00A87AF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5644FA6" w14:textId="464B5922" w:rsidR="00A87AF0" w:rsidRDefault="00A87AF0" w:rsidP="0094345F">
            <w:r>
              <w:t>Phil Rushton</w:t>
            </w:r>
            <w:r>
              <w:br/>
              <w:t>UK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74504607" w14:textId="78083ED6" w:rsidR="00A87AF0" w:rsidRPr="00CD3993" w:rsidRDefault="00A87AF0" w:rsidP="0094345F">
            <w:pPr>
              <w:rPr>
                <w:lang w:val="de-DE"/>
              </w:rPr>
            </w:pPr>
            <w:r w:rsidRPr="00CD3993">
              <w:rPr>
                <w:lang w:val="de-DE"/>
              </w:rPr>
              <w:t>Tel:+44 1206 729738</w:t>
            </w:r>
            <w:r w:rsidRPr="00CD3993">
              <w:rPr>
                <w:lang w:val="de-DE"/>
              </w:rPr>
              <w:br/>
              <w:t xml:space="preserve">E-mail: </w:t>
            </w:r>
            <w:r w:rsidR="0094345F">
              <w:rPr>
                <w:lang w:val="de-DE"/>
              </w:rPr>
              <w:fldChar w:fldCharType="begin"/>
            </w:r>
            <w:r w:rsidR="0094345F">
              <w:rPr>
                <w:lang w:val="de-DE"/>
              </w:rPr>
              <w:instrText>HYPERLINK "mailto:</w:instrText>
            </w:r>
            <w:r w:rsidR="0094345F" w:rsidRPr="00CD3993">
              <w:rPr>
                <w:lang w:val="de-DE"/>
              </w:rPr>
              <w:instrText>philrushton@rcc-uk.uk</w:instrText>
            </w:r>
            <w:r w:rsidR="0094345F">
              <w:rPr>
                <w:lang w:val="de-DE"/>
              </w:rPr>
              <w:instrText>"</w:instrText>
            </w:r>
            <w:r w:rsidR="0094345F">
              <w:rPr>
                <w:lang w:val="de-DE"/>
              </w:rPr>
              <w:fldChar w:fldCharType="separate"/>
            </w:r>
            <w:r w:rsidR="0094345F" w:rsidRPr="007A0864">
              <w:rPr>
                <w:rStyle w:val="Hyperlink"/>
                <w:lang w:val="de-DE"/>
              </w:rPr>
              <w:t>philrushton@rcc-uk.uk</w:t>
            </w:r>
            <w:r w:rsidR="0094345F">
              <w:rPr>
                <w:lang w:val="de-DE"/>
              </w:rPr>
              <w:fldChar w:fldCharType="end"/>
            </w:r>
            <w:r w:rsidR="0094345F">
              <w:rPr>
                <w:lang w:val="de-DE"/>
              </w:rPr>
              <w:t xml:space="preserve"> </w:t>
            </w:r>
          </w:p>
        </w:tc>
      </w:tr>
    </w:tbl>
    <w:p w14:paraId="5595A4FF" w14:textId="77777777" w:rsidR="00A87AF0" w:rsidRPr="00CD3993" w:rsidRDefault="00A87AF0" w:rsidP="00A87AF0">
      <w:pPr>
        <w:rPr>
          <w:lang w:val="de-DE"/>
        </w:rPr>
      </w:pPr>
    </w:p>
    <w:p w14:paraId="1844F03C" w14:textId="77777777" w:rsidR="00A87AF0" w:rsidRDefault="00A87AF0" w:rsidP="00A87AF0">
      <w:r>
        <w:t xml:space="preserve">This liaison statement answers </w:t>
      </w:r>
      <w:hyperlink r:id="rId12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LS37</w:t>
        </w:r>
        <w:proofErr w:type="spellEnd"/>
      </w:hyperlink>
      <w:r>
        <w:t>.</w:t>
      </w:r>
    </w:p>
    <w:p w14:paraId="27C0F295" w14:textId="77777777" w:rsidR="00A87AF0" w:rsidRDefault="00A87AF0" w:rsidP="00A87AF0"/>
    <w:p w14:paraId="30270E3B" w14:textId="77777777" w:rsidR="00A87AF0" w:rsidRDefault="00A87AF0" w:rsidP="00A87AF0">
      <w:r>
        <w:t>A new liaison statement has been received from SG2.</w:t>
      </w:r>
    </w:p>
    <w:p w14:paraId="6559A793" w14:textId="77777777" w:rsidR="00A87AF0" w:rsidRDefault="00A87AF0" w:rsidP="00A87AF0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http://handle.itu.int/11.1002/ls/sp17-sg2-oLS-00102.docx</w:t>
        </w:r>
      </w:hyperlink>
      <w:r>
        <w:t>.</w:t>
      </w:r>
    </w:p>
    <w:p w14:paraId="3B7EB0CF" w14:textId="77777777" w:rsidR="00A87AF0" w:rsidRDefault="00A87AF0" w:rsidP="00A87AF0">
      <w:pPr>
        <w:spacing w:before="0"/>
        <w:jc w:val="center"/>
      </w:pPr>
    </w:p>
    <w:p w14:paraId="34E1AD42" w14:textId="77777777" w:rsidR="00A87AF0" w:rsidRDefault="00A87AF0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48"/>
        <w:gridCol w:w="7"/>
        <w:gridCol w:w="608"/>
        <w:gridCol w:w="3279"/>
        <w:gridCol w:w="139"/>
        <w:gridCol w:w="4026"/>
      </w:tblGrid>
      <w:tr w:rsidR="000816C1" w:rsidRPr="000816C1" w14:paraId="71C19723" w14:textId="77777777" w:rsidTr="000816C1">
        <w:trPr>
          <w:cantSplit/>
        </w:trPr>
        <w:tc>
          <w:tcPr>
            <w:tcW w:w="1132" w:type="dxa"/>
            <w:vMerge w:val="restart"/>
            <w:vAlign w:val="center"/>
          </w:tcPr>
          <w:p w14:paraId="77AE3B9D" w14:textId="5F00985A" w:rsidR="000816C1" w:rsidRPr="000816C1" w:rsidRDefault="000816C1" w:rsidP="000816C1">
            <w:pPr>
              <w:spacing w:before="0"/>
              <w:jc w:val="center"/>
              <w:rPr>
                <w:sz w:val="20"/>
                <w:szCs w:val="20"/>
              </w:rPr>
            </w:pPr>
            <w:r w:rsidRPr="000816C1">
              <w:rPr>
                <w:noProof/>
              </w:rPr>
              <w:lastRenderedPageBreak/>
              <w:drawing>
                <wp:inline distT="0" distB="0" distL="0" distR="0" wp14:anchorId="795675F0" wp14:editId="04F762F7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231E78C" w14:textId="77777777" w:rsidR="000816C1" w:rsidRPr="000816C1" w:rsidRDefault="000816C1" w:rsidP="000816C1">
            <w:pPr>
              <w:rPr>
                <w:sz w:val="16"/>
                <w:szCs w:val="16"/>
              </w:rPr>
            </w:pPr>
            <w:r w:rsidRPr="000816C1">
              <w:rPr>
                <w:sz w:val="16"/>
                <w:szCs w:val="16"/>
              </w:rPr>
              <w:t>INTERNATIONAL TELECOMMUNICATION UNION</w:t>
            </w:r>
          </w:p>
          <w:p w14:paraId="7F8CED40" w14:textId="77777777" w:rsidR="000816C1" w:rsidRPr="000816C1" w:rsidRDefault="000816C1" w:rsidP="000816C1">
            <w:pPr>
              <w:rPr>
                <w:b/>
                <w:bCs/>
                <w:sz w:val="26"/>
                <w:szCs w:val="26"/>
              </w:rPr>
            </w:pPr>
            <w:r w:rsidRPr="000816C1">
              <w:rPr>
                <w:b/>
                <w:bCs/>
                <w:sz w:val="26"/>
                <w:szCs w:val="26"/>
              </w:rPr>
              <w:t>TELECOMMUNICATION</w:t>
            </w:r>
            <w:r w:rsidRPr="000816C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76B925" w14:textId="77777777" w:rsidR="000816C1" w:rsidRPr="000816C1" w:rsidRDefault="000816C1" w:rsidP="000816C1">
            <w:pPr>
              <w:rPr>
                <w:sz w:val="20"/>
                <w:szCs w:val="20"/>
              </w:rPr>
            </w:pPr>
            <w:r w:rsidRPr="000816C1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0816C1">
              <w:rPr>
                <w:sz w:val="20"/>
              </w:rPr>
              <w:t>2022</w:t>
            </w:r>
            <w:r w:rsidRPr="000816C1">
              <w:rPr>
                <w:sz w:val="20"/>
                <w:szCs w:val="20"/>
              </w:rPr>
              <w:t>-</w:t>
            </w:r>
            <w:r w:rsidRPr="000816C1">
              <w:rPr>
                <w:sz w:val="20"/>
              </w:rPr>
              <w:t>2024</w:t>
            </w:r>
            <w:bookmarkEnd w:id="4"/>
          </w:p>
        </w:tc>
        <w:tc>
          <w:tcPr>
            <w:tcW w:w="4026" w:type="dxa"/>
            <w:vAlign w:val="center"/>
          </w:tcPr>
          <w:p w14:paraId="51A994E3" w14:textId="06FC4F72" w:rsidR="000816C1" w:rsidRPr="00A87AF0" w:rsidRDefault="000816C1" w:rsidP="00A87AF0">
            <w:pPr>
              <w:jc w:val="right"/>
              <w:rPr>
                <w:b/>
                <w:sz w:val="28"/>
              </w:rPr>
            </w:pPr>
            <w:r w:rsidRPr="00A87AF0">
              <w:rPr>
                <w:b/>
                <w:sz w:val="28"/>
              </w:rPr>
              <w:t>SG2-</w:t>
            </w:r>
            <w:proofErr w:type="spellStart"/>
            <w:r w:rsidRPr="00A87AF0">
              <w:rPr>
                <w:b/>
                <w:sz w:val="28"/>
              </w:rPr>
              <w:t>LS102</w:t>
            </w:r>
            <w:proofErr w:type="spellEnd"/>
          </w:p>
        </w:tc>
      </w:tr>
      <w:tr w:rsidR="000816C1" w:rsidRPr="000816C1" w14:paraId="3B20424A" w14:textId="77777777" w:rsidTr="000816C1">
        <w:trPr>
          <w:cantSplit/>
        </w:trPr>
        <w:tc>
          <w:tcPr>
            <w:tcW w:w="1132" w:type="dxa"/>
            <w:vMerge/>
          </w:tcPr>
          <w:p w14:paraId="2AD00F47" w14:textId="77777777" w:rsidR="000816C1" w:rsidRPr="000816C1" w:rsidRDefault="000816C1" w:rsidP="000816C1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0AE6F07C" w14:textId="77777777" w:rsidR="000816C1" w:rsidRPr="000816C1" w:rsidRDefault="000816C1" w:rsidP="000816C1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8A488C8" w14:textId="10F351B5" w:rsidR="000816C1" w:rsidRPr="000816C1" w:rsidRDefault="000816C1" w:rsidP="000816C1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2</w:t>
            </w:r>
          </w:p>
        </w:tc>
      </w:tr>
      <w:bookmarkEnd w:id="5"/>
      <w:tr w:rsidR="000816C1" w:rsidRPr="000816C1" w14:paraId="05E4A7C3" w14:textId="77777777" w:rsidTr="000816C1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F9BDE5B" w14:textId="77777777" w:rsidR="000816C1" w:rsidRPr="000816C1" w:rsidRDefault="000816C1" w:rsidP="000816C1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9AE4237" w14:textId="77777777" w:rsidR="000816C1" w:rsidRPr="000816C1" w:rsidRDefault="000816C1" w:rsidP="000816C1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2D2F2D2B" w14:textId="77777777" w:rsidR="000816C1" w:rsidRPr="000816C1" w:rsidRDefault="000816C1" w:rsidP="000816C1">
            <w:pPr>
              <w:pStyle w:val="TSBHeaderRight14"/>
            </w:pPr>
            <w:r w:rsidRPr="000816C1">
              <w:t>Original: English</w:t>
            </w:r>
          </w:p>
        </w:tc>
      </w:tr>
      <w:tr w:rsidR="000816C1" w:rsidRPr="000816C1" w14:paraId="6B8F1144" w14:textId="77777777" w:rsidTr="000816C1">
        <w:trPr>
          <w:cantSplit/>
        </w:trPr>
        <w:tc>
          <w:tcPr>
            <w:tcW w:w="1587" w:type="dxa"/>
            <w:gridSpan w:val="3"/>
          </w:tcPr>
          <w:p w14:paraId="30048EDA" w14:textId="77777777" w:rsidR="000816C1" w:rsidRPr="000816C1" w:rsidRDefault="000816C1" w:rsidP="000816C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0816C1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39E8FEB6" w14:textId="43CDBC90" w:rsidR="000816C1" w:rsidRPr="000816C1" w:rsidRDefault="000816C1" w:rsidP="000816C1">
            <w:pPr>
              <w:pStyle w:val="TSBHeaderQuestion"/>
            </w:pPr>
            <w:r w:rsidRPr="000816C1">
              <w:t>1/2</w:t>
            </w:r>
          </w:p>
        </w:tc>
        <w:tc>
          <w:tcPr>
            <w:tcW w:w="4026" w:type="dxa"/>
          </w:tcPr>
          <w:p w14:paraId="3A806AD4" w14:textId="46C7A998" w:rsidR="000816C1" w:rsidRPr="000816C1" w:rsidRDefault="000816C1" w:rsidP="000816C1">
            <w:pPr>
              <w:pStyle w:val="VenueDate"/>
            </w:pPr>
            <w:r w:rsidRPr="000816C1">
              <w:t>Geneva, 19-28 June 2024</w:t>
            </w:r>
          </w:p>
        </w:tc>
      </w:tr>
      <w:tr w:rsidR="000816C1" w:rsidRPr="000816C1" w14:paraId="25A5FEB8" w14:textId="77777777" w:rsidTr="005F7827">
        <w:trPr>
          <w:cantSplit/>
        </w:trPr>
        <w:tc>
          <w:tcPr>
            <w:tcW w:w="9639" w:type="dxa"/>
            <w:gridSpan w:val="7"/>
          </w:tcPr>
          <w:p w14:paraId="6A965E21" w14:textId="460419EA" w:rsidR="000816C1" w:rsidRPr="000816C1" w:rsidRDefault="000816C1" w:rsidP="000816C1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0816C1">
              <w:rPr>
                <w:b/>
                <w:bCs/>
              </w:rPr>
              <w:t xml:space="preserve">(Ref.: </w:t>
            </w:r>
            <w:hyperlink r:id="rId14" w:history="1">
              <w:r w:rsidRPr="000816C1">
                <w:rPr>
                  <w:rStyle w:val="Hyperlink"/>
                  <w:b/>
                  <w:bCs/>
                </w:rPr>
                <w:t>SG2-</w:t>
              </w:r>
              <w:proofErr w:type="spellStart"/>
              <w:r w:rsidRPr="000816C1">
                <w:rPr>
                  <w:rStyle w:val="Hyperlink"/>
                  <w:b/>
                  <w:bCs/>
                </w:rPr>
                <w:t>TD440</w:t>
              </w:r>
              <w:proofErr w:type="spellEnd"/>
              <w:r w:rsidRPr="000816C1">
                <w:rPr>
                  <w:rStyle w:val="Hyperlink"/>
                  <w:b/>
                  <w:bCs/>
                </w:rPr>
                <w:t>/GEN</w:t>
              </w:r>
            </w:hyperlink>
            <w:r w:rsidRPr="000816C1">
              <w:rPr>
                <w:b/>
                <w:bCs/>
              </w:rPr>
              <w:t>)</w:t>
            </w:r>
          </w:p>
        </w:tc>
      </w:tr>
      <w:tr w:rsidR="000816C1" w:rsidRPr="000816C1" w14:paraId="305A77B1" w14:textId="77777777" w:rsidTr="000816C1">
        <w:trPr>
          <w:cantSplit/>
        </w:trPr>
        <w:tc>
          <w:tcPr>
            <w:tcW w:w="1587" w:type="dxa"/>
            <w:gridSpan w:val="3"/>
          </w:tcPr>
          <w:p w14:paraId="6C298D71" w14:textId="77777777" w:rsidR="000816C1" w:rsidRPr="000816C1" w:rsidRDefault="000816C1" w:rsidP="000816C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0816C1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11241586" w14:textId="74C1F86B" w:rsidR="000816C1" w:rsidRPr="000816C1" w:rsidRDefault="000816C1" w:rsidP="000816C1">
            <w:pPr>
              <w:pStyle w:val="TSBHeaderSource"/>
            </w:pPr>
            <w:r w:rsidRPr="000816C1">
              <w:t>ITU-T Study Group 2</w:t>
            </w:r>
          </w:p>
        </w:tc>
      </w:tr>
      <w:tr w:rsidR="000816C1" w:rsidRPr="000816C1" w14:paraId="75E550B7" w14:textId="77777777" w:rsidTr="000816C1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19AE9C1E" w14:textId="77777777" w:rsidR="000816C1" w:rsidRPr="000816C1" w:rsidRDefault="000816C1" w:rsidP="000816C1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0816C1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5AA7E411" w14:textId="09C7A9F0" w:rsidR="000816C1" w:rsidRPr="000816C1" w:rsidRDefault="000816C1" w:rsidP="000816C1">
            <w:pPr>
              <w:pStyle w:val="TSBHeaderTitle"/>
            </w:pPr>
            <w:r w:rsidRPr="000816C1">
              <w:t xml:space="preserve">LS/r on Further review of draft Recommendation ITU-T </w:t>
            </w:r>
            <w:proofErr w:type="spellStart"/>
            <w:r w:rsidRPr="000816C1">
              <w:t>A.RA</w:t>
            </w:r>
            <w:proofErr w:type="spellEnd"/>
            <w:r w:rsidRPr="000816C1">
              <w:t xml:space="preserve"> "Appointment and operations of registration authorities" (reply to TSAG-</w:t>
            </w:r>
            <w:proofErr w:type="spellStart"/>
            <w:r w:rsidRPr="000816C1">
              <w:t>LS37</w:t>
            </w:r>
            <w:proofErr w:type="spellEnd"/>
            <w:r w:rsidRPr="000816C1">
              <w:t>)</w:t>
            </w:r>
          </w:p>
        </w:tc>
      </w:tr>
      <w:tr w:rsidR="00CD6848" w:rsidRPr="00054EC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054EC8" w:rsidRDefault="00CD6848" w:rsidP="00F05E8B">
            <w:pPr>
              <w:jc w:val="center"/>
              <w:rPr>
                <w:b/>
              </w:rPr>
            </w:pPr>
            <w:bookmarkStart w:id="11" w:name="_Hlk159846833"/>
            <w:bookmarkEnd w:id="1"/>
            <w:bookmarkEnd w:id="10"/>
            <w:r w:rsidRPr="00054EC8">
              <w:rPr>
                <w:b/>
              </w:rPr>
              <w:t>LIAISON STATEMENT</w:t>
            </w:r>
          </w:p>
        </w:tc>
      </w:tr>
      <w:tr w:rsidR="00CD6848" w:rsidRPr="00054EC8" w14:paraId="35F69F31" w14:textId="77777777" w:rsidTr="000816C1">
        <w:trPr>
          <w:cantSplit/>
          <w:trHeight w:val="357"/>
        </w:trPr>
        <w:tc>
          <w:tcPr>
            <w:tcW w:w="2195" w:type="dxa"/>
            <w:gridSpan w:val="4"/>
          </w:tcPr>
          <w:p w14:paraId="20EFE067" w14:textId="77777777" w:rsidR="00CD6848" w:rsidRPr="00054EC8" w:rsidRDefault="00CD6848" w:rsidP="00F05E8B">
            <w:pPr>
              <w:rPr>
                <w:b/>
                <w:bCs/>
              </w:rPr>
            </w:pPr>
            <w:r w:rsidRPr="00054EC8">
              <w:rPr>
                <w:b/>
                <w:bCs/>
              </w:rPr>
              <w:t>For action to:</w:t>
            </w:r>
          </w:p>
        </w:tc>
        <w:tc>
          <w:tcPr>
            <w:tcW w:w="7444" w:type="dxa"/>
            <w:gridSpan w:val="3"/>
          </w:tcPr>
          <w:p w14:paraId="2D80818C" w14:textId="0870996A" w:rsidR="00CD6848" w:rsidRPr="00054EC8" w:rsidRDefault="006D485D" w:rsidP="00F05E8B">
            <w:pPr>
              <w:pStyle w:val="LSForAction"/>
            </w:pPr>
            <w:r>
              <w:t>TSAG</w:t>
            </w:r>
          </w:p>
        </w:tc>
      </w:tr>
      <w:tr w:rsidR="00CD6848" w:rsidRPr="00F27791" w14:paraId="4ABA2A03" w14:textId="77777777" w:rsidTr="000816C1">
        <w:trPr>
          <w:cantSplit/>
          <w:trHeight w:val="357"/>
        </w:trPr>
        <w:tc>
          <w:tcPr>
            <w:tcW w:w="2195" w:type="dxa"/>
            <w:gridSpan w:val="4"/>
          </w:tcPr>
          <w:p w14:paraId="5145F1A4" w14:textId="77777777" w:rsidR="00CD6848" w:rsidRPr="00F27791" w:rsidRDefault="00CD6848" w:rsidP="00F05E8B">
            <w:pPr>
              <w:rPr>
                <w:b/>
                <w:bCs/>
              </w:rPr>
            </w:pPr>
            <w:r w:rsidRPr="00F27791">
              <w:rPr>
                <w:b/>
                <w:bCs/>
              </w:rPr>
              <w:t>For information to:</w:t>
            </w:r>
          </w:p>
        </w:tc>
        <w:tc>
          <w:tcPr>
            <w:tcW w:w="7444" w:type="dxa"/>
            <w:gridSpan w:val="3"/>
          </w:tcPr>
          <w:p w14:paraId="03540E6D" w14:textId="2B99A0BE" w:rsidR="00CD6848" w:rsidRPr="00F27791" w:rsidRDefault="0014070B" w:rsidP="00F05E8B">
            <w:pPr>
              <w:pStyle w:val="LSForInfo"/>
            </w:pPr>
            <w:r w:rsidRPr="00F27791">
              <w:t>-</w:t>
            </w:r>
          </w:p>
        </w:tc>
      </w:tr>
      <w:tr w:rsidR="00CD6848" w:rsidRPr="00F27791" w14:paraId="19B7E4E0" w14:textId="77777777" w:rsidTr="000816C1">
        <w:trPr>
          <w:cantSplit/>
          <w:trHeight w:val="357"/>
        </w:trPr>
        <w:tc>
          <w:tcPr>
            <w:tcW w:w="2195" w:type="dxa"/>
            <w:gridSpan w:val="4"/>
          </w:tcPr>
          <w:p w14:paraId="62EA9AB1" w14:textId="77777777" w:rsidR="00CD6848" w:rsidRPr="00F27791" w:rsidRDefault="00CD6848" w:rsidP="00F05E8B">
            <w:pPr>
              <w:rPr>
                <w:b/>
                <w:bCs/>
              </w:rPr>
            </w:pPr>
            <w:r w:rsidRPr="00F27791">
              <w:rPr>
                <w:b/>
                <w:bCs/>
              </w:rPr>
              <w:t>Approval:</w:t>
            </w:r>
          </w:p>
        </w:tc>
        <w:tc>
          <w:tcPr>
            <w:tcW w:w="7444" w:type="dxa"/>
            <w:gridSpan w:val="3"/>
          </w:tcPr>
          <w:p w14:paraId="5D3D74D5" w14:textId="58F99987" w:rsidR="00CD6848" w:rsidRPr="00F27791" w:rsidRDefault="006D485D" w:rsidP="00695FC2">
            <w:pPr>
              <w:pStyle w:val="LSApproval"/>
            </w:pPr>
            <w:r w:rsidRPr="00F27791">
              <w:t>ITU-T Study Group 2 management (</w:t>
            </w:r>
            <w:r w:rsidR="00EB6C2A" w:rsidRPr="00F27791">
              <w:t xml:space="preserve">19 </w:t>
            </w:r>
            <w:r w:rsidRPr="00F27791">
              <w:t>April 2024, by correspondence)</w:t>
            </w:r>
          </w:p>
        </w:tc>
      </w:tr>
      <w:tr w:rsidR="00CD6848" w:rsidRPr="00F27791" w14:paraId="1ED65DF0" w14:textId="77777777" w:rsidTr="000816C1">
        <w:trPr>
          <w:cantSplit/>
          <w:trHeight w:val="357"/>
        </w:trPr>
        <w:tc>
          <w:tcPr>
            <w:tcW w:w="219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F27791" w:rsidRDefault="00CD6848" w:rsidP="00F05E8B">
            <w:pPr>
              <w:rPr>
                <w:b/>
                <w:bCs/>
              </w:rPr>
            </w:pPr>
            <w:r w:rsidRPr="00F27791">
              <w:rPr>
                <w:b/>
                <w:bCs/>
              </w:rPr>
              <w:t>Deadline:</w:t>
            </w:r>
          </w:p>
        </w:tc>
        <w:tc>
          <w:tcPr>
            <w:tcW w:w="7444" w:type="dxa"/>
            <w:gridSpan w:val="3"/>
            <w:tcBorders>
              <w:bottom w:val="single" w:sz="12" w:space="0" w:color="auto"/>
            </w:tcBorders>
          </w:tcPr>
          <w:p w14:paraId="6B3D042F" w14:textId="14371FED" w:rsidR="00CD6848" w:rsidRPr="00F27791" w:rsidRDefault="006D485D" w:rsidP="00F05E8B">
            <w:pPr>
              <w:pStyle w:val="LSDeadline"/>
            </w:pPr>
            <w:r w:rsidRPr="00F27791">
              <w:t>-</w:t>
            </w:r>
          </w:p>
        </w:tc>
      </w:tr>
      <w:tr w:rsidR="006D485D" w:rsidRPr="0094345F" w14:paraId="500A09DD" w14:textId="77777777" w:rsidTr="000816C1">
        <w:trPr>
          <w:cantSplit/>
        </w:trPr>
        <w:tc>
          <w:tcPr>
            <w:tcW w:w="15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6D485D" w:rsidRPr="00F27791" w:rsidRDefault="006D485D" w:rsidP="006D485D">
            <w:pPr>
              <w:rPr>
                <w:b/>
                <w:bCs/>
              </w:rPr>
            </w:pPr>
            <w:r w:rsidRPr="00F27791">
              <w:rPr>
                <w:b/>
                <w:bCs/>
              </w:rPr>
              <w:t>Contact:</w:t>
            </w:r>
          </w:p>
        </w:tc>
        <w:tc>
          <w:tcPr>
            <w:tcW w:w="389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6C784A3F" w:rsidR="006D485D" w:rsidRPr="00F27791" w:rsidRDefault="006D485D" w:rsidP="006D485D">
            <w:r w:rsidRPr="00F27791">
              <w:t>Phil Rushton</w:t>
            </w:r>
            <w:r w:rsidRPr="00F27791">
              <w:br/>
              <w:t>UK</w:t>
            </w:r>
          </w:p>
        </w:tc>
        <w:tc>
          <w:tcPr>
            <w:tcW w:w="416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71DE5B78" w:rsidR="006D485D" w:rsidRPr="00CD3993" w:rsidRDefault="006D485D" w:rsidP="006D485D">
            <w:pPr>
              <w:tabs>
                <w:tab w:val="left" w:pos="794"/>
              </w:tabs>
              <w:rPr>
                <w:lang w:val="de-DE"/>
              </w:rPr>
            </w:pPr>
            <w:r w:rsidRPr="00CD3993">
              <w:rPr>
                <w:lang w:val="de-DE"/>
              </w:rPr>
              <w:t>Tel:</w:t>
            </w:r>
            <w:r w:rsidRPr="00CD3993">
              <w:rPr>
                <w:lang w:val="de-DE"/>
              </w:rPr>
              <w:tab/>
              <w:t>+44 1206 729738</w:t>
            </w:r>
            <w:r w:rsidRPr="00CD3993">
              <w:rPr>
                <w:lang w:val="de-DE"/>
              </w:rPr>
              <w:br/>
              <w:t xml:space="preserve">E-mail: </w:t>
            </w:r>
            <w:r w:rsidR="0094345F">
              <w:fldChar w:fldCharType="begin"/>
            </w:r>
            <w:r w:rsidR="0094345F" w:rsidRPr="0094345F">
              <w:rPr>
                <w:lang w:val="de-DE"/>
              </w:rPr>
              <w:instrText>HYPERLINK "mailto:philrushton@rcc-uk.uk"</w:instrText>
            </w:r>
            <w:r w:rsidR="0094345F">
              <w:fldChar w:fldCharType="separate"/>
            </w:r>
            <w:r w:rsidRPr="00CD3993">
              <w:rPr>
                <w:rStyle w:val="Hyperlink"/>
                <w:lang w:val="de-DE"/>
              </w:rPr>
              <w:t>philrushton@rcc-uk.uk</w:t>
            </w:r>
            <w:r w:rsidR="0094345F">
              <w:rPr>
                <w:rStyle w:val="Hyperlink"/>
                <w:lang w:val="de-DE"/>
              </w:rPr>
              <w:fldChar w:fldCharType="end"/>
            </w:r>
            <w:r w:rsidRPr="00CD3993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CD3993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F27791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F27791" w:rsidRDefault="00695FC2" w:rsidP="00EF060D">
            <w:pPr>
              <w:rPr>
                <w:b/>
                <w:bCs/>
              </w:rPr>
            </w:pPr>
            <w:r w:rsidRPr="00F27791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7761311E" w:rsidR="00695FC2" w:rsidRPr="00F27791" w:rsidRDefault="0074471B" w:rsidP="00EF060D">
            <w:pPr>
              <w:pStyle w:val="TSBHeaderSummary"/>
            </w:pPr>
            <w:r w:rsidRPr="00F27791">
              <w:t xml:space="preserve">This liaison </w:t>
            </w:r>
            <w:r w:rsidR="00084273" w:rsidRPr="00F27791">
              <w:t xml:space="preserve">statement </w:t>
            </w:r>
            <w:r w:rsidR="006D485D" w:rsidRPr="00F27791">
              <w:t xml:space="preserve">replies to TSAG’s </w:t>
            </w:r>
            <w:r w:rsidRPr="00F27791">
              <w:t xml:space="preserve">request to consider further the amended text of draft Recommendation ITU-T </w:t>
            </w:r>
            <w:proofErr w:type="spellStart"/>
            <w:r w:rsidRPr="00F27791">
              <w:t>A.RA</w:t>
            </w:r>
            <w:proofErr w:type="spellEnd"/>
            <w:r w:rsidR="00814F8B" w:rsidRPr="00F27791">
              <w:t>.</w:t>
            </w:r>
            <w:r w:rsidR="006D485D" w:rsidRPr="00F27791">
              <w:t xml:space="preserve"> </w:t>
            </w:r>
            <w:r w:rsidR="00D14BBF" w:rsidRPr="00F27791">
              <w:t xml:space="preserve">The liaison raises </w:t>
            </w:r>
            <w:proofErr w:type="gramStart"/>
            <w:r w:rsidR="00D14BBF" w:rsidRPr="00F27791">
              <w:t>a number of</w:t>
            </w:r>
            <w:proofErr w:type="gramEnd"/>
            <w:r w:rsidR="00D14BBF" w:rsidRPr="00F27791">
              <w:t xml:space="preserve"> issues that require clarification.</w:t>
            </w:r>
          </w:p>
        </w:tc>
      </w:tr>
    </w:tbl>
    <w:p w14:paraId="6AC96519" w14:textId="77777777" w:rsidR="00084273" w:rsidRPr="00F27791" w:rsidRDefault="00084273" w:rsidP="003B4CF8"/>
    <w:p w14:paraId="09B62E97" w14:textId="5BABB3E3" w:rsidR="00900EF1" w:rsidRPr="00EB6E9D" w:rsidRDefault="006D485D" w:rsidP="006D485D">
      <w:r w:rsidRPr="00F27791">
        <w:t xml:space="preserve">ITU-T SG2 thanks </w:t>
      </w:r>
      <w:r w:rsidR="0074471B" w:rsidRPr="00F27791">
        <w:t xml:space="preserve">TSAG RG-WM </w:t>
      </w:r>
      <w:r w:rsidRPr="00F27791">
        <w:t>for the opportunity to comment on the</w:t>
      </w:r>
      <w:r w:rsidR="0074471B" w:rsidRPr="00F27791">
        <w:t xml:space="preserve"> amended text of draft recommendation ITU-T </w:t>
      </w:r>
      <w:proofErr w:type="spellStart"/>
      <w:r w:rsidR="0074471B" w:rsidRPr="00F27791">
        <w:t>A.RA</w:t>
      </w:r>
      <w:proofErr w:type="spellEnd"/>
      <w:r w:rsidR="00171BC2" w:rsidRPr="00F27791">
        <w:t xml:space="preserve"> (</w:t>
      </w:r>
      <w:hyperlink r:id="rId15" w:history="1">
        <w:r w:rsidR="00171BC2" w:rsidRPr="00F27791">
          <w:rPr>
            <w:rStyle w:val="Hyperlink"/>
          </w:rPr>
          <w:t>TSAG-</w:t>
        </w:r>
        <w:proofErr w:type="spellStart"/>
        <w:r w:rsidR="00171BC2" w:rsidRPr="00F27791">
          <w:rPr>
            <w:rStyle w:val="Hyperlink"/>
          </w:rPr>
          <w:t>LS37</w:t>
        </w:r>
        <w:proofErr w:type="spellEnd"/>
      </w:hyperlink>
      <w:r w:rsidR="00171BC2" w:rsidRPr="00F27791">
        <w:rPr>
          <w:rStyle w:val="Hyperlink"/>
        </w:rPr>
        <w:t>)</w:t>
      </w:r>
      <w:r w:rsidR="0074471B" w:rsidRPr="00F27791">
        <w:t xml:space="preserve">. </w:t>
      </w:r>
      <w:r w:rsidR="00AB657A" w:rsidRPr="00F27791">
        <w:t>In addition</w:t>
      </w:r>
      <w:r w:rsidR="00AB657A" w:rsidRPr="00EB6E9D">
        <w:t xml:space="preserve"> to reviewing the current proposed text of draft recommendation ITU-T </w:t>
      </w:r>
      <w:proofErr w:type="spellStart"/>
      <w:r w:rsidR="00AB657A" w:rsidRPr="00EB6E9D">
        <w:t>A.RA</w:t>
      </w:r>
      <w:proofErr w:type="spellEnd"/>
      <w:r w:rsidR="00AB657A" w:rsidRPr="00EB6E9D">
        <w:t>, th</w:t>
      </w:r>
      <w:r w:rsidR="00171BC2" w:rsidRPr="00EB6E9D">
        <w:t>is</w:t>
      </w:r>
      <w:r w:rsidR="00AB657A" w:rsidRPr="00EB6E9D">
        <w:t xml:space="preserve"> liaison also responds to the comments that have been provided to the earlier comments of ITU-T SG2.</w:t>
      </w:r>
    </w:p>
    <w:p w14:paraId="40518644" w14:textId="752C856A" w:rsidR="00D14BBF" w:rsidRPr="00EB6E9D" w:rsidRDefault="00D14BBF" w:rsidP="006D485D">
      <w:proofErr w:type="gramStart"/>
      <w:r w:rsidRPr="00EB6E9D">
        <w:t>A number of</w:t>
      </w:r>
      <w:proofErr w:type="gramEnd"/>
      <w:r w:rsidRPr="00EB6E9D">
        <w:t xml:space="preserve"> points require clarification, including (but not limited to) the resources to which this </w:t>
      </w:r>
      <w:r w:rsidR="00171BC2" w:rsidRPr="00EB6E9D">
        <w:t xml:space="preserve">Recommendation </w:t>
      </w:r>
      <w:r w:rsidRPr="00EB6E9D">
        <w:t>would apply.</w:t>
      </w:r>
      <w:r w:rsidR="00171BC2" w:rsidRPr="00EB6E9D">
        <w:t xml:space="preserve"> </w:t>
      </w:r>
      <w:r w:rsidRPr="00EB6E9D">
        <w:t xml:space="preserve">There is reference to </w:t>
      </w:r>
      <w:r w:rsidR="00171BC2" w:rsidRPr="00EB6E9D">
        <w:t xml:space="preserve">the </w:t>
      </w:r>
      <w:proofErr w:type="spellStart"/>
      <w:r w:rsidRPr="00EB6E9D">
        <w:t>X.660</w:t>
      </w:r>
      <w:proofErr w:type="spellEnd"/>
      <w:r w:rsidRPr="00EB6E9D">
        <w:t xml:space="preserve"> series of </w:t>
      </w:r>
      <w:r w:rsidR="00171BC2" w:rsidRPr="00EB6E9D">
        <w:t xml:space="preserve">Recommendations </w:t>
      </w:r>
      <w:r w:rsidR="00AB657A" w:rsidRPr="00EB6E9D">
        <w:t>in the bibliography</w:t>
      </w:r>
      <w:r w:rsidR="00171BC2" w:rsidRPr="00EB6E9D">
        <w:t>,</w:t>
      </w:r>
      <w:r w:rsidRPr="00EB6E9D">
        <w:t xml:space="preserve"> these are not reflected in clause 2.</w:t>
      </w:r>
      <w:r w:rsidR="00171BC2" w:rsidRPr="00EB6E9D">
        <w:t xml:space="preserve"> </w:t>
      </w:r>
      <w:proofErr w:type="gramStart"/>
      <w:r w:rsidR="00AB657A" w:rsidRPr="00EB6E9D">
        <w:t>Furthermore</w:t>
      </w:r>
      <w:proofErr w:type="gramEnd"/>
      <w:r w:rsidR="00AB657A" w:rsidRPr="00EB6E9D">
        <w:t xml:space="preserve"> the </w:t>
      </w:r>
      <w:r w:rsidR="00171BC2" w:rsidRPr="00EB6E9D">
        <w:t xml:space="preserve">first </w:t>
      </w:r>
      <w:r w:rsidR="00AB657A" w:rsidRPr="00EB6E9D">
        <w:t>bullet in clause 7.1 that refers to “a description of the identification scheme” should refer to Recommendation</w:t>
      </w:r>
      <w:r w:rsidR="00171BC2" w:rsidRPr="00EB6E9D">
        <w:t xml:space="preserve"> ITU-T</w:t>
      </w:r>
      <w:r w:rsidR="00AB657A" w:rsidRPr="00EB6E9D">
        <w:t xml:space="preserve"> </w:t>
      </w:r>
      <w:proofErr w:type="spellStart"/>
      <w:r w:rsidR="00AB657A" w:rsidRPr="00EB6E9D">
        <w:t>X</w:t>
      </w:r>
      <w:r w:rsidR="00171BC2" w:rsidRPr="00EB6E9D">
        <w:t>.</w:t>
      </w:r>
      <w:r w:rsidR="00AB657A" w:rsidRPr="00EB6E9D">
        <w:t>660</w:t>
      </w:r>
      <w:proofErr w:type="spellEnd"/>
      <w:r w:rsidR="00AB657A" w:rsidRPr="00EB6E9D">
        <w:t xml:space="preserve"> as well as other relevant </w:t>
      </w:r>
      <w:r w:rsidR="00171BC2" w:rsidRPr="00EB6E9D">
        <w:t xml:space="preserve">Recommendations </w:t>
      </w:r>
      <w:r w:rsidR="00AB657A" w:rsidRPr="00EB6E9D">
        <w:t xml:space="preserve">of the </w:t>
      </w:r>
      <w:r w:rsidR="00171BC2" w:rsidRPr="00EB6E9D">
        <w:t xml:space="preserve">X </w:t>
      </w:r>
      <w:r w:rsidR="00AB657A" w:rsidRPr="00EB6E9D">
        <w:t>series</w:t>
      </w:r>
      <w:r w:rsidR="008C7CAB" w:rsidRPr="00EB6E9D">
        <w:t xml:space="preserve"> to ensure transparency and clarity of the scope of Recommendation ITU-T </w:t>
      </w:r>
      <w:proofErr w:type="spellStart"/>
      <w:r w:rsidR="008C7CAB" w:rsidRPr="00EB6E9D">
        <w:t>X.660</w:t>
      </w:r>
      <w:proofErr w:type="spellEnd"/>
      <w:r w:rsidR="008C7CAB" w:rsidRPr="00EB6E9D">
        <w:t>.</w:t>
      </w:r>
    </w:p>
    <w:p w14:paraId="6AA65DF0" w14:textId="0CFD4939" w:rsidR="00CC7970" w:rsidRPr="00EB6E9D" w:rsidRDefault="00D14BBF" w:rsidP="006D485D">
      <w:r w:rsidRPr="00EB6E9D">
        <w:t xml:space="preserve">The scope indicates that the </w:t>
      </w:r>
      <w:r w:rsidR="00171BC2" w:rsidRPr="00EB6E9D">
        <w:t xml:space="preserve">Recommendation </w:t>
      </w:r>
      <w:r w:rsidRPr="00EB6E9D">
        <w:t xml:space="preserve">does not apply when the TSB is the registration authority, yet in clause 6.1 the TSB is implicitly involved through its role in negotiations. </w:t>
      </w:r>
      <w:proofErr w:type="gramStart"/>
      <w:r w:rsidR="00CC7970" w:rsidRPr="00EB6E9D">
        <w:t>As a consequence</w:t>
      </w:r>
      <w:proofErr w:type="gramEnd"/>
      <w:r w:rsidR="00171BC2" w:rsidRPr="00EB6E9D">
        <w:t xml:space="preserve">, </w:t>
      </w:r>
      <w:r w:rsidRPr="00EB6E9D">
        <w:t>any resource, or management of a resource</w:t>
      </w:r>
      <w:r w:rsidR="00CC7970" w:rsidRPr="00EB6E9D">
        <w:t>,</w:t>
      </w:r>
      <w:r w:rsidRPr="00EB6E9D">
        <w:t xml:space="preserve"> that is specified in ITU-T Recommendations, is the responsibility of the Director of the TSB</w:t>
      </w:r>
      <w:r w:rsidR="002F34FE" w:rsidRPr="00EB6E9D">
        <w:t xml:space="preserve"> (see </w:t>
      </w:r>
      <w:proofErr w:type="spellStart"/>
      <w:r w:rsidR="002F34FE" w:rsidRPr="00EB6E9D">
        <w:t>OD16</w:t>
      </w:r>
      <w:proofErr w:type="spellEnd"/>
      <w:r w:rsidR="002F34FE" w:rsidRPr="00EB6E9D">
        <w:t xml:space="preserve"> below)</w:t>
      </w:r>
      <w:r w:rsidR="00CC7970" w:rsidRPr="00EB6E9D">
        <w:t>.</w:t>
      </w:r>
      <w:r w:rsidR="00171BC2" w:rsidRPr="00EB6E9D">
        <w:t xml:space="preserve"> </w:t>
      </w:r>
      <w:r w:rsidR="000A799D" w:rsidRPr="00EB6E9D">
        <w:t xml:space="preserve">This approach changes the decision to select a candidate from the study group to the Director of the </w:t>
      </w:r>
      <w:proofErr w:type="gramStart"/>
      <w:r w:rsidR="000A799D" w:rsidRPr="00EB6E9D">
        <w:t>TSB, and</w:t>
      </w:r>
      <w:proofErr w:type="gramEnd"/>
      <w:r w:rsidR="000A799D" w:rsidRPr="00EB6E9D">
        <w:t xml:space="preserve"> requires the study group to advise the Director accordingly</w:t>
      </w:r>
      <w:r w:rsidR="0082549A" w:rsidRPr="00EB6E9D">
        <w:t>.</w:t>
      </w:r>
      <w:r w:rsidR="00171BC2" w:rsidRPr="00EB6E9D">
        <w:t xml:space="preserve"> </w:t>
      </w:r>
      <w:r w:rsidR="0082549A" w:rsidRPr="00EB6E9D">
        <w:t>There are also consequences in other parts of the document, e.g. clause 6.4</w:t>
      </w:r>
      <w:r w:rsidR="00171BC2" w:rsidRPr="00EB6E9D">
        <w:t>.</w:t>
      </w:r>
    </w:p>
    <w:p w14:paraId="209C412E" w14:textId="657A56F6" w:rsidR="00D14BBF" w:rsidRPr="00EB6E9D" w:rsidRDefault="00E917A1" w:rsidP="006D485D">
      <w:r w:rsidRPr="00EB6E9D">
        <w:t xml:space="preserve">Clause 6.2 </w:t>
      </w:r>
      <w:r w:rsidR="00CC7970" w:rsidRPr="00EB6E9D">
        <w:t xml:space="preserve">refers to “every type of registration” that is not </w:t>
      </w:r>
      <w:r w:rsidR="00DC2336" w:rsidRPr="00EB6E9D">
        <w:t>reflected in</w:t>
      </w:r>
      <w:r w:rsidR="00CC7970" w:rsidRPr="00EB6E9D">
        <w:t xml:space="preserve"> the </w:t>
      </w:r>
      <w:r w:rsidR="00DC2336" w:rsidRPr="00EB6E9D">
        <w:t xml:space="preserve">rest of the </w:t>
      </w:r>
      <w:r w:rsidR="00CC7970" w:rsidRPr="00EB6E9D">
        <w:t>text.</w:t>
      </w:r>
      <w:r w:rsidR="00171BC2" w:rsidRPr="00EB6E9D">
        <w:t xml:space="preserve"> </w:t>
      </w:r>
      <w:r w:rsidR="00CC7970" w:rsidRPr="00EB6E9D">
        <w:t xml:space="preserve">The </w:t>
      </w:r>
      <w:r w:rsidR="00DC2336" w:rsidRPr="00EB6E9D">
        <w:t xml:space="preserve">rest </w:t>
      </w:r>
      <w:r w:rsidR="00CC7970" w:rsidRPr="00EB6E9D">
        <w:t xml:space="preserve">of the text would suggest that it is </w:t>
      </w:r>
      <w:r w:rsidR="00AB657A" w:rsidRPr="00EB6E9D">
        <w:t>“</w:t>
      </w:r>
      <w:r w:rsidR="00CC7970" w:rsidRPr="00EB6E9D">
        <w:t>instances of registration</w:t>
      </w:r>
      <w:r w:rsidR="00AB657A" w:rsidRPr="00EB6E9D">
        <w:t>”</w:t>
      </w:r>
      <w:r w:rsidR="00CC7970" w:rsidRPr="00EB6E9D">
        <w:t xml:space="preserve"> that </w:t>
      </w:r>
      <w:r w:rsidR="00DC2336" w:rsidRPr="00EB6E9D">
        <w:t>rather than “type of registration”</w:t>
      </w:r>
      <w:r w:rsidR="00CC7970" w:rsidRPr="00EB6E9D">
        <w:t>.</w:t>
      </w:r>
    </w:p>
    <w:p w14:paraId="3C0B724B" w14:textId="6F24CF94" w:rsidR="002B784D" w:rsidRPr="00EB6E9D" w:rsidRDefault="00AB657A" w:rsidP="006D485D">
      <w:r w:rsidRPr="00EB6E9D">
        <w:t xml:space="preserve">Clause 7.5 refers to a “register” </w:t>
      </w:r>
      <w:r w:rsidR="008C7CAB" w:rsidRPr="00EB6E9D">
        <w:t>and clause 7.6 refers to the contents of the register.</w:t>
      </w:r>
      <w:r w:rsidR="00171BC2" w:rsidRPr="00EB6E9D">
        <w:t xml:space="preserve"> </w:t>
      </w:r>
      <w:r w:rsidR="008C7CAB" w:rsidRPr="00EB6E9D">
        <w:t xml:space="preserve">However, </w:t>
      </w:r>
      <w:r w:rsidR="000A799D" w:rsidRPr="00EB6E9D">
        <w:t xml:space="preserve">there is no reference to data protection, nor to the ability of the TSB to audit such registers for </w:t>
      </w:r>
      <w:r w:rsidR="000A799D" w:rsidRPr="00EB6E9D">
        <w:lastRenderedPageBreak/>
        <w:t xml:space="preserve">compliance with either the </w:t>
      </w:r>
      <w:r w:rsidR="00171BC2" w:rsidRPr="00EB6E9D">
        <w:t xml:space="preserve">Recommendation </w:t>
      </w:r>
      <w:r w:rsidR="000A799D" w:rsidRPr="00EB6E9D">
        <w:t xml:space="preserve">that generated the identifier or the management as specified in draft </w:t>
      </w:r>
      <w:r w:rsidR="00171BC2" w:rsidRPr="00EB6E9D">
        <w:t xml:space="preserve">Recommendation </w:t>
      </w:r>
      <w:proofErr w:type="spellStart"/>
      <w:r w:rsidR="000A799D" w:rsidRPr="00EB6E9D">
        <w:t>A.RA</w:t>
      </w:r>
      <w:proofErr w:type="spellEnd"/>
      <w:r w:rsidR="000A799D" w:rsidRPr="00EB6E9D">
        <w:t>.</w:t>
      </w:r>
    </w:p>
    <w:p w14:paraId="0F326159" w14:textId="6F5668D4" w:rsidR="000A799D" w:rsidRPr="00EB6E9D" w:rsidRDefault="000A799D" w:rsidP="006D485D">
      <w:r w:rsidRPr="00EB6E9D">
        <w:t>Annex A presents a useful starting point for the development of the criteria.</w:t>
      </w:r>
      <w:r w:rsidR="00171BC2" w:rsidRPr="00EB6E9D">
        <w:t xml:space="preserve"> </w:t>
      </w:r>
      <w:r w:rsidRPr="00EB6E9D">
        <w:t xml:space="preserve">One consideration is to develop the criteria to reflect in more detail the text of the proposed draft </w:t>
      </w:r>
      <w:r w:rsidR="00171BC2" w:rsidRPr="00EB6E9D">
        <w:t>Recommendation</w:t>
      </w:r>
      <w:r w:rsidRPr="00EB6E9D">
        <w:t>.</w:t>
      </w:r>
    </w:p>
    <w:p w14:paraId="13F36140" w14:textId="65CBCCFD" w:rsidR="0082549A" w:rsidRPr="00EB6E9D" w:rsidRDefault="0082549A" w:rsidP="006D485D">
      <w:r w:rsidRPr="00EB6E9D">
        <w:t xml:space="preserve">The responses from the </w:t>
      </w:r>
      <w:r w:rsidR="00171BC2" w:rsidRPr="00EB6E9D">
        <w:t xml:space="preserve">Rapporteur </w:t>
      </w:r>
      <w:r w:rsidRPr="00EB6E9D">
        <w:t xml:space="preserve">to </w:t>
      </w:r>
      <w:proofErr w:type="spellStart"/>
      <w:r w:rsidRPr="00EB6E9D">
        <w:t>SG2’s</w:t>
      </w:r>
      <w:proofErr w:type="spellEnd"/>
      <w:r w:rsidRPr="00EB6E9D">
        <w:t xml:space="preserve"> previous comments are assessed below</w:t>
      </w:r>
      <w:r w:rsidR="00171BC2" w:rsidRPr="00EB6E9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82549A" w:rsidRPr="00EB6E9D" w14:paraId="089F36DB" w14:textId="77777777" w:rsidTr="00171BC2">
        <w:tc>
          <w:tcPr>
            <w:tcW w:w="1271" w:type="dxa"/>
          </w:tcPr>
          <w:p w14:paraId="365150D7" w14:textId="236DF825" w:rsidR="0082549A" w:rsidRPr="00EB6E9D" w:rsidRDefault="0082549A" w:rsidP="00171BC2">
            <w:pPr>
              <w:jc w:val="center"/>
              <w:rPr>
                <w:b/>
                <w:bCs/>
              </w:rPr>
            </w:pPr>
            <w:r w:rsidRPr="00EB6E9D">
              <w:rPr>
                <w:b/>
                <w:bCs/>
              </w:rPr>
              <w:t>Comment</w:t>
            </w:r>
          </w:p>
        </w:tc>
        <w:tc>
          <w:tcPr>
            <w:tcW w:w="8358" w:type="dxa"/>
          </w:tcPr>
          <w:p w14:paraId="68971F78" w14:textId="5F678D90" w:rsidR="0082549A" w:rsidRPr="00EB6E9D" w:rsidRDefault="0082549A" w:rsidP="00171BC2">
            <w:pPr>
              <w:jc w:val="center"/>
              <w:rPr>
                <w:b/>
                <w:bCs/>
              </w:rPr>
            </w:pPr>
            <w:r w:rsidRPr="00EB6E9D">
              <w:rPr>
                <w:b/>
                <w:bCs/>
              </w:rPr>
              <w:t>SG2 Updated response</w:t>
            </w:r>
          </w:p>
        </w:tc>
      </w:tr>
      <w:tr w:rsidR="0082549A" w:rsidRPr="00EB6E9D" w14:paraId="5EE3A017" w14:textId="77777777" w:rsidTr="00171BC2">
        <w:tc>
          <w:tcPr>
            <w:tcW w:w="1271" w:type="dxa"/>
          </w:tcPr>
          <w:p w14:paraId="5F08377D" w14:textId="2BC58ECD" w:rsidR="0082549A" w:rsidRPr="00EB6E9D" w:rsidRDefault="0082549A" w:rsidP="006D485D">
            <w:proofErr w:type="spellStart"/>
            <w:r w:rsidRPr="00EB6E9D">
              <w:t>OD2</w:t>
            </w:r>
            <w:proofErr w:type="spellEnd"/>
          </w:p>
        </w:tc>
        <w:tc>
          <w:tcPr>
            <w:tcW w:w="8358" w:type="dxa"/>
          </w:tcPr>
          <w:p w14:paraId="59459EA2" w14:textId="76FB3D55" w:rsidR="0082549A" w:rsidRPr="00EB6E9D" w:rsidRDefault="0082549A" w:rsidP="006D485D">
            <w:r w:rsidRPr="00EB6E9D">
              <w:t>RA candidate</w:t>
            </w:r>
            <w:r w:rsidR="00171BC2" w:rsidRPr="00EB6E9D">
              <w:t>s</w:t>
            </w:r>
            <w:r w:rsidRPr="00EB6E9D">
              <w:t xml:space="preserve"> </w:t>
            </w:r>
            <w:r w:rsidR="007D5F95" w:rsidRPr="00EB6E9D">
              <w:t>should</w:t>
            </w:r>
            <w:r w:rsidRPr="00EB6E9D">
              <w:t xml:space="preserve"> be ITU members as they are utilising ITU resources, in both the application and specification of the </w:t>
            </w:r>
            <w:r w:rsidR="00171BC2" w:rsidRPr="00EB6E9D">
              <w:t>Recommendations</w:t>
            </w:r>
            <w:r w:rsidRPr="00EB6E9D">
              <w:t>.</w:t>
            </w:r>
          </w:p>
        </w:tc>
      </w:tr>
      <w:tr w:rsidR="0082549A" w:rsidRPr="00EB6E9D" w14:paraId="0D9A2B70" w14:textId="77777777" w:rsidTr="00171BC2">
        <w:tc>
          <w:tcPr>
            <w:tcW w:w="1271" w:type="dxa"/>
          </w:tcPr>
          <w:p w14:paraId="4EEECB15" w14:textId="39DE4A10" w:rsidR="0082549A" w:rsidRPr="00EB6E9D" w:rsidRDefault="0082549A" w:rsidP="006D485D">
            <w:proofErr w:type="spellStart"/>
            <w:r w:rsidRPr="00EB6E9D">
              <w:t>OD6</w:t>
            </w:r>
            <w:proofErr w:type="spellEnd"/>
          </w:p>
        </w:tc>
        <w:tc>
          <w:tcPr>
            <w:tcW w:w="8358" w:type="dxa"/>
          </w:tcPr>
          <w:p w14:paraId="39F1D58C" w14:textId="390B254C" w:rsidR="0082549A" w:rsidRPr="00EB6E9D" w:rsidRDefault="0082549A" w:rsidP="006D485D">
            <w:r w:rsidRPr="00EB6E9D">
              <w:t xml:space="preserve">Membership of the union is required to ensure compliance with ITU-T </w:t>
            </w:r>
            <w:r w:rsidR="00171BC2" w:rsidRPr="00EB6E9D">
              <w:t>Recommendations</w:t>
            </w:r>
            <w:r w:rsidRPr="00EB6E9D">
              <w:t>.</w:t>
            </w:r>
          </w:p>
        </w:tc>
      </w:tr>
      <w:tr w:rsidR="00A1620B" w:rsidRPr="00EB6E9D" w14:paraId="503A9E8E" w14:textId="77777777" w:rsidTr="00171BC2">
        <w:tc>
          <w:tcPr>
            <w:tcW w:w="1271" w:type="dxa"/>
          </w:tcPr>
          <w:p w14:paraId="71358873" w14:textId="717B7D91" w:rsidR="00A1620B" w:rsidRPr="00EB6E9D" w:rsidRDefault="00A1620B" w:rsidP="006D485D">
            <w:proofErr w:type="spellStart"/>
            <w:r w:rsidRPr="00EB6E9D">
              <w:t>OD7</w:t>
            </w:r>
            <w:proofErr w:type="spellEnd"/>
          </w:p>
        </w:tc>
        <w:tc>
          <w:tcPr>
            <w:tcW w:w="8358" w:type="dxa"/>
          </w:tcPr>
          <w:p w14:paraId="2DC095AB" w14:textId="783FC635" w:rsidR="00A1620B" w:rsidRPr="00EB6E9D" w:rsidRDefault="00A1620B" w:rsidP="006D485D">
            <w:r w:rsidRPr="00EB6E9D">
              <w:t xml:space="preserve">The criteria </w:t>
            </w:r>
            <w:r w:rsidR="007D5F95" w:rsidRPr="00EB6E9D">
              <w:t>need</w:t>
            </w:r>
            <w:r w:rsidRPr="00EB6E9D">
              <w:t xml:space="preserve"> to be a defined list rather than </w:t>
            </w:r>
            <w:r w:rsidR="000B7EE2" w:rsidRPr="00EB6E9D">
              <w:t xml:space="preserve">examples in </w:t>
            </w:r>
            <w:proofErr w:type="gramStart"/>
            <w:r w:rsidR="000B7EE2" w:rsidRPr="00EB6E9D">
              <w:t>a</w:t>
            </w:r>
            <w:proofErr w:type="gramEnd"/>
            <w:r w:rsidR="000B7EE2" w:rsidRPr="00EB6E9D">
              <w:t xml:space="preserve"> unfinished list</w:t>
            </w:r>
            <w:r w:rsidR="00171BC2" w:rsidRPr="00EB6E9D">
              <w:t>.</w:t>
            </w:r>
          </w:p>
        </w:tc>
      </w:tr>
      <w:tr w:rsidR="000B7EE2" w:rsidRPr="00EB6E9D" w14:paraId="01316297" w14:textId="77777777" w:rsidTr="00171BC2">
        <w:tc>
          <w:tcPr>
            <w:tcW w:w="1271" w:type="dxa"/>
          </w:tcPr>
          <w:p w14:paraId="1CE123FD" w14:textId="7919A864" w:rsidR="000B7EE2" w:rsidRPr="00EB6E9D" w:rsidRDefault="000B7EE2" w:rsidP="006D485D">
            <w:proofErr w:type="spellStart"/>
            <w:r w:rsidRPr="00EB6E9D">
              <w:t>OD9</w:t>
            </w:r>
            <w:proofErr w:type="spellEnd"/>
          </w:p>
        </w:tc>
        <w:tc>
          <w:tcPr>
            <w:tcW w:w="8358" w:type="dxa"/>
          </w:tcPr>
          <w:p w14:paraId="042E59A3" w14:textId="7EA1D146" w:rsidR="000B7EE2" w:rsidRPr="00EB6E9D" w:rsidRDefault="000B7EE2" w:rsidP="006D485D">
            <w:r w:rsidRPr="00EB6E9D">
              <w:t xml:space="preserve">The determination of fees by </w:t>
            </w:r>
            <w:r w:rsidR="00171BC2" w:rsidRPr="00EB6E9D">
              <w:t xml:space="preserve">ITU </w:t>
            </w:r>
            <w:r w:rsidRPr="00EB6E9D">
              <w:t>Council needs to be reflected into the text as to what the fees are.</w:t>
            </w:r>
            <w:r w:rsidR="00171BC2" w:rsidRPr="00EB6E9D">
              <w:t xml:space="preserve"> </w:t>
            </w:r>
            <w:r w:rsidRPr="00EB6E9D">
              <w:t>The role of the ITU/TSB needs to be further clarified</w:t>
            </w:r>
            <w:r w:rsidR="00171BC2" w:rsidRPr="00EB6E9D">
              <w:t>.</w:t>
            </w:r>
          </w:p>
        </w:tc>
      </w:tr>
      <w:tr w:rsidR="000B7EE2" w:rsidRPr="00EB6E9D" w14:paraId="490C6EC3" w14:textId="77777777" w:rsidTr="00171BC2">
        <w:tc>
          <w:tcPr>
            <w:tcW w:w="1271" w:type="dxa"/>
          </w:tcPr>
          <w:p w14:paraId="656E0F95" w14:textId="73181504" w:rsidR="000B7EE2" w:rsidRPr="00EB6E9D" w:rsidRDefault="000B7EE2" w:rsidP="006D485D">
            <w:proofErr w:type="spellStart"/>
            <w:r w:rsidRPr="00EB6E9D">
              <w:t>OD10</w:t>
            </w:r>
            <w:proofErr w:type="spellEnd"/>
          </w:p>
        </w:tc>
        <w:tc>
          <w:tcPr>
            <w:tcW w:w="8358" w:type="dxa"/>
          </w:tcPr>
          <w:p w14:paraId="4A58BB0B" w14:textId="35F09821" w:rsidR="000B7EE2" w:rsidRPr="00EB6E9D" w:rsidRDefault="000B7EE2" w:rsidP="006D485D">
            <w:r w:rsidRPr="00EB6E9D">
              <w:t>ITU-T SG2 did not distinguish the roles but made the point that</w:t>
            </w:r>
            <w:r w:rsidR="00DC2336" w:rsidRPr="00EB6E9D">
              <w:t>,</w:t>
            </w:r>
            <w:r w:rsidRPr="00EB6E9D">
              <w:t xml:space="preserve"> irrespective of whether the registry </w:t>
            </w:r>
            <w:r w:rsidR="00DC2336" w:rsidRPr="00EB6E9D">
              <w:t xml:space="preserve">authority </w:t>
            </w:r>
            <w:r w:rsidRPr="00EB6E9D">
              <w:t xml:space="preserve">or the </w:t>
            </w:r>
            <w:r w:rsidR="00DC2336" w:rsidRPr="00EB6E9D">
              <w:t>“</w:t>
            </w:r>
            <w:r w:rsidRPr="00EB6E9D">
              <w:t>applicant”</w:t>
            </w:r>
            <w:r w:rsidR="00DC2336" w:rsidRPr="00EB6E9D">
              <w:t>,</w:t>
            </w:r>
            <w:r w:rsidRPr="00EB6E9D">
              <w:t xml:space="preserve"> a focal point is required.</w:t>
            </w:r>
          </w:p>
        </w:tc>
      </w:tr>
      <w:tr w:rsidR="002F34FE" w:rsidRPr="00EB6E9D" w14:paraId="3835DA54" w14:textId="77777777" w:rsidTr="00171BC2">
        <w:tc>
          <w:tcPr>
            <w:tcW w:w="1271" w:type="dxa"/>
          </w:tcPr>
          <w:p w14:paraId="50D6B231" w14:textId="080C32E9" w:rsidR="002F34FE" w:rsidRPr="00EB6E9D" w:rsidRDefault="002F34FE" w:rsidP="006D485D">
            <w:proofErr w:type="spellStart"/>
            <w:r w:rsidRPr="00EB6E9D">
              <w:t>OD11</w:t>
            </w:r>
            <w:proofErr w:type="spellEnd"/>
          </w:p>
        </w:tc>
        <w:tc>
          <w:tcPr>
            <w:tcW w:w="8358" w:type="dxa"/>
          </w:tcPr>
          <w:p w14:paraId="577ED81E" w14:textId="1F5322C0" w:rsidR="002F34FE" w:rsidRPr="00EB6E9D" w:rsidRDefault="002F34FE" w:rsidP="006D485D">
            <w:r w:rsidRPr="00EB6E9D">
              <w:t>On-going</w:t>
            </w:r>
            <w:r w:rsidR="00171BC2" w:rsidRPr="00EB6E9D">
              <w:t>.</w:t>
            </w:r>
          </w:p>
        </w:tc>
      </w:tr>
      <w:tr w:rsidR="002F34FE" w:rsidRPr="00EB6E9D" w14:paraId="536A4D25" w14:textId="77777777" w:rsidTr="00171BC2">
        <w:tc>
          <w:tcPr>
            <w:tcW w:w="1271" w:type="dxa"/>
          </w:tcPr>
          <w:p w14:paraId="73B4B212" w14:textId="6EB3B3E4" w:rsidR="002F34FE" w:rsidRPr="00EB6E9D" w:rsidRDefault="002F34FE" w:rsidP="006D485D">
            <w:proofErr w:type="spellStart"/>
            <w:r w:rsidRPr="00EB6E9D">
              <w:t>OD12</w:t>
            </w:r>
            <w:proofErr w:type="spellEnd"/>
            <w:r w:rsidRPr="00EB6E9D">
              <w:t xml:space="preserve"> </w:t>
            </w:r>
          </w:p>
        </w:tc>
        <w:tc>
          <w:tcPr>
            <w:tcW w:w="8358" w:type="dxa"/>
          </w:tcPr>
          <w:p w14:paraId="7620625C" w14:textId="21E2CACC" w:rsidR="002F34FE" w:rsidRPr="00EB6E9D" w:rsidRDefault="002F34FE" w:rsidP="006D485D">
            <w:r w:rsidRPr="00EB6E9D">
              <w:t>On-going</w:t>
            </w:r>
            <w:r w:rsidR="00171BC2" w:rsidRPr="00EB6E9D">
              <w:t>.</w:t>
            </w:r>
          </w:p>
        </w:tc>
      </w:tr>
      <w:tr w:rsidR="002F34FE" w:rsidRPr="00EB6E9D" w14:paraId="5D7A6C74" w14:textId="77777777" w:rsidTr="00171BC2">
        <w:tc>
          <w:tcPr>
            <w:tcW w:w="1271" w:type="dxa"/>
          </w:tcPr>
          <w:p w14:paraId="454F239F" w14:textId="111D92DD" w:rsidR="002F34FE" w:rsidRPr="00EB6E9D" w:rsidRDefault="002F34FE" w:rsidP="006D485D">
            <w:proofErr w:type="spellStart"/>
            <w:r w:rsidRPr="00EB6E9D">
              <w:t>OD14</w:t>
            </w:r>
            <w:proofErr w:type="spellEnd"/>
          </w:p>
        </w:tc>
        <w:tc>
          <w:tcPr>
            <w:tcW w:w="8358" w:type="dxa"/>
          </w:tcPr>
          <w:p w14:paraId="08166056" w14:textId="7D25458F" w:rsidR="002F34FE" w:rsidRPr="00EB6E9D" w:rsidRDefault="002F34FE" w:rsidP="006D485D">
            <w:r w:rsidRPr="00EB6E9D">
              <w:t xml:space="preserve">No comment </w:t>
            </w:r>
            <w:proofErr w:type="gramStart"/>
            <w:r w:rsidRPr="00EB6E9D">
              <w:t>as yet</w:t>
            </w:r>
            <w:proofErr w:type="gramEnd"/>
            <w:r w:rsidR="00171BC2" w:rsidRPr="00EB6E9D">
              <w:t>.</w:t>
            </w:r>
          </w:p>
        </w:tc>
      </w:tr>
      <w:tr w:rsidR="002F34FE" w:rsidRPr="00EB6E9D" w14:paraId="1F767A57" w14:textId="77777777" w:rsidTr="00171BC2">
        <w:tc>
          <w:tcPr>
            <w:tcW w:w="1271" w:type="dxa"/>
          </w:tcPr>
          <w:p w14:paraId="315F1629" w14:textId="51E7004A" w:rsidR="002F34FE" w:rsidRPr="00EB6E9D" w:rsidRDefault="002F34FE" w:rsidP="006D485D">
            <w:proofErr w:type="spellStart"/>
            <w:r w:rsidRPr="00EB6E9D">
              <w:t>OD15</w:t>
            </w:r>
            <w:proofErr w:type="spellEnd"/>
          </w:p>
        </w:tc>
        <w:tc>
          <w:tcPr>
            <w:tcW w:w="8358" w:type="dxa"/>
          </w:tcPr>
          <w:p w14:paraId="27E1E0B6" w14:textId="62EEFA85" w:rsidR="002F34FE" w:rsidRPr="00EB6E9D" w:rsidRDefault="002F34FE" w:rsidP="006D485D">
            <w:r w:rsidRPr="00EB6E9D">
              <w:t>SG2 does not confuse the terms but rather makes the point that entities, either as RAs or applicants, should be members.</w:t>
            </w:r>
          </w:p>
        </w:tc>
      </w:tr>
      <w:tr w:rsidR="002F34FE" w:rsidRPr="00EB6E9D" w14:paraId="096A0919" w14:textId="77777777" w:rsidTr="00171BC2">
        <w:tc>
          <w:tcPr>
            <w:tcW w:w="1271" w:type="dxa"/>
          </w:tcPr>
          <w:p w14:paraId="65214B21" w14:textId="1F157CB0" w:rsidR="002F34FE" w:rsidRPr="00EB6E9D" w:rsidRDefault="007D5F95" w:rsidP="006D485D">
            <w:proofErr w:type="spellStart"/>
            <w:r w:rsidRPr="00EB6E9D">
              <w:t>OD16</w:t>
            </w:r>
            <w:proofErr w:type="spellEnd"/>
          </w:p>
        </w:tc>
        <w:tc>
          <w:tcPr>
            <w:tcW w:w="8358" w:type="dxa"/>
          </w:tcPr>
          <w:p w14:paraId="494C2667" w14:textId="190143EC" w:rsidR="002F34FE" w:rsidRPr="00EB6E9D" w:rsidRDefault="007D5F95" w:rsidP="006D485D">
            <w:r w:rsidRPr="00EB6E9D">
              <w:t>The annex is a good start and represents good operational practice.</w:t>
            </w:r>
            <w:r w:rsidR="00171BC2" w:rsidRPr="00EB6E9D">
              <w:t xml:space="preserve"> </w:t>
            </w:r>
            <w:r w:rsidRPr="00EB6E9D">
              <w:t>The detail requires further work.</w:t>
            </w:r>
          </w:p>
        </w:tc>
      </w:tr>
      <w:tr w:rsidR="007D5F95" w:rsidRPr="00EB6E9D" w14:paraId="30ECCE10" w14:textId="77777777" w:rsidTr="00171BC2">
        <w:tc>
          <w:tcPr>
            <w:tcW w:w="1271" w:type="dxa"/>
          </w:tcPr>
          <w:p w14:paraId="5EA846E1" w14:textId="15F69A17" w:rsidR="007D5F95" w:rsidRPr="00EB6E9D" w:rsidRDefault="007D5F95" w:rsidP="006D485D">
            <w:proofErr w:type="spellStart"/>
            <w:r w:rsidRPr="00EB6E9D">
              <w:t>OD17</w:t>
            </w:r>
            <w:proofErr w:type="spellEnd"/>
          </w:p>
        </w:tc>
        <w:tc>
          <w:tcPr>
            <w:tcW w:w="8358" w:type="dxa"/>
          </w:tcPr>
          <w:p w14:paraId="78B41DEC" w14:textId="0E22936B" w:rsidR="007D5F95" w:rsidRPr="00EB6E9D" w:rsidRDefault="007D5F95" w:rsidP="006D485D">
            <w:r w:rsidRPr="00EB6E9D">
              <w:t>On-going</w:t>
            </w:r>
            <w:r w:rsidR="00171BC2" w:rsidRPr="00EB6E9D">
              <w:t>.</w:t>
            </w:r>
          </w:p>
        </w:tc>
      </w:tr>
      <w:tr w:rsidR="007D5F95" w:rsidRPr="00EB6E9D" w14:paraId="01AC3CFF" w14:textId="77777777" w:rsidTr="00171BC2">
        <w:tc>
          <w:tcPr>
            <w:tcW w:w="1271" w:type="dxa"/>
          </w:tcPr>
          <w:p w14:paraId="3D76A3FE" w14:textId="420527DA" w:rsidR="007D5F95" w:rsidRPr="00EB6E9D" w:rsidRDefault="007D5F95" w:rsidP="006D485D">
            <w:proofErr w:type="spellStart"/>
            <w:r w:rsidRPr="00EB6E9D">
              <w:t>Od20</w:t>
            </w:r>
            <w:proofErr w:type="spellEnd"/>
          </w:p>
        </w:tc>
        <w:tc>
          <w:tcPr>
            <w:tcW w:w="8358" w:type="dxa"/>
          </w:tcPr>
          <w:p w14:paraId="0B7E2709" w14:textId="17E60ACC" w:rsidR="007D5F95" w:rsidRPr="00EB6E9D" w:rsidRDefault="007D5F95" w:rsidP="006D485D">
            <w:r w:rsidRPr="00EB6E9D">
              <w:t>See earlier comments</w:t>
            </w:r>
            <w:r w:rsidR="00171BC2" w:rsidRPr="00EB6E9D">
              <w:t>.</w:t>
            </w:r>
          </w:p>
        </w:tc>
      </w:tr>
      <w:tr w:rsidR="007D5F95" w:rsidRPr="00EB6E9D" w14:paraId="30DC5BFB" w14:textId="77777777" w:rsidTr="00171BC2">
        <w:tc>
          <w:tcPr>
            <w:tcW w:w="1271" w:type="dxa"/>
          </w:tcPr>
          <w:p w14:paraId="44BF99A8" w14:textId="6B5C3CB2" w:rsidR="007D5F95" w:rsidRPr="00EB6E9D" w:rsidRDefault="007D5F95" w:rsidP="006D485D">
            <w:proofErr w:type="spellStart"/>
            <w:r w:rsidRPr="00EB6E9D">
              <w:t>OD22</w:t>
            </w:r>
            <w:proofErr w:type="spellEnd"/>
          </w:p>
        </w:tc>
        <w:tc>
          <w:tcPr>
            <w:tcW w:w="8358" w:type="dxa"/>
          </w:tcPr>
          <w:p w14:paraId="0576926F" w14:textId="60345DF2" w:rsidR="007D5F95" w:rsidRPr="00EB6E9D" w:rsidRDefault="007D5F95" w:rsidP="006D485D">
            <w:r w:rsidRPr="00EB6E9D">
              <w:t xml:space="preserve">See </w:t>
            </w:r>
            <w:proofErr w:type="spellStart"/>
            <w:r w:rsidRPr="00EB6E9D">
              <w:t>OD9</w:t>
            </w:r>
            <w:proofErr w:type="spellEnd"/>
            <w:r w:rsidR="00171BC2" w:rsidRPr="00EB6E9D">
              <w:t>.</w:t>
            </w:r>
          </w:p>
        </w:tc>
      </w:tr>
    </w:tbl>
    <w:p w14:paraId="4812D36B" w14:textId="037A4578" w:rsidR="0082549A" w:rsidRDefault="007D5F95" w:rsidP="006D485D">
      <w:r w:rsidRPr="00EB6E9D">
        <w:t xml:space="preserve">ITU-T SG2 looks forward to the collaboration with RG-WM on this draft </w:t>
      </w:r>
      <w:r w:rsidR="00171BC2" w:rsidRPr="00EB6E9D">
        <w:t>Recommendation</w:t>
      </w:r>
      <w:r w:rsidRPr="00EB6E9D">
        <w:t>.</w:t>
      </w:r>
    </w:p>
    <w:p w14:paraId="090764A5" w14:textId="77777777" w:rsidR="00084273" w:rsidRDefault="00084273" w:rsidP="00BF1C1D"/>
    <w:p w14:paraId="269839DD" w14:textId="573AA9FA" w:rsidR="00BF1C1D" w:rsidRDefault="00E71046" w:rsidP="00E71046">
      <w:pPr>
        <w:jc w:val="center"/>
      </w:pPr>
      <w:bookmarkStart w:id="12" w:name="_Hlk159846842"/>
      <w:bookmarkEnd w:id="11"/>
      <w:r w:rsidRPr="00054EC8">
        <w:t>_______________________</w:t>
      </w:r>
      <w:bookmarkEnd w:id="12"/>
    </w:p>
    <w:sectPr w:rsidR="00BF1C1D" w:rsidSect="00A87AF0">
      <w:headerReference w:type="default" r:id="rId16"/>
      <w:footerReference w:type="even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FCF9" w14:textId="77777777" w:rsidR="00DC53A2" w:rsidRDefault="00DC53A2" w:rsidP="00C42125">
      <w:pPr>
        <w:spacing w:before="0"/>
      </w:pPr>
      <w:r>
        <w:separator/>
      </w:r>
    </w:p>
  </w:endnote>
  <w:endnote w:type="continuationSeparator" w:id="0">
    <w:p w14:paraId="3E377DE3" w14:textId="77777777" w:rsidR="00DC53A2" w:rsidRDefault="00DC53A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AA5D" w14:textId="75D68E1B" w:rsidR="00B7189C" w:rsidRDefault="00B34A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69785" wp14:editId="6DE48E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44B2A" w14:textId="6E3450B0" w:rsidR="00B34A08" w:rsidRPr="00B34A08" w:rsidRDefault="00B34A08" w:rsidP="00B34A08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B34A08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697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344B2A" w14:textId="6E3450B0" w:rsidR="00B34A08" w:rsidRPr="00B34A08" w:rsidRDefault="00B34A08" w:rsidP="00B34A08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B34A08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478F" w14:textId="77777777" w:rsidR="00DC53A2" w:rsidRDefault="00DC53A2" w:rsidP="00C42125">
      <w:pPr>
        <w:spacing w:before="0"/>
      </w:pPr>
      <w:r>
        <w:separator/>
      </w:r>
    </w:p>
  </w:footnote>
  <w:footnote w:type="continuationSeparator" w:id="0">
    <w:p w14:paraId="15C16913" w14:textId="77777777" w:rsidR="00DC53A2" w:rsidRDefault="00DC53A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ECD8" w14:textId="56305BD3" w:rsidR="006B6379" w:rsidRPr="000816C1" w:rsidRDefault="000816C1" w:rsidP="000816C1">
    <w:pPr>
      <w:pStyle w:val="Header"/>
    </w:pPr>
    <w:r w:rsidRPr="000816C1">
      <w:t xml:space="preserve">- </w:t>
    </w:r>
    <w:r w:rsidRPr="000816C1">
      <w:fldChar w:fldCharType="begin"/>
    </w:r>
    <w:r w:rsidRPr="000816C1">
      <w:instrText xml:space="preserve"> PAGE  \* MERGEFORMAT </w:instrText>
    </w:r>
    <w:r w:rsidRPr="000816C1">
      <w:fldChar w:fldCharType="separate"/>
    </w:r>
    <w:r w:rsidRPr="000816C1">
      <w:rPr>
        <w:noProof/>
      </w:rPr>
      <w:t>1</w:t>
    </w:r>
    <w:r w:rsidRPr="000816C1">
      <w:fldChar w:fldCharType="end"/>
    </w:r>
    <w:r w:rsidRPr="000816C1">
      <w:t xml:space="preserve"> -</w:t>
    </w:r>
  </w:p>
  <w:p w14:paraId="58F5B62B" w14:textId="0DABD4D0" w:rsidR="000816C1" w:rsidRPr="000816C1" w:rsidRDefault="000816C1" w:rsidP="000816C1">
    <w:pPr>
      <w:pStyle w:val="Header"/>
      <w:spacing w:after="240"/>
    </w:pPr>
    <w:r w:rsidRPr="000816C1">
      <w:fldChar w:fldCharType="begin"/>
    </w:r>
    <w:r w:rsidRPr="000816C1">
      <w:instrText xml:space="preserve"> STYLEREF  Docnumber  </w:instrText>
    </w:r>
    <w:r w:rsidRPr="000816C1">
      <w:fldChar w:fldCharType="separate"/>
    </w:r>
    <w:r w:rsidR="0094345F">
      <w:rPr>
        <w:noProof/>
      </w:rPr>
      <w:t>TSAG-TD565</w:t>
    </w:r>
    <w:r w:rsidRPr="000816C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46CF7"/>
    <w:rsid w:val="00054EC8"/>
    <w:rsid w:val="00057000"/>
    <w:rsid w:val="00061268"/>
    <w:rsid w:val="000640E0"/>
    <w:rsid w:val="000816C1"/>
    <w:rsid w:val="00084273"/>
    <w:rsid w:val="00084FEC"/>
    <w:rsid w:val="000920CE"/>
    <w:rsid w:val="000966A8"/>
    <w:rsid w:val="000A5CA2"/>
    <w:rsid w:val="000A799D"/>
    <w:rsid w:val="000B739D"/>
    <w:rsid w:val="000B7EE2"/>
    <w:rsid w:val="000C397B"/>
    <w:rsid w:val="000E6125"/>
    <w:rsid w:val="00113DBE"/>
    <w:rsid w:val="001200A6"/>
    <w:rsid w:val="00124A40"/>
    <w:rsid w:val="001251DA"/>
    <w:rsid w:val="00125432"/>
    <w:rsid w:val="0012760F"/>
    <w:rsid w:val="00136DDD"/>
    <w:rsid w:val="00137F40"/>
    <w:rsid w:val="0014070B"/>
    <w:rsid w:val="001410FD"/>
    <w:rsid w:val="00144BDF"/>
    <w:rsid w:val="00145A8D"/>
    <w:rsid w:val="00155DDC"/>
    <w:rsid w:val="00161830"/>
    <w:rsid w:val="00171BC2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81B00"/>
    <w:rsid w:val="002A11C4"/>
    <w:rsid w:val="002A399B"/>
    <w:rsid w:val="002A49BC"/>
    <w:rsid w:val="002B784D"/>
    <w:rsid w:val="002C26C0"/>
    <w:rsid w:val="002C2BC5"/>
    <w:rsid w:val="002C502A"/>
    <w:rsid w:val="002D6447"/>
    <w:rsid w:val="002E0407"/>
    <w:rsid w:val="002E3C52"/>
    <w:rsid w:val="002E79CB"/>
    <w:rsid w:val="002F34FE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1CEE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1BB"/>
    <w:rsid w:val="004539A8"/>
    <w:rsid w:val="004637D5"/>
    <w:rsid w:val="004712CA"/>
    <w:rsid w:val="00473782"/>
    <w:rsid w:val="0047422E"/>
    <w:rsid w:val="0047643D"/>
    <w:rsid w:val="0049090D"/>
    <w:rsid w:val="0049674B"/>
    <w:rsid w:val="004C0673"/>
    <w:rsid w:val="004C33AB"/>
    <w:rsid w:val="004C4E4E"/>
    <w:rsid w:val="004D007C"/>
    <w:rsid w:val="004D60A3"/>
    <w:rsid w:val="004F23BA"/>
    <w:rsid w:val="004F3816"/>
    <w:rsid w:val="0050586A"/>
    <w:rsid w:val="00520DBF"/>
    <w:rsid w:val="005266E6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17FF1"/>
    <w:rsid w:val="00626673"/>
    <w:rsid w:val="006333D4"/>
    <w:rsid w:val="006369B2"/>
    <w:rsid w:val="0063718D"/>
    <w:rsid w:val="00647525"/>
    <w:rsid w:val="00647A71"/>
    <w:rsid w:val="00652D9F"/>
    <w:rsid w:val="006553F1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B6379"/>
    <w:rsid w:val="006C5641"/>
    <w:rsid w:val="006D1089"/>
    <w:rsid w:val="006D1B86"/>
    <w:rsid w:val="006D485D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4471B"/>
    <w:rsid w:val="00754192"/>
    <w:rsid w:val="0075525E"/>
    <w:rsid w:val="00756D3D"/>
    <w:rsid w:val="0076576B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5F95"/>
    <w:rsid w:val="007D66E2"/>
    <w:rsid w:val="007E2C69"/>
    <w:rsid w:val="007E53E4"/>
    <w:rsid w:val="007E656A"/>
    <w:rsid w:val="007F3CAA"/>
    <w:rsid w:val="007F664D"/>
    <w:rsid w:val="00812E67"/>
    <w:rsid w:val="00814F8B"/>
    <w:rsid w:val="0082549A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97110"/>
    <w:rsid w:val="008B5123"/>
    <w:rsid w:val="008C7CAB"/>
    <w:rsid w:val="008E0172"/>
    <w:rsid w:val="00900EF1"/>
    <w:rsid w:val="00906CD2"/>
    <w:rsid w:val="00912EBF"/>
    <w:rsid w:val="009302DE"/>
    <w:rsid w:val="00936852"/>
    <w:rsid w:val="0094045D"/>
    <w:rsid w:val="009406B5"/>
    <w:rsid w:val="0094345F"/>
    <w:rsid w:val="00946166"/>
    <w:rsid w:val="009507EC"/>
    <w:rsid w:val="00983164"/>
    <w:rsid w:val="009972EF"/>
    <w:rsid w:val="009B5035"/>
    <w:rsid w:val="009C3160"/>
    <w:rsid w:val="009C3FED"/>
    <w:rsid w:val="009D66BF"/>
    <w:rsid w:val="009E766E"/>
    <w:rsid w:val="009F1960"/>
    <w:rsid w:val="009F2C64"/>
    <w:rsid w:val="009F715E"/>
    <w:rsid w:val="00A10DBB"/>
    <w:rsid w:val="00A11720"/>
    <w:rsid w:val="00A1620B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87AF0"/>
    <w:rsid w:val="00A907B3"/>
    <w:rsid w:val="00A971A0"/>
    <w:rsid w:val="00AA1F22"/>
    <w:rsid w:val="00AB657A"/>
    <w:rsid w:val="00AF5A57"/>
    <w:rsid w:val="00AF735D"/>
    <w:rsid w:val="00B024D7"/>
    <w:rsid w:val="00B05821"/>
    <w:rsid w:val="00B076B6"/>
    <w:rsid w:val="00B100D6"/>
    <w:rsid w:val="00B164C9"/>
    <w:rsid w:val="00B26C28"/>
    <w:rsid w:val="00B30F21"/>
    <w:rsid w:val="00B34A08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BF6811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C2B80"/>
    <w:rsid w:val="00CC7970"/>
    <w:rsid w:val="00CD2139"/>
    <w:rsid w:val="00CD2497"/>
    <w:rsid w:val="00CD3993"/>
    <w:rsid w:val="00CD6848"/>
    <w:rsid w:val="00CE1E6E"/>
    <w:rsid w:val="00CE5986"/>
    <w:rsid w:val="00CF34C4"/>
    <w:rsid w:val="00D11885"/>
    <w:rsid w:val="00D14BBF"/>
    <w:rsid w:val="00D647EF"/>
    <w:rsid w:val="00D73137"/>
    <w:rsid w:val="00D745B2"/>
    <w:rsid w:val="00D977A2"/>
    <w:rsid w:val="00DA1D47"/>
    <w:rsid w:val="00DC2336"/>
    <w:rsid w:val="00DC53A2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57B65"/>
    <w:rsid w:val="00E71046"/>
    <w:rsid w:val="00E72E36"/>
    <w:rsid w:val="00E87795"/>
    <w:rsid w:val="00E917A1"/>
    <w:rsid w:val="00EB444D"/>
    <w:rsid w:val="00EB57DC"/>
    <w:rsid w:val="00EB6C2A"/>
    <w:rsid w:val="00EB6E9D"/>
    <w:rsid w:val="00ED5B66"/>
    <w:rsid w:val="00EE5C0D"/>
    <w:rsid w:val="00EF4317"/>
    <w:rsid w:val="00EF4792"/>
    <w:rsid w:val="00F02294"/>
    <w:rsid w:val="00F27791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C45AD"/>
    <w:rsid w:val="00FD439E"/>
    <w:rsid w:val="00FD76CB"/>
    <w:rsid w:val="00FE0729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Style 58,超????,하이퍼링크2,超?级链,超链接1,하이퍼링크21,超??级链Ú,fL????,fL?级,超??级链,CEO_Hyperlink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6B63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82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2-oLS-00102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fa/t/2022/ls/tsag/sp17-tsag-oLS-00037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-oLS-00102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fa/t/2022/ls/tsag/sp17-tsag-oLS-00037.zip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SG02-240619-TD-GEN-0440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Further review of draft Recommendation ITU-T A.RA "Appointment and operations of registration authorities"</vt:lpstr>
      <vt:lpstr>Liaison Statement - Unformatted template (T21)</vt:lpstr>
    </vt:vector>
  </TitlesOfParts>
  <Manager>ITU-T</Manager>
  <Company>International Telecommunication Union (ITU)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Further review of draft Recommendation ITU-T A.RA "Appointment and operations of registration authorities" (reply to TSAG-LS37) [to TSAG]</dc:title>
  <dc:subject/>
  <dc:creator>ITU-T Study Group 2</dc:creator>
  <cp:keywords/>
  <dc:description>SG2-TD102  For: Geneva, 19-28 June 2024_x000d_Document date: _x000d_Saved by ITU51014924 at 10:44:42 on 22.04.2024</dc:description>
  <cp:lastModifiedBy>Al-Mnini, Lara</cp:lastModifiedBy>
  <cp:revision>3</cp:revision>
  <cp:lastPrinted>2016-12-23T12:52:00Z</cp:lastPrinted>
  <dcterms:created xsi:type="dcterms:W3CDTF">2024-05-01T12:27:00Z</dcterms:created>
  <dcterms:modified xsi:type="dcterms:W3CDTF">2024-05-01T14:03:00Z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#ed7d31,8,Helvetica 75 Bold</vt:lpwstr>
  </property>
  <property fmtid="{D5CDD505-2E9C-101B-9397-08002B2CF9AE}" pid="5" name="ClassificationContentMarkingFooterText">
    <vt:lpwstr>Orange Restricted</vt:lpwstr>
  </property>
  <property fmtid="{D5CDD505-2E9C-101B-9397-08002B2CF9AE}" pid="6" name="Docnum">
    <vt:lpwstr>SG2-TD102</vt:lpwstr>
  </property>
  <property fmtid="{D5CDD505-2E9C-101B-9397-08002B2CF9AE}" pid="7" name="Docdate">
    <vt:lpwstr/>
  </property>
  <property fmtid="{D5CDD505-2E9C-101B-9397-08002B2CF9AE}" pid="8" name="Docorlang">
    <vt:lpwstr/>
  </property>
  <property fmtid="{D5CDD505-2E9C-101B-9397-08002B2CF9AE}" pid="9" name="Docbluepink">
    <vt:lpwstr>1/2</vt:lpwstr>
  </property>
  <property fmtid="{D5CDD505-2E9C-101B-9397-08002B2CF9AE}" pid="10" name="Docdest">
    <vt:lpwstr>Geneva, 19-28 June 2024</vt:lpwstr>
  </property>
  <property fmtid="{D5CDD505-2E9C-101B-9397-08002B2CF9AE}" pid="11" name="Docauthor">
    <vt:lpwstr>ITU-T Study Group 2</vt:lpwstr>
  </property>
</Properties>
</file>