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342"/>
        <w:gridCol w:w="585"/>
        <w:gridCol w:w="3525"/>
      </w:tblGrid>
      <w:tr w:rsidR="00704DE0" w14:paraId="34239A38" w14:textId="77777777" w:rsidTr="000843A5">
        <w:trPr>
          <w:cantSplit/>
        </w:trPr>
        <w:tc>
          <w:tcPr>
            <w:tcW w:w="1160" w:type="dxa"/>
            <w:vMerge w:val="restart"/>
            <w:vAlign w:val="center"/>
          </w:tcPr>
          <w:p w14:paraId="0689DD0D" w14:textId="77777777" w:rsidR="00704DE0" w:rsidRDefault="00704DE0" w:rsidP="00CC41C2">
            <w:pPr>
              <w:spacing w:before="0"/>
              <w:jc w:val="center"/>
            </w:pPr>
            <w:bookmarkStart w:id="0" w:name="dnum" w:colFirst="2" w:colLast="2"/>
            <w:bookmarkStart w:id="1" w:name="dtableau"/>
            <w:r>
              <w:rPr>
                <w:noProof/>
              </w:rPr>
              <w:drawing>
                <wp:inline distT="0" distB="0" distL="0" distR="0" wp14:anchorId="21BD7A86" wp14:editId="7D121A3A">
                  <wp:extent cx="650875" cy="70231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75" cy="702310"/>
                          </a:xfrm>
                          <a:prstGeom prst="rect">
                            <a:avLst/>
                          </a:prstGeom>
                          <a:noFill/>
                          <a:ln>
                            <a:noFill/>
                          </a:ln>
                        </pic:spPr>
                      </pic:pic>
                    </a:graphicData>
                  </a:graphic>
                </wp:inline>
              </w:drawing>
            </w:r>
          </w:p>
        </w:tc>
        <w:tc>
          <w:tcPr>
            <w:tcW w:w="4954" w:type="dxa"/>
            <w:gridSpan w:val="4"/>
            <w:vMerge w:val="restart"/>
          </w:tcPr>
          <w:p w14:paraId="71F1ED8C" w14:textId="77777777" w:rsidR="00704DE0" w:rsidRDefault="00704DE0" w:rsidP="00CC41C2">
            <w:pPr>
              <w:rPr>
                <w:sz w:val="16"/>
              </w:rPr>
            </w:pPr>
            <w:r>
              <w:rPr>
                <w:sz w:val="16"/>
              </w:rPr>
              <w:t>INTERNATIONAL TELECOMMUNICATION UNION</w:t>
            </w:r>
          </w:p>
          <w:p w14:paraId="69330C0B" w14:textId="77777777" w:rsidR="00704DE0" w:rsidRDefault="00704DE0" w:rsidP="00CC41C2">
            <w:pPr>
              <w:rPr>
                <w:b/>
                <w:bCs/>
                <w:sz w:val="26"/>
              </w:rPr>
            </w:pPr>
            <w:r>
              <w:rPr>
                <w:b/>
                <w:bCs/>
                <w:sz w:val="26"/>
              </w:rPr>
              <w:t>TELECOMMUNICATION STANDARDIZATION SECTOR</w:t>
            </w:r>
          </w:p>
          <w:p w14:paraId="6661E952" w14:textId="77777777" w:rsidR="00704DE0" w:rsidRDefault="00704DE0" w:rsidP="00CC41C2">
            <w:pPr>
              <w:rPr>
                <w:sz w:val="20"/>
              </w:rPr>
            </w:pPr>
            <w:r>
              <w:rPr>
                <w:sz w:val="20"/>
              </w:rPr>
              <w:t>STUDY PERIOD 2022-2024</w:t>
            </w:r>
          </w:p>
        </w:tc>
        <w:tc>
          <w:tcPr>
            <w:tcW w:w="3525" w:type="dxa"/>
          </w:tcPr>
          <w:p w14:paraId="5540DB22" w14:textId="77777777" w:rsidR="00704DE0" w:rsidRDefault="00704DE0" w:rsidP="00CC41C2">
            <w:pPr>
              <w:pStyle w:val="Docnumber"/>
            </w:pPr>
            <w:r>
              <w:t>TSAG-TD534</w:t>
            </w:r>
          </w:p>
        </w:tc>
      </w:tr>
      <w:tr w:rsidR="00704DE0" w14:paraId="76C47BF1" w14:textId="77777777" w:rsidTr="000843A5">
        <w:trPr>
          <w:cantSplit/>
          <w:trHeight w:val="461"/>
        </w:trPr>
        <w:tc>
          <w:tcPr>
            <w:tcW w:w="1160" w:type="dxa"/>
            <w:vMerge/>
          </w:tcPr>
          <w:p w14:paraId="54E01B47" w14:textId="77777777" w:rsidR="00704DE0" w:rsidRDefault="00704DE0" w:rsidP="00CC41C2">
            <w:pPr>
              <w:rPr>
                <w:smallCaps/>
                <w:sz w:val="20"/>
              </w:rPr>
            </w:pPr>
          </w:p>
        </w:tc>
        <w:tc>
          <w:tcPr>
            <w:tcW w:w="4954" w:type="dxa"/>
            <w:gridSpan w:val="4"/>
            <w:vMerge/>
          </w:tcPr>
          <w:p w14:paraId="348350D4" w14:textId="77777777" w:rsidR="00704DE0" w:rsidRDefault="00704DE0" w:rsidP="00CC41C2">
            <w:pPr>
              <w:rPr>
                <w:smallCaps/>
                <w:sz w:val="20"/>
              </w:rPr>
            </w:pPr>
          </w:p>
        </w:tc>
        <w:tc>
          <w:tcPr>
            <w:tcW w:w="3525" w:type="dxa"/>
            <w:tcBorders>
              <w:bottom w:val="nil"/>
            </w:tcBorders>
          </w:tcPr>
          <w:p w14:paraId="2CC0AD48" w14:textId="77777777" w:rsidR="00704DE0" w:rsidRDefault="00704DE0" w:rsidP="00CC41C2">
            <w:pPr>
              <w:pStyle w:val="TSBHeaderRight14"/>
            </w:pPr>
            <w:r>
              <w:t>TSAG</w:t>
            </w:r>
          </w:p>
        </w:tc>
      </w:tr>
      <w:tr w:rsidR="00704DE0" w14:paraId="4FA00C96" w14:textId="77777777" w:rsidTr="000843A5">
        <w:trPr>
          <w:cantSplit/>
          <w:trHeight w:val="379"/>
        </w:trPr>
        <w:tc>
          <w:tcPr>
            <w:tcW w:w="1160" w:type="dxa"/>
            <w:vMerge/>
            <w:tcBorders>
              <w:bottom w:val="single" w:sz="12" w:space="0" w:color="auto"/>
            </w:tcBorders>
          </w:tcPr>
          <w:p w14:paraId="6AD3D61E" w14:textId="77777777" w:rsidR="00704DE0" w:rsidRDefault="00704DE0" w:rsidP="00CC41C2">
            <w:pPr>
              <w:rPr>
                <w:b/>
                <w:bCs/>
                <w:sz w:val="26"/>
              </w:rPr>
            </w:pPr>
            <w:bookmarkStart w:id="2" w:name="dorlang" w:colFirst="2" w:colLast="2"/>
          </w:p>
        </w:tc>
        <w:tc>
          <w:tcPr>
            <w:tcW w:w="4954" w:type="dxa"/>
            <w:gridSpan w:val="4"/>
            <w:vMerge/>
            <w:tcBorders>
              <w:bottom w:val="single" w:sz="12" w:space="0" w:color="auto"/>
            </w:tcBorders>
          </w:tcPr>
          <w:p w14:paraId="5BCA299E" w14:textId="77777777" w:rsidR="00704DE0" w:rsidRDefault="00704DE0" w:rsidP="00CC41C2">
            <w:pPr>
              <w:rPr>
                <w:b/>
                <w:bCs/>
                <w:sz w:val="26"/>
              </w:rPr>
            </w:pPr>
          </w:p>
        </w:tc>
        <w:tc>
          <w:tcPr>
            <w:tcW w:w="3525" w:type="dxa"/>
            <w:tcBorders>
              <w:bottom w:val="single" w:sz="12" w:space="0" w:color="auto"/>
            </w:tcBorders>
          </w:tcPr>
          <w:p w14:paraId="75AB81D0" w14:textId="77777777" w:rsidR="00704DE0" w:rsidRDefault="00704DE0" w:rsidP="00CC41C2">
            <w:pPr>
              <w:jc w:val="right"/>
              <w:rPr>
                <w:b/>
                <w:bCs/>
                <w:sz w:val="28"/>
              </w:rPr>
            </w:pPr>
            <w:r>
              <w:rPr>
                <w:b/>
                <w:bCs/>
                <w:sz w:val="28"/>
              </w:rPr>
              <w:t>Original: English</w:t>
            </w:r>
          </w:p>
        </w:tc>
      </w:tr>
      <w:bookmarkEnd w:id="2"/>
      <w:tr w:rsidR="00704DE0" w14:paraId="38A5DAF0" w14:textId="77777777" w:rsidTr="000843A5">
        <w:trPr>
          <w:cantSplit/>
          <w:trHeight w:val="357"/>
        </w:trPr>
        <w:tc>
          <w:tcPr>
            <w:tcW w:w="1508" w:type="dxa"/>
            <w:gridSpan w:val="2"/>
          </w:tcPr>
          <w:p w14:paraId="4A0FB26E" w14:textId="77777777" w:rsidR="00704DE0" w:rsidRDefault="00704DE0" w:rsidP="00CC41C2">
            <w:pPr>
              <w:rPr>
                <w:b/>
                <w:bCs/>
              </w:rPr>
            </w:pPr>
            <w:r>
              <w:rPr>
                <w:b/>
                <w:bCs/>
              </w:rPr>
              <w:t>Question(s):</w:t>
            </w:r>
          </w:p>
        </w:tc>
        <w:tc>
          <w:tcPr>
            <w:tcW w:w="4606" w:type="dxa"/>
            <w:gridSpan w:val="3"/>
          </w:tcPr>
          <w:p w14:paraId="573CFAEE" w14:textId="010753C2" w:rsidR="00704DE0" w:rsidRDefault="00BE7947" w:rsidP="00CC41C2">
            <w:pPr>
              <w:pStyle w:val="TSBHeaderQuestion"/>
            </w:pPr>
            <w:r>
              <w:t>N/</w:t>
            </w:r>
            <w:r w:rsidR="00704DE0">
              <w:t>A</w:t>
            </w:r>
          </w:p>
        </w:tc>
        <w:tc>
          <w:tcPr>
            <w:tcW w:w="3525" w:type="dxa"/>
          </w:tcPr>
          <w:p w14:paraId="5973558D" w14:textId="77777777" w:rsidR="00704DE0" w:rsidRDefault="00704DE0" w:rsidP="00CC41C2">
            <w:pPr>
              <w:pStyle w:val="VenueDate"/>
            </w:pPr>
            <w:r>
              <w:t>Geneva, 29 July - 2 August 2024</w:t>
            </w:r>
          </w:p>
        </w:tc>
      </w:tr>
      <w:tr w:rsidR="00704DE0" w14:paraId="4D55F113" w14:textId="77777777" w:rsidTr="00CC41C2">
        <w:trPr>
          <w:cantSplit/>
          <w:trHeight w:val="357"/>
        </w:trPr>
        <w:tc>
          <w:tcPr>
            <w:tcW w:w="9639" w:type="dxa"/>
            <w:gridSpan w:val="6"/>
          </w:tcPr>
          <w:p w14:paraId="4DCD056C" w14:textId="1124DCC5" w:rsidR="00704DE0" w:rsidRDefault="00704DE0" w:rsidP="00CC41C2">
            <w:pPr>
              <w:jc w:val="center"/>
              <w:rPr>
                <w:b/>
                <w:bCs/>
              </w:rPr>
            </w:pPr>
            <w:bookmarkStart w:id="3" w:name="dtitle" w:colFirst="0" w:colLast="0"/>
            <w:r>
              <w:rPr>
                <w:b/>
                <w:bCs/>
              </w:rPr>
              <w:t>TD</w:t>
            </w:r>
            <w:r>
              <w:rPr>
                <w:b/>
                <w:bCs/>
              </w:rPr>
              <w:br/>
              <w:t>(Ref</w:t>
            </w:r>
            <w:r w:rsidR="00BE7947">
              <w:rPr>
                <w:b/>
                <w:bCs/>
              </w:rPr>
              <w:t>.</w:t>
            </w:r>
            <w:r>
              <w:rPr>
                <w:b/>
                <w:bCs/>
              </w:rPr>
              <w:t xml:space="preserve">: </w:t>
            </w:r>
            <w:hyperlink r:id="rId13" w:tooltip="ITU-T ftp file restricted to TIES access only" w:history="1">
              <w:r>
                <w:rPr>
                  <w:rStyle w:val="Hyperlink"/>
                </w:rPr>
                <w:t>SG5-LS134</w:t>
              </w:r>
            </w:hyperlink>
            <w:r>
              <w:rPr>
                <w:b/>
                <w:bCs/>
              </w:rPr>
              <w:t>)</w:t>
            </w:r>
          </w:p>
        </w:tc>
      </w:tr>
      <w:bookmarkEnd w:id="3"/>
      <w:tr w:rsidR="00704DE0" w14:paraId="0166843A" w14:textId="77777777" w:rsidTr="000843A5">
        <w:trPr>
          <w:cantSplit/>
          <w:trHeight w:val="357"/>
        </w:trPr>
        <w:tc>
          <w:tcPr>
            <w:tcW w:w="1508" w:type="dxa"/>
            <w:gridSpan w:val="2"/>
          </w:tcPr>
          <w:p w14:paraId="750E54DE" w14:textId="77777777" w:rsidR="00704DE0" w:rsidRDefault="00704DE0" w:rsidP="00CC41C2">
            <w:pPr>
              <w:rPr>
                <w:b/>
                <w:bCs/>
              </w:rPr>
            </w:pPr>
            <w:r>
              <w:rPr>
                <w:b/>
                <w:bCs/>
              </w:rPr>
              <w:t>Source:</w:t>
            </w:r>
          </w:p>
        </w:tc>
        <w:tc>
          <w:tcPr>
            <w:tcW w:w="8131" w:type="dxa"/>
            <w:gridSpan w:val="4"/>
          </w:tcPr>
          <w:p w14:paraId="41DAC93A" w14:textId="77777777" w:rsidR="00704DE0" w:rsidRDefault="00704DE0" w:rsidP="00CC41C2">
            <w:pPr>
              <w:pStyle w:val="TSBHeaderSource"/>
            </w:pPr>
            <w:r>
              <w:t>ITU-T Study Group 5</w:t>
            </w:r>
          </w:p>
        </w:tc>
      </w:tr>
      <w:tr w:rsidR="000843A5" w14:paraId="04263EFD" w14:textId="77777777" w:rsidTr="000843A5">
        <w:trPr>
          <w:cantSplit/>
          <w:trHeight w:val="357"/>
        </w:trPr>
        <w:tc>
          <w:tcPr>
            <w:tcW w:w="1508" w:type="dxa"/>
            <w:gridSpan w:val="2"/>
          </w:tcPr>
          <w:p w14:paraId="54EB437E" w14:textId="77777777" w:rsidR="000843A5" w:rsidRDefault="000843A5" w:rsidP="000843A5">
            <w:pPr>
              <w:rPr>
                <w:b/>
                <w:bCs/>
              </w:rPr>
            </w:pPr>
            <w:r>
              <w:rPr>
                <w:b/>
                <w:bCs/>
              </w:rPr>
              <w:t>Title:</w:t>
            </w:r>
          </w:p>
        </w:tc>
        <w:tc>
          <w:tcPr>
            <w:tcW w:w="8131" w:type="dxa"/>
            <w:gridSpan w:val="4"/>
          </w:tcPr>
          <w:p w14:paraId="608908DF" w14:textId="4B83B84B" w:rsidR="000843A5" w:rsidRDefault="000843A5" w:rsidP="000843A5">
            <w:pPr>
              <w:pStyle w:val="TSBHeaderTitle"/>
            </w:pPr>
            <w:r w:rsidRPr="00675F24">
              <w:t>LS</w:t>
            </w:r>
            <w:r>
              <w:t>/i</w:t>
            </w:r>
            <w:r w:rsidRPr="00675F24">
              <w:t xml:space="preserve"> on ITU-T SG5 Lead Study Group Report</w:t>
            </w:r>
            <w:r>
              <w:t xml:space="preserve"> [from ITU-T SG5]</w:t>
            </w:r>
          </w:p>
        </w:tc>
      </w:tr>
      <w:tr w:rsidR="000843A5" w14:paraId="3E20CF94" w14:textId="77777777" w:rsidTr="00CC41C2">
        <w:trPr>
          <w:cantSplit/>
          <w:trHeight w:val="357"/>
        </w:trPr>
        <w:tc>
          <w:tcPr>
            <w:tcW w:w="9639" w:type="dxa"/>
            <w:gridSpan w:val="6"/>
            <w:tcBorders>
              <w:top w:val="single" w:sz="12" w:space="0" w:color="auto"/>
            </w:tcBorders>
          </w:tcPr>
          <w:p w14:paraId="4A4B1992" w14:textId="77777777" w:rsidR="000843A5" w:rsidRDefault="000843A5" w:rsidP="000843A5">
            <w:pPr>
              <w:jc w:val="center"/>
              <w:rPr>
                <w:b/>
              </w:rPr>
            </w:pPr>
            <w:r>
              <w:rPr>
                <w:b/>
              </w:rPr>
              <w:t>LIAISON STATEMENT</w:t>
            </w:r>
          </w:p>
        </w:tc>
      </w:tr>
      <w:tr w:rsidR="000843A5" w14:paraId="047AD230" w14:textId="77777777" w:rsidTr="000843A5">
        <w:trPr>
          <w:cantSplit/>
          <w:trHeight w:val="357"/>
        </w:trPr>
        <w:tc>
          <w:tcPr>
            <w:tcW w:w="2187" w:type="dxa"/>
            <w:gridSpan w:val="3"/>
          </w:tcPr>
          <w:p w14:paraId="0BC83CEE" w14:textId="77777777" w:rsidR="000843A5" w:rsidRDefault="000843A5" w:rsidP="000843A5">
            <w:pPr>
              <w:rPr>
                <w:b/>
                <w:bCs/>
              </w:rPr>
            </w:pPr>
            <w:r>
              <w:rPr>
                <w:b/>
                <w:bCs/>
              </w:rPr>
              <w:t>For action to:</w:t>
            </w:r>
          </w:p>
        </w:tc>
        <w:tc>
          <w:tcPr>
            <w:tcW w:w="7452" w:type="dxa"/>
            <w:gridSpan w:val="3"/>
          </w:tcPr>
          <w:p w14:paraId="1BD639F9" w14:textId="77777777" w:rsidR="000843A5" w:rsidRDefault="000843A5" w:rsidP="000843A5">
            <w:r>
              <w:t>-</w:t>
            </w:r>
          </w:p>
        </w:tc>
      </w:tr>
      <w:tr w:rsidR="000843A5" w14:paraId="458024C0" w14:textId="77777777" w:rsidTr="000843A5">
        <w:trPr>
          <w:cantSplit/>
          <w:trHeight w:val="357"/>
        </w:trPr>
        <w:tc>
          <w:tcPr>
            <w:tcW w:w="2187" w:type="dxa"/>
            <w:gridSpan w:val="3"/>
          </w:tcPr>
          <w:p w14:paraId="76DE2EE9" w14:textId="77777777" w:rsidR="000843A5" w:rsidRDefault="000843A5" w:rsidP="000843A5">
            <w:pPr>
              <w:rPr>
                <w:b/>
                <w:bCs/>
              </w:rPr>
            </w:pPr>
            <w:r>
              <w:rPr>
                <w:b/>
                <w:bCs/>
              </w:rPr>
              <w:t>For information to:</w:t>
            </w:r>
          </w:p>
        </w:tc>
        <w:tc>
          <w:tcPr>
            <w:tcW w:w="7452" w:type="dxa"/>
            <w:gridSpan w:val="3"/>
          </w:tcPr>
          <w:p w14:paraId="44BA98AE" w14:textId="77777777" w:rsidR="000843A5" w:rsidRDefault="000843A5" w:rsidP="000843A5">
            <w:r>
              <w:t>TSAG</w:t>
            </w:r>
          </w:p>
        </w:tc>
      </w:tr>
      <w:tr w:rsidR="000843A5" w14:paraId="6725DC0A" w14:textId="77777777" w:rsidTr="000843A5">
        <w:trPr>
          <w:cantSplit/>
          <w:trHeight w:val="357"/>
        </w:trPr>
        <w:tc>
          <w:tcPr>
            <w:tcW w:w="2187" w:type="dxa"/>
            <w:gridSpan w:val="3"/>
          </w:tcPr>
          <w:p w14:paraId="600EB5E9" w14:textId="77777777" w:rsidR="000843A5" w:rsidRDefault="000843A5" w:rsidP="000843A5">
            <w:pPr>
              <w:rPr>
                <w:b/>
                <w:bCs/>
              </w:rPr>
            </w:pPr>
            <w:r>
              <w:rPr>
                <w:b/>
                <w:bCs/>
              </w:rPr>
              <w:t>Approval:</w:t>
            </w:r>
          </w:p>
        </w:tc>
        <w:tc>
          <w:tcPr>
            <w:tcW w:w="7452" w:type="dxa"/>
            <w:gridSpan w:val="3"/>
          </w:tcPr>
          <w:p w14:paraId="2F659585" w14:textId="77777777" w:rsidR="000843A5" w:rsidRDefault="000843A5" w:rsidP="000843A5">
            <w:r>
              <w:t>ITU-T Study Group 5 management team (19 July 2024 by correspondence)</w:t>
            </w:r>
          </w:p>
        </w:tc>
      </w:tr>
      <w:tr w:rsidR="000843A5" w14:paraId="42DF35E6" w14:textId="77777777" w:rsidTr="000843A5">
        <w:trPr>
          <w:cantSplit/>
          <w:trHeight w:val="357"/>
        </w:trPr>
        <w:tc>
          <w:tcPr>
            <w:tcW w:w="2187" w:type="dxa"/>
            <w:gridSpan w:val="3"/>
            <w:tcBorders>
              <w:bottom w:val="single" w:sz="12" w:space="0" w:color="auto"/>
            </w:tcBorders>
          </w:tcPr>
          <w:p w14:paraId="32776BD6" w14:textId="77777777" w:rsidR="000843A5" w:rsidRDefault="000843A5" w:rsidP="000843A5">
            <w:r>
              <w:rPr>
                <w:b/>
              </w:rPr>
              <w:t>Deadline:</w:t>
            </w:r>
          </w:p>
        </w:tc>
        <w:tc>
          <w:tcPr>
            <w:tcW w:w="7452" w:type="dxa"/>
            <w:gridSpan w:val="3"/>
            <w:tcBorders>
              <w:bottom w:val="single" w:sz="12" w:space="0" w:color="auto"/>
            </w:tcBorders>
          </w:tcPr>
          <w:p w14:paraId="2A70C26A" w14:textId="77777777" w:rsidR="000843A5" w:rsidRDefault="000843A5" w:rsidP="000843A5">
            <w:r>
              <w:t>N/A</w:t>
            </w:r>
          </w:p>
        </w:tc>
      </w:tr>
      <w:tr w:rsidR="000843A5" w:rsidRPr="00D74F56" w14:paraId="2F487025" w14:textId="77777777" w:rsidTr="00BE7947">
        <w:trPr>
          <w:trHeight w:val="204"/>
        </w:trPr>
        <w:tc>
          <w:tcPr>
            <w:tcW w:w="2187" w:type="dxa"/>
            <w:gridSpan w:val="3"/>
            <w:tcBorders>
              <w:bottom w:val="single" w:sz="12" w:space="0" w:color="auto"/>
            </w:tcBorders>
          </w:tcPr>
          <w:p w14:paraId="082386C9" w14:textId="77777777" w:rsidR="000843A5" w:rsidRDefault="000843A5" w:rsidP="000843A5">
            <w:pPr>
              <w:rPr>
                <w:b/>
                <w:bCs/>
              </w:rPr>
            </w:pPr>
            <w:r>
              <w:rPr>
                <w:b/>
                <w:bCs/>
              </w:rPr>
              <w:t>Contact:</w:t>
            </w:r>
          </w:p>
        </w:tc>
        <w:tc>
          <w:tcPr>
            <w:tcW w:w="3342" w:type="dxa"/>
            <w:tcBorders>
              <w:bottom w:val="single" w:sz="12" w:space="0" w:color="auto"/>
            </w:tcBorders>
          </w:tcPr>
          <w:p w14:paraId="55F67268" w14:textId="6505CFFA" w:rsidR="000843A5" w:rsidRPr="00D74F56" w:rsidRDefault="000843A5" w:rsidP="00BE7947">
            <w:pPr>
              <w:rPr>
                <w:lang w:val="fr-FR"/>
              </w:rPr>
            </w:pPr>
            <w:r w:rsidRPr="00D74F56">
              <w:rPr>
                <w:lang w:val="fr-FR"/>
              </w:rPr>
              <w:t xml:space="preserve">Dominique </w:t>
            </w:r>
            <w:proofErr w:type="spellStart"/>
            <w:r w:rsidRPr="00D74F56">
              <w:rPr>
                <w:lang w:val="fr-FR"/>
              </w:rPr>
              <w:t>Wurges</w:t>
            </w:r>
            <w:proofErr w:type="spellEnd"/>
            <w:r w:rsidRPr="00D74F56">
              <w:rPr>
                <w:lang w:val="fr-FR"/>
              </w:rPr>
              <w:br/>
              <w:t>ITU-T SG5 Chair</w:t>
            </w:r>
          </w:p>
        </w:tc>
        <w:tc>
          <w:tcPr>
            <w:tcW w:w="4110" w:type="dxa"/>
            <w:gridSpan w:val="2"/>
            <w:tcBorders>
              <w:bottom w:val="single" w:sz="12" w:space="0" w:color="auto"/>
            </w:tcBorders>
          </w:tcPr>
          <w:p w14:paraId="6A8FF21F" w14:textId="70E74E4A" w:rsidR="000843A5" w:rsidRPr="00D74F56" w:rsidRDefault="000843A5" w:rsidP="00BE7947">
            <w:pPr>
              <w:rPr>
                <w:lang w:val="de-DE"/>
              </w:rPr>
            </w:pPr>
            <w:r w:rsidRPr="00D74F56">
              <w:rPr>
                <w:lang w:val="de-DE"/>
              </w:rPr>
              <w:t xml:space="preserve">E-mail: </w:t>
            </w:r>
            <w:r w:rsidR="00BE7947">
              <w:rPr>
                <w:lang w:val="de-DE"/>
              </w:rPr>
              <w:fldChar w:fldCharType="begin"/>
            </w:r>
            <w:r w:rsidR="00BE7947">
              <w:rPr>
                <w:lang w:val="de-DE"/>
              </w:rPr>
              <w:instrText>HYPERLINK "mailto:</w:instrText>
            </w:r>
            <w:r w:rsidR="00BE7947" w:rsidRPr="00D74F56">
              <w:rPr>
                <w:lang w:val="de-DE"/>
              </w:rPr>
              <w:instrText>dominique.wurges@orange.com</w:instrText>
            </w:r>
            <w:r w:rsidR="00BE7947">
              <w:rPr>
                <w:lang w:val="de-DE"/>
              </w:rPr>
              <w:instrText>"</w:instrText>
            </w:r>
            <w:r w:rsidR="00BE7947">
              <w:rPr>
                <w:lang w:val="de-DE"/>
              </w:rPr>
              <w:fldChar w:fldCharType="separate"/>
            </w:r>
            <w:r w:rsidR="00BE7947" w:rsidRPr="00FE12B3">
              <w:rPr>
                <w:rStyle w:val="Hyperlink"/>
                <w:lang w:val="de-DE"/>
              </w:rPr>
              <w:t>dominique.wurges@orange.com</w:t>
            </w:r>
            <w:r w:rsidR="00BE7947">
              <w:rPr>
                <w:lang w:val="de-DE"/>
              </w:rPr>
              <w:fldChar w:fldCharType="end"/>
            </w:r>
            <w:r w:rsidR="00BE7947">
              <w:rPr>
                <w:lang w:val="de-DE"/>
              </w:rPr>
              <w:t xml:space="preserve"> </w:t>
            </w:r>
          </w:p>
        </w:tc>
      </w:tr>
      <w:tr w:rsidR="000843A5" w:rsidRPr="00D74F56" w14:paraId="6C0AA79C" w14:textId="77777777" w:rsidTr="00BE7947">
        <w:trPr>
          <w:trHeight w:val="204"/>
        </w:trPr>
        <w:tc>
          <w:tcPr>
            <w:tcW w:w="2187" w:type="dxa"/>
            <w:gridSpan w:val="3"/>
            <w:tcBorders>
              <w:bottom w:val="single" w:sz="12" w:space="0" w:color="auto"/>
            </w:tcBorders>
          </w:tcPr>
          <w:p w14:paraId="09030FF7" w14:textId="77777777" w:rsidR="000843A5" w:rsidRDefault="000843A5" w:rsidP="000843A5">
            <w:pPr>
              <w:rPr>
                <w:b/>
                <w:bCs/>
              </w:rPr>
            </w:pPr>
            <w:r>
              <w:rPr>
                <w:b/>
                <w:bCs/>
              </w:rPr>
              <w:t>Contact:</w:t>
            </w:r>
          </w:p>
        </w:tc>
        <w:tc>
          <w:tcPr>
            <w:tcW w:w="3342" w:type="dxa"/>
            <w:tcBorders>
              <w:bottom w:val="single" w:sz="12" w:space="0" w:color="auto"/>
            </w:tcBorders>
          </w:tcPr>
          <w:p w14:paraId="55882602" w14:textId="2B0898A4" w:rsidR="000843A5" w:rsidRDefault="000843A5" w:rsidP="00BE7947">
            <w:r>
              <w:t>Fryderyk Lewicki</w:t>
            </w:r>
            <w:r>
              <w:br/>
              <w:t>WP1/5 Chair</w:t>
            </w:r>
          </w:p>
        </w:tc>
        <w:tc>
          <w:tcPr>
            <w:tcW w:w="4110" w:type="dxa"/>
            <w:gridSpan w:val="2"/>
            <w:tcBorders>
              <w:bottom w:val="single" w:sz="12" w:space="0" w:color="auto"/>
            </w:tcBorders>
          </w:tcPr>
          <w:p w14:paraId="63270C2B" w14:textId="1344C7CB" w:rsidR="000843A5" w:rsidRPr="00D74F56" w:rsidRDefault="000843A5" w:rsidP="00BE7947">
            <w:pPr>
              <w:rPr>
                <w:lang w:val="de-DE"/>
              </w:rPr>
            </w:pPr>
            <w:r w:rsidRPr="00D74F56">
              <w:rPr>
                <w:lang w:val="de-DE"/>
              </w:rPr>
              <w:t>Tel: +48 71 321 09 24</w:t>
            </w:r>
            <w:r w:rsidRPr="00D74F56">
              <w:rPr>
                <w:lang w:val="de-DE"/>
              </w:rPr>
              <w:br/>
              <w:t xml:space="preserve"> E-mail: </w:t>
            </w:r>
            <w:r w:rsidR="00BE7947">
              <w:rPr>
                <w:lang w:val="de-DE"/>
              </w:rPr>
              <w:fldChar w:fldCharType="begin"/>
            </w:r>
            <w:r w:rsidR="00BE7947">
              <w:rPr>
                <w:lang w:val="de-DE"/>
              </w:rPr>
              <w:instrText>HYPERLINK "mailto:</w:instrText>
            </w:r>
            <w:r w:rsidR="00BE7947" w:rsidRPr="00D74F56">
              <w:rPr>
                <w:lang w:val="de-DE"/>
              </w:rPr>
              <w:instrText>fryderyk.lewicki@orange.com</w:instrText>
            </w:r>
            <w:r w:rsidR="00BE7947">
              <w:rPr>
                <w:lang w:val="de-DE"/>
              </w:rPr>
              <w:instrText>"</w:instrText>
            </w:r>
            <w:r w:rsidR="00BE7947">
              <w:rPr>
                <w:lang w:val="de-DE"/>
              </w:rPr>
              <w:fldChar w:fldCharType="separate"/>
            </w:r>
            <w:r w:rsidR="00BE7947" w:rsidRPr="00FE12B3">
              <w:rPr>
                <w:rStyle w:val="Hyperlink"/>
                <w:lang w:val="de-DE"/>
              </w:rPr>
              <w:t>fryderyk.lewicki@orange.com</w:t>
            </w:r>
            <w:r w:rsidR="00BE7947">
              <w:rPr>
                <w:lang w:val="de-DE"/>
              </w:rPr>
              <w:fldChar w:fldCharType="end"/>
            </w:r>
            <w:r w:rsidR="00BE7947">
              <w:rPr>
                <w:lang w:val="de-DE"/>
              </w:rPr>
              <w:t xml:space="preserve"> </w:t>
            </w:r>
          </w:p>
        </w:tc>
      </w:tr>
      <w:tr w:rsidR="000843A5" w:rsidRPr="00D74F56" w14:paraId="656C0EA4" w14:textId="77777777" w:rsidTr="00BE7947">
        <w:trPr>
          <w:trHeight w:val="204"/>
        </w:trPr>
        <w:tc>
          <w:tcPr>
            <w:tcW w:w="2187" w:type="dxa"/>
            <w:gridSpan w:val="3"/>
            <w:tcBorders>
              <w:bottom w:val="single" w:sz="12" w:space="0" w:color="auto"/>
            </w:tcBorders>
          </w:tcPr>
          <w:p w14:paraId="6FCCEB47" w14:textId="77777777" w:rsidR="000843A5" w:rsidRDefault="000843A5" w:rsidP="000843A5">
            <w:pPr>
              <w:rPr>
                <w:b/>
                <w:bCs/>
              </w:rPr>
            </w:pPr>
            <w:r>
              <w:rPr>
                <w:b/>
                <w:bCs/>
              </w:rPr>
              <w:t>Contact:</w:t>
            </w:r>
          </w:p>
        </w:tc>
        <w:tc>
          <w:tcPr>
            <w:tcW w:w="3342" w:type="dxa"/>
            <w:tcBorders>
              <w:bottom w:val="single" w:sz="12" w:space="0" w:color="auto"/>
            </w:tcBorders>
          </w:tcPr>
          <w:p w14:paraId="236AFA4E" w14:textId="03D497DC" w:rsidR="000843A5" w:rsidRDefault="000843A5" w:rsidP="00BE7947">
            <w:r>
              <w:t>Paolo Gemma</w:t>
            </w:r>
            <w:r>
              <w:br/>
              <w:t>WP2/5 Chair</w:t>
            </w:r>
          </w:p>
        </w:tc>
        <w:tc>
          <w:tcPr>
            <w:tcW w:w="4110" w:type="dxa"/>
            <w:gridSpan w:val="2"/>
            <w:tcBorders>
              <w:bottom w:val="single" w:sz="12" w:space="0" w:color="auto"/>
            </w:tcBorders>
          </w:tcPr>
          <w:p w14:paraId="5A115162" w14:textId="0D03DDA9" w:rsidR="000843A5" w:rsidRPr="00D74F56" w:rsidRDefault="000843A5" w:rsidP="00BE7947">
            <w:pPr>
              <w:rPr>
                <w:lang w:val="de-DE"/>
              </w:rPr>
            </w:pPr>
            <w:r w:rsidRPr="00D74F56">
              <w:rPr>
                <w:lang w:val="de-DE"/>
              </w:rPr>
              <w:t>Tel: +390239994000</w:t>
            </w:r>
            <w:r w:rsidRPr="00D74F56">
              <w:rPr>
                <w:lang w:val="de-DE"/>
              </w:rPr>
              <w:br/>
              <w:t xml:space="preserve"> E-mail: </w:t>
            </w:r>
            <w:r w:rsidR="00BE7947">
              <w:rPr>
                <w:lang w:val="de-DE"/>
              </w:rPr>
              <w:fldChar w:fldCharType="begin"/>
            </w:r>
            <w:r w:rsidR="00BE7947">
              <w:rPr>
                <w:lang w:val="de-DE"/>
              </w:rPr>
              <w:instrText>HYPERLINK "mailto:</w:instrText>
            </w:r>
            <w:r w:rsidR="00BE7947" w:rsidRPr="00D74F56">
              <w:rPr>
                <w:lang w:val="de-DE"/>
              </w:rPr>
              <w:instrText>paolo.gemma@huawei.com</w:instrText>
            </w:r>
            <w:r w:rsidR="00BE7947">
              <w:rPr>
                <w:lang w:val="de-DE"/>
              </w:rPr>
              <w:instrText>"</w:instrText>
            </w:r>
            <w:r w:rsidR="00BE7947">
              <w:rPr>
                <w:lang w:val="de-DE"/>
              </w:rPr>
              <w:fldChar w:fldCharType="separate"/>
            </w:r>
            <w:r w:rsidR="00BE7947" w:rsidRPr="00FE12B3">
              <w:rPr>
                <w:rStyle w:val="Hyperlink"/>
                <w:lang w:val="de-DE"/>
              </w:rPr>
              <w:t>paolo.gemma@huawei.com</w:t>
            </w:r>
            <w:r w:rsidR="00BE7947">
              <w:rPr>
                <w:lang w:val="de-DE"/>
              </w:rPr>
              <w:fldChar w:fldCharType="end"/>
            </w:r>
            <w:r w:rsidR="00BE7947">
              <w:rPr>
                <w:lang w:val="de-DE"/>
              </w:rPr>
              <w:t xml:space="preserve"> </w:t>
            </w:r>
          </w:p>
        </w:tc>
      </w:tr>
      <w:tr w:rsidR="000843A5" w:rsidRPr="00D74F56" w14:paraId="592FB423" w14:textId="77777777" w:rsidTr="00BE7947">
        <w:trPr>
          <w:trHeight w:val="204"/>
        </w:trPr>
        <w:tc>
          <w:tcPr>
            <w:tcW w:w="2187" w:type="dxa"/>
            <w:gridSpan w:val="3"/>
            <w:tcBorders>
              <w:bottom w:val="single" w:sz="12" w:space="0" w:color="auto"/>
            </w:tcBorders>
          </w:tcPr>
          <w:p w14:paraId="7D7A94F2" w14:textId="77777777" w:rsidR="000843A5" w:rsidRDefault="000843A5" w:rsidP="000843A5">
            <w:pPr>
              <w:rPr>
                <w:b/>
                <w:bCs/>
              </w:rPr>
            </w:pPr>
            <w:r>
              <w:rPr>
                <w:b/>
                <w:bCs/>
              </w:rPr>
              <w:t>Contact:</w:t>
            </w:r>
          </w:p>
        </w:tc>
        <w:tc>
          <w:tcPr>
            <w:tcW w:w="3342" w:type="dxa"/>
            <w:tcBorders>
              <w:bottom w:val="single" w:sz="12" w:space="0" w:color="auto"/>
            </w:tcBorders>
          </w:tcPr>
          <w:p w14:paraId="62B11347" w14:textId="0DD282F4" w:rsidR="000843A5" w:rsidRDefault="000843A5" w:rsidP="00BE7947">
            <w:proofErr w:type="spellStart"/>
            <w:r>
              <w:t>Shuguang</w:t>
            </w:r>
            <w:proofErr w:type="spellEnd"/>
            <w:r>
              <w:t xml:space="preserve"> Qi </w:t>
            </w:r>
            <w:r>
              <w:br/>
              <w:t>WP3/5 Chair</w:t>
            </w:r>
          </w:p>
        </w:tc>
        <w:tc>
          <w:tcPr>
            <w:tcW w:w="4110" w:type="dxa"/>
            <w:gridSpan w:val="2"/>
            <w:tcBorders>
              <w:bottom w:val="single" w:sz="12" w:space="0" w:color="auto"/>
            </w:tcBorders>
          </w:tcPr>
          <w:p w14:paraId="3E3D854D" w14:textId="0F1BD53C" w:rsidR="000843A5" w:rsidRPr="00D74F56" w:rsidRDefault="000843A5" w:rsidP="00BE7947">
            <w:pPr>
              <w:rPr>
                <w:lang w:val="de-DE"/>
              </w:rPr>
            </w:pPr>
            <w:r w:rsidRPr="00D74F56">
              <w:rPr>
                <w:lang w:val="de-DE"/>
              </w:rPr>
              <w:t>Tel: +86 10 82053589-8858</w:t>
            </w:r>
            <w:r w:rsidRPr="00D74F56">
              <w:rPr>
                <w:lang w:val="de-DE"/>
              </w:rPr>
              <w:br/>
              <w:t xml:space="preserve"> E-mail: </w:t>
            </w:r>
            <w:r w:rsidR="00BE7947">
              <w:rPr>
                <w:lang w:val="de-DE"/>
              </w:rPr>
              <w:fldChar w:fldCharType="begin"/>
            </w:r>
            <w:r w:rsidR="00BE7947">
              <w:rPr>
                <w:lang w:val="de-DE"/>
              </w:rPr>
              <w:instrText>HYPERLINK "mailto:</w:instrText>
            </w:r>
            <w:r w:rsidR="00BE7947" w:rsidRPr="00D74F56">
              <w:rPr>
                <w:lang w:val="de-DE"/>
              </w:rPr>
              <w:instrText>qishuguang@caict.ac.cn</w:instrText>
            </w:r>
            <w:r w:rsidR="00BE7947">
              <w:rPr>
                <w:lang w:val="de-DE"/>
              </w:rPr>
              <w:instrText>"</w:instrText>
            </w:r>
            <w:r w:rsidR="00BE7947">
              <w:rPr>
                <w:lang w:val="de-DE"/>
              </w:rPr>
              <w:fldChar w:fldCharType="separate"/>
            </w:r>
            <w:r w:rsidR="00BE7947" w:rsidRPr="00FE12B3">
              <w:rPr>
                <w:rStyle w:val="Hyperlink"/>
                <w:lang w:val="de-DE"/>
              </w:rPr>
              <w:t>qishuguang@caict.ac.cn</w:t>
            </w:r>
            <w:r w:rsidR="00BE7947">
              <w:rPr>
                <w:lang w:val="de-DE"/>
              </w:rPr>
              <w:fldChar w:fldCharType="end"/>
            </w:r>
            <w:r w:rsidR="00BE7947">
              <w:rPr>
                <w:lang w:val="de-DE"/>
              </w:rPr>
              <w:t xml:space="preserve"> </w:t>
            </w:r>
          </w:p>
        </w:tc>
      </w:tr>
      <w:tr w:rsidR="000843A5" w:rsidRPr="00D74F56" w14:paraId="685F0A30" w14:textId="77777777" w:rsidTr="00BE7947">
        <w:trPr>
          <w:trHeight w:val="204"/>
        </w:trPr>
        <w:tc>
          <w:tcPr>
            <w:tcW w:w="2187" w:type="dxa"/>
            <w:gridSpan w:val="3"/>
            <w:tcBorders>
              <w:bottom w:val="single" w:sz="12" w:space="0" w:color="auto"/>
            </w:tcBorders>
          </w:tcPr>
          <w:p w14:paraId="161E8267" w14:textId="77777777" w:rsidR="000843A5" w:rsidRDefault="000843A5" w:rsidP="000843A5">
            <w:pPr>
              <w:rPr>
                <w:b/>
                <w:bCs/>
              </w:rPr>
            </w:pPr>
            <w:r>
              <w:rPr>
                <w:b/>
                <w:bCs/>
              </w:rPr>
              <w:t>Contact:</w:t>
            </w:r>
          </w:p>
        </w:tc>
        <w:tc>
          <w:tcPr>
            <w:tcW w:w="3342" w:type="dxa"/>
            <w:tcBorders>
              <w:bottom w:val="single" w:sz="12" w:space="0" w:color="auto"/>
            </w:tcBorders>
          </w:tcPr>
          <w:p w14:paraId="2B7D5B2C" w14:textId="10CC59FE" w:rsidR="000843A5" w:rsidRDefault="000843A5" w:rsidP="00BE7947">
            <w:r>
              <w:t>Reyna Ubeda</w:t>
            </w:r>
            <w:r>
              <w:br/>
              <w:t>Engineer to ITU-T SG5</w:t>
            </w:r>
            <w:r>
              <w:br/>
              <w:t>TSB</w:t>
            </w:r>
          </w:p>
        </w:tc>
        <w:tc>
          <w:tcPr>
            <w:tcW w:w="4110" w:type="dxa"/>
            <w:gridSpan w:val="2"/>
            <w:tcBorders>
              <w:bottom w:val="single" w:sz="12" w:space="0" w:color="auto"/>
            </w:tcBorders>
          </w:tcPr>
          <w:p w14:paraId="031F71D7" w14:textId="01D62208" w:rsidR="000843A5" w:rsidRPr="00D74F56" w:rsidRDefault="000843A5" w:rsidP="00BE7947">
            <w:pPr>
              <w:rPr>
                <w:lang w:val="de-DE"/>
              </w:rPr>
            </w:pPr>
            <w:r w:rsidRPr="00D74F56">
              <w:rPr>
                <w:lang w:val="de-DE"/>
              </w:rPr>
              <w:t>Tel:+41227305356</w:t>
            </w:r>
            <w:r w:rsidRPr="00D74F56">
              <w:rPr>
                <w:lang w:val="de-DE"/>
              </w:rPr>
              <w:br/>
              <w:t xml:space="preserve"> E-mail: </w:t>
            </w:r>
            <w:r w:rsidR="00BE7947">
              <w:rPr>
                <w:lang w:val="de-DE"/>
              </w:rPr>
              <w:fldChar w:fldCharType="begin"/>
            </w:r>
            <w:r w:rsidR="00BE7947">
              <w:rPr>
                <w:lang w:val="de-DE"/>
              </w:rPr>
              <w:instrText>HYPERLINK "mailto:</w:instrText>
            </w:r>
            <w:r w:rsidR="00BE7947" w:rsidRPr="00D74F56">
              <w:rPr>
                <w:lang w:val="de-DE"/>
              </w:rPr>
              <w:instrText>reyna.ubeda@itu.int</w:instrText>
            </w:r>
            <w:r w:rsidR="00BE7947">
              <w:rPr>
                <w:lang w:val="de-DE"/>
              </w:rPr>
              <w:instrText>"</w:instrText>
            </w:r>
            <w:r w:rsidR="00BE7947">
              <w:rPr>
                <w:lang w:val="de-DE"/>
              </w:rPr>
              <w:fldChar w:fldCharType="separate"/>
            </w:r>
            <w:r w:rsidR="00BE7947" w:rsidRPr="00FE12B3">
              <w:rPr>
                <w:rStyle w:val="Hyperlink"/>
                <w:lang w:val="de-DE"/>
              </w:rPr>
              <w:t>reyna.ubeda@itu.int</w:t>
            </w:r>
            <w:r w:rsidR="00BE7947">
              <w:rPr>
                <w:lang w:val="de-DE"/>
              </w:rPr>
              <w:fldChar w:fldCharType="end"/>
            </w:r>
            <w:r w:rsidR="00BE7947">
              <w:rPr>
                <w:lang w:val="de-DE"/>
              </w:rPr>
              <w:t xml:space="preserve"> </w:t>
            </w:r>
          </w:p>
        </w:tc>
      </w:tr>
    </w:tbl>
    <w:p w14:paraId="2116BF6A" w14:textId="77777777" w:rsidR="00704DE0" w:rsidRPr="00D74F56" w:rsidRDefault="00704DE0" w:rsidP="00704DE0">
      <w:pPr>
        <w:rPr>
          <w:lang w:val="de-DE"/>
        </w:rPr>
      </w:pPr>
    </w:p>
    <w:p w14:paraId="59279554" w14:textId="77777777" w:rsidR="00704DE0" w:rsidRDefault="00704DE0" w:rsidP="00704DE0">
      <w:r>
        <w:t>A new liaison statement has been received from SG5.</w:t>
      </w:r>
    </w:p>
    <w:p w14:paraId="5E98A309" w14:textId="77777777" w:rsidR="00704DE0" w:rsidRDefault="00704DE0" w:rsidP="00704DE0">
      <w:r>
        <w:t xml:space="preserve">This liaison statement follows and the original file can be downloaded from the ITU ftp server at </w:t>
      </w:r>
      <w:hyperlink r:id="rId14" w:tooltip="ITU-T ftp file restricted to TIES access only" w:history="1">
        <w:r>
          <w:rPr>
            <w:rStyle w:val="Hyperlink"/>
          </w:rPr>
          <w:t>http://handle.itu.int/11.1002/ls/sp17-sg5-oLS-00134.docx</w:t>
        </w:r>
      </w:hyperlink>
      <w:r>
        <w:t>.</w:t>
      </w:r>
    </w:p>
    <w:p w14:paraId="20B38336" w14:textId="77777777" w:rsidR="00704DE0" w:rsidRDefault="00704DE0" w:rsidP="00704DE0">
      <w:pPr>
        <w:spacing w:before="0"/>
        <w:jc w:val="center"/>
      </w:pPr>
    </w:p>
    <w:p w14:paraId="3E3EB3F0" w14:textId="77777777" w:rsidR="00704DE0" w:rsidRDefault="00704DE0" w:rsidP="00704DE0">
      <w:pPr>
        <w:jc w:val="right"/>
      </w:pPr>
      <w:r>
        <w:br w:type="page"/>
      </w:r>
    </w:p>
    <w:tbl>
      <w:tblPr>
        <w:tblW w:w="5000" w:type="pct"/>
        <w:tblCellMar>
          <w:left w:w="57" w:type="dxa"/>
          <w:right w:w="57" w:type="dxa"/>
        </w:tblCellMar>
        <w:tblLook w:val="0000" w:firstRow="0" w:lastRow="0" w:firstColumn="0" w:lastColumn="0" w:noHBand="0" w:noVBand="0"/>
      </w:tblPr>
      <w:tblGrid>
        <w:gridCol w:w="1134"/>
        <w:gridCol w:w="412"/>
        <w:gridCol w:w="48"/>
        <w:gridCol w:w="673"/>
        <w:gridCol w:w="2955"/>
        <w:gridCol w:w="58"/>
        <w:gridCol w:w="4359"/>
      </w:tblGrid>
      <w:tr w:rsidR="00675F24" w:rsidRPr="00675F24" w14:paraId="7AF13AE6" w14:textId="77777777" w:rsidTr="00F304B0">
        <w:trPr>
          <w:cantSplit/>
        </w:trPr>
        <w:tc>
          <w:tcPr>
            <w:tcW w:w="588" w:type="pct"/>
            <w:vMerge w:val="restart"/>
            <w:vAlign w:val="center"/>
          </w:tcPr>
          <w:p w14:paraId="29A288C5" w14:textId="2FCBF33A" w:rsidR="00675F24" w:rsidRPr="00675F24" w:rsidRDefault="00675F24" w:rsidP="00675F24">
            <w:pPr>
              <w:spacing w:before="0"/>
              <w:jc w:val="center"/>
              <w:rPr>
                <w:sz w:val="20"/>
                <w:szCs w:val="20"/>
              </w:rPr>
            </w:pPr>
            <w:r w:rsidRPr="00675F24">
              <w:rPr>
                <w:noProof/>
                <w:lang w:val="fr-CH" w:eastAsia="fr-CH"/>
              </w:rPr>
              <w:lastRenderedPageBreak/>
              <w:drawing>
                <wp:inline distT="0" distB="0" distL="0" distR="0" wp14:anchorId="13F5F776" wp14:editId="5E2324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151" w:type="pct"/>
            <w:gridSpan w:val="5"/>
            <w:vMerge w:val="restart"/>
          </w:tcPr>
          <w:p w14:paraId="5B65B738" w14:textId="77777777" w:rsidR="00675F24" w:rsidRPr="00675F24" w:rsidRDefault="00675F24" w:rsidP="00675F24">
            <w:pPr>
              <w:rPr>
                <w:sz w:val="16"/>
                <w:szCs w:val="16"/>
              </w:rPr>
            </w:pPr>
            <w:r w:rsidRPr="00675F24">
              <w:rPr>
                <w:sz w:val="16"/>
                <w:szCs w:val="16"/>
              </w:rPr>
              <w:t>INTERNATIONAL TELECOMMUNICATION UNION</w:t>
            </w:r>
          </w:p>
          <w:p w14:paraId="6832CE63" w14:textId="77777777" w:rsidR="00675F24" w:rsidRPr="00675F24" w:rsidRDefault="00675F24" w:rsidP="00675F24">
            <w:pPr>
              <w:rPr>
                <w:b/>
                <w:bCs/>
                <w:sz w:val="26"/>
                <w:szCs w:val="26"/>
              </w:rPr>
            </w:pPr>
            <w:r w:rsidRPr="00675F24">
              <w:rPr>
                <w:b/>
                <w:bCs/>
                <w:sz w:val="26"/>
                <w:szCs w:val="26"/>
              </w:rPr>
              <w:t>TELECOMMUNICATION</w:t>
            </w:r>
            <w:r w:rsidRPr="00675F24">
              <w:rPr>
                <w:b/>
                <w:bCs/>
                <w:sz w:val="26"/>
                <w:szCs w:val="26"/>
              </w:rPr>
              <w:br/>
              <w:t>STANDARDIZATION SECTOR</w:t>
            </w:r>
          </w:p>
          <w:p w14:paraId="00248D27" w14:textId="77777777" w:rsidR="00675F24" w:rsidRPr="00675F24" w:rsidRDefault="00675F24" w:rsidP="00675F24">
            <w:pPr>
              <w:rPr>
                <w:sz w:val="20"/>
                <w:szCs w:val="20"/>
              </w:rPr>
            </w:pPr>
            <w:r w:rsidRPr="00675F24">
              <w:rPr>
                <w:sz w:val="20"/>
                <w:szCs w:val="20"/>
              </w:rPr>
              <w:t xml:space="preserve">STUDY PERIOD </w:t>
            </w:r>
            <w:bookmarkStart w:id="4" w:name="dstudyperiod"/>
            <w:r w:rsidRPr="00675F24">
              <w:rPr>
                <w:sz w:val="20"/>
              </w:rPr>
              <w:t>2022</w:t>
            </w:r>
            <w:r w:rsidRPr="00675F24">
              <w:rPr>
                <w:sz w:val="20"/>
                <w:szCs w:val="20"/>
              </w:rPr>
              <w:t>-</w:t>
            </w:r>
            <w:r w:rsidRPr="00675F24">
              <w:rPr>
                <w:sz w:val="20"/>
              </w:rPr>
              <w:t>2024</w:t>
            </w:r>
            <w:bookmarkEnd w:id="4"/>
          </w:p>
        </w:tc>
        <w:tc>
          <w:tcPr>
            <w:tcW w:w="2261" w:type="pct"/>
            <w:vAlign w:val="center"/>
          </w:tcPr>
          <w:p w14:paraId="1547B4D6" w14:textId="7F9AB977" w:rsidR="00675F24" w:rsidRPr="00625DEA" w:rsidRDefault="00625DEA" w:rsidP="001F432B">
            <w:pPr>
              <w:jc w:val="right"/>
              <w:rPr>
                <w:b/>
                <w:sz w:val="28"/>
              </w:rPr>
            </w:pPr>
            <w:r w:rsidRPr="00625DEA">
              <w:rPr>
                <w:b/>
                <w:sz w:val="32"/>
                <w:szCs w:val="28"/>
              </w:rPr>
              <w:t>SG5-LS1</w:t>
            </w:r>
            <w:r w:rsidR="00E719CF">
              <w:rPr>
                <w:b/>
                <w:sz w:val="32"/>
                <w:szCs w:val="28"/>
              </w:rPr>
              <w:t>34</w:t>
            </w:r>
          </w:p>
        </w:tc>
      </w:tr>
      <w:tr w:rsidR="00675F24" w:rsidRPr="00675F24" w14:paraId="08541FE6" w14:textId="77777777" w:rsidTr="00F304B0">
        <w:trPr>
          <w:cantSplit/>
        </w:trPr>
        <w:tc>
          <w:tcPr>
            <w:tcW w:w="588" w:type="pct"/>
            <w:vMerge/>
          </w:tcPr>
          <w:p w14:paraId="136D8ADE" w14:textId="77777777" w:rsidR="00675F24" w:rsidRPr="00675F24" w:rsidRDefault="00675F24" w:rsidP="00675F24">
            <w:pPr>
              <w:rPr>
                <w:smallCaps/>
                <w:sz w:val="20"/>
              </w:rPr>
            </w:pPr>
            <w:bookmarkStart w:id="5" w:name="dsg" w:colFirst="2" w:colLast="2"/>
            <w:bookmarkEnd w:id="0"/>
          </w:p>
        </w:tc>
        <w:tc>
          <w:tcPr>
            <w:tcW w:w="2151" w:type="pct"/>
            <w:gridSpan w:val="5"/>
            <w:vMerge/>
          </w:tcPr>
          <w:p w14:paraId="6C750F55" w14:textId="77777777" w:rsidR="00675F24" w:rsidRPr="00675F24" w:rsidRDefault="00675F24" w:rsidP="00675F24">
            <w:pPr>
              <w:rPr>
                <w:smallCaps/>
                <w:sz w:val="20"/>
              </w:rPr>
            </w:pPr>
          </w:p>
        </w:tc>
        <w:tc>
          <w:tcPr>
            <w:tcW w:w="2261" w:type="pct"/>
          </w:tcPr>
          <w:p w14:paraId="61DA21EB" w14:textId="069BACC0" w:rsidR="00675F24" w:rsidRPr="00675F24" w:rsidRDefault="00675F24" w:rsidP="00675F24">
            <w:pPr>
              <w:jc w:val="right"/>
              <w:rPr>
                <w:b/>
                <w:bCs/>
                <w:smallCaps/>
                <w:sz w:val="28"/>
                <w:szCs w:val="28"/>
              </w:rPr>
            </w:pPr>
            <w:r>
              <w:rPr>
                <w:b/>
                <w:bCs/>
                <w:smallCaps/>
                <w:sz w:val="28"/>
                <w:szCs w:val="28"/>
              </w:rPr>
              <w:t>STUDY GROUP 5</w:t>
            </w:r>
          </w:p>
        </w:tc>
      </w:tr>
      <w:bookmarkEnd w:id="5"/>
      <w:tr w:rsidR="00675F24" w:rsidRPr="00675F24" w14:paraId="4CB22DDE" w14:textId="77777777" w:rsidTr="00F304B0">
        <w:trPr>
          <w:cantSplit/>
        </w:trPr>
        <w:tc>
          <w:tcPr>
            <w:tcW w:w="588" w:type="pct"/>
            <w:vMerge/>
            <w:tcBorders>
              <w:bottom w:val="single" w:sz="12" w:space="0" w:color="auto"/>
            </w:tcBorders>
          </w:tcPr>
          <w:p w14:paraId="1E5860C5" w14:textId="77777777" w:rsidR="00675F24" w:rsidRPr="00675F24" w:rsidRDefault="00675F24" w:rsidP="00675F24">
            <w:pPr>
              <w:rPr>
                <w:b/>
                <w:bCs/>
                <w:sz w:val="26"/>
              </w:rPr>
            </w:pPr>
          </w:p>
        </w:tc>
        <w:tc>
          <w:tcPr>
            <w:tcW w:w="2151" w:type="pct"/>
            <w:gridSpan w:val="5"/>
            <w:vMerge/>
            <w:tcBorders>
              <w:bottom w:val="single" w:sz="12" w:space="0" w:color="auto"/>
            </w:tcBorders>
          </w:tcPr>
          <w:p w14:paraId="3F853178" w14:textId="77777777" w:rsidR="00675F24" w:rsidRPr="00675F24" w:rsidRDefault="00675F24" w:rsidP="00675F24">
            <w:pPr>
              <w:rPr>
                <w:b/>
                <w:bCs/>
                <w:sz w:val="26"/>
              </w:rPr>
            </w:pPr>
          </w:p>
        </w:tc>
        <w:tc>
          <w:tcPr>
            <w:tcW w:w="2261" w:type="pct"/>
            <w:tcBorders>
              <w:bottom w:val="single" w:sz="12" w:space="0" w:color="auto"/>
            </w:tcBorders>
            <w:vAlign w:val="center"/>
          </w:tcPr>
          <w:p w14:paraId="73C7A281" w14:textId="77777777" w:rsidR="00675F24" w:rsidRPr="00675F24" w:rsidRDefault="00675F24" w:rsidP="00675F24">
            <w:pPr>
              <w:jc w:val="right"/>
              <w:rPr>
                <w:b/>
                <w:bCs/>
                <w:sz w:val="28"/>
                <w:szCs w:val="28"/>
              </w:rPr>
            </w:pPr>
            <w:r w:rsidRPr="00675F24">
              <w:rPr>
                <w:b/>
                <w:bCs/>
                <w:sz w:val="28"/>
                <w:szCs w:val="28"/>
              </w:rPr>
              <w:t>Original: English</w:t>
            </w:r>
          </w:p>
        </w:tc>
      </w:tr>
      <w:tr w:rsidR="00675F24" w:rsidRPr="00675F24" w14:paraId="0A9B6CE1" w14:textId="77777777" w:rsidTr="00BC15D1">
        <w:trPr>
          <w:cantSplit/>
        </w:trPr>
        <w:tc>
          <w:tcPr>
            <w:tcW w:w="802" w:type="pct"/>
            <w:gridSpan w:val="2"/>
          </w:tcPr>
          <w:p w14:paraId="6A9672FD" w14:textId="77777777" w:rsidR="00675F24" w:rsidRPr="00675F24" w:rsidRDefault="00675F24" w:rsidP="00675F24">
            <w:pPr>
              <w:rPr>
                <w:b/>
                <w:bCs/>
              </w:rPr>
            </w:pPr>
            <w:bookmarkStart w:id="6" w:name="dbluepink" w:colFirst="1" w:colLast="1"/>
            <w:bookmarkStart w:id="7" w:name="dmeeting" w:colFirst="2" w:colLast="2"/>
            <w:r w:rsidRPr="00675F24">
              <w:rPr>
                <w:b/>
                <w:bCs/>
              </w:rPr>
              <w:t>Question(s):</w:t>
            </w:r>
          </w:p>
        </w:tc>
        <w:tc>
          <w:tcPr>
            <w:tcW w:w="1937" w:type="pct"/>
            <w:gridSpan w:val="4"/>
          </w:tcPr>
          <w:p w14:paraId="28C64FD8" w14:textId="14BCB373" w:rsidR="00675F24" w:rsidRPr="00675F24" w:rsidRDefault="00675F24" w:rsidP="00675F24">
            <w:r w:rsidRPr="00675F24">
              <w:t>All/5</w:t>
            </w:r>
          </w:p>
        </w:tc>
        <w:tc>
          <w:tcPr>
            <w:tcW w:w="2261" w:type="pct"/>
          </w:tcPr>
          <w:p w14:paraId="5AF1D594" w14:textId="60CE39A3" w:rsidR="00675F24" w:rsidRPr="00675F24" w:rsidRDefault="00106907" w:rsidP="00675F24">
            <w:pPr>
              <w:jc w:val="right"/>
            </w:pPr>
            <w:r>
              <w:t>19 July 202</w:t>
            </w:r>
            <w:r w:rsidR="00AB4A12">
              <w:t>4</w:t>
            </w:r>
          </w:p>
        </w:tc>
      </w:tr>
      <w:tr w:rsidR="00625DEA" w:rsidRPr="00675F24" w14:paraId="0666B158" w14:textId="77777777" w:rsidTr="00030B46">
        <w:trPr>
          <w:cantSplit/>
        </w:trPr>
        <w:tc>
          <w:tcPr>
            <w:tcW w:w="5000" w:type="pct"/>
            <w:gridSpan w:val="7"/>
          </w:tcPr>
          <w:p w14:paraId="07ACAC9D" w14:textId="5E1312D5" w:rsidR="00625DEA" w:rsidRPr="00675F24" w:rsidRDefault="00625DEA" w:rsidP="00625DEA">
            <w:pPr>
              <w:jc w:val="center"/>
              <w:rPr>
                <w:b/>
                <w:bCs/>
              </w:rPr>
            </w:pPr>
            <w:bookmarkStart w:id="8" w:name="ddoctype"/>
            <w:bookmarkEnd w:id="6"/>
            <w:bookmarkEnd w:id="7"/>
            <w:r w:rsidRPr="007E7377">
              <w:rPr>
                <w:b/>
                <w:bCs/>
              </w:rPr>
              <w:t>LIAISON STATEMENT</w:t>
            </w:r>
          </w:p>
        </w:tc>
      </w:tr>
      <w:tr w:rsidR="00675F24" w:rsidRPr="00675F24" w14:paraId="632C862B" w14:textId="77777777" w:rsidTr="00F304B0">
        <w:trPr>
          <w:cantSplit/>
        </w:trPr>
        <w:tc>
          <w:tcPr>
            <w:tcW w:w="802" w:type="pct"/>
            <w:gridSpan w:val="2"/>
          </w:tcPr>
          <w:p w14:paraId="2CAE3A30" w14:textId="77777777" w:rsidR="00675F24" w:rsidRPr="00675F24" w:rsidRDefault="00675F24" w:rsidP="00675F24">
            <w:pPr>
              <w:rPr>
                <w:b/>
                <w:bCs/>
              </w:rPr>
            </w:pPr>
            <w:bookmarkStart w:id="9" w:name="dsource" w:colFirst="1" w:colLast="1"/>
            <w:bookmarkEnd w:id="8"/>
            <w:r w:rsidRPr="00675F24">
              <w:rPr>
                <w:b/>
                <w:bCs/>
              </w:rPr>
              <w:t>Source:</w:t>
            </w:r>
          </w:p>
        </w:tc>
        <w:tc>
          <w:tcPr>
            <w:tcW w:w="4198" w:type="pct"/>
            <w:gridSpan w:val="5"/>
          </w:tcPr>
          <w:p w14:paraId="32FB0646" w14:textId="0E5ACF49" w:rsidR="00675F24" w:rsidRPr="00675F24" w:rsidRDefault="00675F24" w:rsidP="00675F24">
            <w:r w:rsidRPr="00675F24">
              <w:t>ITU-T Study Group 5</w:t>
            </w:r>
          </w:p>
        </w:tc>
      </w:tr>
      <w:tr w:rsidR="00675F24" w:rsidRPr="00675F24" w14:paraId="499C8061" w14:textId="77777777" w:rsidTr="00F304B0">
        <w:trPr>
          <w:cantSplit/>
        </w:trPr>
        <w:tc>
          <w:tcPr>
            <w:tcW w:w="802" w:type="pct"/>
            <w:gridSpan w:val="2"/>
            <w:tcBorders>
              <w:bottom w:val="single" w:sz="8" w:space="0" w:color="auto"/>
            </w:tcBorders>
          </w:tcPr>
          <w:p w14:paraId="3E23F830" w14:textId="77777777" w:rsidR="00675F24" w:rsidRPr="00675F24" w:rsidRDefault="00675F24" w:rsidP="00675F24">
            <w:pPr>
              <w:rPr>
                <w:b/>
                <w:bCs/>
              </w:rPr>
            </w:pPr>
            <w:bookmarkStart w:id="10" w:name="dtitle1" w:colFirst="1" w:colLast="1"/>
            <w:bookmarkEnd w:id="9"/>
            <w:r w:rsidRPr="00675F24">
              <w:rPr>
                <w:b/>
                <w:bCs/>
              </w:rPr>
              <w:t>Title:</w:t>
            </w:r>
          </w:p>
        </w:tc>
        <w:tc>
          <w:tcPr>
            <w:tcW w:w="4198" w:type="pct"/>
            <w:gridSpan w:val="5"/>
            <w:tcBorders>
              <w:bottom w:val="single" w:sz="8" w:space="0" w:color="auto"/>
            </w:tcBorders>
          </w:tcPr>
          <w:p w14:paraId="04F517BE" w14:textId="3D4A62A0" w:rsidR="00675F24" w:rsidRPr="00675F24" w:rsidRDefault="00675F24" w:rsidP="00675F24">
            <w:r w:rsidRPr="00675F24">
              <w:t>LS on ITU-T Study Group 5 Lead Study Group Report</w:t>
            </w:r>
          </w:p>
        </w:tc>
      </w:tr>
      <w:bookmarkEnd w:id="1"/>
      <w:bookmarkEnd w:id="10"/>
      <w:tr w:rsidR="00B0022E" w:rsidRPr="005621F0" w14:paraId="75AD91FD" w14:textId="77777777" w:rsidTr="00030B46">
        <w:tblPrEx>
          <w:tblLook w:val="04A0" w:firstRow="1" w:lastRow="0" w:firstColumn="1" w:lastColumn="0" w:noHBand="0" w:noVBand="1"/>
        </w:tblPrEx>
        <w:trPr>
          <w:cantSplit/>
          <w:trHeight w:val="357"/>
        </w:trPr>
        <w:tc>
          <w:tcPr>
            <w:tcW w:w="5000" w:type="pct"/>
            <w:gridSpan w:val="7"/>
            <w:tcBorders>
              <w:top w:val="single" w:sz="12" w:space="0" w:color="auto"/>
            </w:tcBorders>
          </w:tcPr>
          <w:p w14:paraId="54024212" w14:textId="77777777" w:rsidR="00B0022E" w:rsidRPr="007F339F" w:rsidRDefault="00D12115">
            <w:pPr>
              <w:jc w:val="center"/>
              <w:rPr>
                <w:b/>
              </w:rPr>
            </w:pPr>
            <w:r w:rsidRPr="007F339F">
              <w:rPr>
                <w:b/>
              </w:rPr>
              <w:t>LIAISON STATEMENT</w:t>
            </w:r>
          </w:p>
        </w:tc>
      </w:tr>
      <w:tr w:rsidR="00B0022E" w:rsidRPr="005621F0" w14:paraId="00B712CC" w14:textId="77777777" w:rsidTr="00F304B0">
        <w:tblPrEx>
          <w:tblLook w:val="04A0" w:firstRow="1" w:lastRow="0" w:firstColumn="1" w:lastColumn="0" w:noHBand="0" w:noVBand="1"/>
        </w:tblPrEx>
        <w:trPr>
          <w:cantSplit/>
          <w:trHeight w:val="357"/>
        </w:trPr>
        <w:tc>
          <w:tcPr>
            <w:tcW w:w="1176" w:type="pct"/>
            <w:gridSpan w:val="4"/>
          </w:tcPr>
          <w:p w14:paraId="1EC694DE" w14:textId="77777777" w:rsidR="00B0022E" w:rsidRPr="007F339F" w:rsidRDefault="00D12115">
            <w:pPr>
              <w:rPr>
                <w:b/>
                <w:bCs/>
              </w:rPr>
            </w:pPr>
            <w:r w:rsidRPr="007F339F">
              <w:rPr>
                <w:b/>
                <w:bCs/>
              </w:rPr>
              <w:t>For action to:</w:t>
            </w:r>
          </w:p>
        </w:tc>
        <w:tc>
          <w:tcPr>
            <w:tcW w:w="3824" w:type="pct"/>
            <w:gridSpan w:val="3"/>
          </w:tcPr>
          <w:p w14:paraId="4349C929" w14:textId="4F7BFEEC" w:rsidR="00B0022E" w:rsidRPr="00BD4F5E" w:rsidRDefault="00625DEA">
            <w:pPr>
              <w:pStyle w:val="LSForAction"/>
              <w:rPr>
                <w:b w:val="0"/>
                <w:bCs w:val="0"/>
                <w:szCs w:val="24"/>
              </w:rPr>
            </w:pPr>
            <w:r w:rsidRPr="00BD4F5E">
              <w:rPr>
                <w:b w:val="0"/>
                <w:bCs w:val="0"/>
                <w:szCs w:val="24"/>
              </w:rPr>
              <w:t>–</w:t>
            </w:r>
          </w:p>
        </w:tc>
      </w:tr>
      <w:tr w:rsidR="00B0022E" w:rsidRPr="005621F0" w14:paraId="0EF2ABD8" w14:textId="77777777" w:rsidTr="00F304B0">
        <w:tblPrEx>
          <w:tblLook w:val="04A0" w:firstRow="1" w:lastRow="0" w:firstColumn="1" w:lastColumn="0" w:noHBand="0" w:noVBand="1"/>
        </w:tblPrEx>
        <w:trPr>
          <w:cantSplit/>
          <w:trHeight w:val="357"/>
        </w:trPr>
        <w:tc>
          <w:tcPr>
            <w:tcW w:w="1176" w:type="pct"/>
            <w:gridSpan w:val="4"/>
          </w:tcPr>
          <w:p w14:paraId="03C15481" w14:textId="77777777" w:rsidR="00B0022E" w:rsidRPr="007F339F" w:rsidRDefault="00D12115">
            <w:pPr>
              <w:rPr>
                <w:b/>
                <w:bCs/>
              </w:rPr>
            </w:pPr>
            <w:r w:rsidRPr="007F339F">
              <w:rPr>
                <w:b/>
                <w:bCs/>
              </w:rPr>
              <w:t>For information to:</w:t>
            </w:r>
          </w:p>
        </w:tc>
        <w:tc>
          <w:tcPr>
            <w:tcW w:w="3824" w:type="pct"/>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rsidTr="00F304B0">
        <w:tblPrEx>
          <w:tblLook w:val="04A0" w:firstRow="1" w:lastRow="0" w:firstColumn="1" w:lastColumn="0" w:noHBand="0" w:noVBand="1"/>
        </w:tblPrEx>
        <w:trPr>
          <w:cantSplit/>
          <w:trHeight w:val="357"/>
        </w:trPr>
        <w:tc>
          <w:tcPr>
            <w:tcW w:w="1176" w:type="pct"/>
            <w:gridSpan w:val="4"/>
          </w:tcPr>
          <w:p w14:paraId="0EB73392" w14:textId="77777777" w:rsidR="00B0022E" w:rsidRPr="007F339F" w:rsidRDefault="00D12115">
            <w:pPr>
              <w:rPr>
                <w:b/>
                <w:bCs/>
              </w:rPr>
            </w:pPr>
            <w:r w:rsidRPr="007F339F">
              <w:rPr>
                <w:b/>
                <w:bCs/>
              </w:rPr>
              <w:t>Approval:</w:t>
            </w:r>
          </w:p>
        </w:tc>
        <w:tc>
          <w:tcPr>
            <w:tcW w:w="3824" w:type="pct"/>
            <w:gridSpan w:val="3"/>
          </w:tcPr>
          <w:p w14:paraId="25422110" w14:textId="0F617036" w:rsidR="00B0022E" w:rsidRPr="0076351B" w:rsidRDefault="00D12115" w:rsidP="001C4F19">
            <w:pPr>
              <w:rPr>
                <w:b/>
                <w:bCs/>
              </w:rPr>
            </w:pPr>
            <w:r w:rsidRPr="0076351B">
              <w:rPr>
                <w:lang w:eastAsia="zh-CN"/>
              </w:rPr>
              <w:t xml:space="preserve">ITU-T </w:t>
            </w:r>
            <w:r w:rsidR="00384360" w:rsidRPr="0076351B">
              <w:rPr>
                <w:lang w:eastAsia="zh-CN"/>
              </w:rPr>
              <w:t xml:space="preserve">Study Group 5 </w:t>
            </w:r>
            <w:r w:rsidR="00FB2C8C" w:rsidRPr="0076351B">
              <w:rPr>
                <w:lang w:eastAsia="zh-CN"/>
              </w:rPr>
              <w:t>management team (</w:t>
            </w:r>
            <w:r w:rsidR="0076351B" w:rsidRPr="0076351B">
              <w:rPr>
                <w:rFonts w:hint="eastAsia"/>
                <w:lang w:eastAsia="zh-CN"/>
              </w:rPr>
              <w:t>19</w:t>
            </w:r>
            <w:r w:rsidR="00FB2C8C" w:rsidRPr="0076351B">
              <w:rPr>
                <w:lang w:eastAsia="zh-CN"/>
              </w:rPr>
              <w:t xml:space="preserve"> </w:t>
            </w:r>
            <w:r w:rsidR="00827A01" w:rsidRPr="0076351B">
              <w:rPr>
                <w:lang w:eastAsia="zh-CN"/>
              </w:rPr>
              <w:t>July</w:t>
            </w:r>
            <w:r w:rsidR="00FB2C8C" w:rsidRPr="0076351B">
              <w:rPr>
                <w:lang w:eastAsia="zh-CN"/>
              </w:rPr>
              <w:t xml:space="preserve"> 202</w:t>
            </w:r>
            <w:r w:rsidR="0091362A" w:rsidRPr="0076351B">
              <w:rPr>
                <w:lang w:eastAsia="zh-CN"/>
              </w:rPr>
              <w:t>4</w:t>
            </w:r>
            <w:r w:rsidR="00803F72" w:rsidRPr="0076351B">
              <w:rPr>
                <w:lang w:eastAsia="zh-CN"/>
              </w:rPr>
              <w:t xml:space="preserve"> by correspondence</w:t>
            </w:r>
            <w:r w:rsidR="00FB2C8C" w:rsidRPr="0076351B">
              <w:rPr>
                <w:lang w:eastAsia="zh-CN"/>
              </w:rPr>
              <w:t>)</w:t>
            </w:r>
          </w:p>
        </w:tc>
      </w:tr>
      <w:tr w:rsidR="00B0022E" w:rsidRPr="005621F0" w14:paraId="216002A4" w14:textId="77777777" w:rsidTr="00F304B0">
        <w:tblPrEx>
          <w:tblLook w:val="04A0" w:firstRow="1" w:lastRow="0" w:firstColumn="1" w:lastColumn="0" w:noHBand="0" w:noVBand="1"/>
        </w:tblPrEx>
        <w:trPr>
          <w:cantSplit/>
          <w:trHeight w:val="357"/>
        </w:trPr>
        <w:tc>
          <w:tcPr>
            <w:tcW w:w="1176" w:type="pct"/>
            <w:gridSpan w:val="4"/>
            <w:tcBorders>
              <w:bottom w:val="single" w:sz="12" w:space="0" w:color="auto"/>
            </w:tcBorders>
          </w:tcPr>
          <w:p w14:paraId="60E3376C" w14:textId="77777777" w:rsidR="00B0022E" w:rsidRPr="007F339F" w:rsidRDefault="00D12115">
            <w:pPr>
              <w:rPr>
                <w:b/>
                <w:bCs/>
              </w:rPr>
            </w:pPr>
            <w:r w:rsidRPr="007F339F">
              <w:rPr>
                <w:b/>
                <w:bCs/>
              </w:rPr>
              <w:t>Deadline:</w:t>
            </w:r>
          </w:p>
        </w:tc>
        <w:tc>
          <w:tcPr>
            <w:tcW w:w="3824" w:type="pct"/>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6E6E16" w:rsidRPr="00D74F56" w14:paraId="15668411"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2C99C78" w14:textId="322F1BAB" w:rsidR="006E6E16" w:rsidRPr="007F339F" w:rsidRDefault="006E6E16">
            <w:pPr>
              <w:rPr>
                <w:b/>
                <w:bCs/>
              </w:rPr>
            </w:pPr>
            <w:r>
              <w:rPr>
                <w:b/>
                <w:bCs/>
              </w:rPr>
              <w:t xml:space="preserve">Contact: </w:t>
            </w:r>
          </w:p>
        </w:tc>
        <w:tc>
          <w:tcPr>
            <w:tcW w:w="1882" w:type="pct"/>
            <w:gridSpan w:val="2"/>
            <w:tcBorders>
              <w:top w:val="single" w:sz="8" w:space="0" w:color="auto"/>
              <w:bottom w:val="single" w:sz="8" w:space="0" w:color="auto"/>
            </w:tcBorders>
          </w:tcPr>
          <w:p w14:paraId="4B848C5F" w14:textId="098F7F32" w:rsidR="006E6E16" w:rsidRPr="00EF3DDE" w:rsidRDefault="006E6E16">
            <w:pPr>
              <w:rPr>
                <w:lang w:val="fr-CH"/>
              </w:rPr>
            </w:pPr>
            <w:r w:rsidRPr="00EF3DDE">
              <w:rPr>
                <w:lang w:val="fr-CH"/>
              </w:rPr>
              <w:t xml:space="preserve">Dominique </w:t>
            </w:r>
            <w:proofErr w:type="spellStart"/>
            <w:r w:rsidRPr="00EF3DDE">
              <w:rPr>
                <w:lang w:val="fr-CH"/>
              </w:rPr>
              <w:t>Würges</w:t>
            </w:r>
            <w:proofErr w:type="spellEnd"/>
            <w:r w:rsidRPr="00EF3DDE">
              <w:rPr>
                <w:lang w:val="fr-CH"/>
              </w:rPr>
              <w:br/>
              <w:t>ITU-T SG5 Chai</w:t>
            </w:r>
            <w:r w:rsidR="00FB2C8C" w:rsidRPr="00EF3DDE">
              <w:rPr>
                <w:lang w:val="fr-CH"/>
              </w:rPr>
              <w:t>r</w:t>
            </w:r>
          </w:p>
        </w:tc>
        <w:tc>
          <w:tcPr>
            <w:tcW w:w="2291" w:type="pct"/>
            <w:gridSpan w:val="2"/>
            <w:tcBorders>
              <w:top w:val="single" w:sz="8" w:space="0" w:color="auto"/>
              <w:bottom w:val="single" w:sz="8" w:space="0" w:color="auto"/>
            </w:tcBorders>
          </w:tcPr>
          <w:p w14:paraId="3709FE1E" w14:textId="2DE61AA0" w:rsidR="006E6E16" w:rsidRPr="005621F0" w:rsidRDefault="006E6E16" w:rsidP="008D5EE5">
            <w:pPr>
              <w:spacing w:after="40"/>
              <w:rPr>
                <w:lang w:val="de-CH"/>
              </w:rPr>
            </w:pPr>
            <w:r>
              <w:rPr>
                <w:lang w:val="de-CH"/>
              </w:rPr>
              <w:t xml:space="preserve">E-mail: </w:t>
            </w:r>
            <w:r w:rsidR="00BE7947">
              <w:fldChar w:fldCharType="begin"/>
            </w:r>
            <w:r w:rsidR="00BE7947" w:rsidRPr="00D74F56">
              <w:rPr>
                <w:lang w:val="de-DE"/>
              </w:rPr>
              <w:instrText>HYPERLINK "mailto:dominique.wurges@orange.com"</w:instrText>
            </w:r>
            <w:r w:rsidR="00BE7947">
              <w:fldChar w:fldCharType="separate"/>
            </w:r>
            <w:r w:rsidRPr="00D419CA">
              <w:rPr>
                <w:rStyle w:val="Hyperlink"/>
                <w:lang w:val="de-CH"/>
              </w:rPr>
              <w:t>dominique.wurges@orange.com</w:t>
            </w:r>
            <w:r w:rsidR="00BE7947">
              <w:rPr>
                <w:rStyle w:val="Hyperlink"/>
                <w:lang w:val="de-CH"/>
              </w:rPr>
              <w:fldChar w:fldCharType="end"/>
            </w:r>
            <w:r>
              <w:rPr>
                <w:lang w:val="de-CH"/>
              </w:rPr>
              <w:t xml:space="preserve"> </w:t>
            </w:r>
          </w:p>
        </w:tc>
      </w:tr>
      <w:tr w:rsidR="00B0022E" w:rsidRPr="00D74F56" w14:paraId="7033C10B"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2E05FF9D" w14:textId="77777777" w:rsidR="00B0022E" w:rsidRPr="007F339F" w:rsidRDefault="00D12115">
            <w:pPr>
              <w:rPr>
                <w:b/>
                <w:bCs/>
              </w:rPr>
            </w:pPr>
            <w:r w:rsidRPr="007F339F">
              <w:rPr>
                <w:b/>
                <w:bCs/>
              </w:rPr>
              <w:t>Contact:</w:t>
            </w:r>
          </w:p>
        </w:tc>
        <w:tc>
          <w:tcPr>
            <w:tcW w:w="1882" w:type="pct"/>
            <w:gridSpan w:val="2"/>
            <w:tcBorders>
              <w:top w:val="single" w:sz="8" w:space="0" w:color="auto"/>
              <w:bottom w:val="single" w:sz="8" w:space="0" w:color="auto"/>
            </w:tcBorders>
          </w:tcPr>
          <w:p w14:paraId="372C0719" w14:textId="631EB227" w:rsidR="00B0022E" w:rsidRPr="005621F0" w:rsidRDefault="00D12115">
            <w:pPr>
              <w:rPr>
                <w:lang w:val="en-US"/>
              </w:rPr>
            </w:pPr>
            <w:r w:rsidRPr="005621F0">
              <w:rPr>
                <w:lang w:val="en-US"/>
              </w:rPr>
              <w:t>Fryderyk Lewicki</w:t>
            </w:r>
            <w:r w:rsidRPr="005621F0">
              <w:rPr>
                <w:lang w:val="en-US"/>
              </w:rPr>
              <w:br/>
            </w:r>
            <w:r w:rsidR="006E6E16">
              <w:rPr>
                <w:lang w:val="en-US"/>
              </w:rPr>
              <w:t xml:space="preserve">WP1/5 </w:t>
            </w:r>
            <w:r w:rsidRPr="005621F0">
              <w:rPr>
                <w:lang w:val="en-US"/>
              </w:rPr>
              <w:t>Chair</w:t>
            </w:r>
          </w:p>
        </w:tc>
        <w:tc>
          <w:tcPr>
            <w:tcW w:w="2291" w:type="pct"/>
            <w:gridSpan w:val="2"/>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r w:rsidR="00BE7947">
              <w:fldChar w:fldCharType="begin"/>
            </w:r>
            <w:r w:rsidR="00BE7947" w:rsidRPr="00D74F56">
              <w:rPr>
                <w:lang w:val="de-DE"/>
              </w:rPr>
              <w:instrText>HYPERLINK "mailto:fryderyk.lewicki@orange.com"</w:instrText>
            </w:r>
            <w:r w:rsidR="00BE7947">
              <w:fldChar w:fldCharType="separate"/>
            </w:r>
            <w:r w:rsidRPr="005621F0">
              <w:rPr>
                <w:rStyle w:val="Hyperlink"/>
                <w:lang w:val="de-CH"/>
              </w:rPr>
              <w:t>fryderyk.lewicki@orange.com</w:t>
            </w:r>
            <w:r w:rsidR="00BE7947">
              <w:rPr>
                <w:rStyle w:val="Hyperlink"/>
                <w:lang w:val="de-CH"/>
              </w:rPr>
              <w:fldChar w:fldCharType="end"/>
            </w:r>
            <w:r w:rsidRPr="005621F0">
              <w:rPr>
                <w:lang w:val="de-CH"/>
              </w:rPr>
              <w:t xml:space="preserve"> </w:t>
            </w:r>
          </w:p>
        </w:tc>
      </w:tr>
      <w:tr w:rsidR="00B0022E" w:rsidRPr="00D74F56" w14:paraId="706819A6"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0C81C7B3" w14:textId="77777777" w:rsidR="00B0022E" w:rsidRPr="007F339F" w:rsidRDefault="00D12115">
            <w:pPr>
              <w:rPr>
                <w:b/>
                <w:bCs/>
              </w:rPr>
            </w:pPr>
            <w:r w:rsidRPr="007F339F">
              <w:rPr>
                <w:b/>
                <w:bCs/>
              </w:rPr>
              <w:t>Contact:</w:t>
            </w:r>
          </w:p>
        </w:tc>
        <w:tc>
          <w:tcPr>
            <w:tcW w:w="1882" w:type="pct"/>
            <w:gridSpan w:val="2"/>
            <w:tcBorders>
              <w:top w:val="single" w:sz="8" w:space="0" w:color="auto"/>
              <w:bottom w:val="single" w:sz="8" w:space="0" w:color="auto"/>
            </w:tcBorders>
          </w:tcPr>
          <w:p w14:paraId="69D6C583" w14:textId="0B0210BD" w:rsidR="00B0022E" w:rsidRPr="005621F0" w:rsidRDefault="00D12115">
            <w:pPr>
              <w:rPr>
                <w:lang w:val="en-US"/>
              </w:rPr>
            </w:pPr>
            <w:r w:rsidRPr="005621F0">
              <w:t>Paolo Gemma</w:t>
            </w:r>
            <w:r w:rsidRPr="005621F0">
              <w:br/>
              <w:t>WP2/5</w:t>
            </w:r>
            <w:r w:rsidR="006E6E16">
              <w:t xml:space="preserve"> Chair</w:t>
            </w:r>
          </w:p>
        </w:tc>
        <w:tc>
          <w:tcPr>
            <w:tcW w:w="2291" w:type="pct"/>
            <w:gridSpan w:val="2"/>
            <w:tcBorders>
              <w:top w:val="single" w:sz="8" w:space="0" w:color="auto"/>
              <w:bottom w:val="single" w:sz="8" w:space="0" w:color="auto"/>
            </w:tcBorders>
          </w:tcPr>
          <w:p w14:paraId="6F64283A" w14:textId="6F7EF991" w:rsidR="00B0022E" w:rsidRPr="007D1123" w:rsidRDefault="00D12115" w:rsidP="008D5EE5">
            <w:pPr>
              <w:spacing w:after="40"/>
              <w:rPr>
                <w:lang w:val="de-DE"/>
              </w:rPr>
            </w:pPr>
            <w:r w:rsidRPr="007D1123">
              <w:rPr>
                <w:lang w:val="de-DE"/>
              </w:rPr>
              <w:t xml:space="preserve">Tel: </w:t>
            </w:r>
            <w:r w:rsidRPr="007D1123">
              <w:rPr>
                <w:lang w:val="de-DE"/>
              </w:rPr>
              <w:tab/>
              <w:t>+</w:t>
            </w:r>
            <w:r w:rsidR="00686610" w:rsidRPr="007D1123">
              <w:rPr>
                <w:lang w:val="de-DE"/>
              </w:rPr>
              <w:t>390239994000</w:t>
            </w:r>
            <w:r w:rsidRPr="007D1123">
              <w:rPr>
                <w:lang w:val="de-DE"/>
              </w:rPr>
              <w:br/>
              <w:t>E</w:t>
            </w:r>
            <w:r w:rsidR="00687D59" w:rsidRPr="007D1123">
              <w:rPr>
                <w:lang w:val="de-DE"/>
              </w:rPr>
              <w:t>-</w:t>
            </w:r>
            <w:r w:rsidRPr="007D1123">
              <w:rPr>
                <w:lang w:val="de-DE"/>
              </w:rPr>
              <w:t xml:space="preserve">mail: </w:t>
            </w:r>
            <w:hyperlink r:id="rId15" w:history="1">
              <w:r w:rsidRPr="007D1123">
                <w:rPr>
                  <w:rStyle w:val="Hyperlink"/>
                  <w:lang w:val="de-DE"/>
                </w:rPr>
                <w:t>paolo.gemma@huawei.com</w:t>
              </w:r>
            </w:hyperlink>
          </w:p>
        </w:tc>
      </w:tr>
      <w:tr w:rsidR="006E6E16" w:rsidRPr="00D74F56" w14:paraId="048A6F64"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47ECB10" w14:textId="7559D77B" w:rsidR="006E6E16" w:rsidRPr="007F339F" w:rsidRDefault="006E6E16" w:rsidP="006E6E16">
            <w:pPr>
              <w:rPr>
                <w:b/>
                <w:bCs/>
              </w:rPr>
            </w:pPr>
            <w:r w:rsidRPr="007F339F">
              <w:rPr>
                <w:b/>
                <w:bCs/>
              </w:rPr>
              <w:t>Contact:</w:t>
            </w:r>
          </w:p>
        </w:tc>
        <w:tc>
          <w:tcPr>
            <w:tcW w:w="1882" w:type="pct"/>
            <w:gridSpan w:val="2"/>
            <w:tcBorders>
              <w:top w:val="single" w:sz="8" w:space="0" w:color="auto"/>
              <w:bottom w:val="single" w:sz="8" w:space="0" w:color="auto"/>
            </w:tcBorders>
          </w:tcPr>
          <w:p w14:paraId="4F410120" w14:textId="1D760533" w:rsidR="006E6E16" w:rsidRPr="005621F0" w:rsidRDefault="006E6E16" w:rsidP="006E6E16">
            <w:proofErr w:type="spellStart"/>
            <w:r>
              <w:t>Shuguang</w:t>
            </w:r>
            <w:proofErr w:type="spellEnd"/>
            <w:r>
              <w:t xml:space="preserve"> Qi</w:t>
            </w:r>
            <w:r w:rsidRPr="005621F0">
              <w:rPr>
                <w:lang w:val="en-US"/>
              </w:rPr>
              <w:t xml:space="preserve"> </w:t>
            </w:r>
            <w:r w:rsidRPr="005621F0">
              <w:rPr>
                <w:lang w:val="en-US"/>
              </w:rPr>
              <w:br/>
            </w:r>
            <w:r>
              <w:rPr>
                <w:lang w:val="en-US"/>
              </w:rPr>
              <w:t>WP3/5 Chair</w:t>
            </w:r>
          </w:p>
        </w:tc>
        <w:tc>
          <w:tcPr>
            <w:tcW w:w="2291" w:type="pct"/>
            <w:gridSpan w:val="2"/>
            <w:tcBorders>
              <w:top w:val="single" w:sz="8" w:space="0" w:color="auto"/>
              <w:bottom w:val="single" w:sz="8" w:space="0" w:color="auto"/>
            </w:tcBorders>
          </w:tcPr>
          <w:p w14:paraId="0BD4FA13" w14:textId="7FD69F59" w:rsidR="006E6E16" w:rsidRPr="00362610" w:rsidRDefault="006E6E16" w:rsidP="006E6E16">
            <w:pPr>
              <w:spacing w:after="40"/>
              <w:rPr>
                <w:lang w:val="de-DE"/>
              </w:rPr>
            </w:pPr>
            <w:r w:rsidRPr="005621F0">
              <w:rPr>
                <w:lang w:val="de-CH"/>
              </w:rPr>
              <w:t xml:space="preserve">Tel: </w:t>
            </w:r>
            <w:r w:rsidRPr="005621F0">
              <w:rPr>
                <w:lang w:val="de-CH"/>
              </w:rPr>
              <w:tab/>
              <w:t>+</w:t>
            </w:r>
            <w:r w:rsidRPr="000326F2">
              <w:rPr>
                <w:lang w:val="de-CH"/>
              </w:rPr>
              <w:t>86 10 82053589-8858</w:t>
            </w:r>
            <w:r w:rsidRPr="005621F0">
              <w:rPr>
                <w:lang w:val="de-CH"/>
              </w:rPr>
              <w:br/>
              <w:t xml:space="preserve">E-mail: </w:t>
            </w:r>
            <w:hyperlink r:id="rId16" w:history="1">
              <w:r w:rsidRPr="007B6A01">
                <w:rPr>
                  <w:rStyle w:val="Hyperlink"/>
                  <w:lang w:val="de-CH"/>
                </w:rPr>
                <w:t>qishuguang@caict.ac.cn</w:t>
              </w:r>
            </w:hyperlink>
            <w:r>
              <w:rPr>
                <w:lang w:val="de-CH"/>
              </w:rPr>
              <w:t xml:space="preserve"> </w:t>
            </w:r>
          </w:p>
        </w:tc>
      </w:tr>
      <w:tr w:rsidR="00146B64" w:rsidRPr="00D74F56" w14:paraId="2C1431C5"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7AD4A036" w14:textId="43EDD66F" w:rsidR="00146B64" w:rsidRPr="007F339F" w:rsidRDefault="00146B64" w:rsidP="006E6E16">
            <w:pPr>
              <w:rPr>
                <w:b/>
                <w:bCs/>
              </w:rPr>
            </w:pPr>
            <w:r>
              <w:rPr>
                <w:b/>
                <w:bCs/>
              </w:rPr>
              <w:t>Contact:</w:t>
            </w:r>
          </w:p>
        </w:tc>
        <w:tc>
          <w:tcPr>
            <w:tcW w:w="1882" w:type="pct"/>
            <w:gridSpan w:val="2"/>
            <w:tcBorders>
              <w:top w:val="single" w:sz="8" w:space="0" w:color="auto"/>
              <w:bottom w:val="single" w:sz="8" w:space="0" w:color="auto"/>
            </w:tcBorders>
          </w:tcPr>
          <w:p w14:paraId="4A132EE7" w14:textId="6F8E8A7C" w:rsidR="00146B64" w:rsidRDefault="00146B64" w:rsidP="00012F0C">
            <w:r>
              <w:t>Reyna Ubeda</w:t>
            </w:r>
            <w:r w:rsidR="00012F0C">
              <w:br/>
            </w:r>
            <w:r>
              <w:t>Engineer to ITU-T SG5</w:t>
            </w:r>
            <w:r w:rsidR="00012F0C">
              <w:br/>
            </w:r>
            <w:r>
              <w:t>TSB</w:t>
            </w:r>
          </w:p>
        </w:tc>
        <w:tc>
          <w:tcPr>
            <w:tcW w:w="2291" w:type="pct"/>
            <w:gridSpan w:val="2"/>
            <w:tcBorders>
              <w:top w:val="single" w:sz="8" w:space="0" w:color="auto"/>
              <w:bottom w:val="single" w:sz="8" w:space="0" w:color="auto"/>
            </w:tcBorders>
          </w:tcPr>
          <w:p w14:paraId="5CFB3459" w14:textId="5339FA8F" w:rsidR="00146B64" w:rsidRPr="005621F0" w:rsidRDefault="00146B64" w:rsidP="00A803C7">
            <w:pPr>
              <w:spacing w:after="40"/>
              <w:rPr>
                <w:lang w:val="de-CH"/>
              </w:rPr>
            </w:pPr>
            <w:r>
              <w:rPr>
                <w:lang w:val="de-CH"/>
              </w:rPr>
              <w:t>Tel:</w:t>
            </w:r>
            <w:r w:rsidR="00012F0C">
              <w:rPr>
                <w:lang w:val="de-CH"/>
              </w:rPr>
              <w:tab/>
            </w:r>
            <w:r w:rsidRPr="00146B64">
              <w:rPr>
                <w:lang w:val="de-CH"/>
              </w:rPr>
              <w:t>+41227305356</w:t>
            </w:r>
            <w:r w:rsidR="00A803C7">
              <w:rPr>
                <w:lang w:val="de-CH"/>
              </w:rPr>
              <w:br/>
            </w:r>
            <w:r>
              <w:rPr>
                <w:lang w:val="de-CH"/>
              </w:rPr>
              <w:t xml:space="preserve">E-mail: </w:t>
            </w:r>
            <w:r w:rsidR="00BE7947">
              <w:fldChar w:fldCharType="begin"/>
            </w:r>
            <w:r w:rsidR="00BE7947" w:rsidRPr="00D74F56">
              <w:rPr>
                <w:lang w:val="de-DE"/>
              </w:rPr>
              <w:instrText>HYPERLINK "mailto:reyna.ubeda@itu.int"</w:instrText>
            </w:r>
            <w:r w:rsidR="00BE7947">
              <w:fldChar w:fldCharType="separate"/>
            </w:r>
            <w:r w:rsidR="00012F0C" w:rsidRPr="00995868">
              <w:rPr>
                <w:rStyle w:val="Hyperlink"/>
                <w:lang w:val="de-CH"/>
              </w:rPr>
              <w:t>reyna.ubeda@itu.int</w:t>
            </w:r>
            <w:r w:rsidR="00BE7947">
              <w:rPr>
                <w:rStyle w:val="Hyperlink"/>
                <w:lang w:val="de-CH"/>
              </w:rPr>
              <w:fldChar w:fldCharType="end"/>
            </w:r>
            <w:r w:rsidR="00012F0C">
              <w:rPr>
                <w:lang w:val="de-CH"/>
              </w:rPr>
              <w:t xml:space="preserve"> </w:t>
            </w:r>
          </w:p>
        </w:tc>
      </w:tr>
    </w:tbl>
    <w:p w14:paraId="64ACFAC0" w14:textId="77777777" w:rsidR="00B0022E" w:rsidRPr="00362610" w:rsidRDefault="00B0022E">
      <w:pPr>
        <w:rPr>
          <w:highlight w:val="yellow"/>
          <w:lang w:val="de-DE"/>
        </w:rPr>
      </w:pPr>
    </w:p>
    <w:tbl>
      <w:tblPr>
        <w:tblW w:w="5000" w:type="pct"/>
        <w:tblCellMar>
          <w:left w:w="57" w:type="dxa"/>
          <w:right w:w="57" w:type="dxa"/>
        </w:tblCellMar>
        <w:tblLook w:val="04A0" w:firstRow="1" w:lastRow="0" w:firstColumn="1" w:lastColumn="0" w:noHBand="0" w:noVBand="1"/>
      </w:tblPr>
      <w:tblGrid>
        <w:gridCol w:w="1594"/>
        <w:gridCol w:w="8045"/>
      </w:tblGrid>
      <w:tr w:rsidR="00B0022E" w:rsidRPr="005621F0" w14:paraId="0B13D98E" w14:textId="77777777" w:rsidTr="00030B46">
        <w:trPr>
          <w:cantSplit/>
          <w:trHeight w:val="374"/>
        </w:trPr>
        <w:tc>
          <w:tcPr>
            <w:tcW w:w="827" w:type="pct"/>
          </w:tcPr>
          <w:p w14:paraId="5CD73FF0" w14:textId="77777777" w:rsidR="00B0022E" w:rsidRPr="005621F0" w:rsidRDefault="00D12115">
            <w:pPr>
              <w:jc w:val="both"/>
              <w:rPr>
                <w:b/>
                <w:bCs/>
              </w:rPr>
            </w:pPr>
            <w:r w:rsidRPr="005621F0">
              <w:rPr>
                <w:b/>
                <w:bCs/>
              </w:rPr>
              <w:t>Abstract:</w:t>
            </w:r>
          </w:p>
        </w:tc>
        <w:tc>
          <w:tcPr>
            <w:tcW w:w="4173" w:type="pct"/>
          </w:tcPr>
          <w:p w14:paraId="48BCB90C" w14:textId="17EC155C" w:rsidR="00B0022E" w:rsidRPr="005621F0" w:rsidRDefault="00D12115" w:rsidP="00A70F5A">
            <w:pPr>
              <w:jc w:val="both"/>
            </w:pPr>
            <w:r w:rsidRPr="005621F0">
              <w:t xml:space="preserve">This </w:t>
            </w:r>
            <w:r w:rsidR="00687D59" w:rsidRPr="00C07C2B">
              <w:t>l</w:t>
            </w:r>
            <w:r w:rsidRPr="00C07C2B">
              <w:t xml:space="preserve">iaison </w:t>
            </w:r>
            <w:r w:rsidR="00687D59" w:rsidRPr="00C07C2B">
              <w:t>s</w:t>
            </w:r>
            <w:r w:rsidRPr="00C07C2B">
              <w:t xml:space="preserve">tatement informs TSAG on SG5 lead roles and gives an update on SG5 activities from </w:t>
            </w:r>
            <w:r w:rsidR="00FB2C8C" w:rsidRPr="00C07C2B">
              <w:t xml:space="preserve">January to </w:t>
            </w:r>
            <w:r w:rsidR="00BC238C" w:rsidRPr="00BC238C">
              <w:t xml:space="preserve">12 </w:t>
            </w:r>
            <w:r w:rsidR="00827A01" w:rsidRPr="00BC238C">
              <w:t>July</w:t>
            </w:r>
            <w:r w:rsidR="00FB2C8C" w:rsidRPr="00BC238C">
              <w:t xml:space="preserve"> 202</w:t>
            </w:r>
            <w:r w:rsidR="00827A01" w:rsidRPr="00BC238C">
              <w:t>4</w:t>
            </w:r>
            <w:r w:rsidR="007264B0" w:rsidRPr="00BC238C">
              <w:t>.</w:t>
            </w:r>
          </w:p>
        </w:tc>
      </w:tr>
    </w:tbl>
    <w:p w14:paraId="2FB54A9F" w14:textId="754B82BD" w:rsidR="00D9023B" w:rsidRPr="00030B46" w:rsidRDefault="00D9023B" w:rsidP="00D9023B">
      <w:pPr>
        <w:pStyle w:val="Heading1"/>
        <w:tabs>
          <w:tab w:val="left" w:pos="765"/>
          <w:tab w:val="left" w:pos="4144"/>
        </w:tabs>
        <w:spacing w:after="120"/>
        <w:ind w:left="0" w:firstLine="0"/>
        <w:jc w:val="both"/>
        <w:rPr>
          <w:szCs w:val="24"/>
        </w:rPr>
      </w:pPr>
      <w:r>
        <w:rPr>
          <w:szCs w:val="24"/>
        </w:rPr>
        <w:t>1</w:t>
      </w:r>
      <w:r w:rsidRPr="00030B46">
        <w:rPr>
          <w:szCs w:val="24"/>
        </w:rPr>
        <w:tab/>
      </w:r>
      <w:r w:rsidR="00717A79">
        <w:rPr>
          <w:rStyle w:val="ui-provider"/>
        </w:rPr>
        <w:t>Introduction and highlights</w:t>
      </w:r>
    </w:p>
    <w:p w14:paraId="5FEB11FD" w14:textId="04639567" w:rsidR="00496530" w:rsidRPr="00472485" w:rsidRDefault="00496530" w:rsidP="00DE4C6E">
      <w:pPr>
        <w:spacing w:before="240"/>
        <w:jc w:val="both"/>
      </w:pPr>
      <w:r w:rsidRPr="00472485">
        <w:rPr>
          <w:lang w:val="en-CA"/>
        </w:rPr>
        <w:t>ITU-T Study Group 5</w:t>
      </w:r>
      <w:r w:rsidR="003605D8" w:rsidRPr="00472485">
        <w:rPr>
          <w:lang w:val="en-CA"/>
        </w:rPr>
        <w:t xml:space="preserve"> “EMF, environment, climate action, sustainable digitalization, and circular economy”</w:t>
      </w:r>
      <w:r w:rsidRPr="00472485">
        <w:rPr>
          <w:lang w:val="en-CA"/>
        </w:rPr>
        <w:t xml:space="preserve"> provides a unique platform to tackle critical issues related to electromagnetic fields (EMF), environment, climate action, sustainable digitalization and circular economy. ITU-T SG5 continues to play a crucial role in addressing various aspects related to environmental sustainability and digital transformation. ITU-T SG5 actively collaborates with other ITU Study Groups, Standard Development Organizations</w:t>
      </w:r>
      <w:r w:rsidR="003605D8" w:rsidRPr="00472485">
        <w:rPr>
          <w:lang w:val="en-CA"/>
        </w:rPr>
        <w:t xml:space="preserve"> such as ETSI Technical Committee on Environmental Engineering, United Nations Agencies and other entities. </w:t>
      </w:r>
    </w:p>
    <w:p w14:paraId="5ED48491" w14:textId="77777777" w:rsidR="003605D8" w:rsidRPr="00472485" w:rsidRDefault="00D12115" w:rsidP="00DE4C6E">
      <w:pPr>
        <w:spacing w:before="240"/>
        <w:jc w:val="both"/>
      </w:pPr>
      <w:r w:rsidRPr="00472485">
        <w:t xml:space="preserve">ITU-T Study Group </w:t>
      </w:r>
      <w:r w:rsidRPr="00472485">
        <w:rPr>
          <w:rFonts w:eastAsia="MS Mincho"/>
        </w:rPr>
        <w:t>5</w:t>
      </w:r>
      <w:r w:rsidRPr="00472485">
        <w:t xml:space="preserve"> is actively fulfilling its mandate as the lead study group on</w:t>
      </w:r>
      <w:r w:rsidR="003605D8" w:rsidRPr="00472485">
        <w:t>:</w:t>
      </w:r>
    </w:p>
    <w:p w14:paraId="7DF7945A" w14:textId="77777777" w:rsidR="003605D8" w:rsidRPr="00472485" w:rsidRDefault="00DE4C6E" w:rsidP="00EE588F">
      <w:pPr>
        <w:pStyle w:val="ListParagraph"/>
        <w:numPr>
          <w:ilvl w:val="0"/>
          <w:numId w:val="8"/>
        </w:numPr>
        <w:jc w:val="both"/>
      </w:pPr>
      <w:bookmarkStart w:id="11" w:name="_Hlk116989327"/>
      <w:r w:rsidRPr="00472485">
        <w:t>electromagnetic compatibility, resistibility and lightning protection, soft error caused by particle radiations</w:t>
      </w:r>
      <w:r w:rsidR="003605D8" w:rsidRPr="00472485">
        <w:t>;</w:t>
      </w:r>
    </w:p>
    <w:p w14:paraId="1AF21A15" w14:textId="77777777" w:rsidR="003605D8" w:rsidRPr="00472485" w:rsidRDefault="00DE4C6E" w:rsidP="00EE588F">
      <w:pPr>
        <w:pStyle w:val="ListParagraph"/>
        <w:numPr>
          <w:ilvl w:val="0"/>
          <w:numId w:val="8"/>
        </w:numPr>
        <w:spacing w:before="240"/>
        <w:jc w:val="both"/>
      </w:pPr>
      <w:r w:rsidRPr="00472485">
        <w:t>human exposure to electromagnetic fields</w:t>
      </w:r>
      <w:r w:rsidR="003605D8" w:rsidRPr="00472485">
        <w:t>;</w:t>
      </w:r>
    </w:p>
    <w:p w14:paraId="0A392064" w14:textId="7B67452A" w:rsidR="003605D8" w:rsidRPr="00472485" w:rsidRDefault="00DE4C6E" w:rsidP="00EE588F">
      <w:pPr>
        <w:pStyle w:val="ListParagraph"/>
        <w:numPr>
          <w:ilvl w:val="0"/>
          <w:numId w:val="8"/>
        </w:numPr>
        <w:spacing w:before="240"/>
        <w:jc w:val="both"/>
      </w:pPr>
      <w:r w:rsidRPr="00472485">
        <w:lastRenderedPageBreak/>
        <w:t xml:space="preserve">circular </w:t>
      </w:r>
      <w:r w:rsidR="00D408E4" w:rsidRPr="00472485">
        <w:t>economy</w:t>
      </w:r>
      <w:r w:rsidRPr="00472485">
        <w:t xml:space="preserve"> and e-waste management</w:t>
      </w:r>
      <w:r w:rsidR="003605D8" w:rsidRPr="00472485">
        <w:t>;</w:t>
      </w:r>
      <w:r w:rsidRPr="00472485">
        <w:t xml:space="preserve"> and</w:t>
      </w:r>
    </w:p>
    <w:p w14:paraId="138DC80C" w14:textId="16DE351D" w:rsidR="00B0022E" w:rsidRPr="00472485" w:rsidRDefault="00DE4C6E" w:rsidP="00EE588F">
      <w:pPr>
        <w:pStyle w:val="ListParagraph"/>
        <w:numPr>
          <w:ilvl w:val="0"/>
          <w:numId w:val="8"/>
        </w:numPr>
        <w:spacing w:before="240"/>
        <w:jc w:val="both"/>
      </w:pPr>
      <w:r w:rsidRPr="00472485">
        <w:t xml:space="preserve">ICTs related to the environment, energy efficiency, clean </w:t>
      </w:r>
      <w:r w:rsidR="00D408E4" w:rsidRPr="00472485">
        <w:t>energy,</w:t>
      </w:r>
      <w:r w:rsidRPr="00472485">
        <w:t xml:space="preserve"> and sustainable digitalization for climate actions</w:t>
      </w:r>
      <w:bookmarkEnd w:id="11"/>
      <w:r w:rsidRPr="00472485">
        <w:t>.</w:t>
      </w:r>
    </w:p>
    <w:p w14:paraId="593C7CFA" w14:textId="58B1812D" w:rsidR="003605D8" w:rsidRPr="00472485" w:rsidRDefault="003605D8" w:rsidP="003605D8">
      <w:pPr>
        <w:spacing w:before="240"/>
        <w:jc w:val="both"/>
      </w:pPr>
      <w:r w:rsidRPr="00472485">
        <w:t xml:space="preserve">More information is detailed in Section </w:t>
      </w:r>
      <w:r w:rsidR="00D9023B" w:rsidRPr="00472485">
        <w:t>4</w:t>
      </w:r>
      <w:r w:rsidRPr="00472485">
        <w:t xml:space="preserve">. </w:t>
      </w:r>
    </w:p>
    <w:p w14:paraId="5A47CD32" w14:textId="61CC95D9" w:rsidR="0049674E" w:rsidRPr="00472485" w:rsidRDefault="003605D8" w:rsidP="00470B5B">
      <w:pPr>
        <w:spacing w:after="240"/>
        <w:jc w:val="both"/>
      </w:pPr>
      <w:r w:rsidRPr="00472485">
        <w:t xml:space="preserve">From January </w:t>
      </w:r>
      <w:r w:rsidRPr="00BC238C">
        <w:t xml:space="preserve">until </w:t>
      </w:r>
      <w:r w:rsidR="00226358" w:rsidRPr="00BC238C">
        <w:t xml:space="preserve">12 </w:t>
      </w:r>
      <w:r w:rsidR="00BD0799" w:rsidRPr="00BC238C">
        <w:t>July</w:t>
      </w:r>
      <w:r w:rsidRPr="00472485">
        <w:t xml:space="preserve"> 202</w:t>
      </w:r>
      <w:r w:rsidR="00BD0799">
        <w:t>4</w:t>
      </w:r>
      <w:r w:rsidRPr="00472485">
        <w:t xml:space="preserve">, ITU-T SG5 has organized </w:t>
      </w:r>
      <w:r w:rsidR="00BD0799">
        <w:t>one</w:t>
      </w:r>
      <w:r w:rsidRPr="00472485">
        <w:t xml:space="preserve"> meeting</w:t>
      </w:r>
      <w:r w:rsidR="00472485" w:rsidRPr="00472485">
        <w:t>,</w:t>
      </w:r>
      <w:r w:rsidRPr="00472485">
        <w:t xml:space="preserve"> as shown</w:t>
      </w:r>
      <w:r w:rsidR="00BD56D0" w:rsidRPr="00472485">
        <w:t xml:space="preserve"> in the table</w:t>
      </w:r>
      <w:r w:rsidRPr="00472485">
        <w:t xml:space="preserve"> below. Furthermore, </w:t>
      </w:r>
      <w:r w:rsidR="00BD56D0" w:rsidRPr="00472485">
        <w:t xml:space="preserve">ITU-T SG5 has contributed to the organization of events and sessions to raise awareness on the role of standards on Environment, Climate Change and Circular Economy. </w:t>
      </w:r>
    </w:p>
    <w:tbl>
      <w:tblPr>
        <w:tblStyle w:val="TableGrid"/>
        <w:tblW w:w="5000" w:type="pct"/>
        <w:tblLook w:val="04A0" w:firstRow="1" w:lastRow="0" w:firstColumn="1" w:lastColumn="0" w:noHBand="0" w:noVBand="1"/>
      </w:tblPr>
      <w:tblGrid>
        <w:gridCol w:w="3531"/>
        <w:gridCol w:w="2111"/>
        <w:gridCol w:w="1363"/>
        <w:gridCol w:w="1394"/>
        <w:gridCol w:w="1230"/>
      </w:tblGrid>
      <w:tr w:rsidR="00BD56D0" w:rsidRPr="00472485" w14:paraId="166252E4" w14:textId="77777777" w:rsidTr="00226358">
        <w:tc>
          <w:tcPr>
            <w:tcW w:w="1834" w:type="pct"/>
            <w:vAlign w:val="center"/>
          </w:tcPr>
          <w:p w14:paraId="209EB5AB" w14:textId="400B2919" w:rsidR="00BD56D0" w:rsidRPr="00472485" w:rsidRDefault="00BD56D0" w:rsidP="00AF167C">
            <w:pPr>
              <w:spacing w:before="40" w:after="40"/>
              <w:jc w:val="center"/>
              <w:rPr>
                <w:b/>
                <w:bCs/>
              </w:rPr>
            </w:pPr>
            <w:r w:rsidRPr="00472485">
              <w:rPr>
                <w:b/>
                <w:bCs/>
              </w:rPr>
              <w:t>Meeting, Venue and Date</w:t>
            </w:r>
          </w:p>
        </w:tc>
        <w:tc>
          <w:tcPr>
            <w:tcW w:w="1096" w:type="pct"/>
            <w:vAlign w:val="center"/>
          </w:tcPr>
          <w:p w14:paraId="03AC2EAD" w14:textId="098C8096" w:rsidR="00BD56D0" w:rsidRPr="00472485" w:rsidRDefault="00BD56D0" w:rsidP="00AF167C">
            <w:pPr>
              <w:spacing w:before="40" w:after="40"/>
              <w:jc w:val="center"/>
              <w:rPr>
                <w:b/>
                <w:bCs/>
              </w:rPr>
            </w:pPr>
            <w:r w:rsidRPr="00472485">
              <w:rPr>
                <w:b/>
                <w:bCs/>
              </w:rPr>
              <w:t>Recommendations consented</w:t>
            </w:r>
          </w:p>
        </w:tc>
        <w:tc>
          <w:tcPr>
            <w:tcW w:w="708" w:type="pct"/>
            <w:vAlign w:val="center"/>
          </w:tcPr>
          <w:p w14:paraId="7F87563F" w14:textId="2D0DB924" w:rsidR="00BD56D0" w:rsidRPr="00472485" w:rsidRDefault="00BD56D0" w:rsidP="00AF167C">
            <w:pPr>
              <w:spacing w:before="40" w:after="40"/>
              <w:jc w:val="center"/>
              <w:rPr>
                <w:b/>
                <w:bCs/>
              </w:rPr>
            </w:pPr>
            <w:r w:rsidRPr="00472485">
              <w:rPr>
                <w:b/>
                <w:bCs/>
              </w:rPr>
              <w:t>Documents Agreed</w:t>
            </w:r>
          </w:p>
        </w:tc>
        <w:tc>
          <w:tcPr>
            <w:tcW w:w="724" w:type="pct"/>
            <w:vAlign w:val="center"/>
          </w:tcPr>
          <w:p w14:paraId="06049FF5" w14:textId="0EFF6A94" w:rsidR="00BD56D0" w:rsidRPr="00472485" w:rsidRDefault="00BD56D0" w:rsidP="00AF167C">
            <w:pPr>
              <w:spacing w:before="40" w:after="40"/>
              <w:jc w:val="center"/>
              <w:rPr>
                <w:b/>
                <w:bCs/>
              </w:rPr>
            </w:pPr>
            <w:r w:rsidRPr="00472485">
              <w:rPr>
                <w:b/>
                <w:bCs/>
              </w:rPr>
              <w:t>New work items agreed</w:t>
            </w:r>
          </w:p>
        </w:tc>
        <w:tc>
          <w:tcPr>
            <w:tcW w:w="639" w:type="pct"/>
            <w:vAlign w:val="center"/>
          </w:tcPr>
          <w:p w14:paraId="7A793139" w14:textId="684D148A" w:rsidR="00BD56D0" w:rsidRPr="00472485" w:rsidRDefault="00BD56D0" w:rsidP="00AF167C">
            <w:pPr>
              <w:spacing w:before="40" w:after="40"/>
              <w:jc w:val="center"/>
              <w:rPr>
                <w:b/>
                <w:bCs/>
              </w:rPr>
            </w:pPr>
            <w:r w:rsidRPr="00472485">
              <w:rPr>
                <w:b/>
                <w:bCs/>
              </w:rPr>
              <w:t>Executive Summary</w:t>
            </w:r>
          </w:p>
        </w:tc>
      </w:tr>
      <w:tr w:rsidR="00226358" w:rsidRPr="00472485" w14:paraId="298808AC" w14:textId="77777777" w:rsidTr="00226358">
        <w:tc>
          <w:tcPr>
            <w:tcW w:w="1834" w:type="pct"/>
            <w:vAlign w:val="center"/>
          </w:tcPr>
          <w:p w14:paraId="4B5BE124" w14:textId="320896D2" w:rsidR="00226358" w:rsidRPr="00472485" w:rsidRDefault="00226358" w:rsidP="00226358">
            <w:pPr>
              <w:spacing w:before="40" w:after="40"/>
            </w:pPr>
            <w:r w:rsidRPr="00472485">
              <w:t>ITU-T Study Group 5 meeting,</w:t>
            </w:r>
            <w:r w:rsidRPr="00472485">
              <w:br/>
            </w:r>
            <w:r>
              <w:t>Wroclaw</w:t>
            </w:r>
            <w:r w:rsidRPr="00472485">
              <w:t>, 1</w:t>
            </w:r>
            <w:r>
              <w:t>7</w:t>
            </w:r>
            <w:r w:rsidR="006F0C55">
              <w:t>–</w:t>
            </w:r>
            <w:r w:rsidRPr="00472485">
              <w:t>2</w:t>
            </w:r>
            <w:r>
              <w:t>1</w:t>
            </w:r>
            <w:r w:rsidRPr="00472485">
              <w:t xml:space="preserve"> </w:t>
            </w:r>
            <w:r>
              <w:t>June 2024</w:t>
            </w:r>
          </w:p>
        </w:tc>
        <w:tc>
          <w:tcPr>
            <w:tcW w:w="1096" w:type="pct"/>
            <w:vAlign w:val="center"/>
          </w:tcPr>
          <w:p w14:paraId="1ED8FD91" w14:textId="4B7EB70F" w:rsidR="00226358" w:rsidRPr="00472485" w:rsidRDefault="00FD17CB" w:rsidP="00226358">
            <w:pPr>
              <w:spacing w:before="40" w:after="40"/>
              <w:jc w:val="center"/>
            </w:pPr>
            <w:r>
              <w:t>21</w:t>
            </w:r>
          </w:p>
        </w:tc>
        <w:tc>
          <w:tcPr>
            <w:tcW w:w="708" w:type="pct"/>
            <w:vAlign w:val="center"/>
          </w:tcPr>
          <w:p w14:paraId="05847534" w14:textId="36B942E9" w:rsidR="00226358" w:rsidRPr="00472485" w:rsidRDefault="009D2C70" w:rsidP="00226358">
            <w:pPr>
              <w:spacing w:before="40" w:after="40"/>
              <w:jc w:val="center"/>
            </w:pPr>
            <w:r>
              <w:t>3</w:t>
            </w:r>
          </w:p>
        </w:tc>
        <w:tc>
          <w:tcPr>
            <w:tcW w:w="724" w:type="pct"/>
            <w:vAlign w:val="center"/>
          </w:tcPr>
          <w:p w14:paraId="4590F0FB" w14:textId="16964B52" w:rsidR="00226358" w:rsidRPr="00472485" w:rsidRDefault="009D2C70" w:rsidP="00226358">
            <w:pPr>
              <w:spacing w:before="40" w:after="40"/>
              <w:jc w:val="center"/>
            </w:pPr>
            <w:r>
              <w:t>30</w:t>
            </w:r>
          </w:p>
        </w:tc>
        <w:tc>
          <w:tcPr>
            <w:tcW w:w="639" w:type="pct"/>
            <w:vAlign w:val="center"/>
          </w:tcPr>
          <w:p w14:paraId="6479A3A6" w14:textId="277EECF0" w:rsidR="00226358" w:rsidRPr="00472485" w:rsidRDefault="00BE7947" w:rsidP="00226358">
            <w:pPr>
              <w:spacing w:before="40" w:after="40"/>
              <w:jc w:val="center"/>
            </w:pPr>
            <w:hyperlink r:id="rId17" w:history="1">
              <w:r w:rsidR="00226358" w:rsidRPr="009D2C70">
                <w:rPr>
                  <w:rStyle w:val="Hyperlink"/>
                  <w:rFonts w:eastAsia="SimSun"/>
                  <w:lang w:val="en-GB"/>
                </w:rPr>
                <w:t>Link</w:t>
              </w:r>
            </w:hyperlink>
          </w:p>
        </w:tc>
      </w:tr>
    </w:tbl>
    <w:p w14:paraId="2AE9AF07" w14:textId="43377238" w:rsidR="00030B46" w:rsidRPr="00030B46" w:rsidRDefault="00D9023B" w:rsidP="00781DFB">
      <w:pPr>
        <w:pStyle w:val="Heading1"/>
        <w:tabs>
          <w:tab w:val="left" w:pos="765"/>
          <w:tab w:val="left" w:pos="4144"/>
        </w:tabs>
        <w:spacing w:after="120"/>
        <w:ind w:left="0" w:firstLine="0"/>
        <w:jc w:val="both"/>
        <w:rPr>
          <w:szCs w:val="24"/>
        </w:rPr>
      </w:pPr>
      <w:r w:rsidRPr="00472485">
        <w:rPr>
          <w:szCs w:val="24"/>
        </w:rPr>
        <w:t>2</w:t>
      </w:r>
      <w:r w:rsidR="00030B46" w:rsidRPr="00472485">
        <w:rPr>
          <w:szCs w:val="24"/>
        </w:rPr>
        <w:tab/>
        <w:t>Main achievements</w:t>
      </w:r>
    </w:p>
    <w:p w14:paraId="61EC6B25" w14:textId="2D6EAEA6" w:rsidR="00030B46" w:rsidRPr="00030B46" w:rsidRDefault="00030B46" w:rsidP="00781DFB">
      <w:pPr>
        <w:jc w:val="both"/>
        <w:rPr>
          <w:lang w:eastAsia="zh-CN"/>
        </w:rPr>
      </w:pPr>
      <w:r w:rsidRPr="00030B46">
        <w:t xml:space="preserve">The list of results pertaining to ITU-T </w:t>
      </w:r>
      <w:r w:rsidRPr="00030B46">
        <w:rPr>
          <w:rFonts w:eastAsia="MS Mincho"/>
        </w:rPr>
        <w:t xml:space="preserve">SGs Recommendations on </w:t>
      </w:r>
      <w:r w:rsidRPr="00030B46">
        <w:t xml:space="preserve">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 since </w:t>
      </w:r>
      <w:r w:rsidRPr="00030B46">
        <w:rPr>
          <w:rFonts w:eastAsia="MS Mincho"/>
        </w:rPr>
        <w:t>January 202</w:t>
      </w:r>
      <w:r w:rsidR="00226358">
        <w:rPr>
          <w:rFonts w:eastAsia="MS Mincho"/>
        </w:rPr>
        <w:t>4</w:t>
      </w:r>
      <w:r w:rsidRPr="00030B46">
        <w:t xml:space="preserve">, are provided in Annex 1 </w:t>
      </w:r>
      <w:r w:rsidRPr="00030B46">
        <w:rPr>
          <w:lang w:eastAsia="zh-CN"/>
        </w:rPr>
        <w:t xml:space="preserve">(status: until </w:t>
      </w:r>
      <w:r w:rsidR="00226358">
        <w:rPr>
          <w:lang w:eastAsia="zh-CN"/>
        </w:rPr>
        <w:t>12 July 2024</w:t>
      </w:r>
      <w:r w:rsidRPr="00030B46">
        <w:rPr>
          <w:lang w:eastAsia="zh-CN"/>
        </w:rPr>
        <w:t>).</w:t>
      </w:r>
    </w:p>
    <w:p w14:paraId="488285C1" w14:textId="0E8EBDA0" w:rsidR="00312630" w:rsidRDefault="00226358" w:rsidP="00781DFB">
      <w:pPr>
        <w:jc w:val="both"/>
        <w:rPr>
          <w:lang w:eastAsia="zh-CN"/>
        </w:rPr>
      </w:pPr>
      <w:r>
        <w:rPr>
          <w:lang w:eastAsia="zh-CN"/>
        </w:rPr>
        <w:t xml:space="preserve">The fifth and last </w:t>
      </w:r>
      <w:r w:rsidR="00472485">
        <w:rPr>
          <w:lang w:eastAsia="zh-CN"/>
        </w:rPr>
        <w:t>meeting of ITU</w:t>
      </w:r>
      <w:r w:rsidR="00D9023B">
        <w:rPr>
          <w:lang w:eastAsia="zh-CN"/>
        </w:rPr>
        <w:t xml:space="preserve">-T SG5 </w:t>
      </w:r>
      <w:r>
        <w:rPr>
          <w:lang w:eastAsia="zh-CN"/>
        </w:rPr>
        <w:t>in this study period (2022</w:t>
      </w:r>
      <w:r w:rsidR="00FB62C9">
        <w:rPr>
          <w:lang w:eastAsia="zh-CN"/>
        </w:rPr>
        <w:t>–</w:t>
      </w:r>
      <w:r>
        <w:rPr>
          <w:lang w:eastAsia="zh-CN"/>
        </w:rPr>
        <w:t xml:space="preserve">2024) </w:t>
      </w:r>
      <w:r w:rsidR="0058551F">
        <w:rPr>
          <w:lang w:eastAsia="zh-CN"/>
        </w:rPr>
        <w:t xml:space="preserve">was </w:t>
      </w:r>
      <w:r w:rsidR="00D9023B">
        <w:rPr>
          <w:lang w:eastAsia="zh-CN"/>
        </w:rPr>
        <w:t>held in</w:t>
      </w:r>
      <w:r w:rsidR="0058551F">
        <w:rPr>
          <w:lang w:eastAsia="zh-CN"/>
        </w:rPr>
        <w:t xml:space="preserve"> </w:t>
      </w:r>
      <w:r w:rsidR="00312630">
        <w:rPr>
          <w:lang w:eastAsia="zh-CN"/>
        </w:rPr>
        <w:t xml:space="preserve">Wroclaw, Poland, </w:t>
      </w:r>
      <w:r w:rsidR="00D9023B">
        <w:rPr>
          <w:lang w:eastAsia="zh-CN"/>
        </w:rPr>
        <w:t>from 1</w:t>
      </w:r>
      <w:r w:rsidR="00312630">
        <w:rPr>
          <w:lang w:eastAsia="zh-CN"/>
        </w:rPr>
        <w:t>7</w:t>
      </w:r>
      <w:r w:rsidR="00D9023B">
        <w:rPr>
          <w:lang w:eastAsia="zh-CN"/>
        </w:rPr>
        <w:t xml:space="preserve"> to 2</w:t>
      </w:r>
      <w:r w:rsidR="00312630">
        <w:rPr>
          <w:lang w:eastAsia="zh-CN"/>
        </w:rPr>
        <w:t>1</w:t>
      </w:r>
      <w:r w:rsidR="00D9023B">
        <w:rPr>
          <w:lang w:eastAsia="zh-CN"/>
        </w:rPr>
        <w:t xml:space="preserve"> June 202</w:t>
      </w:r>
      <w:r w:rsidR="00312630">
        <w:rPr>
          <w:lang w:eastAsia="zh-CN"/>
        </w:rPr>
        <w:t>4</w:t>
      </w:r>
      <w:r w:rsidR="0058551F">
        <w:rPr>
          <w:lang w:eastAsia="zh-CN"/>
        </w:rPr>
        <w:t xml:space="preserve">. This meeting was kindly hosted by </w:t>
      </w:r>
      <w:r w:rsidR="00312630">
        <w:rPr>
          <w:lang w:eastAsia="zh-CN"/>
        </w:rPr>
        <w:t xml:space="preserve">the </w:t>
      </w:r>
      <w:proofErr w:type="spellStart"/>
      <w:r w:rsidR="00312630" w:rsidRPr="00312630">
        <w:rPr>
          <w:lang w:eastAsia="zh-CN"/>
        </w:rPr>
        <w:t>Wrocław</w:t>
      </w:r>
      <w:proofErr w:type="spellEnd"/>
      <w:r w:rsidR="00312630" w:rsidRPr="00312630">
        <w:rPr>
          <w:lang w:eastAsia="zh-CN"/>
        </w:rPr>
        <w:t xml:space="preserve"> University of Science and Technology</w:t>
      </w:r>
      <w:r w:rsidR="0058551F">
        <w:rPr>
          <w:lang w:eastAsia="zh-CN"/>
        </w:rPr>
        <w:t xml:space="preserve">. </w:t>
      </w:r>
    </w:p>
    <w:p w14:paraId="76CE39F3" w14:textId="77777777" w:rsidR="00312630" w:rsidRDefault="0058551F" w:rsidP="00781DFB">
      <w:pPr>
        <w:jc w:val="both"/>
        <w:rPr>
          <w:lang w:eastAsia="zh-CN"/>
        </w:rPr>
      </w:pPr>
      <w:r>
        <w:rPr>
          <w:lang w:eastAsia="zh-CN"/>
        </w:rPr>
        <w:t xml:space="preserve">One important </w:t>
      </w:r>
      <w:r w:rsidR="00312630">
        <w:rPr>
          <w:lang w:eastAsia="zh-CN"/>
        </w:rPr>
        <w:t xml:space="preserve">achievement of the meeting was the </w:t>
      </w:r>
      <w:r w:rsidR="00312630" w:rsidRPr="00312630">
        <w:rPr>
          <w:lang w:eastAsia="zh-CN"/>
        </w:rPr>
        <w:t>finaliz</w:t>
      </w:r>
      <w:r w:rsidR="00312630">
        <w:rPr>
          <w:lang w:eastAsia="zh-CN"/>
        </w:rPr>
        <w:t xml:space="preserve">ation of </w:t>
      </w:r>
      <w:r w:rsidR="00312630" w:rsidRPr="00312630">
        <w:rPr>
          <w:lang w:eastAsia="zh-CN"/>
        </w:rPr>
        <w:t xml:space="preserve">the SG5 </w:t>
      </w:r>
      <w:proofErr w:type="spellStart"/>
      <w:r w:rsidR="00312630" w:rsidRPr="00312630">
        <w:rPr>
          <w:lang w:eastAsia="zh-CN"/>
        </w:rPr>
        <w:t>ToR</w:t>
      </w:r>
      <w:proofErr w:type="spellEnd"/>
      <w:r w:rsidR="00312630" w:rsidRPr="00312630">
        <w:rPr>
          <w:lang w:eastAsia="zh-CN"/>
        </w:rPr>
        <w:t xml:space="preserve"> Questions, title, and mandate. The new proposed SG5 title to be submitted for WTSA-24 is Environment, climate action, circular economy and EMF</w:t>
      </w:r>
      <w:r w:rsidR="00312630">
        <w:rPr>
          <w:lang w:eastAsia="zh-CN"/>
        </w:rPr>
        <w:t>.</w:t>
      </w:r>
    </w:p>
    <w:p w14:paraId="20DCD14C" w14:textId="77777777" w:rsidR="00605993" w:rsidRDefault="00605993" w:rsidP="00781DFB">
      <w:pPr>
        <w:jc w:val="both"/>
        <w:rPr>
          <w:lang w:eastAsia="zh-CN"/>
        </w:rPr>
      </w:pPr>
      <w:r>
        <w:rPr>
          <w:lang w:eastAsia="zh-CN"/>
        </w:rPr>
        <w:t xml:space="preserve">Two important </w:t>
      </w:r>
      <w:r w:rsidR="0058551F">
        <w:rPr>
          <w:lang w:eastAsia="zh-CN"/>
        </w:rPr>
        <w:t>Recommendation</w:t>
      </w:r>
      <w:r>
        <w:rPr>
          <w:lang w:eastAsia="zh-CN"/>
        </w:rPr>
        <w:t>s</w:t>
      </w:r>
      <w:r w:rsidR="0058551F">
        <w:rPr>
          <w:lang w:eastAsia="zh-CN"/>
        </w:rPr>
        <w:t xml:space="preserve"> consented during the June meeting w</w:t>
      </w:r>
      <w:r>
        <w:rPr>
          <w:lang w:eastAsia="zh-CN"/>
        </w:rPr>
        <w:t>ere:</w:t>
      </w:r>
    </w:p>
    <w:p w14:paraId="03EB06E1" w14:textId="727D2446" w:rsidR="0058551F" w:rsidRDefault="0058551F" w:rsidP="00EE588F">
      <w:pPr>
        <w:pStyle w:val="ListParagraph"/>
        <w:numPr>
          <w:ilvl w:val="0"/>
          <w:numId w:val="17"/>
        </w:numPr>
        <w:jc w:val="both"/>
        <w:rPr>
          <w:lang w:eastAsia="zh-CN"/>
        </w:rPr>
      </w:pPr>
      <w:proofErr w:type="spellStart"/>
      <w:r w:rsidRPr="00FD17CB">
        <w:rPr>
          <w:lang w:val="fr-CH" w:eastAsia="zh-CN"/>
        </w:rPr>
        <w:t>Recommendation</w:t>
      </w:r>
      <w:proofErr w:type="spellEnd"/>
      <w:r w:rsidRPr="00FD17CB">
        <w:rPr>
          <w:lang w:val="fr-CH" w:eastAsia="zh-CN"/>
        </w:rPr>
        <w:t xml:space="preserve"> ITU-T L.107</w:t>
      </w:r>
      <w:r w:rsidR="00605993" w:rsidRPr="00FD17CB">
        <w:rPr>
          <w:lang w:val="fr-CH" w:eastAsia="zh-CN"/>
        </w:rPr>
        <w:t xml:space="preserve">1 (ex. </w:t>
      </w:r>
      <w:r w:rsidR="00605993">
        <w:rPr>
          <w:lang w:eastAsia="zh-CN"/>
        </w:rPr>
        <w:t>LD4PI)</w:t>
      </w:r>
      <w:r>
        <w:rPr>
          <w:lang w:eastAsia="zh-CN"/>
        </w:rPr>
        <w:t xml:space="preserve"> “</w:t>
      </w:r>
      <w:r w:rsidR="00605993" w:rsidRPr="00605993">
        <w:rPr>
          <w:lang w:eastAsia="zh-CN"/>
        </w:rPr>
        <w:t>A model for digital product passport information on sustainability and circularity</w:t>
      </w:r>
      <w:r>
        <w:rPr>
          <w:lang w:eastAsia="zh-CN"/>
        </w:rPr>
        <w:t xml:space="preserve">”. </w:t>
      </w:r>
    </w:p>
    <w:p w14:paraId="07357202" w14:textId="67957B33" w:rsidR="00605993" w:rsidRDefault="00605993" w:rsidP="00EE588F">
      <w:pPr>
        <w:pStyle w:val="ListParagraph"/>
        <w:numPr>
          <w:ilvl w:val="0"/>
          <w:numId w:val="17"/>
        </w:numPr>
        <w:jc w:val="both"/>
        <w:rPr>
          <w:lang w:eastAsia="zh-CN"/>
        </w:rPr>
      </w:pPr>
      <w:proofErr w:type="spellStart"/>
      <w:r w:rsidRPr="00FD17CB">
        <w:rPr>
          <w:lang w:val="fr-CH" w:eastAsia="zh-CN"/>
        </w:rPr>
        <w:t>Recommendation</w:t>
      </w:r>
      <w:proofErr w:type="spellEnd"/>
      <w:r w:rsidRPr="00FD17CB">
        <w:rPr>
          <w:lang w:val="fr-CH" w:eastAsia="zh-CN"/>
        </w:rPr>
        <w:t xml:space="preserve"> ITU-T L.1472 (ex. </w:t>
      </w:r>
      <w:proofErr w:type="spellStart"/>
      <w:r w:rsidRPr="00605993">
        <w:rPr>
          <w:lang w:eastAsia="zh-CN"/>
        </w:rPr>
        <w:t>L.database</w:t>
      </w:r>
      <w:proofErr w:type="spellEnd"/>
      <w:r>
        <w:rPr>
          <w:lang w:eastAsia="zh-CN"/>
        </w:rPr>
        <w:t>) “</w:t>
      </w:r>
      <w:r w:rsidRPr="00605993">
        <w:rPr>
          <w:lang w:eastAsia="zh-CN"/>
        </w:rPr>
        <w:t>Requirements for the creation of an ITU database on energy consumption and GHG emissions of the ICT sector</w:t>
      </w:r>
      <w:r>
        <w:rPr>
          <w:lang w:eastAsia="zh-CN"/>
        </w:rPr>
        <w:t>”</w:t>
      </w:r>
    </w:p>
    <w:p w14:paraId="45D74ED8" w14:textId="150D539B" w:rsidR="00030B46" w:rsidRPr="00030B46" w:rsidRDefault="00030B46" w:rsidP="00781DFB">
      <w:pPr>
        <w:jc w:val="both"/>
      </w:pPr>
      <w:r w:rsidRPr="00030B46">
        <w:rPr>
          <w:lang w:eastAsia="zh-CN"/>
        </w:rPr>
        <w:t xml:space="preserve">The main highlights concerning the </w:t>
      </w:r>
      <w:r w:rsidR="00605993">
        <w:rPr>
          <w:lang w:eastAsia="zh-CN"/>
        </w:rPr>
        <w:t>last</w:t>
      </w:r>
      <w:r w:rsidR="00472485">
        <w:rPr>
          <w:lang w:eastAsia="zh-CN"/>
        </w:rPr>
        <w:t xml:space="preserve"> </w:t>
      </w:r>
      <w:r w:rsidRPr="00030B46">
        <w:rPr>
          <w:lang w:eastAsia="zh-CN"/>
        </w:rPr>
        <w:t>SG5 meeting (1</w:t>
      </w:r>
      <w:r w:rsidR="00605993">
        <w:rPr>
          <w:lang w:eastAsia="zh-CN"/>
        </w:rPr>
        <w:t>7</w:t>
      </w:r>
      <w:r w:rsidR="00FB62C9">
        <w:rPr>
          <w:lang w:eastAsia="zh-CN"/>
        </w:rPr>
        <w:t>–</w:t>
      </w:r>
      <w:r w:rsidRPr="00030B46">
        <w:rPr>
          <w:lang w:eastAsia="zh-CN"/>
        </w:rPr>
        <w:t>2</w:t>
      </w:r>
      <w:r w:rsidR="00605993">
        <w:rPr>
          <w:lang w:eastAsia="zh-CN"/>
        </w:rPr>
        <w:t xml:space="preserve">1 June </w:t>
      </w:r>
      <w:r w:rsidRPr="00030B46">
        <w:rPr>
          <w:lang w:eastAsia="zh-CN"/>
        </w:rPr>
        <w:t>202</w:t>
      </w:r>
      <w:r w:rsidR="00605993">
        <w:rPr>
          <w:lang w:eastAsia="zh-CN"/>
        </w:rPr>
        <w:t>4</w:t>
      </w:r>
      <w:r w:rsidRPr="00030B46">
        <w:rPr>
          <w:lang w:eastAsia="zh-CN"/>
        </w:rPr>
        <w:t>) are described in the following text.</w:t>
      </w:r>
      <w:r w:rsidR="0049674E">
        <w:rPr>
          <w:lang w:eastAsia="zh-CN"/>
        </w:rPr>
        <w:t xml:space="preserve"> </w:t>
      </w:r>
    </w:p>
    <w:p w14:paraId="38A43B8D" w14:textId="7FED4E53" w:rsidR="0058551F" w:rsidRDefault="00030B46" w:rsidP="006D5092">
      <w:pPr>
        <w:pStyle w:val="ListParagraph"/>
        <w:adjustRightInd w:val="0"/>
        <w:ind w:left="0"/>
        <w:contextualSpacing w:val="0"/>
        <w:jc w:val="both"/>
      </w:pPr>
      <w:r w:rsidRPr="00030B46">
        <w:rPr>
          <w:b/>
        </w:rPr>
        <w:t>Working Party 1/5</w:t>
      </w:r>
      <w:r w:rsidRPr="00030B46">
        <w:t xml:space="preserve"> experts consented </w:t>
      </w:r>
      <w:r w:rsidR="00475C5F">
        <w:t>seven</w:t>
      </w:r>
      <w:r w:rsidRPr="00030B46">
        <w:t xml:space="preserve"> revised </w:t>
      </w:r>
      <w:r w:rsidR="00C650CC" w:rsidRPr="00030B46">
        <w:t>Recommendations</w:t>
      </w:r>
      <w:r w:rsidRPr="00030B46">
        <w:t>:</w:t>
      </w:r>
    </w:p>
    <w:p w14:paraId="03805719" w14:textId="4535125F" w:rsidR="005A307F" w:rsidRDefault="005441C0" w:rsidP="00EE588F">
      <w:pPr>
        <w:pStyle w:val="ListParagraph"/>
        <w:numPr>
          <w:ilvl w:val="0"/>
          <w:numId w:val="7"/>
        </w:numPr>
        <w:adjustRightInd w:val="0"/>
        <w:contextualSpacing w:val="0"/>
        <w:jc w:val="both"/>
      </w:pPr>
      <w:r w:rsidRPr="00C25B3A">
        <w:rPr>
          <w:rFonts w:eastAsia="MS Mincho"/>
        </w:rPr>
        <w:t xml:space="preserve">ITU-T </w:t>
      </w:r>
      <w:r w:rsidR="005A307F">
        <w:t>K.81</w:t>
      </w:r>
      <w:r w:rsidR="002C5BB0">
        <w:t xml:space="preserve"> </w:t>
      </w:r>
      <w:r w:rsidR="002C5BB0" w:rsidRPr="00030B46">
        <w:t>“</w:t>
      </w:r>
      <w:r w:rsidR="005A307F">
        <w:t>High-power electromagnetic immunity guide for telecommunication systems</w:t>
      </w:r>
      <w:r w:rsidR="002C5BB0" w:rsidRPr="00030B46">
        <w:rPr>
          <w:rFonts w:eastAsia="Times New Roman"/>
        </w:rPr>
        <w:t>”</w:t>
      </w:r>
    </w:p>
    <w:p w14:paraId="6D99FBCC" w14:textId="200EA825" w:rsidR="005A307F" w:rsidRDefault="005441C0" w:rsidP="00EE588F">
      <w:pPr>
        <w:pStyle w:val="ListParagraph"/>
        <w:numPr>
          <w:ilvl w:val="0"/>
          <w:numId w:val="9"/>
        </w:numPr>
        <w:jc w:val="both"/>
      </w:pPr>
      <w:r w:rsidRPr="00C25B3A">
        <w:rPr>
          <w:rFonts w:eastAsia="MS Mincho"/>
        </w:rPr>
        <w:t xml:space="preserve">ITU-T </w:t>
      </w:r>
      <w:r w:rsidR="005A307F">
        <w:t>K.87</w:t>
      </w:r>
      <w:r w:rsidR="002C5BB0">
        <w:t xml:space="preserve"> </w:t>
      </w:r>
      <w:r w:rsidR="002C5BB0" w:rsidRPr="00030B46">
        <w:t>“</w:t>
      </w:r>
      <w:r w:rsidR="005A307F">
        <w:t>Guide for the application of electromagnetic security requirements – Overview</w:t>
      </w:r>
      <w:r w:rsidR="002C5BB0" w:rsidRPr="00030B46">
        <w:rPr>
          <w:rFonts w:eastAsia="Times New Roman"/>
        </w:rPr>
        <w:t>”</w:t>
      </w:r>
    </w:p>
    <w:p w14:paraId="475DB745" w14:textId="3838B9B0" w:rsidR="005A307F" w:rsidRDefault="005441C0" w:rsidP="00EE588F">
      <w:pPr>
        <w:pStyle w:val="ListParagraph"/>
        <w:numPr>
          <w:ilvl w:val="0"/>
          <w:numId w:val="9"/>
        </w:numPr>
        <w:jc w:val="both"/>
      </w:pPr>
      <w:r w:rsidRPr="00C25B3A">
        <w:rPr>
          <w:rFonts w:eastAsia="MS Mincho"/>
        </w:rPr>
        <w:t xml:space="preserve">ITU-T </w:t>
      </w:r>
      <w:r w:rsidR="005A307F">
        <w:t>K.12</w:t>
      </w:r>
      <w:r w:rsidR="002C5BB0">
        <w:t xml:space="preserve"> </w:t>
      </w:r>
      <w:r w:rsidR="002C5BB0" w:rsidRPr="00030B46">
        <w:t>“</w:t>
      </w:r>
      <w:r w:rsidR="005A307F">
        <w:t>Characteristics of gas discharge tubes for the protection of telecommunications installations</w:t>
      </w:r>
      <w:r w:rsidR="002C5BB0" w:rsidRPr="00030B46">
        <w:rPr>
          <w:rFonts w:eastAsia="Times New Roman"/>
        </w:rPr>
        <w:t>”</w:t>
      </w:r>
    </w:p>
    <w:p w14:paraId="714CBD23" w14:textId="71D417D9" w:rsidR="005A307F" w:rsidRDefault="005441C0" w:rsidP="00EE588F">
      <w:pPr>
        <w:pStyle w:val="ListParagraph"/>
        <w:numPr>
          <w:ilvl w:val="0"/>
          <w:numId w:val="9"/>
        </w:numPr>
        <w:jc w:val="both"/>
      </w:pPr>
      <w:r w:rsidRPr="00C25B3A">
        <w:rPr>
          <w:rFonts w:eastAsia="MS Mincho"/>
        </w:rPr>
        <w:t xml:space="preserve">ITU-T </w:t>
      </w:r>
      <w:r w:rsidR="005A307F">
        <w:t>K.52</w:t>
      </w:r>
      <w:r w:rsidR="002C5BB0">
        <w:t xml:space="preserve"> </w:t>
      </w:r>
      <w:r w:rsidR="002C5BB0" w:rsidRPr="00030B46">
        <w:t>“</w:t>
      </w:r>
      <w:r w:rsidR="005A307F">
        <w:t>Guidance on complying with limits for human exposure to electromagnetic fields</w:t>
      </w:r>
      <w:r w:rsidR="00AC5EE5" w:rsidRPr="00030B46">
        <w:rPr>
          <w:rFonts w:eastAsia="Times New Roman"/>
        </w:rPr>
        <w:t>”</w:t>
      </w:r>
    </w:p>
    <w:p w14:paraId="2800D736" w14:textId="53347C01" w:rsidR="005A307F" w:rsidRDefault="005441C0" w:rsidP="00EE588F">
      <w:pPr>
        <w:pStyle w:val="ListParagraph"/>
        <w:numPr>
          <w:ilvl w:val="0"/>
          <w:numId w:val="9"/>
        </w:numPr>
        <w:jc w:val="both"/>
      </w:pPr>
      <w:r w:rsidRPr="00C25B3A">
        <w:rPr>
          <w:rFonts w:eastAsia="MS Mincho"/>
        </w:rPr>
        <w:t xml:space="preserve">ITU-T </w:t>
      </w:r>
      <w:r w:rsidR="005A307F">
        <w:t>K.83</w:t>
      </w:r>
      <w:r w:rsidR="002C5BB0">
        <w:t xml:space="preserve"> </w:t>
      </w:r>
      <w:r w:rsidR="002C5BB0" w:rsidRPr="00030B46">
        <w:t>“</w:t>
      </w:r>
      <w:r w:rsidR="005A307F">
        <w:t>Monitoring of electromagnetic field levels</w:t>
      </w:r>
      <w:r w:rsidR="002C5BB0" w:rsidRPr="00030B46">
        <w:rPr>
          <w:rFonts w:eastAsia="Times New Roman"/>
        </w:rPr>
        <w:t>”</w:t>
      </w:r>
    </w:p>
    <w:p w14:paraId="434CF0E2" w14:textId="7AB0C613" w:rsidR="005A307F" w:rsidRDefault="005441C0" w:rsidP="00EE588F">
      <w:pPr>
        <w:pStyle w:val="ListParagraph"/>
        <w:numPr>
          <w:ilvl w:val="0"/>
          <w:numId w:val="9"/>
        </w:numPr>
        <w:jc w:val="both"/>
      </w:pPr>
      <w:r w:rsidRPr="00C25B3A">
        <w:rPr>
          <w:rFonts w:eastAsia="MS Mincho"/>
        </w:rPr>
        <w:t xml:space="preserve">ITU-T </w:t>
      </w:r>
      <w:r w:rsidR="005A307F">
        <w:t>K.100</w:t>
      </w:r>
      <w:r w:rsidR="002C5BB0">
        <w:t xml:space="preserve"> </w:t>
      </w:r>
      <w:r w:rsidR="002C5BB0" w:rsidRPr="00030B46">
        <w:t>“</w:t>
      </w:r>
      <w:r w:rsidR="005A307F">
        <w:t>Measurement of radio frequency electromagnetic fields to determine compliance with human exposure limits when a base station is put into operation</w:t>
      </w:r>
      <w:r w:rsidR="002C5BB0" w:rsidRPr="00030B46">
        <w:rPr>
          <w:rFonts w:eastAsia="Times New Roman"/>
        </w:rPr>
        <w:t>”</w:t>
      </w:r>
    </w:p>
    <w:p w14:paraId="3D7F7D38" w14:textId="6AABC754" w:rsidR="0058551F" w:rsidRPr="00EC3E2C" w:rsidRDefault="005441C0" w:rsidP="00EE588F">
      <w:pPr>
        <w:pStyle w:val="ListParagraph"/>
        <w:numPr>
          <w:ilvl w:val="0"/>
          <w:numId w:val="9"/>
        </w:numPr>
        <w:jc w:val="both"/>
      </w:pPr>
      <w:r w:rsidRPr="00C25B3A">
        <w:rPr>
          <w:rFonts w:eastAsia="MS Mincho"/>
        </w:rPr>
        <w:t xml:space="preserve">ITU-T </w:t>
      </w:r>
      <w:r w:rsidR="005A307F">
        <w:t>K.42</w:t>
      </w:r>
      <w:r w:rsidR="002C5BB0">
        <w:t xml:space="preserve"> </w:t>
      </w:r>
      <w:r w:rsidR="002C5BB0" w:rsidRPr="00030B46">
        <w:t>“</w:t>
      </w:r>
      <w:r w:rsidR="005A307F">
        <w:t>General Principle for the definition of emission and immunity requirements for Telecommunications/ICTs Equipment</w:t>
      </w:r>
      <w:r w:rsidR="00030B46" w:rsidRPr="00030B46">
        <w:rPr>
          <w:rFonts w:eastAsia="Times New Roman"/>
        </w:rPr>
        <w:t>”</w:t>
      </w:r>
    </w:p>
    <w:p w14:paraId="19ECD1B9" w14:textId="445F631F" w:rsidR="00A046B5" w:rsidRDefault="008536B4" w:rsidP="006D5092">
      <w:pPr>
        <w:keepNext/>
        <w:jc w:val="both"/>
        <w:rPr>
          <w:color w:val="000000" w:themeColor="text1"/>
        </w:rPr>
      </w:pPr>
      <w:r>
        <w:rPr>
          <w:color w:val="000000" w:themeColor="text1"/>
        </w:rPr>
        <w:lastRenderedPageBreak/>
        <w:t>Three</w:t>
      </w:r>
      <w:r w:rsidR="00A046B5" w:rsidRPr="00030B46">
        <w:rPr>
          <w:color w:val="000000" w:themeColor="text1"/>
        </w:rPr>
        <w:t xml:space="preserve"> new Recommendation</w:t>
      </w:r>
      <w:r w:rsidR="009D1A83">
        <w:rPr>
          <w:color w:val="000000" w:themeColor="text1"/>
        </w:rPr>
        <w:t>s</w:t>
      </w:r>
      <w:r w:rsidR="00A046B5" w:rsidRPr="00030B46">
        <w:rPr>
          <w:color w:val="000000" w:themeColor="text1"/>
        </w:rPr>
        <w:t xml:space="preserve"> </w:t>
      </w:r>
      <w:r w:rsidR="009D1A83">
        <w:rPr>
          <w:color w:val="000000" w:themeColor="text1"/>
        </w:rPr>
        <w:t>were</w:t>
      </w:r>
      <w:r w:rsidR="00A046B5" w:rsidRPr="00030B46">
        <w:rPr>
          <w:color w:val="000000" w:themeColor="text1"/>
        </w:rPr>
        <w:t xml:space="preserve"> consented: </w:t>
      </w:r>
    </w:p>
    <w:p w14:paraId="74CC179F" w14:textId="5B0AC83E" w:rsidR="00EC3E2C" w:rsidRDefault="005441C0" w:rsidP="00EE588F">
      <w:pPr>
        <w:pStyle w:val="ListParagraph"/>
        <w:numPr>
          <w:ilvl w:val="0"/>
          <w:numId w:val="9"/>
        </w:numPr>
        <w:jc w:val="both"/>
      </w:pPr>
      <w:r w:rsidRPr="00C25B3A">
        <w:rPr>
          <w:rFonts w:eastAsia="MS Mincho"/>
        </w:rPr>
        <w:t xml:space="preserve">ITU-T </w:t>
      </w:r>
      <w:r w:rsidR="00EC3E2C">
        <w:t>K.155 “Performance Requirements and Test Methods for Surge Protective Modules Used in AC power port of Telecommunication Equipment</w:t>
      </w:r>
      <w:r w:rsidR="00EC3E2C" w:rsidRPr="00030B46">
        <w:rPr>
          <w:rFonts w:eastAsia="Times New Roman"/>
        </w:rPr>
        <w:t>”</w:t>
      </w:r>
    </w:p>
    <w:p w14:paraId="54B32140" w14:textId="47B0CD7C" w:rsidR="00EC3E2C" w:rsidRDefault="005441C0" w:rsidP="00EE588F">
      <w:pPr>
        <w:pStyle w:val="ListParagraph"/>
        <w:numPr>
          <w:ilvl w:val="0"/>
          <w:numId w:val="9"/>
        </w:numPr>
        <w:jc w:val="both"/>
      </w:pPr>
      <w:r w:rsidRPr="00C25B3A">
        <w:rPr>
          <w:rFonts w:eastAsia="MS Mincho"/>
        </w:rPr>
        <w:t xml:space="preserve">ITU-T </w:t>
      </w:r>
      <w:r w:rsidR="00EC3E2C">
        <w:t>K.156 “Time and spatial averaging in RF-EMF exposure assessment</w:t>
      </w:r>
      <w:r w:rsidR="00EC3E2C" w:rsidRPr="00030B46">
        <w:rPr>
          <w:rFonts w:eastAsia="Times New Roman"/>
        </w:rPr>
        <w:t>”</w:t>
      </w:r>
    </w:p>
    <w:p w14:paraId="00F2B7BC" w14:textId="64C7FB84" w:rsidR="00EC3E2C" w:rsidRPr="0058551F" w:rsidRDefault="005441C0" w:rsidP="00EE588F">
      <w:pPr>
        <w:pStyle w:val="ListParagraph"/>
        <w:numPr>
          <w:ilvl w:val="0"/>
          <w:numId w:val="9"/>
        </w:numPr>
        <w:jc w:val="both"/>
      </w:pPr>
      <w:r w:rsidRPr="00C25B3A">
        <w:rPr>
          <w:rFonts w:eastAsia="MS Mincho"/>
        </w:rPr>
        <w:t xml:space="preserve">ITU-T </w:t>
      </w:r>
      <w:r w:rsidR="00EC3E2C">
        <w:t>K.157 “Electromagnetic compatibility requirements and test methods for satellite communication terminal equipment</w:t>
      </w:r>
      <w:r w:rsidR="00EC3E2C" w:rsidRPr="00030B46">
        <w:rPr>
          <w:rFonts w:eastAsia="Times New Roman"/>
        </w:rPr>
        <w:t>”</w:t>
      </w:r>
    </w:p>
    <w:p w14:paraId="6F0A844F" w14:textId="77777777" w:rsidR="008536B4" w:rsidRDefault="00030B46" w:rsidP="006D5092">
      <w:pPr>
        <w:keepNext/>
        <w:spacing w:before="80" w:after="80"/>
        <w:jc w:val="both"/>
        <w:rPr>
          <w:color w:val="000000" w:themeColor="text1"/>
        </w:rPr>
      </w:pPr>
      <w:r w:rsidRPr="00030B46">
        <w:rPr>
          <w:color w:val="000000" w:themeColor="text1"/>
        </w:rPr>
        <w:t xml:space="preserve">One </w:t>
      </w:r>
      <w:r w:rsidR="00A77D1E">
        <w:rPr>
          <w:color w:val="000000" w:themeColor="text1"/>
        </w:rPr>
        <w:t xml:space="preserve">Supplement </w:t>
      </w:r>
      <w:r w:rsidRPr="00030B46">
        <w:rPr>
          <w:color w:val="000000" w:themeColor="text1"/>
        </w:rPr>
        <w:t>was agreed</w:t>
      </w:r>
      <w:r w:rsidR="008536B4">
        <w:rPr>
          <w:color w:val="000000" w:themeColor="text1"/>
        </w:rPr>
        <w:t>:</w:t>
      </w:r>
    </w:p>
    <w:p w14:paraId="5919FDBF" w14:textId="4ED17EF0" w:rsidR="00030B46" w:rsidRPr="00030B46" w:rsidRDefault="005441C0" w:rsidP="00EE588F">
      <w:pPr>
        <w:pStyle w:val="ListParagraph"/>
        <w:numPr>
          <w:ilvl w:val="0"/>
          <w:numId w:val="9"/>
        </w:numPr>
        <w:jc w:val="both"/>
      </w:pPr>
      <w:r w:rsidRPr="00C25B3A">
        <w:rPr>
          <w:rFonts w:eastAsia="MS Mincho"/>
        </w:rPr>
        <w:t xml:space="preserve">ITU-T </w:t>
      </w:r>
      <w:r w:rsidR="001A3492" w:rsidRPr="00AB1FC6">
        <w:rPr>
          <w:rFonts w:hint="eastAsia"/>
          <w:bCs/>
          <w:lang w:eastAsia="zh-CN"/>
        </w:rPr>
        <w:t>K</w:t>
      </w:r>
      <w:r w:rsidR="001A3492" w:rsidRPr="00AB1FC6">
        <w:rPr>
          <w:bCs/>
          <w:lang w:eastAsia="zh-CN"/>
        </w:rPr>
        <w:t>.Suppl.32</w:t>
      </w:r>
      <w:r w:rsidR="001A3492">
        <w:rPr>
          <w:bCs/>
          <w:lang w:eastAsia="zh-CN"/>
        </w:rPr>
        <w:t xml:space="preserve"> </w:t>
      </w:r>
      <w:r w:rsidR="00030B46" w:rsidRPr="00030B46">
        <w:t>“</w:t>
      </w:r>
      <w:r w:rsidR="00A07541" w:rsidRPr="00AB1FC6">
        <w:rPr>
          <w:bCs/>
        </w:rPr>
        <w:t>Case studies of radio frequency - electromagnetic field (RF-EMF) assessment</w:t>
      </w:r>
      <w:r w:rsidR="00030B46" w:rsidRPr="00030B46">
        <w:t>”</w:t>
      </w:r>
    </w:p>
    <w:p w14:paraId="646B4D2D" w14:textId="622784AD" w:rsidR="009C2C33" w:rsidRDefault="00DF10DB" w:rsidP="008120EC">
      <w:pPr>
        <w:keepNext/>
        <w:jc w:val="both"/>
        <w:rPr>
          <w:color w:val="000000" w:themeColor="text1"/>
        </w:rPr>
      </w:pPr>
      <w:r>
        <w:rPr>
          <w:color w:val="000000" w:themeColor="text1"/>
        </w:rPr>
        <w:t>Eight</w:t>
      </w:r>
      <w:r w:rsidR="00030B46" w:rsidRPr="00030B46">
        <w:rPr>
          <w:color w:val="000000" w:themeColor="text1"/>
        </w:rPr>
        <w:t xml:space="preserve"> new work items were established: </w:t>
      </w:r>
    </w:p>
    <w:p w14:paraId="0235CD0A" w14:textId="3B4BE841" w:rsidR="00DF10DB" w:rsidRDefault="005441C0" w:rsidP="00EE588F">
      <w:pPr>
        <w:pStyle w:val="ListParagraph"/>
        <w:numPr>
          <w:ilvl w:val="0"/>
          <w:numId w:val="7"/>
        </w:numPr>
        <w:jc w:val="both"/>
      </w:pPr>
      <w:r w:rsidRPr="00C25B3A">
        <w:rPr>
          <w:rFonts w:eastAsia="MS Mincho"/>
        </w:rPr>
        <w:t xml:space="preserve">ITU-T </w:t>
      </w:r>
      <w:r w:rsidR="00DF10DB">
        <w:t xml:space="preserve">K.12 </w:t>
      </w:r>
      <w:r w:rsidR="00F47A9D">
        <w:rPr>
          <w:lang w:eastAsia="zh-CN"/>
        </w:rPr>
        <w:t xml:space="preserve">(Rev) </w:t>
      </w:r>
      <w:r w:rsidR="00DF10DB">
        <w:t>“Characteristics of gas discharge tubes for the protection of telecommunications installations</w:t>
      </w:r>
      <w:r w:rsidR="00DF10DB" w:rsidRPr="00C25B3A">
        <w:rPr>
          <w:bCs/>
        </w:rPr>
        <w:t>”</w:t>
      </w:r>
    </w:p>
    <w:p w14:paraId="6507B34D" w14:textId="794C1A04" w:rsidR="00DF10DB" w:rsidRDefault="005441C0" w:rsidP="00EE588F">
      <w:pPr>
        <w:pStyle w:val="ListParagraph"/>
        <w:numPr>
          <w:ilvl w:val="0"/>
          <w:numId w:val="7"/>
        </w:numPr>
        <w:jc w:val="both"/>
      </w:pPr>
      <w:r w:rsidRPr="00C25B3A">
        <w:rPr>
          <w:rFonts w:eastAsia="MS Mincho"/>
        </w:rPr>
        <w:t xml:space="preserve">ITU-T </w:t>
      </w:r>
      <w:r w:rsidR="00DF10DB">
        <w:t>K.Suppl.25 “Long reach single twisted-pair Ethernet resistibility testing</w:t>
      </w:r>
      <w:r w:rsidR="00DF10DB" w:rsidRPr="00C25B3A">
        <w:rPr>
          <w:bCs/>
        </w:rPr>
        <w:t>”</w:t>
      </w:r>
    </w:p>
    <w:p w14:paraId="7376736E" w14:textId="6E982B10" w:rsidR="00DF10DB" w:rsidRDefault="005441C0" w:rsidP="00EE588F">
      <w:pPr>
        <w:pStyle w:val="ListParagraph"/>
        <w:numPr>
          <w:ilvl w:val="0"/>
          <w:numId w:val="7"/>
        </w:numPr>
        <w:jc w:val="both"/>
      </w:pPr>
      <w:r w:rsidRPr="00C25B3A">
        <w:rPr>
          <w:rFonts w:eastAsia="MS Mincho"/>
        </w:rPr>
        <w:t xml:space="preserve">ITU-T </w:t>
      </w:r>
      <w:r w:rsidR="00DF10DB">
        <w:t xml:space="preserve">K.91 </w:t>
      </w:r>
      <w:r w:rsidR="00F47A9D">
        <w:rPr>
          <w:lang w:eastAsia="zh-CN"/>
        </w:rPr>
        <w:t xml:space="preserve">(Rev) </w:t>
      </w:r>
      <w:r w:rsidR="00DF10DB">
        <w:t>“Guidance for assessment, evaluation and monitoring of human exposure to radio frequency electromagnetic fields</w:t>
      </w:r>
      <w:r w:rsidR="00DF10DB" w:rsidRPr="00C25B3A">
        <w:rPr>
          <w:bCs/>
        </w:rPr>
        <w:t>”</w:t>
      </w:r>
    </w:p>
    <w:p w14:paraId="2237275E" w14:textId="5EB9029E" w:rsidR="00DF10DB" w:rsidRDefault="005441C0" w:rsidP="00EE588F">
      <w:pPr>
        <w:pStyle w:val="ListParagraph"/>
        <w:numPr>
          <w:ilvl w:val="0"/>
          <w:numId w:val="7"/>
        </w:numPr>
        <w:jc w:val="both"/>
      </w:pPr>
      <w:r w:rsidRPr="00C25B3A">
        <w:rPr>
          <w:rFonts w:eastAsia="MS Mincho"/>
        </w:rPr>
        <w:t xml:space="preserve">ITU-T </w:t>
      </w:r>
      <w:r w:rsidR="00DF10DB">
        <w:t xml:space="preserve">K.100 </w:t>
      </w:r>
      <w:r w:rsidR="00F47A9D">
        <w:rPr>
          <w:lang w:eastAsia="zh-CN"/>
        </w:rPr>
        <w:t xml:space="preserve">(Rev) </w:t>
      </w:r>
      <w:r w:rsidR="00DF10DB">
        <w:t>“Measurement of radio frequency electromagnetic fields to determine compliance with human exposure limits when a base station is put into operation</w:t>
      </w:r>
      <w:r w:rsidR="00DF10DB" w:rsidRPr="00C25B3A">
        <w:rPr>
          <w:bCs/>
        </w:rPr>
        <w:t>”</w:t>
      </w:r>
    </w:p>
    <w:p w14:paraId="38EE03E9" w14:textId="0D670380" w:rsidR="00DF10DB" w:rsidRDefault="005441C0" w:rsidP="00EE588F">
      <w:pPr>
        <w:pStyle w:val="ListParagraph"/>
        <w:numPr>
          <w:ilvl w:val="0"/>
          <w:numId w:val="7"/>
        </w:numPr>
        <w:jc w:val="both"/>
      </w:pPr>
      <w:r w:rsidRPr="00C25B3A">
        <w:rPr>
          <w:rFonts w:eastAsia="MS Mincho"/>
        </w:rPr>
        <w:t xml:space="preserve">ITU-T </w:t>
      </w:r>
      <w:proofErr w:type="spellStart"/>
      <w:r w:rsidR="00DF10DB">
        <w:t>K.calibr</w:t>
      </w:r>
      <w:proofErr w:type="spellEnd"/>
      <w:r w:rsidR="00DF10DB">
        <w:t xml:space="preserve"> “Calibration for equipment for the EMF assessment</w:t>
      </w:r>
      <w:r w:rsidR="00DF10DB" w:rsidRPr="00C25B3A">
        <w:rPr>
          <w:bCs/>
        </w:rPr>
        <w:t>”</w:t>
      </w:r>
    </w:p>
    <w:p w14:paraId="1E18D56B" w14:textId="337E3FEC" w:rsidR="00DF10DB" w:rsidRDefault="005441C0" w:rsidP="00EE588F">
      <w:pPr>
        <w:pStyle w:val="ListParagraph"/>
        <w:numPr>
          <w:ilvl w:val="0"/>
          <w:numId w:val="7"/>
        </w:numPr>
        <w:jc w:val="both"/>
      </w:pPr>
      <w:r w:rsidRPr="00C25B3A">
        <w:rPr>
          <w:rFonts w:eastAsia="MS Mincho"/>
        </w:rPr>
        <w:t xml:space="preserve">ITU-T </w:t>
      </w:r>
      <w:r w:rsidR="00DF10DB">
        <w:t>K.RIS_EMC “Electromagnetic compatibility requirements and measurement methods for Reconfigurable Intelligent Surface</w:t>
      </w:r>
      <w:r w:rsidR="00DF10DB" w:rsidRPr="00C25B3A">
        <w:rPr>
          <w:bCs/>
        </w:rPr>
        <w:t>”</w:t>
      </w:r>
    </w:p>
    <w:p w14:paraId="39C02032" w14:textId="7AA64056" w:rsidR="00DF10DB" w:rsidRDefault="005441C0" w:rsidP="00EE588F">
      <w:pPr>
        <w:pStyle w:val="ListParagraph"/>
        <w:numPr>
          <w:ilvl w:val="0"/>
          <w:numId w:val="7"/>
        </w:numPr>
        <w:jc w:val="both"/>
      </w:pPr>
      <w:r w:rsidRPr="00C25B3A">
        <w:rPr>
          <w:rFonts w:eastAsia="MS Mincho"/>
        </w:rPr>
        <w:t xml:space="preserve">ITU-T </w:t>
      </w:r>
      <w:r w:rsidR="00DF10DB">
        <w:t xml:space="preserve">K.42 </w:t>
      </w:r>
      <w:r w:rsidR="00F47A9D">
        <w:rPr>
          <w:lang w:eastAsia="zh-CN"/>
        </w:rPr>
        <w:t xml:space="preserve">(Rev) </w:t>
      </w:r>
      <w:r w:rsidR="00DF10DB">
        <w:t>“Preparation of emission and immunity requirements for telecommunication equipment – General principles</w:t>
      </w:r>
      <w:r w:rsidR="00DF10DB" w:rsidRPr="00C25B3A">
        <w:rPr>
          <w:bCs/>
        </w:rPr>
        <w:t>”</w:t>
      </w:r>
    </w:p>
    <w:p w14:paraId="5528643F" w14:textId="25FD2502" w:rsidR="00030B46" w:rsidRPr="00255006" w:rsidRDefault="005441C0" w:rsidP="00EE588F">
      <w:pPr>
        <w:pStyle w:val="ListParagraph"/>
        <w:numPr>
          <w:ilvl w:val="0"/>
          <w:numId w:val="7"/>
        </w:numPr>
        <w:jc w:val="both"/>
        <w:rPr>
          <w:color w:val="000000" w:themeColor="text1"/>
        </w:rPr>
      </w:pPr>
      <w:r w:rsidRPr="00C25B3A">
        <w:rPr>
          <w:rFonts w:eastAsia="MS Mincho"/>
        </w:rPr>
        <w:t xml:space="preserve">ITU-T </w:t>
      </w:r>
      <w:proofErr w:type="spellStart"/>
      <w:r w:rsidR="00DF10DB">
        <w:t>K.emc_satellite_ES</w:t>
      </w:r>
      <w:proofErr w:type="spellEnd"/>
      <w:r w:rsidR="00DF10DB">
        <w:t xml:space="preserve"> “Electromagnetic compatibility requirements and test methods for Earth stations for satellite communications</w:t>
      </w:r>
      <w:r w:rsidR="00DF10DB" w:rsidRPr="00C25B3A">
        <w:rPr>
          <w:bCs/>
        </w:rPr>
        <w:t>”</w:t>
      </w:r>
    </w:p>
    <w:p w14:paraId="7184C73A" w14:textId="58B6C4E0" w:rsidR="00C25B3A" w:rsidRDefault="00030B46" w:rsidP="00781DFB">
      <w:pPr>
        <w:jc w:val="both"/>
      </w:pPr>
      <w:r w:rsidRPr="00030B46">
        <w:rPr>
          <w:rFonts w:eastAsia="MS Mincho"/>
        </w:rPr>
        <w:t xml:space="preserve">Under the umbrella of </w:t>
      </w:r>
      <w:r w:rsidRPr="00030B46">
        <w:rPr>
          <w:rFonts w:eastAsia="MS Mincho"/>
          <w:b/>
        </w:rPr>
        <w:t>Working Party 2/5</w:t>
      </w:r>
      <w:r w:rsidRPr="00030B46">
        <w:rPr>
          <w:rFonts w:eastAsia="MS Mincho"/>
        </w:rPr>
        <w:t xml:space="preserve">, </w:t>
      </w:r>
      <w:r w:rsidR="00EA744A">
        <w:rPr>
          <w:rFonts w:eastAsia="MS Mincho"/>
        </w:rPr>
        <w:t>one</w:t>
      </w:r>
      <w:r w:rsidRPr="00030B46">
        <w:t xml:space="preserve"> </w:t>
      </w:r>
      <w:r w:rsidR="00B57D26" w:rsidRPr="00030B46">
        <w:t xml:space="preserve">revised </w:t>
      </w:r>
      <w:r w:rsidRPr="00030B46">
        <w:t>Recommendation</w:t>
      </w:r>
      <w:r w:rsidR="009D1A83">
        <w:t xml:space="preserve"> was</w:t>
      </w:r>
      <w:r w:rsidRPr="00030B46">
        <w:t xml:space="preserve"> consented: </w:t>
      </w:r>
    </w:p>
    <w:p w14:paraId="099AB941" w14:textId="4A61D38A" w:rsidR="00030B46" w:rsidRPr="00C25B3A" w:rsidRDefault="005441C0" w:rsidP="00EE588F">
      <w:pPr>
        <w:pStyle w:val="ListParagraph"/>
        <w:numPr>
          <w:ilvl w:val="0"/>
          <w:numId w:val="10"/>
        </w:numPr>
        <w:jc w:val="both"/>
        <w:rPr>
          <w:rFonts w:eastAsia="Times New Roman"/>
          <w:lang w:eastAsia="en-GB"/>
        </w:rPr>
      </w:pPr>
      <w:r w:rsidRPr="00C25B3A">
        <w:rPr>
          <w:rFonts w:eastAsia="MS Mincho"/>
        </w:rPr>
        <w:t xml:space="preserve">ITU-T </w:t>
      </w:r>
      <w:r w:rsidR="00C00438" w:rsidRPr="00C00438">
        <w:t>L.1310</w:t>
      </w:r>
      <w:r w:rsidR="00C00438">
        <w:t xml:space="preserve"> “</w:t>
      </w:r>
      <w:r w:rsidR="00C00438" w:rsidRPr="00C00438">
        <w:t>Energy efficiency metrics and measurement methods for telecommunication equipment</w:t>
      </w:r>
      <w:r w:rsidR="00030B46" w:rsidRPr="00C25B3A">
        <w:rPr>
          <w:rFonts w:eastAsia="Times New Roman"/>
          <w:lang w:eastAsia="en-GB"/>
        </w:rPr>
        <w:t>”</w:t>
      </w:r>
    </w:p>
    <w:p w14:paraId="4808A042" w14:textId="6FE4AF02" w:rsidR="00A773FE" w:rsidRDefault="00A906CF" w:rsidP="00A773FE">
      <w:pPr>
        <w:jc w:val="both"/>
        <w:rPr>
          <w:color w:val="000000" w:themeColor="text1"/>
        </w:rPr>
      </w:pPr>
      <w:r>
        <w:rPr>
          <w:color w:val="000000" w:themeColor="text1"/>
        </w:rPr>
        <w:t>Six</w:t>
      </w:r>
      <w:r w:rsidR="00A773FE" w:rsidRPr="00A773FE">
        <w:rPr>
          <w:color w:val="000000" w:themeColor="text1"/>
        </w:rPr>
        <w:t xml:space="preserve"> new Recommendation</w:t>
      </w:r>
      <w:r w:rsidR="009D1A83">
        <w:rPr>
          <w:color w:val="000000" w:themeColor="text1"/>
        </w:rPr>
        <w:t>s</w:t>
      </w:r>
      <w:r w:rsidR="00A773FE" w:rsidRPr="00A773FE">
        <w:rPr>
          <w:color w:val="000000" w:themeColor="text1"/>
        </w:rPr>
        <w:t xml:space="preserve"> </w:t>
      </w:r>
      <w:r w:rsidR="009D1A83">
        <w:rPr>
          <w:color w:val="000000" w:themeColor="text1"/>
        </w:rPr>
        <w:t>were</w:t>
      </w:r>
      <w:r w:rsidR="00A773FE" w:rsidRPr="00A773FE">
        <w:rPr>
          <w:color w:val="000000" w:themeColor="text1"/>
        </w:rPr>
        <w:t xml:space="preserve"> consented: </w:t>
      </w:r>
    </w:p>
    <w:p w14:paraId="61E994A8" w14:textId="5B46E8E7" w:rsidR="0078476E" w:rsidRPr="0078476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L.1260</w:t>
      </w:r>
      <w:r w:rsidR="0025043A">
        <w:rPr>
          <w:color w:val="000000" w:themeColor="text1"/>
        </w:rPr>
        <w:t xml:space="preserve"> “</w:t>
      </w:r>
      <w:r w:rsidR="0078476E" w:rsidRPr="0078476E">
        <w:rPr>
          <w:color w:val="000000" w:themeColor="text1"/>
        </w:rPr>
        <w:t>Reference Model of a Factory Energy Management System</w:t>
      </w:r>
      <w:r w:rsidR="008C43A3" w:rsidRPr="00C25B3A">
        <w:rPr>
          <w:rFonts w:eastAsia="Times New Roman"/>
          <w:lang w:eastAsia="en-GB"/>
        </w:rPr>
        <w:t>”</w:t>
      </w:r>
    </w:p>
    <w:p w14:paraId="58F8E698" w14:textId="3FBD4683" w:rsidR="0078476E" w:rsidRPr="0078476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L.1327</w:t>
      </w:r>
      <w:r w:rsidR="0001626D">
        <w:rPr>
          <w:color w:val="000000" w:themeColor="text1"/>
        </w:rPr>
        <w:t xml:space="preserve"> “</w:t>
      </w:r>
      <w:r w:rsidR="0078476E" w:rsidRPr="0078476E">
        <w:rPr>
          <w:color w:val="000000" w:themeColor="text1"/>
        </w:rPr>
        <w:t>Guidelines on the selection of cooling technologies for data centres in multiple scenarios</w:t>
      </w:r>
      <w:r w:rsidR="008C43A3" w:rsidRPr="00C25B3A">
        <w:rPr>
          <w:rFonts w:eastAsia="Times New Roman"/>
          <w:lang w:eastAsia="en-GB"/>
        </w:rPr>
        <w:t>”</w:t>
      </w:r>
    </w:p>
    <w:p w14:paraId="78188482" w14:textId="348A7BD4" w:rsidR="0078476E" w:rsidRPr="0078476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L.1017</w:t>
      </w:r>
      <w:r w:rsidR="0001626D">
        <w:rPr>
          <w:color w:val="000000" w:themeColor="text1"/>
        </w:rPr>
        <w:t xml:space="preserve"> “</w:t>
      </w:r>
      <w:r w:rsidR="0078476E" w:rsidRPr="0078476E">
        <w:rPr>
          <w:color w:val="000000" w:themeColor="text1"/>
        </w:rPr>
        <w:t>Environmental performance scoring of smartphones</w:t>
      </w:r>
      <w:r w:rsidR="008C43A3" w:rsidRPr="00C25B3A">
        <w:rPr>
          <w:rFonts w:eastAsia="Times New Roman"/>
          <w:lang w:eastAsia="en-GB"/>
        </w:rPr>
        <w:t>”</w:t>
      </w:r>
    </w:p>
    <w:p w14:paraId="5FA054FA" w14:textId="433DCA66" w:rsidR="0078476E" w:rsidRPr="0078476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L.1071</w:t>
      </w:r>
      <w:r w:rsidR="0001626D">
        <w:rPr>
          <w:color w:val="000000" w:themeColor="text1"/>
        </w:rPr>
        <w:t xml:space="preserve"> “</w:t>
      </w:r>
      <w:r w:rsidR="0078476E" w:rsidRPr="0078476E">
        <w:rPr>
          <w:color w:val="000000" w:themeColor="text1"/>
        </w:rPr>
        <w:t>A model for digital product passport information on sustainability and circularity</w:t>
      </w:r>
      <w:r w:rsidR="008C43A3" w:rsidRPr="00C25B3A">
        <w:rPr>
          <w:rFonts w:eastAsia="Times New Roman"/>
          <w:lang w:eastAsia="en-GB"/>
        </w:rPr>
        <w:t>”</w:t>
      </w:r>
    </w:p>
    <w:p w14:paraId="24E8EE70" w14:textId="5B3960A7" w:rsidR="0078476E" w:rsidRPr="0078476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L.1028</w:t>
      </w:r>
      <w:r w:rsidR="0001626D">
        <w:rPr>
          <w:color w:val="000000" w:themeColor="text1"/>
        </w:rPr>
        <w:t xml:space="preserve"> “</w:t>
      </w:r>
      <w:r w:rsidR="0078476E" w:rsidRPr="0078476E">
        <w:rPr>
          <w:color w:val="000000" w:themeColor="text1"/>
        </w:rPr>
        <w:t>Indicator for global-warming-potential impact as a function of ICT-equipment operating-lifetime extension</w:t>
      </w:r>
      <w:r w:rsidR="008C43A3" w:rsidRPr="00C25B3A">
        <w:rPr>
          <w:rFonts w:eastAsia="Times New Roman"/>
          <w:lang w:eastAsia="en-GB"/>
        </w:rPr>
        <w:t>”</w:t>
      </w:r>
    </w:p>
    <w:p w14:paraId="41C86EB6" w14:textId="624A6609" w:rsidR="0078476E" w:rsidRPr="00A773FE" w:rsidRDefault="005441C0" w:rsidP="00EE588F">
      <w:pPr>
        <w:pStyle w:val="ListParagraph"/>
        <w:numPr>
          <w:ilvl w:val="0"/>
          <w:numId w:val="11"/>
        </w:numPr>
        <w:jc w:val="both"/>
        <w:rPr>
          <w:color w:val="000000" w:themeColor="text1"/>
        </w:rPr>
      </w:pPr>
      <w:r w:rsidRPr="00C25B3A">
        <w:rPr>
          <w:rFonts w:eastAsia="MS Mincho"/>
        </w:rPr>
        <w:t xml:space="preserve">ITU-T </w:t>
      </w:r>
      <w:r w:rsidR="0078476E" w:rsidRPr="0078476E">
        <w:rPr>
          <w:color w:val="000000" w:themeColor="text1"/>
        </w:rPr>
        <w:t>L.1632</w:t>
      </w:r>
      <w:r w:rsidR="0001626D">
        <w:rPr>
          <w:color w:val="000000" w:themeColor="text1"/>
        </w:rPr>
        <w:t xml:space="preserve"> “</w:t>
      </w:r>
      <w:r w:rsidR="0078476E" w:rsidRPr="0078476E">
        <w:rPr>
          <w:color w:val="000000" w:themeColor="text1"/>
        </w:rPr>
        <w:t>Identification method for building infrastructure equipment in a sustainable city</w:t>
      </w:r>
      <w:r w:rsidR="008C43A3" w:rsidRPr="00C25B3A">
        <w:rPr>
          <w:rFonts w:eastAsia="Times New Roman"/>
          <w:lang w:eastAsia="en-GB"/>
        </w:rPr>
        <w:t>”</w:t>
      </w:r>
    </w:p>
    <w:p w14:paraId="5F446053" w14:textId="37D605D6" w:rsidR="00C25B3A" w:rsidRDefault="00AC2C94" w:rsidP="00781DFB">
      <w:pPr>
        <w:jc w:val="both"/>
      </w:pPr>
      <w:r>
        <w:t>Four</w:t>
      </w:r>
      <w:r w:rsidR="00030B46" w:rsidRPr="00030B46">
        <w:t xml:space="preserve"> new work items were established:</w:t>
      </w:r>
    </w:p>
    <w:p w14:paraId="47766038" w14:textId="0AB5249E" w:rsidR="00AC2C94" w:rsidRDefault="005441C0" w:rsidP="00EE588F">
      <w:pPr>
        <w:pStyle w:val="ListParagraph"/>
        <w:numPr>
          <w:ilvl w:val="0"/>
          <w:numId w:val="11"/>
        </w:numPr>
        <w:jc w:val="both"/>
        <w:rPr>
          <w:lang w:eastAsia="zh-CN"/>
        </w:rPr>
      </w:pPr>
      <w:r w:rsidRPr="00C25B3A">
        <w:rPr>
          <w:rFonts w:eastAsia="MS Mincho"/>
        </w:rPr>
        <w:t xml:space="preserve">ITU-T </w:t>
      </w:r>
      <w:r w:rsidR="00AC2C94">
        <w:rPr>
          <w:lang w:eastAsia="zh-CN"/>
        </w:rPr>
        <w:t>L.DLEE “Deep Learning Computing Energy Efficiency Evaluation Framework and Metrics</w:t>
      </w:r>
      <w:r w:rsidR="00AC2C94" w:rsidRPr="00C25B3A">
        <w:rPr>
          <w:rFonts w:eastAsia="Times New Roman"/>
          <w:lang w:eastAsia="en-GB"/>
        </w:rPr>
        <w:t>”</w:t>
      </w:r>
    </w:p>
    <w:p w14:paraId="23561651" w14:textId="550DBA69" w:rsidR="00AC2C94" w:rsidRDefault="005441C0" w:rsidP="00EE588F">
      <w:pPr>
        <w:pStyle w:val="ListParagraph"/>
        <w:numPr>
          <w:ilvl w:val="0"/>
          <w:numId w:val="11"/>
        </w:numPr>
        <w:jc w:val="both"/>
        <w:rPr>
          <w:lang w:eastAsia="zh-CN"/>
        </w:rPr>
      </w:pPr>
      <w:r w:rsidRPr="00C25B3A">
        <w:rPr>
          <w:rFonts w:eastAsia="MS Mincho"/>
        </w:rPr>
        <w:t xml:space="preserve">ITU-T </w:t>
      </w:r>
      <w:r w:rsidR="00AC2C94">
        <w:rPr>
          <w:lang w:eastAsia="zh-CN"/>
        </w:rPr>
        <w:t>L.S_AI “Recommendation for the design of environmentally sustainable AI-based and XR</w:t>
      </w:r>
      <w:r w:rsidR="00AC2C94">
        <w:rPr>
          <w:lang w:eastAsia="zh-CN"/>
        </w:rPr>
        <w:noBreakHyphen/>
        <w:t>based Systems</w:t>
      </w:r>
      <w:r w:rsidR="00AC2C94" w:rsidRPr="00C25B3A">
        <w:rPr>
          <w:rFonts w:eastAsia="Times New Roman"/>
          <w:lang w:eastAsia="en-GB"/>
        </w:rPr>
        <w:t>”</w:t>
      </w:r>
    </w:p>
    <w:p w14:paraId="38A2F053" w14:textId="45833179" w:rsidR="00AC2C94" w:rsidRDefault="005441C0" w:rsidP="00EE588F">
      <w:pPr>
        <w:pStyle w:val="ListParagraph"/>
        <w:numPr>
          <w:ilvl w:val="0"/>
          <w:numId w:val="11"/>
        </w:numPr>
        <w:jc w:val="both"/>
        <w:rPr>
          <w:lang w:eastAsia="zh-CN"/>
        </w:rPr>
      </w:pPr>
      <w:r w:rsidRPr="00C25B3A">
        <w:rPr>
          <w:rFonts w:eastAsia="MS Mincho"/>
        </w:rPr>
        <w:t xml:space="preserve">ITU-T </w:t>
      </w:r>
      <w:r w:rsidR="00AC2C94">
        <w:rPr>
          <w:lang w:eastAsia="zh-CN"/>
        </w:rPr>
        <w:t>L.DPP4C “Consumer-oriented environmental information and reverse value chain information about ICT goods on digital product passports</w:t>
      </w:r>
      <w:r w:rsidR="00AC2C94" w:rsidRPr="00C25B3A">
        <w:rPr>
          <w:rFonts w:eastAsia="Times New Roman"/>
          <w:lang w:eastAsia="en-GB"/>
        </w:rPr>
        <w:t>”</w:t>
      </w:r>
    </w:p>
    <w:p w14:paraId="0FC1A977" w14:textId="16FC0E20" w:rsidR="00030B46" w:rsidRPr="00030B46" w:rsidRDefault="005441C0" w:rsidP="00EE588F">
      <w:pPr>
        <w:pStyle w:val="ListParagraph"/>
        <w:numPr>
          <w:ilvl w:val="0"/>
          <w:numId w:val="11"/>
        </w:numPr>
        <w:jc w:val="both"/>
        <w:rPr>
          <w:lang w:eastAsia="zh-CN"/>
        </w:rPr>
      </w:pPr>
      <w:r w:rsidRPr="00C25B3A">
        <w:rPr>
          <w:rFonts w:eastAsia="MS Mincho"/>
        </w:rPr>
        <w:t xml:space="preserve">ITU-T </w:t>
      </w:r>
      <w:r w:rsidR="00AC2C94">
        <w:rPr>
          <w:lang w:eastAsia="zh-CN"/>
        </w:rPr>
        <w:t>L.ICT4RD “Methodology of Using ICTs to Manage the Recycling and Disposal of E</w:t>
      </w:r>
      <w:r w:rsidR="00E45A19">
        <w:rPr>
          <w:lang w:eastAsia="zh-CN"/>
        </w:rPr>
        <w:noBreakHyphen/>
      </w:r>
      <w:r w:rsidR="00AC2C94">
        <w:rPr>
          <w:lang w:eastAsia="zh-CN"/>
        </w:rPr>
        <w:t>waste</w:t>
      </w:r>
      <w:r w:rsidR="00AC2C94" w:rsidRPr="00C25B3A">
        <w:rPr>
          <w:rFonts w:eastAsia="Times New Roman"/>
          <w:lang w:eastAsia="en-GB"/>
        </w:rPr>
        <w:t>”</w:t>
      </w:r>
    </w:p>
    <w:p w14:paraId="7C4B254B" w14:textId="34B46017" w:rsidR="00C25B3A" w:rsidRDefault="00030B46" w:rsidP="00781DFB">
      <w:pPr>
        <w:textAlignment w:val="baseline"/>
        <w:rPr>
          <w:rFonts w:eastAsia="MS Mincho"/>
        </w:rPr>
      </w:pPr>
      <w:r w:rsidRPr="00030B46">
        <w:rPr>
          <w:rFonts w:eastAsia="MS Mincho"/>
        </w:rPr>
        <w:lastRenderedPageBreak/>
        <w:t xml:space="preserve">As for </w:t>
      </w:r>
      <w:r w:rsidRPr="00030B46">
        <w:rPr>
          <w:rFonts w:eastAsia="MS Mincho"/>
          <w:b/>
        </w:rPr>
        <w:t>Working Party 3/5</w:t>
      </w:r>
      <w:r w:rsidRPr="00030B46">
        <w:rPr>
          <w:rFonts w:eastAsia="MS Mincho"/>
        </w:rPr>
        <w:t xml:space="preserve">, experts consented </w:t>
      </w:r>
      <w:r w:rsidR="008B7DC2">
        <w:rPr>
          <w:rFonts w:eastAsia="MS Mincho"/>
        </w:rPr>
        <w:t>one revised</w:t>
      </w:r>
      <w:r w:rsidRPr="00030B46">
        <w:rPr>
          <w:rFonts w:eastAsia="MS Mincho"/>
        </w:rPr>
        <w:t xml:space="preserve"> Recommendation:</w:t>
      </w:r>
    </w:p>
    <w:p w14:paraId="127B1EA7" w14:textId="6A888249" w:rsidR="00C25B3A" w:rsidRPr="00C25B3A" w:rsidRDefault="00030B46" w:rsidP="00EE588F">
      <w:pPr>
        <w:pStyle w:val="ListParagraph"/>
        <w:numPr>
          <w:ilvl w:val="0"/>
          <w:numId w:val="12"/>
        </w:numPr>
        <w:textAlignment w:val="baseline"/>
        <w:rPr>
          <w:rFonts w:eastAsia="Times New Roman"/>
          <w:lang w:eastAsia="en-GB"/>
        </w:rPr>
      </w:pPr>
      <w:r w:rsidRPr="00C25B3A">
        <w:rPr>
          <w:rFonts w:eastAsia="MS Mincho"/>
        </w:rPr>
        <w:t xml:space="preserve">ITU-T </w:t>
      </w:r>
      <w:r w:rsidR="005441C0" w:rsidRPr="005441C0">
        <w:rPr>
          <w:rFonts w:eastAsia="MS Mincho"/>
        </w:rPr>
        <w:t>L.1410</w:t>
      </w:r>
      <w:r w:rsidR="005441C0">
        <w:rPr>
          <w:rFonts w:eastAsia="MS Mincho"/>
        </w:rPr>
        <w:t xml:space="preserve"> “</w:t>
      </w:r>
      <w:r w:rsidR="005441C0" w:rsidRPr="005441C0">
        <w:rPr>
          <w:rFonts w:eastAsia="MS Mincho"/>
        </w:rPr>
        <w:t>Methodology for environmental life cycle assessments of information and communication technology goods, networks and services</w:t>
      </w:r>
      <w:r w:rsidR="005441C0" w:rsidRPr="00C25B3A">
        <w:rPr>
          <w:rFonts w:eastAsia="Times New Roman"/>
          <w:lang w:eastAsia="en-GB"/>
        </w:rPr>
        <w:t>”</w:t>
      </w:r>
    </w:p>
    <w:p w14:paraId="66C3C476" w14:textId="46DEC2FE" w:rsidR="00410699" w:rsidRPr="00410699" w:rsidRDefault="00654A5A" w:rsidP="00410699">
      <w:pPr>
        <w:rPr>
          <w:color w:val="000000" w:themeColor="text1"/>
        </w:rPr>
      </w:pPr>
      <w:r>
        <w:rPr>
          <w:color w:val="000000" w:themeColor="text1"/>
        </w:rPr>
        <w:t>Three</w:t>
      </w:r>
      <w:r w:rsidR="00410699" w:rsidRPr="00410699">
        <w:rPr>
          <w:color w:val="000000" w:themeColor="text1"/>
        </w:rPr>
        <w:t xml:space="preserve"> new Recommendation</w:t>
      </w:r>
      <w:r w:rsidR="009D1A83">
        <w:rPr>
          <w:color w:val="000000" w:themeColor="text1"/>
        </w:rPr>
        <w:t>s</w:t>
      </w:r>
      <w:r w:rsidR="00410699" w:rsidRPr="00410699">
        <w:rPr>
          <w:color w:val="000000" w:themeColor="text1"/>
        </w:rPr>
        <w:t xml:space="preserve"> </w:t>
      </w:r>
      <w:r w:rsidR="00E76CC0">
        <w:rPr>
          <w:rFonts w:hint="eastAsia"/>
          <w:color w:val="000000" w:themeColor="text1"/>
          <w:lang w:eastAsia="zh-CN"/>
        </w:rPr>
        <w:t>were</w:t>
      </w:r>
      <w:r w:rsidR="00410699" w:rsidRPr="00410699">
        <w:rPr>
          <w:color w:val="000000" w:themeColor="text1"/>
        </w:rPr>
        <w:t xml:space="preserve"> consented: </w:t>
      </w:r>
    </w:p>
    <w:p w14:paraId="3475483F" w14:textId="4A3BEB19" w:rsidR="00654A5A" w:rsidRDefault="00654A5A" w:rsidP="00EE588F">
      <w:pPr>
        <w:pStyle w:val="ListParagraph"/>
        <w:numPr>
          <w:ilvl w:val="0"/>
          <w:numId w:val="12"/>
        </w:numPr>
        <w:textAlignment w:val="baseline"/>
      </w:pPr>
      <w:r w:rsidRPr="00C25B3A">
        <w:rPr>
          <w:rFonts w:eastAsia="MS Mincho"/>
        </w:rPr>
        <w:t xml:space="preserve">ITU-T </w:t>
      </w:r>
      <w:r>
        <w:t>L.1472 “Requirements for the creation of an ITU database on energy consumption and GHG emissions of the ICT sector</w:t>
      </w:r>
      <w:r w:rsidR="00AB7AA7" w:rsidRPr="00C25B3A">
        <w:rPr>
          <w:rFonts w:eastAsia="Times New Roman"/>
          <w:lang w:eastAsia="en-GB"/>
        </w:rPr>
        <w:t>”</w:t>
      </w:r>
    </w:p>
    <w:p w14:paraId="12616145" w14:textId="77B6FED0" w:rsidR="00654A5A" w:rsidRDefault="00654A5A" w:rsidP="00EE588F">
      <w:pPr>
        <w:pStyle w:val="ListParagraph"/>
        <w:numPr>
          <w:ilvl w:val="0"/>
          <w:numId w:val="12"/>
        </w:numPr>
        <w:textAlignment w:val="baseline"/>
      </w:pPr>
      <w:r w:rsidRPr="00C25B3A">
        <w:rPr>
          <w:rFonts w:eastAsia="MS Mincho"/>
        </w:rPr>
        <w:t xml:space="preserve">ITU-T </w:t>
      </w:r>
      <w:r>
        <w:t>L.1384 “Implementation of a virtual micro power station at base station sites</w:t>
      </w:r>
      <w:r w:rsidR="00AB7AA7" w:rsidRPr="00C25B3A">
        <w:rPr>
          <w:rFonts w:eastAsia="Times New Roman"/>
          <w:lang w:eastAsia="en-GB"/>
        </w:rPr>
        <w:t>”</w:t>
      </w:r>
    </w:p>
    <w:p w14:paraId="2227AA7A" w14:textId="425A5E82" w:rsidR="00410699" w:rsidRDefault="00654A5A" w:rsidP="00EE588F">
      <w:pPr>
        <w:pStyle w:val="ListParagraph"/>
        <w:numPr>
          <w:ilvl w:val="0"/>
          <w:numId w:val="12"/>
        </w:numPr>
        <w:textAlignment w:val="baseline"/>
      </w:pPr>
      <w:r w:rsidRPr="00C25B3A">
        <w:rPr>
          <w:rFonts w:eastAsia="MS Mincho"/>
        </w:rPr>
        <w:t xml:space="preserve">ITU-T </w:t>
      </w:r>
      <w:r>
        <w:t>L.1490 “Framework and Functional Requirements of Greenhouse Gas Emissions Management System using Digital Technology for Public Sector</w:t>
      </w:r>
      <w:r w:rsidR="00AB7AA7" w:rsidRPr="00C25B3A">
        <w:rPr>
          <w:rFonts w:eastAsia="Times New Roman"/>
          <w:lang w:eastAsia="en-GB"/>
        </w:rPr>
        <w:t>”</w:t>
      </w:r>
    </w:p>
    <w:p w14:paraId="2E27AF6F" w14:textId="20D84574" w:rsidR="001F1814" w:rsidRDefault="009D1A83" w:rsidP="00030B46">
      <w:r>
        <w:t>Two</w:t>
      </w:r>
      <w:r w:rsidR="00030B46" w:rsidRPr="00030B46">
        <w:t xml:space="preserve"> </w:t>
      </w:r>
      <w:r w:rsidR="00894A9A">
        <w:rPr>
          <w:rFonts w:hint="eastAsia"/>
          <w:lang w:eastAsia="zh-CN"/>
        </w:rPr>
        <w:t>S</w:t>
      </w:r>
      <w:r w:rsidR="00030B46" w:rsidRPr="00030B46">
        <w:t>upplement</w:t>
      </w:r>
      <w:r>
        <w:t>s</w:t>
      </w:r>
      <w:r w:rsidR="00030B46" w:rsidRPr="00030B46">
        <w:t xml:space="preserve"> </w:t>
      </w:r>
      <w:r w:rsidRPr="00030B46">
        <w:t>were</w:t>
      </w:r>
      <w:r w:rsidR="00030B46" w:rsidRPr="00030B46">
        <w:t xml:space="preserve"> agreed: </w:t>
      </w:r>
    </w:p>
    <w:p w14:paraId="13D39FB7" w14:textId="7B7C075A" w:rsidR="003B010A" w:rsidRDefault="005B3D35" w:rsidP="00EE588F">
      <w:pPr>
        <w:pStyle w:val="ListParagraph"/>
        <w:numPr>
          <w:ilvl w:val="0"/>
          <w:numId w:val="13"/>
        </w:numPr>
      </w:pPr>
      <w:r w:rsidRPr="00C25B3A">
        <w:rPr>
          <w:rFonts w:eastAsia="MS Mincho"/>
        </w:rPr>
        <w:t xml:space="preserve">ITU-T </w:t>
      </w:r>
      <w:r w:rsidR="003B010A">
        <w:t>L.Suppl.60 to ITU-T L.1410 “Example of an LCA of a mobile phone fully compliant with Recommendation ITU-T L.1410</w:t>
      </w:r>
      <w:r w:rsidR="00AB7AA7" w:rsidRPr="00C25B3A">
        <w:rPr>
          <w:rFonts w:eastAsia="Times New Roman"/>
          <w:lang w:eastAsia="en-GB"/>
        </w:rPr>
        <w:t>”</w:t>
      </w:r>
    </w:p>
    <w:p w14:paraId="7C168B2C" w14:textId="431E451A" w:rsidR="00030B46" w:rsidRPr="001F1814" w:rsidRDefault="005B3D35" w:rsidP="00EE588F">
      <w:pPr>
        <w:pStyle w:val="ListParagraph"/>
        <w:numPr>
          <w:ilvl w:val="0"/>
          <w:numId w:val="13"/>
        </w:numPr>
        <w:rPr>
          <w:lang w:val="en-US"/>
        </w:rPr>
      </w:pPr>
      <w:r w:rsidRPr="00C25B3A">
        <w:rPr>
          <w:rFonts w:eastAsia="MS Mincho"/>
        </w:rPr>
        <w:t xml:space="preserve">ITU-T </w:t>
      </w:r>
      <w:r w:rsidR="003B010A">
        <w:t>L.Suppl.44</w:t>
      </w:r>
      <w:r w:rsidR="00AB7AA7">
        <w:t xml:space="preserve"> “</w:t>
      </w:r>
      <w:r w:rsidR="003B010A">
        <w:t>Guidelines on best practices and environment friendly policies for effective information and communication technology deployment methods</w:t>
      </w:r>
      <w:r w:rsidR="00AB7AA7" w:rsidRPr="00C25B3A">
        <w:rPr>
          <w:rFonts w:eastAsia="Times New Roman"/>
          <w:lang w:eastAsia="en-GB"/>
        </w:rPr>
        <w:t>”</w:t>
      </w:r>
    </w:p>
    <w:p w14:paraId="7F9696D2" w14:textId="13D4EE23" w:rsidR="001F1814" w:rsidRDefault="00E9388F" w:rsidP="00D1327A">
      <w:pPr>
        <w:keepNext/>
      </w:pPr>
      <w:r>
        <w:rPr>
          <w:rFonts w:hint="eastAsia"/>
          <w:lang w:eastAsia="zh-CN"/>
        </w:rPr>
        <w:t>Eighteen</w:t>
      </w:r>
      <w:r w:rsidR="003C2D02">
        <w:t xml:space="preserve"> </w:t>
      </w:r>
      <w:r w:rsidR="003C2D02" w:rsidRPr="00030B46">
        <w:t>new work items were established</w:t>
      </w:r>
      <w:r w:rsidR="003C2D02">
        <w:t>:</w:t>
      </w:r>
    </w:p>
    <w:p w14:paraId="69BCF313" w14:textId="34AC4B73"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L.ClimAI</w:t>
      </w:r>
      <w:proofErr w:type="spellEnd"/>
      <w:r>
        <w:rPr>
          <w:lang w:eastAsia="zh-CN"/>
        </w:rPr>
        <w:t xml:space="preserve"> “Guidelines for Assessing the Impact of Artificial Intelligence on Greenhouse gas emissions</w:t>
      </w:r>
      <w:r w:rsidRPr="00C25B3A">
        <w:rPr>
          <w:rFonts w:eastAsia="Times New Roman"/>
          <w:lang w:eastAsia="en-GB"/>
        </w:rPr>
        <w:t>”</w:t>
      </w:r>
    </w:p>
    <w:p w14:paraId="10C6074E" w14:textId="50D73B4A"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L.Carbon_DA</w:t>
      </w:r>
      <w:proofErr w:type="spellEnd"/>
      <w:r>
        <w:rPr>
          <w:lang w:eastAsia="zh-CN"/>
        </w:rPr>
        <w:t xml:space="preserve"> “Guidelines for Data Annotation for Carbon emissions Verification Knowledge Graph</w:t>
      </w:r>
      <w:r w:rsidRPr="00C25B3A">
        <w:rPr>
          <w:rFonts w:eastAsia="Times New Roman"/>
          <w:lang w:eastAsia="en-GB"/>
        </w:rPr>
        <w:t>”</w:t>
      </w:r>
    </w:p>
    <w:p w14:paraId="1813084A" w14:textId="6C0A6EC8"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L.TR_MAP_GHG “Assessing the Projections of Urban Greenhouse Gas Emission</w:t>
      </w:r>
      <w:r w:rsidRPr="00C25B3A">
        <w:rPr>
          <w:rFonts w:eastAsia="Times New Roman"/>
          <w:lang w:eastAsia="en-GB"/>
        </w:rPr>
        <w:t>”</w:t>
      </w:r>
    </w:p>
    <w:p w14:paraId="2D31C744" w14:textId="6748D3E2"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L.PCF_SEM “Methodology for the assessment of the carbon footprint of a smart electricity meter</w:t>
      </w:r>
      <w:r w:rsidRPr="00C25B3A">
        <w:rPr>
          <w:rFonts w:eastAsia="Times New Roman"/>
          <w:lang w:eastAsia="en-GB"/>
        </w:rPr>
        <w:t>”</w:t>
      </w:r>
    </w:p>
    <w:p w14:paraId="69B64102" w14:textId="6FF56E39"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L.Suppl.CFA_BSE</w:t>
      </w:r>
      <w:proofErr w:type="spellEnd"/>
      <w:r>
        <w:rPr>
          <w:lang w:eastAsia="zh-CN"/>
        </w:rPr>
        <w:t xml:space="preserve"> to ITU-T L.1410 “Guidelines for Carbon Footprint Assessment of 5G Base Station Equipment</w:t>
      </w:r>
      <w:r w:rsidRPr="00C25B3A">
        <w:rPr>
          <w:rFonts w:eastAsia="Times New Roman"/>
          <w:lang w:eastAsia="en-GB"/>
        </w:rPr>
        <w:t>”</w:t>
      </w:r>
    </w:p>
    <w:p w14:paraId="0FE8EA9B" w14:textId="254D526E"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L.Suppl.CE_Shared_BS</w:t>
      </w:r>
      <w:proofErr w:type="spellEnd"/>
      <w:r>
        <w:rPr>
          <w:lang w:eastAsia="zh-CN"/>
        </w:rPr>
        <w:t xml:space="preserve"> to ITU-T L.1420 “Carbon Emission Accounting and Allocation Methods for infrastructure Shared Base Station Sites</w:t>
      </w:r>
      <w:r w:rsidRPr="00C25B3A">
        <w:rPr>
          <w:rFonts w:eastAsia="Times New Roman"/>
          <w:lang w:eastAsia="en-GB"/>
        </w:rPr>
        <w:t>”</w:t>
      </w:r>
    </w:p>
    <w:p w14:paraId="757CFFF7" w14:textId="4F7F66F1"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L.TR_GLC_ service “General principles for the evaluation of low-carbon ICT service enterprises</w:t>
      </w:r>
      <w:r w:rsidRPr="00C25B3A">
        <w:rPr>
          <w:rFonts w:eastAsia="Times New Roman"/>
          <w:lang w:eastAsia="en-GB"/>
        </w:rPr>
        <w:t>”</w:t>
      </w:r>
    </w:p>
    <w:p w14:paraId="5774A7C2" w14:textId="659D0769"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L.TR_GLC_manufacturing</w:t>
      </w:r>
      <w:proofErr w:type="spellEnd"/>
      <w:r>
        <w:rPr>
          <w:lang w:eastAsia="zh-CN"/>
        </w:rPr>
        <w:t xml:space="preserve"> “General principles for the evaluation of low-carbon ICT manufacturing enterprises</w:t>
      </w:r>
      <w:r w:rsidRPr="00C25B3A">
        <w:rPr>
          <w:rFonts w:eastAsia="Times New Roman"/>
          <w:lang w:eastAsia="en-GB"/>
        </w:rPr>
        <w:t>”</w:t>
      </w:r>
    </w:p>
    <w:p w14:paraId="31548F39" w14:textId="54323B82"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L.EnvImpServers</w:t>
      </w:r>
      <w:proofErr w:type="spellEnd"/>
      <w:r>
        <w:rPr>
          <w:lang w:eastAsia="zh-CN"/>
        </w:rPr>
        <w:t xml:space="preserve"> “Requirements for environmental impact evaluation of servers</w:t>
      </w:r>
      <w:r w:rsidRPr="00C25B3A">
        <w:rPr>
          <w:rFonts w:eastAsia="Times New Roman"/>
          <w:lang w:eastAsia="en-GB"/>
        </w:rPr>
        <w:t>”</w:t>
      </w:r>
    </w:p>
    <w:p w14:paraId="14075E11" w14:textId="78ECEC06"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L.impact_simplified</w:t>
      </w:r>
      <w:proofErr w:type="spellEnd"/>
      <w:r>
        <w:rPr>
          <w:lang w:eastAsia="zh-CN"/>
        </w:rPr>
        <w:t xml:space="preserve"> “Simplified assessments of the GHG emissions impact of the use of ICT solutions</w:t>
      </w:r>
      <w:r w:rsidRPr="00C25B3A">
        <w:rPr>
          <w:rFonts w:eastAsia="Times New Roman"/>
          <w:lang w:eastAsia="en-GB"/>
        </w:rPr>
        <w:t>”</w:t>
      </w:r>
    </w:p>
    <w:p w14:paraId="79B07C47" w14:textId="3427A84D"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 xml:space="preserve">L.PS_HPC “Distributed Power Supply Architecture for High Performance Computing (HPC) Data </w:t>
      </w:r>
      <w:proofErr w:type="spellStart"/>
      <w:r>
        <w:rPr>
          <w:lang w:eastAsia="zh-CN"/>
        </w:rPr>
        <w:t>Center</w:t>
      </w:r>
      <w:proofErr w:type="spellEnd"/>
      <w:r w:rsidRPr="00C25B3A">
        <w:rPr>
          <w:rFonts w:eastAsia="Times New Roman"/>
          <w:lang w:eastAsia="en-GB"/>
        </w:rPr>
        <w:t>”</w:t>
      </w:r>
    </w:p>
    <w:p w14:paraId="029CA24A" w14:textId="70707134"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L.PV_base</w:t>
      </w:r>
      <w:proofErr w:type="spellEnd"/>
      <w:r>
        <w:rPr>
          <w:lang w:eastAsia="zh-CN"/>
        </w:rPr>
        <w:t xml:space="preserve"> station “Smart controlling methods for photovoltaics system installed in base station site</w:t>
      </w:r>
      <w:r w:rsidRPr="00C25B3A">
        <w:rPr>
          <w:rFonts w:eastAsia="Times New Roman"/>
          <w:lang w:eastAsia="en-GB"/>
        </w:rPr>
        <w:t>”</w:t>
      </w:r>
    </w:p>
    <w:p w14:paraId="4E0A92FA" w14:textId="24B3D2ED"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L.TR_DG assessment “Assessment method of sustainable transition in cities using ICTs</w:t>
      </w:r>
      <w:r w:rsidRPr="00C25B3A">
        <w:rPr>
          <w:rFonts w:eastAsia="Times New Roman"/>
          <w:lang w:eastAsia="en-GB"/>
        </w:rPr>
        <w:t>”</w:t>
      </w:r>
    </w:p>
    <w:p w14:paraId="06B54D1A" w14:textId="7772A401"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L.1203 (Rev) “Colour and marking identification of up to 400 VDC power distribution for information and communication technology systems</w:t>
      </w:r>
      <w:r w:rsidRPr="00C25B3A">
        <w:rPr>
          <w:rFonts w:eastAsia="Times New Roman"/>
          <w:lang w:eastAsia="en-GB"/>
        </w:rPr>
        <w:t>”</w:t>
      </w:r>
    </w:p>
    <w:p w14:paraId="745BA579" w14:textId="2F96E395" w:rsidR="005B3D35" w:rsidRDefault="005B3D35" w:rsidP="00EE588F">
      <w:pPr>
        <w:pStyle w:val="ListParagraph"/>
        <w:numPr>
          <w:ilvl w:val="0"/>
          <w:numId w:val="13"/>
        </w:numPr>
        <w:rPr>
          <w:lang w:eastAsia="zh-CN"/>
        </w:rPr>
      </w:pPr>
      <w:r w:rsidRPr="00C25B3A">
        <w:rPr>
          <w:rFonts w:eastAsia="MS Mincho"/>
        </w:rPr>
        <w:t xml:space="preserve">ITU-T </w:t>
      </w:r>
      <w:r>
        <w:rPr>
          <w:lang w:eastAsia="zh-CN"/>
        </w:rPr>
        <w:t>L.1210 (Rev) “Sustainable power-feeding solutions for 5G networks</w:t>
      </w:r>
      <w:r w:rsidRPr="00C25B3A">
        <w:rPr>
          <w:rFonts w:eastAsia="Times New Roman"/>
          <w:lang w:eastAsia="en-GB"/>
        </w:rPr>
        <w:t>”</w:t>
      </w:r>
    </w:p>
    <w:p w14:paraId="7AE81AA6" w14:textId="434669DC"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L.liquid_DC</w:t>
      </w:r>
      <w:proofErr w:type="spellEnd"/>
      <w:r>
        <w:rPr>
          <w:lang w:eastAsia="zh-CN"/>
        </w:rPr>
        <w:t xml:space="preserve"> “High Efficiency Liquid Cooling Solutions and Practices for Data Centres</w:t>
      </w:r>
      <w:r w:rsidRPr="00C25B3A">
        <w:rPr>
          <w:rFonts w:eastAsia="Times New Roman"/>
          <w:lang w:eastAsia="en-GB"/>
        </w:rPr>
        <w:t>”</w:t>
      </w:r>
    </w:p>
    <w:p w14:paraId="355350B6" w14:textId="6C8E496A" w:rsidR="005B3D35"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L.low_DC</w:t>
      </w:r>
      <w:proofErr w:type="spellEnd"/>
      <w:r>
        <w:rPr>
          <w:lang w:eastAsia="zh-CN"/>
        </w:rPr>
        <w:t xml:space="preserve"> “Guidelines for the construction of low carbon data centres to climate change mitigation and adaptation</w:t>
      </w:r>
      <w:r w:rsidRPr="00C25B3A">
        <w:rPr>
          <w:rFonts w:eastAsia="Times New Roman"/>
          <w:lang w:eastAsia="en-GB"/>
        </w:rPr>
        <w:t>”</w:t>
      </w:r>
    </w:p>
    <w:p w14:paraId="5F52E794" w14:textId="29A35DD2" w:rsidR="003C2D02" w:rsidRDefault="005B3D35" w:rsidP="00EE588F">
      <w:pPr>
        <w:pStyle w:val="ListParagraph"/>
        <w:numPr>
          <w:ilvl w:val="0"/>
          <w:numId w:val="13"/>
        </w:numPr>
        <w:rPr>
          <w:lang w:eastAsia="zh-CN"/>
        </w:rPr>
      </w:pPr>
      <w:r w:rsidRPr="00C25B3A">
        <w:rPr>
          <w:rFonts w:eastAsia="MS Mincho"/>
        </w:rPr>
        <w:t xml:space="preserve">ITU-T </w:t>
      </w:r>
      <w:proofErr w:type="spellStart"/>
      <w:r>
        <w:rPr>
          <w:lang w:eastAsia="zh-CN"/>
        </w:rPr>
        <w:t>L.Bio</w:t>
      </w:r>
      <w:proofErr w:type="spellEnd"/>
      <w:r>
        <w:rPr>
          <w:lang w:eastAsia="zh-CN"/>
        </w:rPr>
        <w:t>-Adapt “Biodiversity Adaptation to Climate Change</w:t>
      </w:r>
      <w:r w:rsidRPr="00C25B3A">
        <w:rPr>
          <w:rFonts w:eastAsia="Times New Roman"/>
          <w:lang w:eastAsia="en-GB"/>
        </w:rPr>
        <w:t>”</w:t>
      </w:r>
    </w:p>
    <w:p w14:paraId="50311D7C" w14:textId="2DF9C1DB" w:rsidR="00B0022E" w:rsidRPr="001F1814" w:rsidRDefault="002B3285" w:rsidP="00F47A9D">
      <w:pPr>
        <w:keepNext/>
        <w:spacing w:before="360"/>
        <w:jc w:val="both"/>
        <w:rPr>
          <w:b/>
          <w:bCs/>
        </w:rPr>
      </w:pPr>
      <w:r>
        <w:rPr>
          <w:b/>
          <w:bCs/>
        </w:rPr>
        <w:lastRenderedPageBreak/>
        <w:t>3</w:t>
      </w:r>
      <w:r w:rsidR="00D12115" w:rsidRPr="001F1814">
        <w:rPr>
          <w:b/>
          <w:bCs/>
        </w:rPr>
        <w:tab/>
        <w:t>Plan of work for this study period and towards the next study period and progress</w:t>
      </w:r>
    </w:p>
    <w:p w14:paraId="0745012E" w14:textId="2988BE55" w:rsidR="00B0022E" w:rsidRPr="001F1814" w:rsidRDefault="00F942C2" w:rsidP="00CA5022">
      <w:pPr>
        <w:rPr>
          <w:lang w:eastAsia="zh-CN"/>
        </w:rPr>
      </w:pPr>
      <w:r w:rsidRPr="001F1814">
        <w:rPr>
          <w:lang w:eastAsia="zh-CN"/>
        </w:rPr>
        <w:t xml:space="preserve">The list of </w:t>
      </w:r>
      <w:r w:rsidR="00D12115" w:rsidRPr="001F1814">
        <w:rPr>
          <w:lang w:eastAsia="zh-CN"/>
        </w:rPr>
        <w:t>Recommendations and other texts on electromagnetic compatibility</w:t>
      </w:r>
      <w:r w:rsidR="00913B13" w:rsidRPr="001F1814">
        <w:rPr>
          <w:lang w:eastAsia="zh-CN"/>
        </w:rPr>
        <w:t xml:space="preserve">, lightning </w:t>
      </w:r>
      <w:r w:rsidR="00A13185" w:rsidRPr="001F1814">
        <w:rPr>
          <w:lang w:eastAsia="zh-CN"/>
        </w:rPr>
        <w:t>protection, electromagnetic</w:t>
      </w:r>
      <w:r w:rsidR="00D12115" w:rsidRPr="001F1814">
        <w:rPr>
          <w:lang w:eastAsia="zh-CN"/>
        </w:rPr>
        <w:t xml:space="preserve"> effects, environment</w:t>
      </w:r>
      <w:r w:rsidR="00913B13" w:rsidRPr="001F1814">
        <w:rPr>
          <w:lang w:eastAsia="zh-CN"/>
        </w:rPr>
        <w:t>, climate change, energy efficiency, clean energy</w:t>
      </w:r>
      <w:r w:rsidR="00D12115" w:rsidRPr="001F1814">
        <w:rPr>
          <w:lang w:eastAsia="zh-CN"/>
        </w:rPr>
        <w:t xml:space="preserve"> and circular economy</w:t>
      </w:r>
      <w:r w:rsidR="00913B13" w:rsidRPr="001F1814">
        <w:rPr>
          <w:lang w:eastAsia="zh-CN"/>
        </w:rPr>
        <w:t>, including e-waste</w:t>
      </w:r>
      <w:r w:rsidR="00D12115" w:rsidRPr="001F1814">
        <w:rPr>
          <w:lang w:eastAsia="zh-CN"/>
        </w:rPr>
        <w:t xml:space="preserve"> </w:t>
      </w:r>
      <w:r w:rsidRPr="001F1814">
        <w:rPr>
          <w:lang w:eastAsia="zh-CN"/>
        </w:rPr>
        <w:t xml:space="preserve">that are </w:t>
      </w:r>
      <w:r w:rsidR="00D12115" w:rsidRPr="001F1814">
        <w:rPr>
          <w:lang w:eastAsia="zh-CN"/>
        </w:rPr>
        <w:t>currently under development in ITU-T SG5</w:t>
      </w:r>
      <w:r w:rsidR="00080B3A" w:rsidRPr="001F1814">
        <w:rPr>
          <w:lang w:eastAsia="zh-CN"/>
        </w:rPr>
        <w:t>,</w:t>
      </w:r>
      <w:r w:rsidR="00D12115" w:rsidRPr="001F1814">
        <w:rPr>
          <w:lang w:eastAsia="zh-CN"/>
        </w:rPr>
        <w:t xml:space="preserve"> can be found at: </w:t>
      </w:r>
      <w:hyperlink r:id="rId18" w:history="1">
        <w:r w:rsidR="009B2FB5" w:rsidRPr="001F1814">
          <w:rPr>
            <w:rStyle w:val="Hyperlink"/>
            <w:lang w:eastAsia="zh-CN"/>
          </w:rPr>
          <w:t>https://www.itu.int/ITU-T/workprog/wp_search.aspx?sg=5</w:t>
        </w:r>
      </w:hyperlink>
      <w:r w:rsidR="008120EC">
        <w:rPr>
          <w:lang w:eastAsia="zh-CN"/>
        </w:rPr>
        <w:t>.</w:t>
      </w:r>
    </w:p>
    <w:p w14:paraId="5BBE702A" w14:textId="393A8FA3" w:rsidR="0049674E" w:rsidRDefault="00CB127B" w:rsidP="001F1814">
      <w:pPr>
        <w:rPr>
          <w:lang w:eastAsia="zh-CN"/>
        </w:rPr>
      </w:pPr>
      <w:r>
        <w:rPr>
          <w:lang w:eastAsia="zh-CN"/>
        </w:rPr>
        <w:t xml:space="preserve">The next </w:t>
      </w:r>
      <w:r w:rsidR="001F1814" w:rsidRPr="00974D7B">
        <w:rPr>
          <w:lang w:eastAsia="zh-CN"/>
        </w:rPr>
        <w:t>ITU-T SG5 is plan</w:t>
      </w:r>
      <w:r>
        <w:rPr>
          <w:lang w:eastAsia="zh-CN"/>
        </w:rPr>
        <w:t xml:space="preserve">ned for the next study period. The meeting is planned from 26 May – 6 June 2025 in Geneva, </w:t>
      </w:r>
    </w:p>
    <w:p w14:paraId="41093A7C" w14:textId="6F974167" w:rsidR="00936DE2" w:rsidRPr="00936DE2" w:rsidRDefault="00936DE2" w:rsidP="001F1814">
      <w:pPr>
        <w:rPr>
          <w:lang w:eastAsia="zh-CN"/>
        </w:rPr>
      </w:pPr>
      <w:r w:rsidRPr="00936DE2">
        <w:t xml:space="preserve">ITU-T Study Group 5 Regional Group Latin America </w:t>
      </w:r>
      <w:r w:rsidR="00CB127B">
        <w:t>is</w:t>
      </w:r>
      <w:r w:rsidRPr="00936DE2">
        <w:t xml:space="preserve"> plan</w:t>
      </w:r>
      <w:r>
        <w:t>ning</w:t>
      </w:r>
      <w:r w:rsidRPr="00936DE2">
        <w:t xml:space="preserve"> to meet in 2024.</w:t>
      </w:r>
    </w:p>
    <w:p w14:paraId="7D4B0119" w14:textId="0907C56B" w:rsidR="00B0022E" w:rsidRDefault="002B3285" w:rsidP="00437BC7">
      <w:pPr>
        <w:keepNext/>
        <w:keepLines/>
        <w:tabs>
          <w:tab w:val="left" w:pos="567"/>
          <w:tab w:val="left" w:pos="993"/>
        </w:tabs>
        <w:spacing w:before="360"/>
        <w:jc w:val="both"/>
        <w:rPr>
          <w:b/>
        </w:rPr>
      </w:pPr>
      <w:r>
        <w:rPr>
          <w:b/>
        </w:rPr>
        <w:t>4</w:t>
      </w:r>
      <w:r w:rsidR="00D12115" w:rsidRPr="005621F0">
        <w:rPr>
          <w:b/>
        </w:rPr>
        <w:tab/>
        <w:t>SG</w:t>
      </w:r>
      <w:r w:rsidR="00D12115" w:rsidRPr="005621F0">
        <w:rPr>
          <w:rFonts w:eastAsia="MS Mincho"/>
          <w:b/>
        </w:rPr>
        <w:t>5</w:t>
      </w:r>
      <w:r w:rsidR="00D12115" w:rsidRPr="005621F0">
        <w:rPr>
          <w:b/>
        </w:rPr>
        <w:t xml:space="preserve"> as Lead Study Group on </w:t>
      </w:r>
      <w:r w:rsidR="009B2FB5" w:rsidRPr="009B2FB5">
        <w:rPr>
          <w:b/>
        </w:rPr>
        <w:t>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p>
    <w:p w14:paraId="41760F8C" w14:textId="57F4AAE3" w:rsidR="00B0022E" w:rsidRPr="005621F0" w:rsidRDefault="002B3285" w:rsidP="00437BC7">
      <w:pPr>
        <w:keepNext/>
        <w:keepLines/>
        <w:spacing w:before="240"/>
        <w:jc w:val="both"/>
        <w:rPr>
          <w:b/>
        </w:rPr>
      </w:pPr>
      <w:r>
        <w:rPr>
          <w:b/>
        </w:rPr>
        <w:t>4</w:t>
      </w:r>
      <w:r w:rsidR="00D12115" w:rsidRPr="005621F0">
        <w:rPr>
          <w:b/>
        </w:rPr>
        <w:t>.1</w:t>
      </w:r>
      <w:r w:rsidR="00D12115" w:rsidRPr="005621F0">
        <w:rPr>
          <w:b/>
        </w:rPr>
        <w:tab/>
      </w:r>
      <w:r w:rsidR="00A56774">
        <w:rPr>
          <w:b/>
        </w:rPr>
        <w:t>Electrical protection, reliability, safety and security systems</w:t>
      </w:r>
      <w:r w:rsidR="00704616">
        <w:rPr>
          <w:b/>
        </w:rPr>
        <w:t xml:space="preserve"> </w:t>
      </w:r>
    </w:p>
    <w:p w14:paraId="693F4440" w14:textId="620148A3" w:rsidR="00B0022E" w:rsidRPr="005621F0" w:rsidRDefault="00D12115">
      <w:pPr>
        <w:keepNext/>
        <w:jc w:val="both"/>
      </w:pPr>
      <w:r w:rsidRPr="005621F0">
        <w:t xml:space="preserve">The </w:t>
      </w:r>
      <w:r w:rsidR="002271DD">
        <w:t xml:space="preserve">phenomena and </w:t>
      </w:r>
      <w:r w:rsidRPr="005621F0">
        <w:t>protection</w:t>
      </w:r>
      <w:r w:rsidR="002271DD">
        <w:t xml:space="preserve"> for</w:t>
      </w:r>
      <w:r w:rsidR="00D54321">
        <w:t xml:space="preserve"> reliability, safety and security</w:t>
      </w:r>
      <w:r w:rsidRPr="005621F0">
        <w:t xml:space="preserve"> of </w:t>
      </w:r>
      <w:r w:rsidR="00234B2E">
        <w:t>ICT systems</w:t>
      </w:r>
      <w:r w:rsidR="00D54321">
        <w:t xml:space="preserve"> </w:t>
      </w:r>
      <w:r w:rsidR="00080B3A" w:rsidRPr="005621F0">
        <w:t>are</w:t>
      </w:r>
      <w:r w:rsidRPr="005621F0">
        <w:t xml:space="preserve"> studied by Question 1/5. </w:t>
      </w:r>
      <w:r w:rsidR="00E51C3D" w:rsidRPr="00E51C3D">
        <w:t xml:space="preserve">The reliability of </w:t>
      </w:r>
      <w:r w:rsidR="00080B3A">
        <w:t xml:space="preserve">the </w:t>
      </w:r>
      <w:r w:rsidR="00E51C3D" w:rsidRPr="00E51C3D">
        <w:t xml:space="preserve">infrastructure is essential for </w:t>
      </w:r>
      <w:r w:rsidR="00860DAE">
        <w:t xml:space="preserve">the </w:t>
      </w:r>
      <w:r w:rsidR="00E51C3D" w:rsidRPr="00E51C3D">
        <w:t xml:space="preserve">stability of society. The purpose of this Question is to produce new or revised Recommendations or Supplements regarding the protection of telecommunication systems </w:t>
      </w:r>
      <w:r w:rsidR="002271DD">
        <w:t xml:space="preserve">and facilities </w:t>
      </w:r>
      <w:r w:rsidR="00E51C3D" w:rsidRPr="00E51C3D">
        <w:t>against the effects of nearby lightning strikes</w:t>
      </w:r>
      <w:r w:rsidR="002271DD">
        <w:t xml:space="preserve">, </w:t>
      </w:r>
      <w:r w:rsidR="00E51C3D" w:rsidRPr="00E51C3D">
        <w:t>disturbances from nearby electric power systems</w:t>
      </w:r>
      <w:r w:rsidR="002271DD">
        <w:t xml:space="preserve">, and </w:t>
      </w:r>
      <w:r w:rsidR="00860DAE">
        <w:t xml:space="preserve">the </w:t>
      </w:r>
      <w:r w:rsidR="002271DD">
        <w:t>security of unintended emissions or intended electromagnetic interference</w:t>
      </w:r>
      <w:r w:rsidR="00E51C3D" w:rsidRPr="00E51C3D">
        <w:t>.</w:t>
      </w:r>
    </w:p>
    <w:p w14:paraId="590000AE" w14:textId="1489CDB0" w:rsidR="003D6D08" w:rsidRDefault="00BF1EFF" w:rsidP="003D6D08">
      <w:pPr>
        <w:keepNext/>
        <w:jc w:val="both"/>
        <w:rPr>
          <w:bCs/>
        </w:rPr>
      </w:pPr>
      <w:r w:rsidRPr="00204784">
        <w:rPr>
          <w:bCs/>
        </w:rPr>
        <w:t xml:space="preserve">Q1/5 is currently working on </w:t>
      </w:r>
      <w:r w:rsidR="00204784" w:rsidRPr="00204784">
        <w:rPr>
          <w:rFonts w:hint="eastAsia"/>
          <w:bCs/>
          <w:lang w:eastAsia="zh-CN"/>
        </w:rPr>
        <w:t xml:space="preserve">two </w:t>
      </w:r>
      <w:r w:rsidRPr="00204784">
        <w:rPr>
          <w:bCs/>
        </w:rPr>
        <w:t>work items</w:t>
      </w:r>
      <w:r w:rsidR="00B52BD9" w:rsidRPr="00204784">
        <w:rPr>
          <w:bCs/>
        </w:rPr>
        <w:t xml:space="preserve">. </w:t>
      </w:r>
      <w:r w:rsidR="001F1814" w:rsidRPr="00204784">
        <w:rPr>
          <w:bCs/>
        </w:rPr>
        <w:t xml:space="preserve">See </w:t>
      </w:r>
      <w:hyperlink r:id="rId19" w:history="1">
        <w:r w:rsidR="001F1814" w:rsidRPr="00204784">
          <w:rPr>
            <w:rStyle w:val="Hyperlink"/>
            <w:bCs/>
          </w:rPr>
          <w:t>here</w:t>
        </w:r>
      </w:hyperlink>
      <w:r w:rsidR="00131B4C" w:rsidRPr="00204784">
        <w:rPr>
          <w:bCs/>
        </w:rPr>
        <w:t>.</w:t>
      </w:r>
    </w:p>
    <w:p w14:paraId="5D58F872" w14:textId="6AC01935" w:rsidR="00B0022E" w:rsidRPr="005621F0" w:rsidRDefault="002B3285">
      <w:pPr>
        <w:keepNext/>
        <w:spacing w:before="240"/>
        <w:jc w:val="both"/>
        <w:rPr>
          <w:b/>
        </w:rPr>
      </w:pPr>
      <w:r>
        <w:rPr>
          <w:b/>
        </w:rPr>
        <w:t>4</w:t>
      </w:r>
      <w:r w:rsidR="00D12115" w:rsidRPr="005621F0">
        <w:rPr>
          <w:b/>
        </w:rPr>
        <w:t>.2</w:t>
      </w:r>
      <w:r w:rsidR="00D12115" w:rsidRPr="005621F0">
        <w:rPr>
          <w:b/>
        </w:rPr>
        <w:tab/>
      </w:r>
      <w:r w:rsidR="00A56774">
        <w:rPr>
          <w:b/>
        </w:rPr>
        <w:t>Protecting equipment and devices against lightning and other electrical events</w:t>
      </w:r>
    </w:p>
    <w:p w14:paraId="238A7625" w14:textId="402BE9A1" w:rsidR="000E3821" w:rsidRPr="00974D7B" w:rsidRDefault="00D12115" w:rsidP="000E3821">
      <w:pPr>
        <w:keepNext/>
        <w:jc w:val="both"/>
      </w:pPr>
      <w:r w:rsidRPr="005621F0">
        <w:t xml:space="preserve">The </w:t>
      </w:r>
      <w:r w:rsidR="002271DD">
        <w:t xml:space="preserve">specification of </w:t>
      </w:r>
      <w:r w:rsidRPr="005621F0">
        <w:t xml:space="preserve">resistibility and safety applied to telecommunications equipment and infrastructure </w:t>
      </w:r>
      <w:r w:rsidR="002271DD">
        <w:t xml:space="preserve">against lightning and other phenomena </w:t>
      </w:r>
      <w:r w:rsidRPr="005621F0">
        <w:t xml:space="preserve">is studied by Question 2/5. </w:t>
      </w:r>
      <w:r w:rsidR="000E3821" w:rsidRPr="000E3821">
        <w:t xml:space="preserve">The purpose of this Question is to produce new or revised Recommendations or Supplements regarding the resistibility </w:t>
      </w:r>
      <w:r w:rsidR="000E3821" w:rsidRPr="00974D7B">
        <w:t>of ICT equipment</w:t>
      </w:r>
      <w:r w:rsidR="00080B3A" w:rsidRPr="00974D7B">
        <w:t>,</w:t>
      </w:r>
      <w:r w:rsidR="000E3821" w:rsidRPr="00974D7B">
        <w:t xml:space="preserve"> and also specifications, test methods and principles of application for protective components and assemblies. </w:t>
      </w:r>
    </w:p>
    <w:p w14:paraId="0D6481D9" w14:textId="75365FB5" w:rsidR="000D7D55" w:rsidRPr="00974D7B" w:rsidRDefault="00BF1EFF" w:rsidP="000E3821">
      <w:pPr>
        <w:keepNext/>
        <w:jc w:val="both"/>
        <w:rPr>
          <w:bCs/>
        </w:rPr>
      </w:pPr>
      <w:r w:rsidRPr="00974D7B">
        <w:rPr>
          <w:bCs/>
        </w:rPr>
        <w:t xml:space="preserve">Q2/5 is currently working on </w:t>
      </w:r>
      <w:r w:rsidR="00204784">
        <w:rPr>
          <w:rFonts w:hint="eastAsia"/>
          <w:bCs/>
          <w:lang w:eastAsia="zh-CN"/>
        </w:rPr>
        <w:t>nine</w:t>
      </w:r>
      <w:r w:rsidR="009E572E" w:rsidRPr="00974D7B">
        <w:rPr>
          <w:bCs/>
        </w:rPr>
        <w:t xml:space="preserve"> </w:t>
      </w:r>
      <w:r w:rsidRPr="00974D7B">
        <w:rPr>
          <w:bCs/>
        </w:rPr>
        <w:t>work items</w:t>
      </w:r>
      <w:r w:rsidR="00B52BD9" w:rsidRPr="00974D7B">
        <w:rPr>
          <w:bCs/>
        </w:rPr>
        <w:t xml:space="preserve">. </w:t>
      </w:r>
      <w:r w:rsidR="00131B4C" w:rsidRPr="00974D7B">
        <w:rPr>
          <w:bCs/>
        </w:rPr>
        <w:t xml:space="preserve">See </w:t>
      </w:r>
      <w:hyperlink r:id="rId20" w:history="1">
        <w:r w:rsidR="00131B4C" w:rsidRPr="00974D7B">
          <w:rPr>
            <w:rStyle w:val="Hyperlink"/>
            <w:bCs/>
          </w:rPr>
          <w:t>here</w:t>
        </w:r>
      </w:hyperlink>
      <w:r w:rsidR="00131B4C" w:rsidRPr="00974D7B">
        <w:rPr>
          <w:bCs/>
        </w:rPr>
        <w:t>.</w:t>
      </w:r>
    </w:p>
    <w:p w14:paraId="2386F1A0" w14:textId="07EA8A35" w:rsidR="00B0022E" w:rsidRPr="00974D7B" w:rsidRDefault="002B3285" w:rsidP="00CA5022">
      <w:pPr>
        <w:keepNext/>
        <w:keepLines/>
        <w:tabs>
          <w:tab w:val="left" w:pos="540"/>
        </w:tabs>
        <w:spacing w:before="240" w:line="240" w:lineRule="atLeast"/>
        <w:jc w:val="both"/>
        <w:rPr>
          <w:b/>
        </w:rPr>
      </w:pPr>
      <w:r w:rsidRPr="00974D7B">
        <w:rPr>
          <w:b/>
        </w:rPr>
        <w:t>4</w:t>
      </w:r>
      <w:r w:rsidR="00D12115" w:rsidRPr="00974D7B">
        <w:rPr>
          <w:b/>
        </w:rPr>
        <w:t>.3</w:t>
      </w:r>
      <w:r w:rsidR="00D12115" w:rsidRPr="00974D7B">
        <w:rPr>
          <w:b/>
        </w:rPr>
        <w:tab/>
      </w:r>
      <w:r w:rsidR="00AE2004" w:rsidRPr="00974D7B">
        <w:rPr>
          <w:b/>
        </w:rPr>
        <w:t xml:space="preserve">Human exposure to electromagnetic fields (EMFs) due to digital technologies </w:t>
      </w:r>
    </w:p>
    <w:p w14:paraId="20B321F6" w14:textId="17953A13" w:rsidR="00AE2004" w:rsidRPr="00974D7B" w:rsidRDefault="00A0600B" w:rsidP="00AE2004">
      <w:pPr>
        <w:keepNext/>
        <w:keepLines/>
        <w:tabs>
          <w:tab w:val="left" w:pos="540"/>
        </w:tabs>
        <w:spacing w:line="240" w:lineRule="atLeast"/>
        <w:jc w:val="both"/>
        <w:rPr>
          <w:rFonts w:eastAsia="MS Mincho"/>
        </w:rPr>
      </w:pPr>
      <w:r w:rsidRPr="00974D7B">
        <w:rPr>
          <w:rFonts w:eastAsia="MS Mincho"/>
        </w:rPr>
        <w:t xml:space="preserve">The </w:t>
      </w:r>
      <w:r w:rsidR="000235E3" w:rsidRPr="00974D7B">
        <w:rPr>
          <w:rFonts w:eastAsia="MS Mincho"/>
        </w:rPr>
        <w:t>EMF aspect of ICTs and digital technologies</w:t>
      </w:r>
      <w:r w:rsidRPr="00974D7B">
        <w:rPr>
          <w:rFonts w:eastAsia="MS Mincho"/>
        </w:rPr>
        <w:t xml:space="preserve"> is studied by Question 3/5. </w:t>
      </w:r>
      <w:r w:rsidR="00AE2004" w:rsidRPr="00974D7B">
        <w:rPr>
          <w:rFonts w:eastAsia="MS Mincho"/>
        </w:rPr>
        <w:t xml:space="preserve">The purpose of this Question is to develop international standards and guidelines </w:t>
      </w:r>
      <w:r w:rsidR="005B6128" w:rsidRPr="00974D7B">
        <w:rPr>
          <w:rFonts w:eastAsia="MS Mincho"/>
        </w:rPr>
        <w:t xml:space="preserve">relating to </w:t>
      </w:r>
      <w:r w:rsidR="00080B3A" w:rsidRPr="00974D7B">
        <w:rPr>
          <w:rFonts w:eastAsia="MS Mincho"/>
        </w:rPr>
        <w:t xml:space="preserve">the </w:t>
      </w:r>
      <w:r w:rsidR="005B6128" w:rsidRPr="00974D7B">
        <w:rPr>
          <w:rFonts w:eastAsia="MS Mincho"/>
        </w:rPr>
        <w:t>assessment of human exposure to electromagnetic fields (EMF) produced by ICT installations and devices, including cellular phones and base stations</w:t>
      </w:r>
      <w:r w:rsidR="00860DAE">
        <w:rPr>
          <w:rFonts w:eastAsia="MS Mincho"/>
        </w:rPr>
        <w:t>. T</w:t>
      </w:r>
      <w:r w:rsidR="00080B3A" w:rsidRPr="00974D7B">
        <w:rPr>
          <w:rFonts w:eastAsia="MS Mincho"/>
        </w:rPr>
        <w:t xml:space="preserve">his </w:t>
      </w:r>
      <w:r w:rsidR="00AE2004" w:rsidRPr="00974D7B">
        <w:rPr>
          <w:rFonts w:eastAsia="MS Mincho"/>
        </w:rPr>
        <w:t>concern</w:t>
      </w:r>
      <w:r w:rsidR="00080B3A" w:rsidRPr="00974D7B">
        <w:rPr>
          <w:rFonts w:eastAsia="MS Mincho"/>
        </w:rPr>
        <w:t>s the</w:t>
      </w:r>
      <w:r w:rsidR="00AE2004" w:rsidRPr="00974D7B">
        <w:rPr>
          <w:rFonts w:eastAsia="MS Mincho"/>
        </w:rPr>
        <w:t xml:space="preserve"> construction</w:t>
      </w:r>
      <w:r w:rsidR="00080B3A" w:rsidRPr="00974D7B">
        <w:rPr>
          <w:rFonts w:eastAsia="MS Mincho"/>
        </w:rPr>
        <w:t xml:space="preserve">, </w:t>
      </w:r>
      <w:r w:rsidR="00AE2004" w:rsidRPr="00974D7B">
        <w:rPr>
          <w:rFonts w:eastAsia="MS Mincho"/>
        </w:rPr>
        <w:t>maintenance</w:t>
      </w:r>
      <w:r w:rsidR="00080B3A" w:rsidRPr="00974D7B">
        <w:rPr>
          <w:rFonts w:eastAsia="MS Mincho"/>
        </w:rPr>
        <w:t xml:space="preserve"> and</w:t>
      </w:r>
      <w:r w:rsidR="00AE2004" w:rsidRPr="00974D7B">
        <w:rPr>
          <w:rFonts w:eastAsia="MS Mincho"/>
        </w:rPr>
        <w:t xml:space="preserve"> use of radiocommunication installations</w:t>
      </w:r>
      <w:r w:rsidR="00080B3A" w:rsidRPr="00974D7B">
        <w:rPr>
          <w:rFonts w:eastAsia="MS Mincho"/>
        </w:rPr>
        <w:t>,</w:t>
      </w:r>
      <w:r w:rsidR="00AE2004" w:rsidRPr="00974D7B">
        <w:rPr>
          <w:rFonts w:eastAsia="MS Mincho"/>
        </w:rPr>
        <w:t xml:space="preserve"> and </w:t>
      </w:r>
      <w:r w:rsidR="00080B3A" w:rsidRPr="00974D7B">
        <w:rPr>
          <w:rFonts w:eastAsia="MS Mincho"/>
        </w:rPr>
        <w:t xml:space="preserve">the </w:t>
      </w:r>
      <w:r w:rsidR="00AE2004" w:rsidRPr="00974D7B">
        <w:rPr>
          <w:rFonts w:eastAsia="MS Mincho"/>
        </w:rPr>
        <w:t xml:space="preserve">proper use of devices and information on factors affecting exposure from </w:t>
      </w:r>
      <w:r w:rsidR="00DE669E" w:rsidRPr="00974D7B">
        <w:rPr>
          <w:rFonts w:eastAsia="MS Mincho"/>
        </w:rPr>
        <w:t xml:space="preserve">transmitting stations and mobile </w:t>
      </w:r>
      <w:r w:rsidR="00AE2004" w:rsidRPr="00974D7B">
        <w:rPr>
          <w:rFonts w:eastAsia="MS Mincho"/>
        </w:rPr>
        <w:t xml:space="preserve">devices in order to assure compliance with RF EMF limits. These Recommendations and guidelines should provide </w:t>
      </w:r>
      <w:r w:rsidR="00080B3A" w:rsidRPr="00974D7B">
        <w:rPr>
          <w:rFonts w:eastAsia="MS Mincho"/>
        </w:rPr>
        <w:t xml:space="preserve">the </w:t>
      </w:r>
      <w:r w:rsidR="00AE2004" w:rsidRPr="00974D7B">
        <w:rPr>
          <w:rFonts w:eastAsia="MS Mincho"/>
        </w:rPr>
        <w:t xml:space="preserve">appropriate support to countries in establishing national regulations concerning </w:t>
      </w:r>
      <w:r w:rsidR="00080B3A" w:rsidRPr="00974D7B">
        <w:rPr>
          <w:rFonts w:eastAsia="MS Mincho"/>
        </w:rPr>
        <w:t xml:space="preserve">the </w:t>
      </w:r>
      <w:r w:rsidR="00AE2004" w:rsidRPr="00974D7B">
        <w:rPr>
          <w:rFonts w:eastAsia="MS Mincho"/>
        </w:rPr>
        <w:t>assessment and compliance of RF EMF exposure.</w:t>
      </w:r>
      <w:r w:rsidR="00430728" w:rsidRPr="00974D7B">
        <w:rPr>
          <w:rFonts w:eastAsia="MS Mincho"/>
        </w:rPr>
        <w:t xml:space="preserve"> </w:t>
      </w:r>
      <w:r w:rsidR="00AE2004" w:rsidRPr="00974D7B">
        <w:rPr>
          <w:rFonts w:eastAsia="MS Mincho"/>
        </w:rPr>
        <w:t xml:space="preserve">The Question will also develop standards, technical papers and methodologies for compliance with exposure limits of </w:t>
      </w:r>
      <w:r w:rsidR="00080B3A" w:rsidRPr="00974D7B">
        <w:rPr>
          <w:rFonts w:eastAsia="MS Mincho"/>
        </w:rPr>
        <w:t xml:space="preserve">the </w:t>
      </w:r>
      <w:r w:rsidR="00AE2004" w:rsidRPr="00974D7B">
        <w:rPr>
          <w:rFonts w:eastAsia="MS Mincho"/>
        </w:rPr>
        <w:t>general public and workers to electromagnetic fields.</w:t>
      </w:r>
    </w:p>
    <w:p w14:paraId="6E291009" w14:textId="5AC9641B" w:rsidR="000D7D55" w:rsidRPr="00974D7B" w:rsidRDefault="00ED6950" w:rsidP="00E40A1C">
      <w:pPr>
        <w:tabs>
          <w:tab w:val="left" w:pos="540"/>
        </w:tabs>
        <w:spacing w:line="240" w:lineRule="atLeast"/>
        <w:jc w:val="both"/>
        <w:rPr>
          <w:bCs/>
        </w:rPr>
      </w:pPr>
      <w:r w:rsidRPr="00974D7B">
        <w:rPr>
          <w:bCs/>
        </w:rPr>
        <w:t xml:space="preserve">Q3/5 is currently working on </w:t>
      </w:r>
      <w:r w:rsidR="00D0751C">
        <w:rPr>
          <w:rFonts w:hint="eastAsia"/>
          <w:bCs/>
          <w:lang w:eastAsia="zh-CN"/>
        </w:rPr>
        <w:t>eight</w:t>
      </w:r>
      <w:r w:rsidR="00B62013" w:rsidRPr="00974D7B">
        <w:rPr>
          <w:bCs/>
        </w:rPr>
        <w:t xml:space="preserve"> </w:t>
      </w:r>
      <w:r w:rsidRPr="00974D7B">
        <w:rPr>
          <w:bCs/>
        </w:rPr>
        <w:t>work items.</w:t>
      </w:r>
      <w:r w:rsidR="00E40A1C" w:rsidRPr="00974D7B">
        <w:rPr>
          <w:bCs/>
        </w:rPr>
        <w:t xml:space="preserve"> </w:t>
      </w:r>
      <w:r w:rsidR="00131B4C" w:rsidRPr="00974D7B">
        <w:rPr>
          <w:bCs/>
        </w:rPr>
        <w:t xml:space="preserve">See </w:t>
      </w:r>
      <w:hyperlink r:id="rId21" w:history="1">
        <w:r w:rsidR="00131B4C" w:rsidRPr="00974D7B">
          <w:rPr>
            <w:rStyle w:val="Hyperlink"/>
            <w:bCs/>
          </w:rPr>
          <w:t>here</w:t>
        </w:r>
      </w:hyperlink>
      <w:r w:rsidR="00131B4C" w:rsidRPr="00974D7B">
        <w:rPr>
          <w:bCs/>
        </w:rPr>
        <w:t>.</w:t>
      </w:r>
    </w:p>
    <w:p w14:paraId="1800EE2D" w14:textId="773F68E7" w:rsidR="00B0022E" w:rsidRPr="00974D7B" w:rsidRDefault="002B3285" w:rsidP="00781DFB">
      <w:pPr>
        <w:keepNext/>
        <w:keepLines/>
        <w:tabs>
          <w:tab w:val="left" w:pos="540"/>
        </w:tabs>
        <w:spacing w:before="240" w:line="240" w:lineRule="atLeast"/>
        <w:jc w:val="both"/>
        <w:rPr>
          <w:b/>
        </w:rPr>
      </w:pPr>
      <w:r w:rsidRPr="00974D7B">
        <w:rPr>
          <w:b/>
        </w:rPr>
        <w:t>4</w:t>
      </w:r>
      <w:r w:rsidR="00D12115" w:rsidRPr="00974D7B">
        <w:rPr>
          <w:b/>
        </w:rPr>
        <w:t>.4</w:t>
      </w:r>
      <w:r w:rsidR="00D12115" w:rsidRPr="00974D7B">
        <w:rPr>
          <w:b/>
        </w:rPr>
        <w:tab/>
      </w:r>
      <w:r w:rsidR="000A0C54" w:rsidRPr="00974D7B">
        <w:rPr>
          <w:b/>
        </w:rPr>
        <w:t xml:space="preserve">Electromagnetic compatibility (EMC) aspects in ICT environment </w:t>
      </w:r>
    </w:p>
    <w:p w14:paraId="05E57634" w14:textId="7655331E" w:rsidR="003F60B1" w:rsidRPr="00974D7B" w:rsidRDefault="00F72EBE" w:rsidP="006C677D">
      <w:pPr>
        <w:tabs>
          <w:tab w:val="left" w:pos="1151"/>
        </w:tabs>
        <w:spacing w:line="240" w:lineRule="atLeast"/>
        <w:jc w:val="both"/>
        <w:rPr>
          <w:rFonts w:eastAsia="MS Mincho"/>
        </w:rPr>
      </w:pPr>
      <w:r w:rsidRPr="00974D7B">
        <w:rPr>
          <w:rFonts w:eastAsia="MS Mincho"/>
        </w:rPr>
        <w:t xml:space="preserve">The </w:t>
      </w:r>
      <w:r w:rsidR="00743504" w:rsidRPr="00974D7B">
        <w:rPr>
          <w:rFonts w:eastAsia="MS Mincho"/>
        </w:rPr>
        <w:t xml:space="preserve">EMC </w:t>
      </w:r>
      <w:r w:rsidR="00D866A1" w:rsidRPr="00974D7B">
        <w:rPr>
          <w:rFonts w:eastAsia="MS Mincho"/>
        </w:rPr>
        <w:t>aspects in the ICT environment are</w:t>
      </w:r>
      <w:r w:rsidRPr="00974D7B">
        <w:rPr>
          <w:rFonts w:eastAsia="MS Mincho"/>
        </w:rPr>
        <w:t xml:space="preserve"> studied by Question 4/5. </w:t>
      </w:r>
      <w:r w:rsidR="003F60B1" w:rsidRPr="00974D7B">
        <w:rPr>
          <w:rFonts w:eastAsia="MS Mincho"/>
        </w:rPr>
        <w:t>The electromagnetic environment is changing rapidly through the development and installation of new types of electric/electronic equipment and evolving the telecommunication infrastructure.</w:t>
      </w:r>
      <w:r w:rsidR="00ED16CF" w:rsidRPr="00974D7B">
        <w:t xml:space="preserve"> </w:t>
      </w:r>
      <w:r w:rsidR="00ED16CF" w:rsidRPr="00974D7B">
        <w:rPr>
          <w:rFonts w:eastAsia="MS Mincho"/>
        </w:rPr>
        <w:t xml:space="preserve">This Question aims </w:t>
      </w:r>
      <w:r w:rsidR="00ED16CF" w:rsidRPr="00974D7B">
        <w:rPr>
          <w:rFonts w:eastAsia="MS Mincho"/>
        </w:rPr>
        <w:lastRenderedPageBreak/>
        <w:t xml:space="preserve">to establish </w:t>
      </w:r>
      <w:r w:rsidR="00746BBA" w:rsidRPr="00974D7B">
        <w:rPr>
          <w:rFonts w:eastAsia="MS Mincho"/>
        </w:rPr>
        <w:t>the</w:t>
      </w:r>
      <w:r w:rsidR="00ED16CF" w:rsidRPr="00974D7B">
        <w:rPr>
          <w:rFonts w:eastAsia="MS Mincho"/>
        </w:rPr>
        <w:t xml:space="preserve"> EMC requirements</w:t>
      </w:r>
      <w:r w:rsidR="00080B3A" w:rsidRPr="00974D7B">
        <w:rPr>
          <w:rFonts w:eastAsia="MS Mincho"/>
        </w:rPr>
        <w:t>,</w:t>
      </w:r>
      <w:r w:rsidR="00ED16CF" w:rsidRPr="00974D7B">
        <w:rPr>
          <w:rFonts w:eastAsia="MS Mincho"/>
        </w:rPr>
        <w:t xml:space="preserve"> including emission and immunity requirements for ICT equipment, and countermeasures for facilities to reduce electromagnetic compatibility issues and maintain a controlled electromagnetic environment for ICT systems and services.</w:t>
      </w:r>
    </w:p>
    <w:p w14:paraId="76BE03FE" w14:textId="6649B011" w:rsidR="00B0022E" w:rsidRPr="00974D7B" w:rsidRDefault="003F60B1" w:rsidP="006C677D">
      <w:pPr>
        <w:tabs>
          <w:tab w:val="left" w:pos="1151"/>
        </w:tabs>
        <w:spacing w:line="240" w:lineRule="atLeast"/>
        <w:jc w:val="both"/>
        <w:rPr>
          <w:rFonts w:eastAsia="MS Mincho"/>
        </w:rPr>
      </w:pPr>
      <w:r w:rsidRPr="00974D7B">
        <w:rPr>
          <w:rFonts w:eastAsia="MS Mincho"/>
        </w:rPr>
        <w:t>The Question is closely in collaboration</w:t>
      </w:r>
      <w:r w:rsidR="00D12115" w:rsidRPr="00974D7B">
        <w:rPr>
          <w:rFonts w:eastAsia="MS Mincho"/>
        </w:rPr>
        <w:t xml:space="preserve"> with ITU-R SG1, SG5 and SG6, ITU-T SG9, IEC ACEC (Advisory Committee on Electromagnetic Compa</w:t>
      </w:r>
      <w:r w:rsidR="00FE10B6" w:rsidRPr="00974D7B">
        <w:rPr>
          <w:rFonts w:eastAsia="MS Mincho"/>
        </w:rPr>
        <w:t>tibility), IEC CISPR and SC77B.</w:t>
      </w:r>
    </w:p>
    <w:p w14:paraId="07E176FE" w14:textId="2A37CBF8" w:rsidR="009E572E" w:rsidRPr="00974D7B" w:rsidRDefault="00C048EB" w:rsidP="006A1660">
      <w:pPr>
        <w:tabs>
          <w:tab w:val="left" w:pos="1151"/>
        </w:tabs>
        <w:spacing w:line="240" w:lineRule="atLeast"/>
        <w:jc w:val="both"/>
        <w:rPr>
          <w:bCs/>
        </w:rPr>
      </w:pPr>
      <w:r w:rsidRPr="00974D7B">
        <w:rPr>
          <w:bCs/>
        </w:rPr>
        <w:t xml:space="preserve">Q4/5 is currently working on </w:t>
      </w:r>
      <w:r w:rsidR="009849F1">
        <w:rPr>
          <w:rFonts w:hint="eastAsia"/>
          <w:bCs/>
          <w:lang w:eastAsia="zh-CN"/>
        </w:rPr>
        <w:t>five</w:t>
      </w:r>
      <w:r w:rsidR="00B62013" w:rsidRPr="00974D7B">
        <w:rPr>
          <w:bCs/>
        </w:rPr>
        <w:t xml:space="preserve"> </w:t>
      </w:r>
      <w:r w:rsidRPr="00974D7B">
        <w:rPr>
          <w:bCs/>
        </w:rPr>
        <w:t>work items</w:t>
      </w:r>
      <w:r w:rsidR="00C2506D" w:rsidRPr="00974D7B">
        <w:rPr>
          <w:bCs/>
        </w:rPr>
        <w:t xml:space="preserve">. </w:t>
      </w:r>
      <w:r w:rsidR="00131B4C" w:rsidRPr="00974D7B">
        <w:rPr>
          <w:bCs/>
        </w:rPr>
        <w:t xml:space="preserve">See </w:t>
      </w:r>
      <w:hyperlink r:id="rId22" w:history="1">
        <w:r w:rsidR="00131B4C" w:rsidRPr="00974D7B">
          <w:rPr>
            <w:rStyle w:val="Hyperlink"/>
            <w:bCs/>
          </w:rPr>
          <w:t>here</w:t>
        </w:r>
      </w:hyperlink>
      <w:r w:rsidR="00131B4C" w:rsidRPr="00974D7B">
        <w:rPr>
          <w:bCs/>
        </w:rPr>
        <w:t>.</w:t>
      </w:r>
    </w:p>
    <w:p w14:paraId="51EEDF95" w14:textId="38DBEC7D" w:rsidR="00B0022E" w:rsidRPr="00974D7B" w:rsidRDefault="002B3285" w:rsidP="00781DFB">
      <w:pPr>
        <w:keepNext/>
        <w:keepLines/>
        <w:tabs>
          <w:tab w:val="left" w:pos="540"/>
        </w:tabs>
        <w:spacing w:before="240" w:line="240" w:lineRule="atLeast"/>
        <w:jc w:val="both"/>
        <w:rPr>
          <w:rFonts w:eastAsia="MS Mincho"/>
          <w:b/>
        </w:rPr>
      </w:pPr>
      <w:r w:rsidRPr="00974D7B">
        <w:rPr>
          <w:b/>
        </w:rPr>
        <w:t>4</w:t>
      </w:r>
      <w:r w:rsidR="00D12115" w:rsidRPr="00974D7B">
        <w:rPr>
          <w:b/>
        </w:rPr>
        <w:t>.5</w:t>
      </w:r>
      <w:r w:rsidR="00D12115" w:rsidRPr="00974D7B">
        <w:rPr>
          <w:b/>
        </w:rPr>
        <w:tab/>
      </w:r>
      <w:r w:rsidR="00F72EBE" w:rsidRPr="00974D7B">
        <w:rPr>
          <w:b/>
        </w:rPr>
        <w:t xml:space="preserve">Environmental efficiency of digital technologies </w:t>
      </w:r>
    </w:p>
    <w:p w14:paraId="44EF87DB" w14:textId="6D87D435" w:rsidR="00684E52" w:rsidRPr="00974D7B" w:rsidRDefault="00684E52" w:rsidP="003371ED">
      <w:pPr>
        <w:keepNext/>
        <w:keepLines/>
        <w:jc w:val="both"/>
        <w:rPr>
          <w:rFonts w:eastAsia="MS Mincho"/>
        </w:rPr>
      </w:pPr>
      <w:r w:rsidRPr="00974D7B">
        <w:rPr>
          <w:rFonts w:eastAsia="MS Mincho"/>
        </w:rPr>
        <w:t>The environmental performance and</w:t>
      </w:r>
      <w:r w:rsidR="00595D46" w:rsidRPr="00974D7B">
        <w:rPr>
          <w:rFonts w:eastAsia="MS Mincho"/>
        </w:rPr>
        <w:t xml:space="preserve"> efficiency</w:t>
      </w:r>
      <w:r w:rsidRPr="00974D7B">
        <w:rPr>
          <w:rFonts w:eastAsia="MS Mincho"/>
        </w:rPr>
        <w:t xml:space="preserve"> aspects of digital and frontier technologies are studied under Question 6/5. </w:t>
      </w:r>
      <w:r w:rsidR="00D87DA5" w:rsidRPr="00974D7B">
        <w:rPr>
          <w:rFonts w:eastAsia="MS Mincho"/>
        </w:rPr>
        <w:t xml:space="preserve">These technologies are capable of unlocking the next level of efficiency for the public and manufacturing </w:t>
      </w:r>
      <w:r w:rsidR="00080B3A" w:rsidRPr="00974D7B">
        <w:rPr>
          <w:rFonts w:eastAsia="MS Mincho"/>
        </w:rPr>
        <w:t xml:space="preserve">sector, </w:t>
      </w:r>
      <w:r w:rsidR="00D87DA5" w:rsidRPr="00974D7B">
        <w:rPr>
          <w:rFonts w:eastAsia="MS Mincho"/>
        </w:rPr>
        <w:t xml:space="preserve">while accelerating progress on </w:t>
      </w:r>
      <w:r w:rsidR="00AA7A61" w:rsidRPr="00974D7B">
        <w:rPr>
          <w:rFonts w:eastAsia="MS Mincho"/>
        </w:rPr>
        <w:t>the SDGs</w:t>
      </w:r>
      <w:r w:rsidR="00D87DA5" w:rsidRPr="00974D7B">
        <w:rPr>
          <w:rFonts w:eastAsia="MS Mincho"/>
        </w:rPr>
        <w:t xml:space="preserve">. </w:t>
      </w:r>
      <w:r w:rsidR="003435A5" w:rsidRPr="00974D7B">
        <w:rPr>
          <w:rFonts w:eastAsia="MS Mincho"/>
        </w:rPr>
        <w:t xml:space="preserve">However, the environmental performance of digital and frontier technologies themselves is often overlooked. </w:t>
      </w:r>
      <w:r w:rsidRPr="00974D7B">
        <w:rPr>
          <w:rFonts w:eastAsia="MS Mincho"/>
        </w:rPr>
        <w:t>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w:t>
      </w:r>
      <w:r w:rsidR="006C52B3" w:rsidRPr="00974D7B">
        <w:rPr>
          <w:rFonts w:eastAsia="MS Mincho"/>
        </w:rPr>
        <w:t>,</w:t>
      </w:r>
      <w:r w:rsidRPr="00974D7B">
        <w:rPr>
          <w:rFonts w:eastAsia="MS Mincho"/>
        </w:rPr>
        <w:t xml:space="preserve"> and reference values for different type</w:t>
      </w:r>
      <w:r w:rsidR="00C91A4B">
        <w:rPr>
          <w:rFonts w:eastAsia="MS Mincho"/>
        </w:rPr>
        <w:t>s</w:t>
      </w:r>
      <w:r w:rsidRPr="00974D7B">
        <w:rPr>
          <w:rFonts w:eastAsia="MS Mincho"/>
        </w:rPr>
        <w:t xml:space="preserve"> of technologies.</w:t>
      </w:r>
    </w:p>
    <w:p w14:paraId="6475D888" w14:textId="065C3658" w:rsidR="0095225B" w:rsidRPr="00974D7B" w:rsidRDefault="00D04F13" w:rsidP="00EF3DDE">
      <w:pPr>
        <w:rPr>
          <w:bCs/>
        </w:rPr>
      </w:pPr>
      <w:r w:rsidRPr="00974D7B">
        <w:rPr>
          <w:bCs/>
        </w:rPr>
        <w:t>Q</w:t>
      </w:r>
      <w:r w:rsidR="0095225B" w:rsidRPr="00974D7B">
        <w:rPr>
          <w:bCs/>
        </w:rPr>
        <w:t>6</w:t>
      </w:r>
      <w:r w:rsidRPr="00974D7B">
        <w:rPr>
          <w:bCs/>
        </w:rPr>
        <w:t xml:space="preserve">/5 is currently working on </w:t>
      </w:r>
      <w:r w:rsidR="009849F1">
        <w:rPr>
          <w:rFonts w:hint="eastAsia"/>
          <w:bCs/>
          <w:lang w:eastAsia="zh-CN"/>
        </w:rPr>
        <w:t>24</w:t>
      </w:r>
      <w:r w:rsidR="00EF3DDE" w:rsidRPr="00974D7B">
        <w:rPr>
          <w:bCs/>
        </w:rPr>
        <w:t xml:space="preserve"> </w:t>
      </w:r>
      <w:r w:rsidRPr="00974D7B">
        <w:rPr>
          <w:bCs/>
        </w:rPr>
        <w:t>work items</w:t>
      </w:r>
      <w:r w:rsidR="005848F4" w:rsidRPr="00974D7B">
        <w:rPr>
          <w:bCs/>
        </w:rPr>
        <w:t>.</w:t>
      </w:r>
      <w:r w:rsidR="00131B4C" w:rsidRPr="00974D7B">
        <w:rPr>
          <w:bCs/>
        </w:rPr>
        <w:t xml:space="preserve"> See </w:t>
      </w:r>
      <w:hyperlink r:id="rId23" w:history="1">
        <w:r w:rsidR="00131B4C" w:rsidRPr="00974D7B">
          <w:rPr>
            <w:rStyle w:val="Hyperlink"/>
            <w:bCs/>
          </w:rPr>
          <w:t>here</w:t>
        </w:r>
      </w:hyperlink>
      <w:r w:rsidR="00131B4C" w:rsidRPr="00974D7B">
        <w:rPr>
          <w:bCs/>
        </w:rPr>
        <w:t>.</w:t>
      </w:r>
    </w:p>
    <w:p w14:paraId="30E5D677" w14:textId="496230AB" w:rsidR="00B0022E" w:rsidRPr="00974D7B" w:rsidRDefault="002B3285" w:rsidP="00781DFB">
      <w:pPr>
        <w:tabs>
          <w:tab w:val="left" w:pos="540"/>
        </w:tabs>
        <w:spacing w:before="240" w:line="240" w:lineRule="atLeast"/>
        <w:jc w:val="both"/>
        <w:rPr>
          <w:b/>
        </w:rPr>
      </w:pPr>
      <w:r w:rsidRPr="00974D7B">
        <w:rPr>
          <w:b/>
        </w:rPr>
        <w:t>4</w:t>
      </w:r>
      <w:r w:rsidR="00D12115" w:rsidRPr="00974D7B">
        <w:rPr>
          <w:b/>
        </w:rPr>
        <w:t>.6</w:t>
      </w:r>
      <w:r w:rsidR="00D12115" w:rsidRPr="00974D7B">
        <w:rPr>
          <w:b/>
        </w:rPr>
        <w:tab/>
      </w:r>
      <w:r w:rsidR="0042388D" w:rsidRPr="00974D7B">
        <w:rPr>
          <w:b/>
        </w:rPr>
        <w:t xml:space="preserve">E-waste, circular </w:t>
      </w:r>
      <w:r w:rsidR="00546383" w:rsidRPr="00974D7B">
        <w:rPr>
          <w:b/>
        </w:rPr>
        <w:t>economy,</w:t>
      </w:r>
      <w:r w:rsidR="0042388D" w:rsidRPr="00974D7B">
        <w:rPr>
          <w:b/>
        </w:rPr>
        <w:t xml:space="preserve"> and sustainable supply chain management </w:t>
      </w:r>
    </w:p>
    <w:p w14:paraId="0BC60479" w14:textId="05C85E4B" w:rsidR="00E1769B" w:rsidRDefault="00AC2204" w:rsidP="00781DFB">
      <w:pPr>
        <w:tabs>
          <w:tab w:val="left" w:pos="540"/>
        </w:tabs>
        <w:spacing w:line="240" w:lineRule="atLeast"/>
        <w:jc w:val="both"/>
        <w:rPr>
          <w:bCs/>
        </w:rPr>
      </w:pPr>
      <w:r w:rsidRPr="00974D7B">
        <w:rPr>
          <w:bCs/>
        </w:rPr>
        <w:t>The e-waste challenge</w:t>
      </w:r>
      <w:r w:rsidR="0071611D" w:rsidRPr="00974D7B">
        <w:rPr>
          <w:bCs/>
        </w:rPr>
        <w:t xml:space="preserve"> and the potential of </w:t>
      </w:r>
      <w:r w:rsidR="009A77FE" w:rsidRPr="00974D7B">
        <w:rPr>
          <w:bCs/>
        </w:rPr>
        <w:t xml:space="preserve">the circular economy to </w:t>
      </w:r>
      <w:r w:rsidR="00A64B4E" w:rsidRPr="00974D7B">
        <w:rPr>
          <w:bCs/>
        </w:rPr>
        <w:t xml:space="preserve">facilitate sustainability in ICTs and </w:t>
      </w:r>
      <w:r w:rsidR="00BD7AF1" w:rsidRPr="00974D7B">
        <w:rPr>
          <w:bCs/>
        </w:rPr>
        <w:t xml:space="preserve">add new values to supply chain management </w:t>
      </w:r>
      <w:r w:rsidRPr="00974D7B">
        <w:rPr>
          <w:bCs/>
        </w:rPr>
        <w:t>is studied by Question 7</w:t>
      </w:r>
      <w:r w:rsidR="00267E8F" w:rsidRPr="00974D7B">
        <w:rPr>
          <w:bCs/>
        </w:rPr>
        <w:t>/5</w:t>
      </w:r>
      <w:r w:rsidR="00401499" w:rsidRPr="00974D7B">
        <w:rPr>
          <w:bCs/>
        </w:rPr>
        <w:t xml:space="preserve">. </w:t>
      </w:r>
      <w:r w:rsidR="008F2A0D" w:rsidRPr="00974D7B">
        <w:rPr>
          <w:bCs/>
        </w:rPr>
        <w:t>This Question seeks to address the e-waste challenge by identifying the environmental requirements of digital technologies</w:t>
      </w:r>
      <w:r w:rsidR="006C52B3" w:rsidRPr="00974D7B">
        <w:rPr>
          <w:bCs/>
        </w:rPr>
        <w:t>,</w:t>
      </w:r>
      <w:r w:rsidR="008F2A0D" w:rsidRPr="00974D7B">
        <w:rPr>
          <w:bCs/>
        </w:rPr>
        <w:t xml:space="preserve"> including IoT, end-user equipment and ICT infrastructures or installations, based on the circular economy principles and improving the supply chain management. </w:t>
      </w:r>
    </w:p>
    <w:p w14:paraId="21D262BF" w14:textId="52A25A21" w:rsidR="00C96D2A" w:rsidRDefault="00C96D2A" w:rsidP="00781DFB">
      <w:pPr>
        <w:tabs>
          <w:tab w:val="left" w:pos="540"/>
        </w:tabs>
        <w:spacing w:line="240" w:lineRule="atLeast"/>
        <w:jc w:val="both"/>
        <w:rPr>
          <w:lang w:eastAsia="en-US"/>
        </w:rPr>
      </w:pPr>
    </w:p>
    <w:p w14:paraId="71A96DEC" w14:textId="1B01F756" w:rsidR="00C96D2A" w:rsidRPr="00974D7B" w:rsidRDefault="00C96D2A" w:rsidP="00781DFB">
      <w:pPr>
        <w:tabs>
          <w:tab w:val="left" w:pos="540"/>
        </w:tabs>
        <w:spacing w:line="240" w:lineRule="atLeast"/>
        <w:jc w:val="both"/>
        <w:rPr>
          <w:bCs/>
        </w:rPr>
      </w:pPr>
      <w:r w:rsidRPr="00C96D2A">
        <w:rPr>
          <w:bCs/>
        </w:rPr>
        <w:t>Circular models, such as urban mining, reuse, refurbishment, and recycling in the reverse supply and value chain, not only support a more circular economy but also facilitate social impact, considering the opportunities given by more structured information tools like the digital product passport.</w:t>
      </w:r>
    </w:p>
    <w:p w14:paraId="6ECC562E" w14:textId="46BFA97B" w:rsidR="00E80463" w:rsidRPr="00974D7B" w:rsidRDefault="00E80463" w:rsidP="00EF3DDE">
      <w:pPr>
        <w:rPr>
          <w:bCs/>
        </w:rPr>
      </w:pPr>
      <w:r w:rsidRPr="00974D7B">
        <w:rPr>
          <w:bCs/>
        </w:rPr>
        <w:t xml:space="preserve">Q7/5 is </w:t>
      </w:r>
      <w:r w:rsidR="008E279E" w:rsidRPr="00974D7B">
        <w:rPr>
          <w:bCs/>
        </w:rPr>
        <w:t>currently</w:t>
      </w:r>
      <w:r w:rsidRPr="00974D7B">
        <w:rPr>
          <w:bCs/>
        </w:rPr>
        <w:t xml:space="preserve"> working on </w:t>
      </w:r>
      <w:r w:rsidR="008A4855">
        <w:rPr>
          <w:rFonts w:hint="eastAsia"/>
          <w:bCs/>
          <w:lang w:eastAsia="zh-CN"/>
        </w:rPr>
        <w:t>14</w:t>
      </w:r>
      <w:r w:rsidR="002C59F5" w:rsidRPr="00974D7B">
        <w:rPr>
          <w:bCs/>
        </w:rPr>
        <w:t xml:space="preserve"> </w:t>
      </w:r>
      <w:r w:rsidR="008974F6" w:rsidRPr="00974D7B">
        <w:rPr>
          <w:bCs/>
        </w:rPr>
        <w:t xml:space="preserve">work items. </w:t>
      </w:r>
      <w:r w:rsidR="00131B4C" w:rsidRPr="00974D7B">
        <w:rPr>
          <w:bCs/>
        </w:rPr>
        <w:t xml:space="preserve">See </w:t>
      </w:r>
      <w:hyperlink r:id="rId24" w:history="1">
        <w:r w:rsidR="00131B4C" w:rsidRPr="00974D7B">
          <w:rPr>
            <w:rStyle w:val="Hyperlink"/>
            <w:bCs/>
          </w:rPr>
          <w:t>here</w:t>
        </w:r>
      </w:hyperlink>
      <w:r w:rsidR="00131B4C" w:rsidRPr="00974D7B">
        <w:rPr>
          <w:bCs/>
        </w:rPr>
        <w:t>.</w:t>
      </w:r>
    </w:p>
    <w:p w14:paraId="37C4945B" w14:textId="5F2D1A48" w:rsidR="00B0022E" w:rsidRPr="00974D7B" w:rsidRDefault="002B3285" w:rsidP="008120EC">
      <w:pPr>
        <w:keepNext/>
        <w:tabs>
          <w:tab w:val="left" w:pos="540"/>
        </w:tabs>
        <w:spacing w:before="240" w:line="240" w:lineRule="atLeast"/>
        <w:jc w:val="both"/>
        <w:rPr>
          <w:b/>
        </w:rPr>
      </w:pPr>
      <w:r w:rsidRPr="00974D7B">
        <w:rPr>
          <w:b/>
        </w:rPr>
        <w:t>4</w:t>
      </w:r>
      <w:r w:rsidR="00D12115" w:rsidRPr="00974D7B">
        <w:rPr>
          <w:b/>
        </w:rPr>
        <w:t>.7</w:t>
      </w:r>
      <w:r w:rsidR="00D12115" w:rsidRPr="00974D7B">
        <w:rPr>
          <w:b/>
        </w:rPr>
        <w:tab/>
      </w:r>
      <w:r w:rsidR="0073245A" w:rsidRPr="00974D7B">
        <w:rPr>
          <w:b/>
        </w:rPr>
        <w:t>Guides and terminology on environment</w:t>
      </w:r>
    </w:p>
    <w:p w14:paraId="63236CA9" w14:textId="7D1F5CCC" w:rsidR="0073245A" w:rsidRPr="00974D7B" w:rsidRDefault="0073245A" w:rsidP="0073245A">
      <w:pPr>
        <w:jc w:val="both"/>
      </w:pPr>
      <w:r w:rsidRPr="00974D7B">
        <w:rPr>
          <w:bCs/>
        </w:rPr>
        <w:t xml:space="preserve">The activities on the development of Guides and terminology on environment and climate change are studied </w:t>
      </w:r>
      <w:r w:rsidR="00053826" w:rsidRPr="00974D7B">
        <w:rPr>
          <w:bCs/>
        </w:rPr>
        <w:t>by</w:t>
      </w:r>
      <w:r w:rsidRPr="00974D7B">
        <w:rPr>
          <w:bCs/>
        </w:rPr>
        <w:t xml:space="preserve"> Question 8/5.</w:t>
      </w:r>
      <w:r w:rsidR="00C42DCF" w:rsidRPr="00974D7B">
        <w:rPr>
          <w:bCs/>
        </w:rPr>
        <w:t xml:space="preserve"> </w:t>
      </w:r>
      <w:r w:rsidRPr="00974D7B">
        <w:t xml:space="preserve">Q8/5 is tasked </w:t>
      </w:r>
      <w:r w:rsidR="006C52B3" w:rsidRPr="00974D7B">
        <w:t>with</w:t>
      </w:r>
      <w:r w:rsidR="002C59F5" w:rsidRPr="00974D7B">
        <w:t>:</w:t>
      </w:r>
      <w:r w:rsidR="006C52B3" w:rsidRPr="00974D7B">
        <w:t xml:space="preserve"> </w:t>
      </w:r>
      <w:r w:rsidRPr="00974D7B">
        <w:t>work</w:t>
      </w:r>
      <w:r w:rsidR="006C52B3" w:rsidRPr="00974D7B">
        <w:t>ing</w:t>
      </w:r>
      <w:r w:rsidRPr="00974D7B">
        <w:t xml:space="preserve"> on all terms, definitions, abbreviations, letter symbols and schematic symbols used in the ITU-T Study Group 5 Recommendations, Supplements, Handbooks and Directives; harmoniz</w:t>
      </w:r>
      <w:r w:rsidR="002C59F5" w:rsidRPr="00974D7B">
        <w:t>ing</w:t>
      </w:r>
      <w:r w:rsidRPr="00974D7B">
        <w:t xml:space="preserve"> with terminology used by other parties outside of ITU-T Study Group 5; and liais</w:t>
      </w:r>
      <w:r w:rsidR="002C59F5" w:rsidRPr="00974D7B">
        <w:t>ing</w:t>
      </w:r>
      <w:r w:rsidRPr="00974D7B">
        <w:t xml:space="preserve"> with other bodies regarding terminology used in the Study Group 5 Recommendations, among others.</w:t>
      </w:r>
    </w:p>
    <w:p w14:paraId="08839F88" w14:textId="77777777" w:rsidR="00131B4C" w:rsidRPr="00974D7B" w:rsidRDefault="00131B4C" w:rsidP="00A316F5">
      <w:pPr>
        <w:jc w:val="both"/>
      </w:pPr>
      <w:r w:rsidRPr="00974D7B">
        <w:t>Q8/5 works closely with ITU-T Standardization Committee for Vocabulary (SCV).</w:t>
      </w:r>
    </w:p>
    <w:p w14:paraId="2C07EDC8" w14:textId="72C24A3B" w:rsidR="00A316F5" w:rsidRPr="00974D7B" w:rsidRDefault="00A316F5" w:rsidP="00A316F5">
      <w:pPr>
        <w:jc w:val="both"/>
      </w:pPr>
      <w:r w:rsidRPr="008A4855">
        <w:t xml:space="preserve">Q8/5 is currently working on </w:t>
      </w:r>
      <w:r w:rsidR="00EF3DDE" w:rsidRPr="008A4855">
        <w:t>one</w:t>
      </w:r>
      <w:r w:rsidRPr="008A4855">
        <w:t xml:space="preserve"> work item</w:t>
      </w:r>
      <w:r w:rsidR="000D25F9" w:rsidRPr="008A4855">
        <w:t>.</w:t>
      </w:r>
      <w:r w:rsidR="00131B4C" w:rsidRPr="008A4855">
        <w:t xml:space="preserve"> See </w:t>
      </w:r>
      <w:hyperlink r:id="rId25" w:history="1">
        <w:r w:rsidR="00131B4C" w:rsidRPr="008A4855">
          <w:rPr>
            <w:rStyle w:val="Hyperlink"/>
          </w:rPr>
          <w:t>here</w:t>
        </w:r>
      </w:hyperlink>
      <w:r w:rsidR="00131B4C" w:rsidRPr="008A4855">
        <w:t>.</w:t>
      </w:r>
    </w:p>
    <w:p w14:paraId="13BD001C" w14:textId="2D35BDE9" w:rsidR="00B0022E" w:rsidRPr="00974D7B" w:rsidRDefault="002B3285" w:rsidP="00464DA6">
      <w:pPr>
        <w:keepNext/>
        <w:spacing w:before="240"/>
        <w:jc w:val="both"/>
        <w:rPr>
          <w:b/>
        </w:rPr>
      </w:pPr>
      <w:r w:rsidRPr="00974D7B">
        <w:rPr>
          <w:b/>
        </w:rPr>
        <w:t>4</w:t>
      </w:r>
      <w:r w:rsidR="00D12115" w:rsidRPr="00974D7B">
        <w:rPr>
          <w:b/>
        </w:rPr>
        <w:t>.8</w:t>
      </w:r>
      <w:r w:rsidR="00D12115" w:rsidRPr="00974D7B">
        <w:rPr>
          <w:b/>
        </w:rPr>
        <w:tab/>
      </w:r>
      <w:r w:rsidR="00A316F5" w:rsidRPr="00974D7B">
        <w:rPr>
          <w:b/>
        </w:rPr>
        <w:t>Climate change and assessment of digital technologies in the framework of the Sustainable Development Goals (SDGs) and the Paris Agreement</w:t>
      </w:r>
    </w:p>
    <w:p w14:paraId="5222DABA" w14:textId="4C99EE82" w:rsidR="00A83931" w:rsidRPr="00974D7B" w:rsidRDefault="008A2AE0" w:rsidP="009863E1">
      <w:pPr>
        <w:keepNext/>
        <w:tabs>
          <w:tab w:val="left" w:pos="1151"/>
        </w:tabs>
        <w:spacing w:line="240" w:lineRule="atLeast"/>
        <w:jc w:val="both"/>
      </w:pPr>
      <w:r w:rsidRPr="00974D7B">
        <w:t>Question</w:t>
      </w:r>
      <w:r w:rsidR="00131B4C" w:rsidRPr="00974D7B">
        <w:t xml:space="preserve"> </w:t>
      </w:r>
      <w:r w:rsidRPr="00974D7B">
        <w:t>9/5 aims to develop assessment methodologies and guidance that allow objective, transparent and practical assessments of the sustainability impacts of digital technologies, including information and communication technologies (ICTs), artificial intelligence</w:t>
      </w:r>
      <w:r w:rsidR="00A365D1" w:rsidRPr="00974D7B">
        <w:t xml:space="preserve"> and</w:t>
      </w:r>
      <w:r w:rsidRPr="00974D7B">
        <w:t xml:space="preserve"> 5G, in order to align their developmental trajectories with the Paris Agreement and the United Nations Sustainable Development Agenda.</w:t>
      </w:r>
      <w:r w:rsidR="00F83686" w:rsidRPr="00974D7B">
        <w:t xml:space="preserve"> This Question also aims to study how environmental assessments may be used </w:t>
      </w:r>
      <w:r w:rsidR="00F83686" w:rsidRPr="00974D7B">
        <w:lastRenderedPageBreak/>
        <w:t>in the frame of broader sustainable development assessments</w:t>
      </w:r>
      <w:r w:rsidR="00A365D1" w:rsidRPr="00974D7B">
        <w:t>,</w:t>
      </w:r>
      <w:r w:rsidR="00F83686" w:rsidRPr="00974D7B">
        <w:t xml:space="preserve"> including economic, environmental and social assessments.</w:t>
      </w:r>
    </w:p>
    <w:p w14:paraId="1584BC72" w14:textId="1B3FD2A1" w:rsidR="009E572E" w:rsidRPr="00974D7B" w:rsidRDefault="00B51A3A" w:rsidP="00661C28">
      <w:pPr>
        <w:tabs>
          <w:tab w:val="left" w:pos="1151"/>
        </w:tabs>
        <w:spacing w:line="240" w:lineRule="atLeast"/>
        <w:jc w:val="both"/>
        <w:rPr>
          <w:bCs/>
        </w:rPr>
      </w:pPr>
      <w:r w:rsidRPr="00974D7B">
        <w:rPr>
          <w:bCs/>
        </w:rPr>
        <w:t xml:space="preserve">Q9/5 is currently working on </w:t>
      </w:r>
      <w:r w:rsidR="008A4855">
        <w:rPr>
          <w:rFonts w:hint="eastAsia"/>
          <w:bCs/>
          <w:lang w:eastAsia="zh-CN"/>
        </w:rPr>
        <w:t>34</w:t>
      </w:r>
      <w:r w:rsidR="00EF3DDE" w:rsidRPr="00974D7B">
        <w:rPr>
          <w:bCs/>
        </w:rPr>
        <w:t xml:space="preserve"> </w:t>
      </w:r>
      <w:r w:rsidRPr="00974D7B">
        <w:rPr>
          <w:bCs/>
        </w:rPr>
        <w:t>work items</w:t>
      </w:r>
      <w:r w:rsidR="00794214" w:rsidRPr="00974D7B">
        <w:rPr>
          <w:bCs/>
        </w:rPr>
        <w:t xml:space="preserve">. </w:t>
      </w:r>
      <w:r w:rsidR="00131B4C" w:rsidRPr="00974D7B">
        <w:rPr>
          <w:bCs/>
        </w:rPr>
        <w:t xml:space="preserve">See </w:t>
      </w:r>
      <w:hyperlink r:id="rId26" w:history="1">
        <w:r w:rsidR="00131B4C" w:rsidRPr="00974D7B">
          <w:rPr>
            <w:rStyle w:val="Hyperlink"/>
            <w:bCs/>
          </w:rPr>
          <w:t>here</w:t>
        </w:r>
      </w:hyperlink>
      <w:r w:rsidR="00131B4C" w:rsidRPr="00974D7B">
        <w:rPr>
          <w:bCs/>
        </w:rPr>
        <w:t xml:space="preserve">. </w:t>
      </w:r>
    </w:p>
    <w:p w14:paraId="77095E98" w14:textId="3AE3B9A1" w:rsidR="00105FA9" w:rsidRPr="00974D7B" w:rsidRDefault="002B3285" w:rsidP="00781DFB">
      <w:pPr>
        <w:keepNext/>
        <w:spacing w:before="240"/>
        <w:jc w:val="both"/>
        <w:rPr>
          <w:b/>
        </w:rPr>
      </w:pPr>
      <w:r w:rsidRPr="00974D7B">
        <w:rPr>
          <w:b/>
        </w:rPr>
        <w:t>4</w:t>
      </w:r>
      <w:r w:rsidR="008B2E55" w:rsidRPr="00974D7B">
        <w:rPr>
          <w:b/>
        </w:rPr>
        <w:t>.9</w:t>
      </w:r>
      <w:r w:rsidR="008B2E55" w:rsidRPr="00974D7B">
        <w:rPr>
          <w:b/>
        </w:rPr>
        <w:tab/>
      </w:r>
      <w:r w:rsidR="00105FA9" w:rsidRPr="00974D7B">
        <w:rPr>
          <w:b/>
        </w:rPr>
        <w:t xml:space="preserve">Climate change mitigation and smart energy solutions </w:t>
      </w:r>
    </w:p>
    <w:p w14:paraId="20CBC691" w14:textId="1A22B22A" w:rsidR="00A8242E" w:rsidRPr="00974D7B" w:rsidRDefault="003474E1" w:rsidP="00781DFB">
      <w:pPr>
        <w:keepLines/>
        <w:jc w:val="both"/>
      </w:pPr>
      <w:r w:rsidRPr="00974D7B">
        <w:t xml:space="preserve">The </w:t>
      </w:r>
      <w:r w:rsidR="00977787" w:rsidRPr="00974D7B">
        <w:t>use of</w:t>
      </w:r>
      <w:r w:rsidR="00BF0FC3" w:rsidRPr="00974D7B">
        <w:t xml:space="preserve"> </w:t>
      </w:r>
      <w:r w:rsidR="00E41163" w:rsidRPr="00974D7B">
        <w:t xml:space="preserve">ICTs and </w:t>
      </w:r>
      <w:r w:rsidR="00BF0FC3" w:rsidRPr="00974D7B">
        <w:t xml:space="preserve">smart technologies to </w:t>
      </w:r>
      <w:r w:rsidR="00397FE0" w:rsidRPr="00974D7B">
        <w:t xml:space="preserve">improve </w:t>
      </w:r>
      <w:r w:rsidR="00D93A47" w:rsidRPr="00974D7B">
        <w:t>th</w:t>
      </w:r>
      <w:r w:rsidR="000D1D65" w:rsidRPr="00974D7B">
        <w:t>e</w:t>
      </w:r>
      <w:r w:rsidR="00D93A47" w:rsidRPr="00974D7B">
        <w:t xml:space="preserve"> efficiency of </w:t>
      </w:r>
      <w:r w:rsidR="00397FE0" w:rsidRPr="00974D7B">
        <w:t xml:space="preserve">energy </w:t>
      </w:r>
      <w:r w:rsidR="002637E4" w:rsidRPr="00974D7B">
        <w:t xml:space="preserve">management </w:t>
      </w:r>
      <w:r w:rsidR="00397FE0" w:rsidRPr="00974D7B">
        <w:t>systems</w:t>
      </w:r>
      <w:r w:rsidR="00222F2A" w:rsidRPr="00974D7B">
        <w:t xml:space="preserve"> and</w:t>
      </w:r>
      <w:r w:rsidR="007E6558" w:rsidRPr="00974D7B">
        <w:t xml:space="preserve"> reduce carbon emission</w:t>
      </w:r>
      <w:r w:rsidR="000253FC" w:rsidRPr="00974D7B">
        <w:t>s</w:t>
      </w:r>
      <w:r w:rsidR="00C66FD2" w:rsidRPr="00974D7B">
        <w:t xml:space="preserve"> </w:t>
      </w:r>
      <w:r w:rsidR="007806E0" w:rsidRPr="00974D7B">
        <w:t>is being studied by</w:t>
      </w:r>
      <w:r w:rsidR="0024685F" w:rsidRPr="00974D7B">
        <w:t xml:space="preserve"> </w:t>
      </w:r>
      <w:r w:rsidR="00670D68" w:rsidRPr="00974D7B">
        <w:t>Question 11</w:t>
      </w:r>
      <w:r w:rsidR="00C40A06" w:rsidRPr="00974D7B">
        <w:t>/5.</w:t>
      </w:r>
      <w:r w:rsidR="00C66FD2" w:rsidRPr="00974D7B">
        <w:t xml:space="preserve"> </w:t>
      </w:r>
      <w:r w:rsidR="00C375D4" w:rsidRPr="00974D7B">
        <w:t xml:space="preserve">This </w:t>
      </w:r>
      <w:r w:rsidR="00105FA9" w:rsidRPr="00974D7B">
        <w:t>Question aims to develop standards, guidance, Supplements and/or Technical Reports to</w:t>
      </w:r>
      <w:r w:rsidR="00C91A4B">
        <w:t>:</w:t>
      </w:r>
      <w:r w:rsidR="00105FA9" w:rsidRPr="00974D7B">
        <w:t xml:space="preserve"> create a smart energy system using ICT and digital technologies such as artificial intelligence</w:t>
      </w:r>
      <w:r w:rsidR="00C91A4B">
        <w:t>;</w:t>
      </w:r>
      <w:r w:rsidR="003B3764" w:rsidRPr="00974D7B">
        <w:t xml:space="preserve"> apply</w:t>
      </w:r>
      <w:r w:rsidR="00B82087" w:rsidRPr="00974D7B">
        <w:t xml:space="preserve"> smart energy solutions to achieve a low-carbon economy</w:t>
      </w:r>
      <w:r w:rsidR="00C91A4B">
        <w:t>;</w:t>
      </w:r>
      <w:r w:rsidR="00F836A6" w:rsidRPr="00974D7B">
        <w:t xml:space="preserve"> </w:t>
      </w:r>
      <w:r w:rsidR="005A710C" w:rsidRPr="00974D7B">
        <w:t xml:space="preserve">and </w:t>
      </w:r>
      <w:r w:rsidR="00F836A6" w:rsidRPr="00974D7B">
        <w:t xml:space="preserve">develop effective and efficient ICT and digital </w:t>
      </w:r>
      <w:r w:rsidR="00C770EE" w:rsidRPr="00974D7B">
        <w:t>technologies-based</w:t>
      </w:r>
      <w:r w:rsidR="0054562B" w:rsidRPr="00974D7B">
        <w:t xml:space="preserve"> solutions for energy management</w:t>
      </w:r>
      <w:r w:rsidR="00913B13" w:rsidRPr="00974D7B">
        <w:t xml:space="preserve"> and energy saving solutions</w:t>
      </w:r>
      <w:r w:rsidR="00D257C3" w:rsidRPr="00974D7B">
        <w:t xml:space="preserve">. </w:t>
      </w:r>
    </w:p>
    <w:p w14:paraId="755AD780" w14:textId="016B2302" w:rsidR="007B7938" w:rsidRPr="00974D7B" w:rsidRDefault="00BC197B" w:rsidP="00EE6AB1">
      <w:pPr>
        <w:jc w:val="both"/>
        <w:rPr>
          <w:bCs/>
        </w:rPr>
      </w:pPr>
      <w:r w:rsidRPr="00974D7B">
        <w:rPr>
          <w:bCs/>
        </w:rPr>
        <w:t xml:space="preserve">Q11/5 is currently working on </w:t>
      </w:r>
      <w:r w:rsidR="00C115BB">
        <w:rPr>
          <w:rFonts w:hint="eastAsia"/>
          <w:bCs/>
          <w:lang w:eastAsia="zh-CN"/>
        </w:rPr>
        <w:t>16</w:t>
      </w:r>
      <w:r w:rsidR="00A356E9" w:rsidRPr="00974D7B">
        <w:rPr>
          <w:bCs/>
        </w:rPr>
        <w:t xml:space="preserve"> </w:t>
      </w:r>
      <w:r w:rsidRPr="00974D7B">
        <w:rPr>
          <w:bCs/>
        </w:rPr>
        <w:t>work items</w:t>
      </w:r>
      <w:r w:rsidR="00D67039" w:rsidRPr="00974D7B">
        <w:rPr>
          <w:bCs/>
        </w:rPr>
        <w:t xml:space="preserve">. </w:t>
      </w:r>
      <w:r w:rsidR="002B3285" w:rsidRPr="00974D7B">
        <w:rPr>
          <w:bCs/>
        </w:rPr>
        <w:t xml:space="preserve">See </w:t>
      </w:r>
      <w:hyperlink r:id="rId27" w:history="1">
        <w:r w:rsidR="002B3285" w:rsidRPr="00974D7B">
          <w:rPr>
            <w:rStyle w:val="Hyperlink"/>
            <w:bCs/>
          </w:rPr>
          <w:t>here</w:t>
        </w:r>
      </w:hyperlink>
      <w:r w:rsidR="002B3285" w:rsidRPr="00974D7B">
        <w:rPr>
          <w:bCs/>
        </w:rPr>
        <w:t>.</w:t>
      </w:r>
    </w:p>
    <w:p w14:paraId="7DD5708D" w14:textId="1315B246" w:rsidR="006E5E8D" w:rsidRPr="00974D7B" w:rsidRDefault="002B3285" w:rsidP="00781DFB">
      <w:pPr>
        <w:spacing w:before="240"/>
        <w:jc w:val="both"/>
        <w:rPr>
          <w:b/>
        </w:rPr>
      </w:pPr>
      <w:r w:rsidRPr="00974D7B">
        <w:rPr>
          <w:b/>
        </w:rPr>
        <w:t>4</w:t>
      </w:r>
      <w:r w:rsidR="00AF235B" w:rsidRPr="00974D7B">
        <w:rPr>
          <w:b/>
        </w:rPr>
        <w:t>.10</w:t>
      </w:r>
      <w:r w:rsidR="00AF235B" w:rsidRPr="00974D7B">
        <w:rPr>
          <w:b/>
        </w:rPr>
        <w:tab/>
      </w:r>
      <w:r w:rsidR="006E5E8D" w:rsidRPr="00974D7B">
        <w:rPr>
          <w:b/>
        </w:rPr>
        <w:t xml:space="preserve">Adaptation to climate change through sustainable and resilient digital technologies </w:t>
      </w:r>
    </w:p>
    <w:p w14:paraId="5D69B139" w14:textId="51FFAB06" w:rsidR="00C54BFA" w:rsidRPr="00974D7B" w:rsidRDefault="007852ED" w:rsidP="006E5E8D">
      <w:pPr>
        <w:jc w:val="both"/>
      </w:pPr>
      <w:r w:rsidRPr="00974D7B">
        <w:t xml:space="preserve">The </w:t>
      </w:r>
      <w:r w:rsidR="006C3976" w:rsidRPr="00974D7B">
        <w:t xml:space="preserve">use </w:t>
      </w:r>
      <w:r w:rsidR="00FA5F35" w:rsidRPr="00974D7B">
        <w:t>of sustainable</w:t>
      </w:r>
      <w:r w:rsidR="002108BA" w:rsidRPr="00974D7B">
        <w:t xml:space="preserve"> and </w:t>
      </w:r>
      <w:r w:rsidR="004F20AA" w:rsidRPr="00974D7B">
        <w:t>resilient ICTs</w:t>
      </w:r>
      <w:r w:rsidRPr="00974D7B">
        <w:t xml:space="preserve"> </w:t>
      </w:r>
      <w:r w:rsidR="002108BA" w:rsidRPr="00974D7B">
        <w:t xml:space="preserve">and digital technologies </w:t>
      </w:r>
      <w:r w:rsidR="0009714A" w:rsidRPr="00974D7B">
        <w:t xml:space="preserve">to </w:t>
      </w:r>
      <w:r w:rsidR="00055266" w:rsidRPr="00974D7B">
        <w:t xml:space="preserve">adapt to the effects of climate change </w:t>
      </w:r>
      <w:r w:rsidR="006C3976" w:rsidRPr="00974D7B">
        <w:t>is being studied by</w:t>
      </w:r>
      <w:r w:rsidR="00055266" w:rsidRPr="00974D7B">
        <w:t xml:space="preserve"> Question 12/5. </w:t>
      </w:r>
      <w:r w:rsidR="006E5E8D" w:rsidRPr="00974D7B">
        <w:t>This Question looks</w:t>
      </w:r>
      <w:r w:rsidR="004F20AA" w:rsidRPr="00974D7B">
        <w:t xml:space="preserve"> to</w:t>
      </w:r>
      <w:r w:rsidR="006E5E8D" w:rsidRPr="00974D7B">
        <w:t xml:space="preserve"> support the development of energy efficiency ICT architectures, add energy</w:t>
      </w:r>
      <w:r w:rsidR="00C375D4" w:rsidRPr="00974D7B">
        <w:t>-</w:t>
      </w:r>
      <w:r w:rsidR="006E5E8D" w:rsidRPr="00974D7B">
        <w:t>saving features to ICTs equipment and applications, improve air</w:t>
      </w:r>
      <w:r w:rsidR="00240CA1" w:rsidRPr="00974D7B">
        <w:t>-</w:t>
      </w:r>
      <w:r w:rsidR="006E5E8D" w:rsidRPr="00974D7B">
        <w:t>flow controlling technology, cooling technology and renewable energy systems</w:t>
      </w:r>
      <w:r w:rsidR="00622294" w:rsidRPr="00974D7B">
        <w:t>,</w:t>
      </w:r>
      <w:r w:rsidR="006E5E8D" w:rsidRPr="00974D7B">
        <w:t xml:space="preserve"> and more. </w:t>
      </w:r>
      <w:r w:rsidR="00D10B23" w:rsidRPr="00974D7B">
        <w:t xml:space="preserve">It also recognizes the lack of adequate broadband infrastructure in rural areas. </w:t>
      </w:r>
      <w:r w:rsidR="00A509B2" w:rsidRPr="00974D7B">
        <w:t xml:space="preserve">Question 12/5 aims to develop Recommendations, </w:t>
      </w:r>
      <w:r w:rsidR="00946C4E" w:rsidRPr="00974D7B">
        <w:t>S</w:t>
      </w:r>
      <w:r w:rsidR="00A509B2" w:rsidRPr="00974D7B">
        <w:t xml:space="preserve">upplements and/or Technical </w:t>
      </w:r>
      <w:r w:rsidR="00C75F46" w:rsidRPr="00974D7B">
        <w:t>R</w:t>
      </w:r>
      <w:r w:rsidR="00A509B2" w:rsidRPr="00974D7B">
        <w:t>eports that support the deployment of digital technologies in accelerating climate adaptation actions. Particular emphasis has been placed on expanding the capacity of rural communities and areas to build and maintain climate</w:t>
      </w:r>
      <w:r w:rsidR="00A356E9" w:rsidRPr="00974D7B">
        <w:t>-</w:t>
      </w:r>
      <w:r w:rsidR="00A509B2" w:rsidRPr="00974D7B">
        <w:t>resilient ICT infrastructures.</w:t>
      </w:r>
    </w:p>
    <w:p w14:paraId="10C672BD" w14:textId="16B7A4FA" w:rsidR="00C54BFA" w:rsidRPr="00974D7B" w:rsidRDefault="00AD5FF3" w:rsidP="006E5E8D">
      <w:pPr>
        <w:jc w:val="both"/>
        <w:rPr>
          <w:bCs/>
        </w:rPr>
      </w:pPr>
      <w:r w:rsidRPr="00974D7B">
        <w:rPr>
          <w:bCs/>
        </w:rPr>
        <w:t xml:space="preserve">Q12/5 is currently working on </w:t>
      </w:r>
      <w:r w:rsidR="00C115BB">
        <w:rPr>
          <w:rFonts w:hint="eastAsia"/>
          <w:bCs/>
          <w:lang w:eastAsia="zh-CN"/>
        </w:rPr>
        <w:t>seven</w:t>
      </w:r>
      <w:r w:rsidR="009E572E" w:rsidRPr="00974D7B">
        <w:rPr>
          <w:bCs/>
        </w:rPr>
        <w:t xml:space="preserve"> </w:t>
      </w:r>
      <w:r w:rsidRPr="00974D7B">
        <w:rPr>
          <w:bCs/>
        </w:rPr>
        <w:t xml:space="preserve">work items. </w:t>
      </w:r>
      <w:r w:rsidR="002B3285" w:rsidRPr="00974D7B">
        <w:rPr>
          <w:bCs/>
        </w:rPr>
        <w:t xml:space="preserve">See </w:t>
      </w:r>
      <w:hyperlink r:id="rId28" w:history="1">
        <w:r w:rsidR="002B3285" w:rsidRPr="00974D7B">
          <w:rPr>
            <w:rStyle w:val="Hyperlink"/>
            <w:bCs/>
          </w:rPr>
          <w:t>here</w:t>
        </w:r>
      </w:hyperlink>
      <w:r w:rsidR="002B3285" w:rsidRPr="00974D7B">
        <w:rPr>
          <w:bCs/>
        </w:rPr>
        <w:t xml:space="preserve">. </w:t>
      </w:r>
    </w:p>
    <w:p w14:paraId="3D434932" w14:textId="69604643" w:rsidR="006279B8" w:rsidRPr="00974D7B" w:rsidRDefault="002B3285" w:rsidP="00781DFB">
      <w:pPr>
        <w:spacing w:before="240"/>
        <w:jc w:val="both"/>
        <w:rPr>
          <w:b/>
        </w:rPr>
      </w:pPr>
      <w:r w:rsidRPr="00974D7B">
        <w:rPr>
          <w:b/>
        </w:rPr>
        <w:t>4</w:t>
      </w:r>
      <w:r w:rsidR="009179CD" w:rsidRPr="00974D7B">
        <w:rPr>
          <w:b/>
        </w:rPr>
        <w:t>.1</w:t>
      </w:r>
      <w:r w:rsidR="005C3F50" w:rsidRPr="00974D7B">
        <w:rPr>
          <w:b/>
        </w:rPr>
        <w:t>1</w:t>
      </w:r>
      <w:r w:rsidR="009179CD" w:rsidRPr="00974D7B">
        <w:rPr>
          <w:b/>
        </w:rPr>
        <w:tab/>
      </w:r>
      <w:r w:rsidR="00C9004E" w:rsidRPr="00974D7B">
        <w:rPr>
          <w:b/>
        </w:rPr>
        <w:t>Building circular and sustainable cities and communities</w:t>
      </w:r>
    </w:p>
    <w:p w14:paraId="6FC582CB" w14:textId="2986B1B5" w:rsidR="006279B8" w:rsidRPr="00974D7B" w:rsidRDefault="005F1113" w:rsidP="00C9004E">
      <w:pPr>
        <w:jc w:val="both"/>
      </w:pPr>
      <w:r w:rsidRPr="00974D7B">
        <w:t xml:space="preserve">The </w:t>
      </w:r>
      <w:r w:rsidR="005F3AC1" w:rsidRPr="00974D7B">
        <w:t xml:space="preserve">building of </w:t>
      </w:r>
      <w:r w:rsidR="00590007" w:rsidRPr="00974D7B">
        <w:t xml:space="preserve">circular and </w:t>
      </w:r>
      <w:r w:rsidR="00521F40" w:rsidRPr="00974D7B">
        <w:t>sustainable</w:t>
      </w:r>
      <w:r w:rsidR="00590007" w:rsidRPr="00974D7B">
        <w:t xml:space="preserve"> cities and communities </w:t>
      </w:r>
      <w:r w:rsidR="00FD4136" w:rsidRPr="00974D7B">
        <w:t>is being studied by Question 13/5</w:t>
      </w:r>
      <w:r w:rsidRPr="00974D7B">
        <w:t xml:space="preserve">. </w:t>
      </w:r>
      <w:r w:rsidR="00C375D4" w:rsidRPr="00974D7B">
        <w:t xml:space="preserve">This </w:t>
      </w:r>
      <w:r w:rsidR="005235D8" w:rsidRPr="00974D7B">
        <w:t>Question aims to develop Recommendations, Supplements and/or Technical Reports identifying requirements and providing guidance, innovative frameworks and tools that support the transition to a circular city.</w:t>
      </w:r>
    </w:p>
    <w:p w14:paraId="5E897C53" w14:textId="6DD6C865" w:rsidR="003723A5" w:rsidRDefault="00B60B43" w:rsidP="005025B2">
      <w:pPr>
        <w:tabs>
          <w:tab w:val="left" w:pos="794"/>
          <w:tab w:val="left" w:pos="1191"/>
          <w:tab w:val="left" w:pos="1588"/>
          <w:tab w:val="left" w:pos="1985"/>
        </w:tabs>
        <w:overflowPunct w:val="0"/>
        <w:autoSpaceDE w:val="0"/>
        <w:autoSpaceDN w:val="0"/>
        <w:adjustRightInd w:val="0"/>
        <w:jc w:val="both"/>
      </w:pPr>
      <w:r w:rsidRPr="00974D7B">
        <w:rPr>
          <w:bCs/>
        </w:rPr>
        <w:t xml:space="preserve">Q13/5 is currently working on </w:t>
      </w:r>
      <w:r w:rsidR="00C115BB">
        <w:rPr>
          <w:rFonts w:hint="eastAsia"/>
          <w:bCs/>
          <w:lang w:eastAsia="zh-CN"/>
        </w:rPr>
        <w:t>three</w:t>
      </w:r>
      <w:r w:rsidR="000D25F9" w:rsidRPr="00974D7B">
        <w:rPr>
          <w:bCs/>
        </w:rPr>
        <w:t xml:space="preserve"> </w:t>
      </w:r>
      <w:r w:rsidRPr="00974D7B">
        <w:rPr>
          <w:bCs/>
        </w:rPr>
        <w:t>work item</w:t>
      </w:r>
      <w:r w:rsidR="001C1C2C" w:rsidRPr="00974D7B">
        <w:rPr>
          <w:bCs/>
        </w:rPr>
        <w:t>s</w:t>
      </w:r>
      <w:r w:rsidRPr="00974D7B">
        <w:rPr>
          <w:bCs/>
        </w:rPr>
        <w:t xml:space="preserve">. </w:t>
      </w:r>
      <w:r w:rsidR="002B3285" w:rsidRPr="00974D7B">
        <w:rPr>
          <w:bCs/>
        </w:rPr>
        <w:t xml:space="preserve">See </w:t>
      </w:r>
      <w:hyperlink r:id="rId29" w:history="1">
        <w:r w:rsidR="002B3285" w:rsidRPr="00974D7B">
          <w:rPr>
            <w:rStyle w:val="Hyperlink"/>
            <w:bCs/>
          </w:rPr>
          <w:t>here</w:t>
        </w:r>
      </w:hyperlink>
      <w:r w:rsidR="002B3285" w:rsidRPr="00974D7B">
        <w:rPr>
          <w:bCs/>
        </w:rPr>
        <w:t>.</w:t>
      </w:r>
    </w:p>
    <w:p w14:paraId="4D3F9999" w14:textId="5383EEAC" w:rsidR="00B0022E" w:rsidRPr="005621F0" w:rsidRDefault="002B3285" w:rsidP="00781DFB">
      <w:pPr>
        <w:keepLines/>
        <w:spacing w:before="360"/>
        <w:jc w:val="both"/>
        <w:rPr>
          <w:b/>
        </w:rPr>
      </w:pPr>
      <w:r>
        <w:rPr>
          <w:b/>
          <w:bCs/>
        </w:rPr>
        <w:t>5</w:t>
      </w:r>
      <w:r w:rsidR="00D12115" w:rsidRPr="005621F0">
        <w:rPr>
          <w:b/>
          <w:bCs/>
        </w:rPr>
        <w:tab/>
      </w:r>
      <w:r w:rsidR="00D12115" w:rsidRPr="005621F0">
        <w:rPr>
          <w:b/>
        </w:rPr>
        <w:t>Collaboration with other SGs and external organizations</w:t>
      </w:r>
    </w:p>
    <w:p w14:paraId="7DF57996" w14:textId="5910A6DF" w:rsidR="005B3B7B" w:rsidRDefault="002B3285">
      <w:pPr>
        <w:jc w:val="both"/>
        <w:rPr>
          <w:rFonts w:eastAsia="MS Mincho"/>
        </w:rPr>
      </w:pPr>
      <w:r w:rsidRPr="00936DE2">
        <w:rPr>
          <w:rFonts w:eastAsia="MS Mincho"/>
        </w:rPr>
        <w:t xml:space="preserve">ITU-T SG5 </w:t>
      </w:r>
      <w:r w:rsidR="00255006" w:rsidRPr="00936DE2">
        <w:rPr>
          <w:rFonts w:eastAsia="MS Mincho"/>
        </w:rPr>
        <w:t xml:space="preserve">collaborates with several ITU Study Groups, SDOs, UN Agencies and other organizations to strengthen the work on environment, climate action and circular economy. </w:t>
      </w:r>
      <w:r w:rsidR="00936DE2" w:rsidRPr="00936DE2">
        <w:rPr>
          <w:rFonts w:eastAsia="MS Mincho"/>
        </w:rPr>
        <w:t>Details for each Working Party are described in the following paragraphs.</w:t>
      </w:r>
      <w:r w:rsidR="00936DE2">
        <w:rPr>
          <w:rFonts w:eastAsia="MS Mincho"/>
        </w:rPr>
        <w:t xml:space="preserve"> </w:t>
      </w:r>
      <w:r w:rsidR="00255006" w:rsidRPr="00936DE2">
        <w:rPr>
          <w:rFonts w:eastAsia="MS Mincho"/>
        </w:rPr>
        <w:t xml:space="preserve">ITU-T SG5 representatives </w:t>
      </w:r>
      <w:r w:rsidR="00936DE2">
        <w:rPr>
          <w:rFonts w:eastAsia="MS Mincho"/>
        </w:rPr>
        <w:t xml:space="preserve">also </w:t>
      </w:r>
      <w:r w:rsidR="00255006" w:rsidRPr="00936DE2">
        <w:rPr>
          <w:rFonts w:eastAsia="MS Mincho"/>
        </w:rPr>
        <w:t>participate in the ITU Intersectoral Coordination and provide updates of its activities.</w:t>
      </w:r>
      <w:r w:rsidR="00255006">
        <w:rPr>
          <w:rFonts w:eastAsia="MS Mincho"/>
        </w:rPr>
        <w:t xml:space="preserve"> </w:t>
      </w:r>
    </w:p>
    <w:p w14:paraId="1BF46C29" w14:textId="4FB30088" w:rsidR="00B0022E" w:rsidRPr="005621F0" w:rsidRDefault="00D12115">
      <w:pPr>
        <w:jc w:val="both"/>
        <w:rPr>
          <w:rFonts w:eastAsia="MS Mincho"/>
        </w:rPr>
      </w:pPr>
      <w:r w:rsidRPr="005621F0">
        <w:rPr>
          <w:rFonts w:eastAsia="MS Mincho"/>
        </w:rPr>
        <w:t xml:space="preserve">WP1/5 maintains collaboration with ITU-T SG15 on conformance and interoperability, IEC TC81 and CENELEC TC 81X on lightning protection, IEC TC 108 on safety (especially on remote power feeding), </w:t>
      </w:r>
      <w:r w:rsidR="00A376C3" w:rsidRPr="00A376C3">
        <w:rPr>
          <w:rFonts w:eastAsia="Times New Roman"/>
          <w:color w:val="000000"/>
        </w:rPr>
        <w:t>IEEE PES SPDC</w:t>
      </w:r>
      <w:r w:rsidR="00A376C3">
        <w:rPr>
          <w:rFonts w:eastAsia="Times New Roman"/>
          <w:color w:val="000000"/>
        </w:rPr>
        <w:t xml:space="preserve">, </w:t>
      </w:r>
      <w:r w:rsidRPr="005621F0">
        <w:rPr>
          <w:rFonts w:eastAsia="MS Mincho"/>
        </w:rPr>
        <w:t>IEC SC 37A and 37B on surge protective devices, IEC SC 77B on high frequency transients, and ETSI ERM on lightning protection, CIGRÉ, CIRED and UIC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50CF8526" w:rsidR="00B0022E" w:rsidRPr="00BC15D1" w:rsidRDefault="00D12115" w:rsidP="005B3B7B">
      <w:pPr>
        <w:jc w:val="both"/>
        <w:rPr>
          <w:rFonts w:eastAsia="MS Mincho"/>
        </w:rPr>
      </w:pPr>
      <w:r w:rsidRPr="005621F0">
        <w:rPr>
          <w:rFonts w:eastAsia="MS Mincho"/>
        </w:rPr>
        <w:t xml:space="preserve">It also maintains collaboration with </w:t>
      </w:r>
      <w:r w:rsidR="00484A21" w:rsidRPr="005621F0">
        <w:rPr>
          <w:rFonts w:eastAsia="MS Mincho"/>
        </w:rPr>
        <w:t xml:space="preserve">ITU-T </w:t>
      </w:r>
      <w:r w:rsidRPr="005621F0">
        <w:rPr>
          <w:rFonts w:eastAsia="MS Mincho"/>
        </w:rPr>
        <w:t>SG9</w:t>
      </w:r>
      <w:r w:rsidR="0095217D">
        <w:rPr>
          <w:rFonts w:eastAsia="MS Mincho"/>
        </w:rPr>
        <w:t>,</w:t>
      </w:r>
      <w:r w:rsidRPr="005621F0">
        <w:rPr>
          <w:rFonts w:eastAsia="MS Mincho"/>
        </w:rPr>
        <w:t xml:space="preserve"> ITU-R WP1A, </w:t>
      </w:r>
      <w:r w:rsidR="00525997" w:rsidRPr="005621F0">
        <w:rPr>
          <w:rFonts w:eastAsia="MS Mincho"/>
        </w:rPr>
        <w:t xml:space="preserve">WP1C, WP4A, </w:t>
      </w:r>
      <w:r w:rsidRPr="005621F0">
        <w:rPr>
          <w:rFonts w:eastAsia="MS Mincho"/>
        </w:rPr>
        <w:t xml:space="preserve">WP4C, </w:t>
      </w:r>
      <w:r w:rsidR="00525997" w:rsidRPr="005621F0">
        <w:rPr>
          <w:rFonts w:eastAsia="MS Mincho"/>
        </w:rPr>
        <w:t>WP5A,</w:t>
      </w:r>
      <w:r w:rsidRPr="005621F0">
        <w:rPr>
          <w:rFonts w:eastAsia="MS Mincho"/>
        </w:rPr>
        <w:t xml:space="preserve"> WP5B</w:t>
      </w:r>
      <w:r w:rsidR="00525997" w:rsidRPr="005621F0">
        <w:rPr>
          <w:rFonts w:eastAsia="MS Mincho"/>
        </w:rPr>
        <w:t>, WP5C, WP5D</w:t>
      </w:r>
      <w:r w:rsidR="00242602">
        <w:rPr>
          <w:rFonts w:eastAsia="MS Mincho"/>
        </w:rPr>
        <w:t>,</w:t>
      </w:r>
      <w:r w:rsidR="00525997" w:rsidRPr="005621F0">
        <w:rPr>
          <w:rFonts w:eastAsia="MS Mincho"/>
        </w:rPr>
        <w:t xml:space="preserve"> WP6A</w:t>
      </w:r>
      <w:r w:rsidRPr="005621F0">
        <w:rPr>
          <w:rFonts w:eastAsia="MS Mincho"/>
        </w:rPr>
        <w:t xml:space="preserve"> </w:t>
      </w:r>
      <w:r w:rsidR="0095217D">
        <w:rPr>
          <w:rFonts w:eastAsia="MS Mincho"/>
        </w:rPr>
        <w:t xml:space="preserve">and IEC TC 77 </w:t>
      </w:r>
      <w:r w:rsidRPr="005621F0">
        <w:rPr>
          <w:rFonts w:eastAsia="MS Mincho"/>
        </w:rPr>
        <w:t xml:space="preserve">on EMC issues; </w:t>
      </w:r>
      <w:r w:rsidRPr="00BC15D1">
        <w:rPr>
          <w:rFonts w:eastAsia="MS Mincho"/>
        </w:rPr>
        <w:t xml:space="preserve">with ITU-D, WHO, ICNRIP and IEC TC106 on topics on assessment of human exposure to electromagnetic fields (RF EMF); with </w:t>
      </w:r>
      <w:r w:rsidR="00E12F95" w:rsidRPr="00BC15D1">
        <w:rPr>
          <w:rFonts w:eastAsia="MS Mincho"/>
        </w:rPr>
        <w:t xml:space="preserve">ITU-T </w:t>
      </w:r>
      <w:r w:rsidRPr="00BC15D1">
        <w:rPr>
          <w:rFonts w:eastAsia="MS Mincho"/>
        </w:rPr>
        <w:t xml:space="preserve">SG17 and IEC SC77C on topics on </w:t>
      </w:r>
      <w:r w:rsidR="00AF4ACE" w:rsidRPr="00BC15D1">
        <w:rPr>
          <w:rFonts w:eastAsia="MS Mincho"/>
        </w:rPr>
        <w:t>s</w:t>
      </w:r>
      <w:r w:rsidRPr="00BC15D1">
        <w:rPr>
          <w:rFonts w:eastAsia="MS Mincho"/>
        </w:rPr>
        <w:t xml:space="preserve">ecurity of telecommunication and information systems concerning the electromagnetic environment. WP1/5 </w:t>
      </w:r>
      <w:r w:rsidR="00FC5E94" w:rsidRPr="00BC15D1">
        <w:rPr>
          <w:rFonts w:eastAsia="MS Mincho"/>
        </w:rPr>
        <w:t xml:space="preserve">also </w:t>
      </w:r>
      <w:r w:rsidR="00AF4ACE" w:rsidRPr="00BC15D1">
        <w:rPr>
          <w:rFonts w:eastAsia="MS Mincho"/>
        </w:rPr>
        <w:t xml:space="preserve">collaborates </w:t>
      </w:r>
      <w:r w:rsidRPr="00BC15D1">
        <w:rPr>
          <w:rFonts w:eastAsia="MS Mincho"/>
        </w:rPr>
        <w:t xml:space="preserve">with </w:t>
      </w:r>
      <w:r w:rsidR="00E12F95" w:rsidRPr="00BC15D1">
        <w:rPr>
          <w:rFonts w:eastAsia="MS Mincho"/>
        </w:rPr>
        <w:t xml:space="preserve">ITU-T </w:t>
      </w:r>
      <w:r w:rsidRPr="00BC15D1">
        <w:rPr>
          <w:rFonts w:eastAsia="MS Mincho"/>
        </w:rPr>
        <w:t>SG12,</w:t>
      </w:r>
      <w:r w:rsidR="003F5FE1" w:rsidRPr="00BC15D1">
        <w:rPr>
          <w:rFonts w:eastAsia="MS Mincho"/>
        </w:rPr>
        <w:t xml:space="preserve"> </w:t>
      </w:r>
      <w:r w:rsidRPr="00BC15D1">
        <w:rPr>
          <w:rFonts w:eastAsia="MS Mincho"/>
        </w:rPr>
        <w:t xml:space="preserve">IEC TC47 </w:t>
      </w:r>
      <w:r w:rsidRPr="00BC15D1">
        <w:rPr>
          <w:rFonts w:eastAsia="MS Mincho"/>
        </w:rPr>
        <w:lastRenderedPageBreak/>
        <w:t>and IEC TC 107 for studies on soft error by particle radiations. Additionally, WP1/5 exchange</w:t>
      </w:r>
      <w:r w:rsidR="00AF4ACE" w:rsidRPr="00BC15D1">
        <w:rPr>
          <w:rFonts w:eastAsia="MS Mincho"/>
        </w:rPr>
        <w:t>s</w:t>
      </w:r>
      <w:r w:rsidRPr="00BC15D1">
        <w:rPr>
          <w:rFonts w:eastAsia="MS Mincho"/>
        </w:rPr>
        <w:t xml:space="preserve"> information with IEC SC77B, SC77C, TC106 and CISPR through liaison</w:t>
      </w:r>
      <w:r w:rsidR="00AF4ACE" w:rsidRPr="00BC15D1">
        <w:rPr>
          <w:rFonts w:eastAsia="MS Mincho"/>
        </w:rPr>
        <w:t>s</w:t>
      </w:r>
      <w:r w:rsidRPr="00BC15D1">
        <w:rPr>
          <w:rFonts w:eastAsia="MS Mincho"/>
        </w:rPr>
        <w:t xml:space="preserve"> with IEC ACEC. WP1/5 also maintains collaboration with CISPR/I.</w:t>
      </w:r>
    </w:p>
    <w:p w14:paraId="151FF69B" w14:textId="4FCB0887" w:rsidR="00896F8B" w:rsidRDefault="00D12115" w:rsidP="00E51801">
      <w:pPr>
        <w:jc w:val="both"/>
      </w:pPr>
      <w:r w:rsidRPr="005621F0">
        <w:t xml:space="preserve">WP2/5 </w:t>
      </w:r>
      <w:r w:rsidR="00303D69">
        <w:t xml:space="preserve">and </w:t>
      </w:r>
      <w:r w:rsidR="00303D69" w:rsidRPr="005621F0">
        <w:t>WP</w:t>
      </w:r>
      <w:r w:rsidR="00303D69">
        <w:t>3</w:t>
      </w:r>
      <w:r w:rsidR="00303D69" w:rsidRPr="005621F0">
        <w:t>/5</w:t>
      </w:r>
      <w:r w:rsidR="00303D69">
        <w:t xml:space="preserve"> </w:t>
      </w:r>
      <w:r w:rsidRPr="005621F0">
        <w:t>maintains close collaboration with ETSI TC EE, ITU-T SG11; ITU-T SG2; FAO</w:t>
      </w:r>
      <w:r w:rsidR="0048745D" w:rsidRPr="005621F0">
        <w:t xml:space="preserve">, </w:t>
      </w:r>
      <w:r w:rsidR="00A376C3" w:rsidRPr="00CF3D03">
        <w:rPr>
          <w:rFonts w:eastAsia="Times New Roman"/>
          <w:szCs w:val="20"/>
          <w:lang w:val="en-US" w:eastAsia="en-GB"/>
        </w:rPr>
        <w:t>CEN</w:t>
      </w:r>
      <w:r w:rsidR="00A376C3" w:rsidRPr="00F67986">
        <w:rPr>
          <w:rFonts w:eastAsia="Times New Roman"/>
          <w:szCs w:val="20"/>
          <w:lang w:val="en-US" w:eastAsia="en-GB"/>
        </w:rPr>
        <w:t>-CENELEC (SABE)</w:t>
      </w:r>
      <w:r w:rsidRPr="005621F0">
        <w:t>and the World Bank on ICTs and adaptation to the effects of climate change topics; with IEC SEG4 on advance and low impact power feeding solutions and with</w:t>
      </w:r>
      <w:r w:rsidR="008C4487" w:rsidRPr="005621F0">
        <w:t xml:space="preserve"> </w:t>
      </w:r>
      <w:r w:rsidRPr="005621F0">
        <w:t xml:space="preserve">3GPP; </w:t>
      </w:r>
      <w:r w:rsidR="008C4487" w:rsidRPr="005621F0">
        <w:t xml:space="preserve">ATIS; </w:t>
      </w:r>
      <w:r w:rsidRPr="005621F0">
        <w:t xml:space="preserve">CCSA; </w:t>
      </w:r>
      <w:r w:rsidR="008C4487" w:rsidRPr="00255006">
        <w:t>CEDARE; ETNO</w:t>
      </w:r>
      <w:r w:rsidRPr="00255006">
        <w:t xml:space="preserve">; ETSI TC ATTM, </w:t>
      </w:r>
      <w:r w:rsidR="008C4487" w:rsidRPr="00255006">
        <w:t xml:space="preserve">FG AI4H; FG ML5G; FG NET2030; FG-VM; </w:t>
      </w:r>
      <w:r w:rsidRPr="00255006">
        <w:t xml:space="preserve">ISO; IEC; IEEE; CEN/CLC/JTC 10; </w:t>
      </w:r>
      <w:r w:rsidR="00721F7F" w:rsidRPr="00255006">
        <w:rPr>
          <w:lang w:val="en-US" w:eastAsia="zh-CN"/>
        </w:rPr>
        <w:t xml:space="preserve">IEC </w:t>
      </w:r>
      <w:proofErr w:type="spellStart"/>
      <w:r w:rsidR="00721F7F" w:rsidRPr="00255006">
        <w:rPr>
          <w:lang w:val="en-US" w:eastAsia="zh-CN"/>
        </w:rPr>
        <w:t>SyC</w:t>
      </w:r>
      <w:proofErr w:type="spellEnd"/>
      <w:r w:rsidR="00721F7F" w:rsidRPr="00255006">
        <w:rPr>
          <w:lang w:val="en-US" w:eastAsia="zh-CN"/>
        </w:rPr>
        <w:t xml:space="preserve"> LVDC; </w:t>
      </w:r>
      <w:r w:rsidRPr="00255006">
        <w:t xml:space="preserve">JCA-IMT2020; </w:t>
      </w:r>
      <w:r w:rsidR="008C4487" w:rsidRPr="00255006">
        <w:t>JCA-IoT</w:t>
      </w:r>
      <w:r w:rsidR="00063A1D" w:rsidRPr="00255006">
        <w:t>;</w:t>
      </w:r>
      <w:r w:rsidR="008C4487" w:rsidRPr="00255006">
        <w:t xml:space="preserve"> </w:t>
      </w:r>
      <w:r w:rsidR="00063A1D" w:rsidRPr="00255006">
        <w:t xml:space="preserve">JCA-ML </w:t>
      </w:r>
      <w:r w:rsidR="008C4487" w:rsidRPr="00255006">
        <w:t xml:space="preserve">and SC&amp;C; </w:t>
      </w:r>
      <w:r w:rsidR="002B3285" w:rsidRPr="00255006">
        <w:t>ITU-T Study Groups</w:t>
      </w:r>
      <w:r w:rsidR="00E6010D" w:rsidRPr="00255006">
        <w:t xml:space="preserve">, </w:t>
      </w:r>
      <w:r w:rsidR="008C4487" w:rsidRPr="00255006">
        <w:t>SCV</w:t>
      </w:r>
      <w:r w:rsidR="00E6010D">
        <w:t>, ISO TC323</w:t>
      </w:r>
      <w:r w:rsidR="00A376C3">
        <w:t>,</w:t>
      </w:r>
      <w:r w:rsidR="00A376C3" w:rsidRPr="00A376C3">
        <w:t xml:space="preserve"> </w:t>
      </w:r>
      <w:r w:rsidR="00A376C3" w:rsidRPr="00566C9F">
        <w:t>CEN/CENELEC/ETSI SF-SSCC</w:t>
      </w:r>
      <w:r w:rsidR="00E6010D">
        <w:t xml:space="preserve"> “Circular Economy”</w:t>
      </w:r>
      <w:r w:rsidRPr="005621F0">
        <w:t xml:space="preserve"> on e-waste management, energy efficiency, circular economy and other green ICT standard topics.</w:t>
      </w:r>
      <w:r w:rsidR="004C34D3">
        <w:t xml:space="preserve"> </w:t>
      </w:r>
    </w:p>
    <w:p w14:paraId="3136F412" w14:textId="4433F239" w:rsidR="00896F8B" w:rsidRDefault="00896F8B" w:rsidP="00E51801">
      <w:pPr>
        <w:jc w:val="both"/>
      </w:pPr>
      <w:r>
        <w:t xml:space="preserve">WP2/5 and WP3/5 collaborate with ITU-D SG2 on aspects related to Environment, Climate Change and Circular </w:t>
      </w:r>
      <w:r w:rsidR="00FC5E94">
        <w:t>E</w:t>
      </w:r>
      <w:r>
        <w:t xml:space="preserve">conomy and with ITU-R Study Groups on topics related to energy efficiency and GHG emissions of broadcasting services. </w:t>
      </w:r>
    </w:p>
    <w:p w14:paraId="720CD27A" w14:textId="66959FCA" w:rsidR="00E51801" w:rsidRPr="00E51801" w:rsidRDefault="004C34D3" w:rsidP="00E51801">
      <w:pPr>
        <w:jc w:val="both"/>
      </w:pPr>
      <w:r>
        <w:t xml:space="preserve">WP2/5 </w:t>
      </w:r>
      <w:r w:rsidR="00E6010D">
        <w:t xml:space="preserve">has also collaborated with </w:t>
      </w:r>
      <w:r w:rsidR="00E6010D" w:rsidRPr="00E6010D">
        <w:t xml:space="preserve">ISO/TMBG/CCCC </w:t>
      </w:r>
      <w:r w:rsidR="00622294">
        <w:t>“</w:t>
      </w:r>
      <w:r w:rsidR="00E6010D" w:rsidRPr="00E6010D">
        <w:t>Climate Change Coordination Committee (CCCC)</w:t>
      </w:r>
      <w:r w:rsidR="00622294">
        <w:t>”</w:t>
      </w:r>
      <w:r w:rsidR="00E6010D">
        <w:t xml:space="preserve">. </w:t>
      </w:r>
      <w:r w:rsidR="00345468" w:rsidRPr="005621F0">
        <w:rPr>
          <w:rFonts w:eastAsia="MS Mincho"/>
        </w:rPr>
        <w:t xml:space="preserve">Additionally, </w:t>
      </w:r>
      <w:r w:rsidR="00E51801" w:rsidRPr="00E51801">
        <w:rPr>
          <w:rFonts w:eastAsia="MS Mincho"/>
        </w:rPr>
        <w:t xml:space="preserve">WP2/5 exchanges information with ISO TC 207, CEN/CLC environmental TC, </w:t>
      </w:r>
      <w:r w:rsidR="00E51801" w:rsidRPr="00B8077B">
        <w:rPr>
          <w:rFonts w:eastAsia="MS Mincho"/>
        </w:rPr>
        <w:t xml:space="preserve">IEC </w:t>
      </w:r>
      <w:proofErr w:type="spellStart"/>
      <w:r w:rsidR="00E51801" w:rsidRPr="00B8077B">
        <w:rPr>
          <w:rFonts w:eastAsia="MS Mincho"/>
        </w:rPr>
        <w:t>SyC</w:t>
      </w:r>
      <w:proofErr w:type="spellEnd"/>
      <w:r w:rsidR="00E51801" w:rsidRPr="00B8077B">
        <w:rPr>
          <w:rFonts w:eastAsia="MS Mincho"/>
        </w:rPr>
        <w:t xml:space="preserve"> Smart Cities</w:t>
      </w:r>
      <w:r w:rsidR="00E51801" w:rsidRPr="00E51801">
        <w:rPr>
          <w:rFonts w:eastAsia="MS Mincho"/>
        </w:rPr>
        <w:t xml:space="preserve"> through liaisons with IEC ACEA. </w:t>
      </w:r>
    </w:p>
    <w:p w14:paraId="3BC5344B" w14:textId="6A72BA0A" w:rsidR="00272C04" w:rsidRDefault="0048745D">
      <w:pPr>
        <w:jc w:val="both"/>
      </w:pPr>
      <w:r w:rsidRPr="00911DF7">
        <w:t xml:space="preserve">Additionally, WP2/5 </w:t>
      </w:r>
      <w:r w:rsidR="00546383" w:rsidRPr="00911DF7">
        <w:t>and WP3/5 collaborate</w:t>
      </w:r>
      <w:r w:rsidRPr="00911DF7">
        <w:t xml:space="preserve"> closely with GSMA, GESI, SBTi and IEA on the topics related to </w:t>
      </w:r>
      <w:r w:rsidR="0051443C" w:rsidRPr="00911DF7">
        <w:t>GHG emissions trajectories for the ICT sector</w:t>
      </w:r>
      <w:r w:rsidR="00896F8B">
        <w:t xml:space="preserve"> and Scope 3 emissions</w:t>
      </w:r>
      <w:r w:rsidR="0051443C" w:rsidRPr="00911DF7">
        <w:t>.</w:t>
      </w:r>
      <w:r w:rsidR="00896F8B">
        <w:t xml:space="preserve"> Furthermore, the group is collaborating closely with AIOTI on topics related to the enablement aspects of ICT and digital technologies.</w:t>
      </w:r>
      <w:r w:rsidR="00272C04" w:rsidRPr="00911DF7">
        <w:t xml:space="preserve"> </w:t>
      </w:r>
      <w:r w:rsidR="006576EE" w:rsidRPr="00911DF7">
        <w:t>ITU-T SG5 collaborate</w:t>
      </w:r>
      <w:r w:rsidR="00AF4ACE" w:rsidRPr="00911DF7">
        <w:t>s</w:t>
      </w:r>
      <w:r w:rsidR="006576EE" w:rsidRPr="00911DF7">
        <w:t xml:space="preserve"> and cooperate</w:t>
      </w:r>
      <w:r w:rsidR="00AF4ACE" w:rsidRPr="00911DF7">
        <w:t>s</w:t>
      </w:r>
      <w:r w:rsidR="006576EE" w:rsidRPr="00911DF7">
        <w:t xml:space="preserve"> with the Basel Convention and UNIDO on e-waste management</w:t>
      </w:r>
      <w:r w:rsidR="00BD56A4" w:rsidRPr="00911DF7">
        <w:t xml:space="preserve">. </w:t>
      </w:r>
    </w:p>
    <w:p w14:paraId="4B72C88E" w14:textId="20DB5988" w:rsidR="00673979" w:rsidRDefault="008B28B9">
      <w:pPr>
        <w:jc w:val="both"/>
      </w:pPr>
      <w:r w:rsidRPr="00911DF7">
        <w:t xml:space="preserve">ITU-T SG5 </w:t>
      </w:r>
      <w:r w:rsidR="002243B2">
        <w:t>is</w:t>
      </w:r>
      <w:r w:rsidR="00CB127B">
        <w:t xml:space="preserve"> an </w:t>
      </w:r>
      <w:r w:rsidR="002243B2">
        <w:t>active collaborat</w:t>
      </w:r>
      <w:r w:rsidR="00CB127B">
        <w:t>or</w:t>
      </w:r>
      <w:r w:rsidR="002243B2">
        <w:t xml:space="preserve"> with CODES and </w:t>
      </w:r>
      <w:proofErr w:type="spellStart"/>
      <w:r w:rsidR="002243B2">
        <w:t>OnePlanet</w:t>
      </w:r>
      <w:proofErr w:type="spellEnd"/>
      <w:r w:rsidR="002243B2">
        <w:t xml:space="preserve"> Network on the impact initiative of Digital for Circular Economy (D4CE). </w:t>
      </w:r>
    </w:p>
    <w:p w14:paraId="31FA1DEC" w14:textId="170FD6B9" w:rsidR="00983555" w:rsidRPr="00983555" w:rsidRDefault="00BC15D1" w:rsidP="008120EC">
      <w:pPr>
        <w:keepNext/>
        <w:keepLines/>
        <w:tabs>
          <w:tab w:val="left" w:pos="567"/>
        </w:tabs>
        <w:spacing w:before="360"/>
        <w:jc w:val="both"/>
        <w:rPr>
          <w:b/>
          <w:bCs/>
        </w:rPr>
      </w:pPr>
      <w:r w:rsidRPr="16C20DCF">
        <w:rPr>
          <w:b/>
          <w:bCs/>
        </w:rPr>
        <w:t>6</w:t>
      </w:r>
      <w:r>
        <w:tab/>
      </w:r>
      <w:r w:rsidR="00983555" w:rsidRPr="16C20DCF">
        <w:rPr>
          <w:b/>
          <w:bCs/>
        </w:rPr>
        <w:t>ITU-T Study Group 5 Regional Groups</w:t>
      </w:r>
    </w:p>
    <w:p w14:paraId="635AC5D1" w14:textId="77777777" w:rsidR="00983555" w:rsidRPr="00983555" w:rsidRDefault="00983555" w:rsidP="008120EC">
      <w:pPr>
        <w:keepNext/>
      </w:pPr>
      <w:r>
        <w:t>ITU-T Study Group 5 has the following Regional Groups:</w:t>
      </w:r>
    </w:p>
    <w:p w14:paraId="5EF574B2" w14:textId="2DF440C9" w:rsidR="5CC67C58" w:rsidRDefault="00BE7947" w:rsidP="00EE588F">
      <w:pPr>
        <w:pStyle w:val="ListParagraph"/>
        <w:numPr>
          <w:ilvl w:val="0"/>
          <w:numId w:val="5"/>
        </w:numPr>
        <w:jc w:val="both"/>
      </w:pPr>
      <w:hyperlink r:id="rId30">
        <w:r w:rsidR="5CC67C58" w:rsidRPr="16C20DCF">
          <w:rPr>
            <w:rStyle w:val="Hyperlink"/>
          </w:rPr>
          <w:t>ITU-T Regional Group for the Arab Region</w:t>
        </w:r>
      </w:hyperlink>
    </w:p>
    <w:p w14:paraId="297C5DCB" w14:textId="2ABD593C" w:rsidR="5CC67C58" w:rsidRDefault="5CC67C58" w:rsidP="16C20DCF">
      <w:pPr>
        <w:ind w:left="720"/>
        <w:jc w:val="both"/>
      </w:pPr>
      <w:r>
        <w:t xml:space="preserve">ITU-T SG5 Regional Group for the Arab Region (SG5RG-ARB) met in Muscat-Sultanate of Oman, from 13–16 May 2024. The SG5 Secretariat presented the report as contained in </w:t>
      </w:r>
      <w:hyperlink r:id="rId31">
        <w:r w:rsidRPr="16C20DCF">
          <w:rPr>
            <w:rStyle w:val="Hyperlink"/>
          </w:rPr>
          <w:t>TD1561</w:t>
        </w:r>
      </w:hyperlink>
      <w:r>
        <w:t>.</w:t>
      </w:r>
      <w:r>
        <w:br/>
        <w:t xml:space="preserve">The meeting was collocated with the </w:t>
      </w:r>
      <w:hyperlink r:id="rId32">
        <w:r w:rsidRPr="16C20DCF">
          <w:rPr>
            <w:rStyle w:val="Hyperlink"/>
          </w:rPr>
          <w:t>ITU Regional Workshop on EMF Harmony: Balancing Connectivity, Safety and Tower Location Selection in the Arab Region</w:t>
        </w:r>
      </w:hyperlink>
      <w:r>
        <w:t xml:space="preserve"> from 13–16 May 2024.</w:t>
      </w:r>
      <w:r>
        <w:br/>
        <w:t xml:space="preserve">Additionally, the revised Terms of Reference of SG5RG-ARB were presented, and approval was requested. During the closing plenary, the SG5 meeting approved the revised </w:t>
      </w:r>
      <w:proofErr w:type="spellStart"/>
      <w:r>
        <w:t>ToR</w:t>
      </w:r>
      <w:proofErr w:type="spellEnd"/>
      <w:r>
        <w:t xml:space="preserve"> as contained in </w:t>
      </w:r>
      <w:hyperlink r:id="rId33">
        <w:r w:rsidRPr="16C20DCF">
          <w:rPr>
            <w:rStyle w:val="Hyperlink"/>
          </w:rPr>
          <w:t>TD1560</w:t>
        </w:r>
      </w:hyperlink>
      <w:r>
        <w:t>.</w:t>
      </w:r>
    </w:p>
    <w:p w14:paraId="7FA0BE94" w14:textId="4081E8C5" w:rsidR="1BC5E471" w:rsidRDefault="00BE7947" w:rsidP="00EE588F">
      <w:pPr>
        <w:pStyle w:val="ListParagraph"/>
        <w:numPr>
          <w:ilvl w:val="0"/>
          <w:numId w:val="4"/>
        </w:numPr>
        <w:jc w:val="both"/>
      </w:pPr>
      <w:hyperlink r:id="rId34">
        <w:r w:rsidR="1BC5E471" w:rsidRPr="16C20DCF">
          <w:rPr>
            <w:rStyle w:val="Hyperlink"/>
          </w:rPr>
          <w:t>ITU-T Regional Group for Africa</w:t>
        </w:r>
      </w:hyperlink>
    </w:p>
    <w:p w14:paraId="01F936C5" w14:textId="40B86490" w:rsidR="1BC5E471" w:rsidRDefault="1BC5E471" w:rsidP="16C20DCF">
      <w:pPr>
        <w:ind w:left="720"/>
        <w:jc w:val="both"/>
      </w:pPr>
      <w:r>
        <w:t xml:space="preserve">ITU-T SG5 Regional Group for Africa (SG5RG-AFR) met in Ouagadougou, Burkina Faso, from 7–9 May 2024. The SG5RG-AFR Chair presented the report as contained in </w:t>
      </w:r>
      <w:hyperlink r:id="rId35">
        <w:r w:rsidRPr="16C20DCF">
          <w:rPr>
            <w:rStyle w:val="Hyperlink"/>
          </w:rPr>
          <w:t>TD1558</w:t>
        </w:r>
      </w:hyperlink>
      <w:r>
        <w:t>.</w:t>
      </w:r>
      <w:r>
        <w:br/>
        <w:t xml:space="preserve">The meeting was collocated with the </w:t>
      </w:r>
      <w:hyperlink r:id="rId36">
        <w:r w:rsidRPr="16C20DCF">
          <w:rPr>
            <w:rStyle w:val="Hyperlink"/>
          </w:rPr>
          <w:t>15th Symposium on ICT, Environment, Climate Change and Circular Economy</w:t>
        </w:r>
      </w:hyperlink>
      <w:r>
        <w:t xml:space="preserve"> from 7 to 9 May 2024.</w:t>
      </w:r>
    </w:p>
    <w:p w14:paraId="088AEF9A" w14:textId="42FB9607" w:rsidR="1BC5E471" w:rsidRDefault="00BE7947" w:rsidP="00EE588F">
      <w:pPr>
        <w:pStyle w:val="ListParagraph"/>
        <w:numPr>
          <w:ilvl w:val="0"/>
          <w:numId w:val="3"/>
        </w:numPr>
      </w:pPr>
      <w:hyperlink r:id="rId37">
        <w:r w:rsidR="1BC5E471" w:rsidRPr="16C20DCF">
          <w:rPr>
            <w:rStyle w:val="Hyperlink"/>
          </w:rPr>
          <w:t>ITU-T Regional Group for the Latin America</w:t>
        </w:r>
        <w:r w:rsidR="1BC5E471">
          <w:br/>
        </w:r>
      </w:hyperlink>
      <w:r w:rsidR="1BC5E471">
        <w:t>ITU-T SG5 Regional Group for the Latin America (SG5RG-LATAM) will convene its meeting on 5 September 2024 in Lima, Perú.</w:t>
      </w:r>
      <w:r w:rsidR="1BC5E471">
        <w:br/>
      </w:r>
      <w:hyperlink r:id="rId38">
        <w:r w:rsidR="1BC5E471" w:rsidRPr="16C20DCF">
          <w:rPr>
            <w:rStyle w:val="Hyperlink"/>
          </w:rPr>
          <w:t>TD1506</w:t>
        </w:r>
      </w:hyperlink>
      <w:r w:rsidR="1BC5E471">
        <w:t xml:space="preserve"> contains the request to consider the appointment of Ms Lina Zuluaga from the Agency of the National Spectrum of Colombia as Chair of SG5RG-LATAM in replacement of Miguel Felipe Anzola. The appointment was approved by the meeting.</w:t>
      </w:r>
    </w:p>
    <w:p w14:paraId="6A778E57" w14:textId="189B6C76" w:rsidR="00983555" w:rsidRDefault="00BC15D1" w:rsidP="00781DFB">
      <w:pPr>
        <w:keepNext/>
        <w:keepLines/>
        <w:spacing w:before="360"/>
        <w:rPr>
          <w:b/>
          <w:bCs/>
        </w:rPr>
      </w:pPr>
      <w:r>
        <w:rPr>
          <w:b/>
          <w:bCs/>
        </w:rPr>
        <w:lastRenderedPageBreak/>
        <w:t>7</w:t>
      </w:r>
      <w:r w:rsidR="00983555" w:rsidRPr="00983555">
        <w:rPr>
          <w:b/>
          <w:bCs/>
        </w:rPr>
        <w:tab/>
        <w:t>ITU-T Study Group 5 preparation for WTSA-24</w:t>
      </w:r>
    </w:p>
    <w:p w14:paraId="38CAC537" w14:textId="77777777" w:rsidR="00312630" w:rsidRPr="00312630" w:rsidRDefault="00312630" w:rsidP="00312630">
      <w:r w:rsidRPr="00312630">
        <w:t>The SG5 WTSA-24 preparation ad hoc group was established at the ITU-T SG5 meeting, 13–23 June 2023, in Sophia Antipolis, France.</w:t>
      </w:r>
    </w:p>
    <w:p w14:paraId="57D43E3F" w14:textId="77777777" w:rsidR="00312630" w:rsidRPr="00312630" w:rsidRDefault="00312630" w:rsidP="00312630">
      <w:r w:rsidRPr="00312630">
        <w:t>The Co-Conveners of this group were:</w:t>
      </w:r>
    </w:p>
    <w:p w14:paraId="0464D826" w14:textId="1B8D1D98" w:rsidR="00312630" w:rsidRPr="00312630" w:rsidRDefault="00312630" w:rsidP="00EE588F">
      <w:pPr>
        <w:pStyle w:val="ListParagraph"/>
        <w:numPr>
          <w:ilvl w:val="0"/>
          <w:numId w:val="14"/>
        </w:numPr>
      </w:pPr>
      <w:r w:rsidRPr="00312630">
        <w:t>Mr Daniel Dianat, Ericsson (</w:t>
      </w:r>
      <w:hyperlink r:id="rId39" w:history="1">
        <w:r w:rsidR="00CB127B" w:rsidRPr="003166ED">
          <w:rPr>
            <w:rStyle w:val="Hyperlink"/>
          </w:rPr>
          <w:t>daniel.dianat@ericsson.com</w:t>
        </w:r>
      </w:hyperlink>
      <w:r w:rsidRPr="00312630">
        <w:t>)</w:t>
      </w:r>
    </w:p>
    <w:p w14:paraId="2BC4D471" w14:textId="35DC3658" w:rsidR="00312630" w:rsidRPr="00312630" w:rsidRDefault="00312630" w:rsidP="00EE588F">
      <w:pPr>
        <w:pStyle w:val="ListParagraph"/>
        <w:numPr>
          <w:ilvl w:val="0"/>
          <w:numId w:val="14"/>
        </w:numPr>
      </w:pPr>
      <w:r w:rsidRPr="00312630">
        <w:t xml:space="preserve">Ms Qi </w:t>
      </w:r>
      <w:proofErr w:type="spellStart"/>
      <w:r w:rsidRPr="00312630">
        <w:t>Shuguang</w:t>
      </w:r>
      <w:proofErr w:type="spellEnd"/>
      <w:r w:rsidRPr="00312630">
        <w:t>, China (</w:t>
      </w:r>
      <w:hyperlink r:id="rId40" w:history="1">
        <w:r w:rsidR="00CB127B" w:rsidRPr="003166ED">
          <w:rPr>
            <w:rStyle w:val="Hyperlink"/>
          </w:rPr>
          <w:t>qishuguang@caict.ac.cn</w:t>
        </w:r>
      </w:hyperlink>
      <w:r w:rsidRPr="00312630">
        <w:t>)</w:t>
      </w:r>
    </w:p>
    <w:p w14:paraId="3916B417" w14:textId="77777777" w:rsidR="00312630" w:rsidRPr="00312630" w:rsidRDefault="00312630" w:rsidP="00312630">
      <w:r w:rsidRPr="00312630">
        <w:t>The tasks of this ad hoc group were to:</w:t>
      </w:r>
    </w:p>
    <w:p w14:paraId="3707A34F" w14:textId="77777777" w:rsidR="00312630" w:rsidRPr="00312630" w:rsidRDefault="00312630" w:rsidP="00EE588F">
      <w:pPr>
        <w:pStyle w:val="ListParagraph"/>
        <w:numPr>
          <w:ilvl w:val="0"/>
          <w:numId w:val="15"/>
        </w:numPr>
      </w:pPr>
      <w:r w:rsidRPr="00312630">
        <w:t>​Prepare the revised Terms of Reference of the SG5 Questions.</w:t>
      </w:r>
    </w:p>
    <w:p w14:paraId="3B10D615" w14:textId="77777777" w:rsidR="00312630" w:rsidRPr="00312630" w:rsidRDefault="00312630" w:rsidP="00EE588F">
      <w:pPr>
        <w:pStyle w:val="ListParagraph"/>
        <w:numPr>
          <w:ilvl w:val="0"/>
          <w:numId w:val="15"/>
        </w:numPr>
      </w:pPr>
      <w:r w:rsidRPr="00312630">
        <w:t>Prepare the SG5 revised Mandate (WTSA - Resolution 2).</w:t>
      </w:r>
    </w:p>
    <w:p w14:paraId="0FF1A8F1" w14:textId="77777777" w:rsidR="00312630" w:rsidRPr="00312630" w:rsidRDefault="00312630" w:rsidP="00EE588F">
      <w:pPr>
        <w:pStyle w:val="ListParagraph"/>
        <w:numPr>
          <w:ilvl w:val="0"/>
          <w:numId w:val="15"/>
        </w:numPr>
      </w:pPr>
      <w:r w:rsidRPr="00312630">
        <w:t>Consider the discussion from TSAG on restructuring, WTSA-24 preparation, and provide appropriate guidance to ITU-T SG5.​</w:t>
      </w:r>
    </w:p>
    <w:p w14:paraId="44EAD9B3" w14:textId="5ECC3EFC" w:rsidR="00312630" w:rsidRPr="00312630" w:rsidRDefault="00312630" w:rsidP="00312630">
      <w:r w:rsidRPr="00312630">
        <w:t>The ad hoc group held 17 meetings from 9 August 2023 to 6 June 2024.</w:t>
      </w:r>
    </w:p>
    <w:p w14:paraId="4425D763" w14:textId="77777777" w:rsidR="00312630" w:rsidRPr="00312630" w:rsidRDefault="00312630" w:rsidP="00312630">
      <w:r>
        <w:t xml:space="preserve">The report of the progress of the ad-hoc group was presented during the SG5 opening plenary on 17 June 2024, as contained in </w:t>
      </w:r>
      <w:hyperlink r:id="rId41">
        <w:r w:rsidRPr="16C20DCF">
          <w:rPr>
            <w:rStyle w:val="Hyperlink"/>
          </w:rPr>
          <w:t>TD1566-R2</w:t>
        </w:r>
      </w:hyperlink>
      <w:r>
        <w:t>.</w:t>
      </w:r>
    </w:p>
    <w:p w14:paraId="6968EC32" w14:textId="77777777" w:rsidR="00312630" w:rsidRPr="00312630" w:rsidRDefault="00312630" w:rsidP="00312630">
      <w:r w:rsidRPr="00312630">
        <w:t>During the SG5 meeting (17–21 June 2024), four sessions of the SG5 WTSA-24 preparation ad hoc group were held, as follows:​</w:t>
      </w:r>
    </w:p>
    <w:p w14:paraId="793A2AEE" w14:textId="77777777" w:rsidR="00312630" w:rsidRPr="00312630" w:rsidRDefault="00312630" w:rsidP="00EE588F">
      <w:pPr>
        <w:pStyle w:val="ListParagraph"/>
        <w:numPr>
          <w:ilvl w:val="0"/>
          <w:numId w:val="16"/>
        </w:numPr>
      </w:pPr>
      <w:r w:rsidRPr="00312630">
        <w:t>Monday, 17 June 2024, from 1400 to 1500 hours, CEST</w:t>
      </w:r>
    </w:p>
    <w:p w14:paraId="478DD476" w14:textId="77777777" w:rsidR="00312630" w:rsidRPr="00312630" w:rsidRDefault="00312630" w:rsidP="00EE588F">
      <w:pPr>
        <w:pStyle w:val="ListParagraph"/>
        <w:numPr>
          <w:ilvl w:val="0"/>
          <w:numId w:val="16"/>
        </w:numPr>
      </w:pPr>
      <w:r w:rsidRPr="00312630">
        <w:t>Tuesday, 18 June 2024, from 1400 to 1530 hours, CEST</w:t>
      </w:r>
    </w:p>
    <w:p w14:paraId="271C9134" w14:textId="77777777" w:rsidR="00312630" w:rsidRPr="00312630" w:rsidRDefault="00312630" w:rsidP="00EE588F">
      <w:pPr>
        <w:pStyle w:val="ListParagraph"/>
        <w:numPr>
          <w:ilvl w:val="0"/>
          <w:numId w:val="16"/>
        </w:numPr>
      </w:pPr>
      <w:r w:rsidRPr="00312630">
        <w:t>Wednesday, 19 June 2024, from 1330 to 1530 hours, CEST</w:t>
      </w:r>
    </w:p>
    <w:p w14:paraId="0DFB45AB" w14:textId="77777777" w:rsidR="00312630" w:rsidRPr="00312630" w:rsidRDefault="00312630" w:rsidP="00EE588F">
      <w:pPr>
        <w:pStyle w:val="ListParagraph"/>
        <w:numPr>
          <w:ilvl w:val="0"/>
          <w:numId w:val="16"/>
        </w:numPr>
      </w:pPr>
      <w:r w:rsidRPr="00312630">
        <w:t>Thursday, 20 June 2024, from 1330 to 1500 hours, CEST</w:t>
      </w:r>
    </w:p>
    <w:p w14:paraId="7BAC796C" w14:textId="77777777" w:rsidR="00312630" w:rsidRPr="00312630" w:rsidRDefault="00312630" w:rsidP="00312630">
      <w:r>
        <w:t xml:space="preserve">During these sessions, the group revised and finalized the SG5 </w:t>
      </w:r>
      <w:proofErr w:type="spellStart"/>
      <w:r>
        <w:t>ToR</w:t>
      </w:r>
      <w:proofErr w:type="spellEnd"/>
      <w:r>
        <w:t xml:space="preserve"> Questions, title, and mandate. The new proposed SG5 title to be submitted for WTSA-24 is Environment, climate action, circular economy and EMF​ (as contained in </w:t>
      </w:r>
      <w:hyperlink r:id="rId42">
        <w:r w:rsidRPr="16C20DCF">
          <w:rPr>
            <w:rStyle w:val="Hyperlink"/>
          </w:rPr>
          <w:t>TD1720</w:t>
        </w:r>
      </w:hyperlink>
      <w:r>
        <w:t>).</w:t>
      </w:r>
    </w:p>
    <w:p w14:paraId="61587D39" w14:textId="02127B9C" w:rsidR="00312630" w:rsidRPr="00983555" w:rsidRDefault="00312630" w:rsidP="00312630">
      <w:r>
        <w:t xml:space="preserve">The report of these sessions is in </w:t>
      </w:r>
      <w:hyperlink r:id="rId43">
        <w:r w:rsidRPr="16C20DCF">
          <w:rPr>
            <w:rStyle w:val="Hyperlink"/>
          </w:rPr>
          <w:t>TD1722-R1</w:t>
        </w:r>
      </w:hyperlink>
      <w:r>
        <w:t>.</w:t>
      </w:r>
    </w:p>
    <w:p w14:paraId="7F52208A" w14:textId="7BD34D21" w:rsidR="007C6B37" w:rsidRDefault="00BC15D1" w:rsidP="00606337">
      <w:pPr>
        <w:keepNext/>
        <w:spacing w:before="360"/>
        <w:jc w:val="both"/>
        <w:rPr>
          <w:b/>
          <w:bCs/>
        </w:rPr>
      </w:pPr>
      <w:r>
        <w:rPr>
          <w:b/>
          <w:bCs/>
        </w:rPr>
        <w:t>9</w:t>
      </w:r>
      <w:r w:rsidR="007C6B37" w:rsidRPr="00F56E43">
        <w:rPr>
          <w:b/>
          <w:bCs/>
        </w:rPr>
        <w:tab/>
        <w:t>Other activities</w:t>
      </w:r>
    </w:p>
    <w:p w14:paraId="0CB73CCE" w14:textId="16A94403" w:rsidR="007C6B37" w:rsidRPr="00AE1C9F" w:rsidRDefault="00BC15D1" w:rsidP="00606337">
      <w:pPr>
        <w:keepNext/>
        <w:spacing w:before="240"/>
        <w:jc w:val="both"/>
        <w:rPr>
          <w:b/>
          <w:bCs/>
        </w:rPr>
      </w:pPr>
      <w:r w:rsidRPr="16C20DCF">
        <w:rPr>
          <w:b/>
          <w:bCs/>
        </w:rPr>
        <w:t>9</w:t>
      </w:r>
      <w:r w:rsidR="007C6B37" w:rsidRPr="16C20DCF">
        <w:rPr>
          <w:b/>
          <w:bCs/>
        </w:rPr>
        <w:t>.1</w:t>
      </w:r>
      <w:r>
        <w:tab/>
      </w:r>
      <w:r w:rsidR="007C6B37" w:rsidRPr="16C20DCF">
        <w:rPr>
          <w:b/>
          <w:bCs/>
        </w:rPr>
        <w:t>Events on Environment, Climate Change and Circular Economy</w:t>
      </w:r>
    </w:p>
    <w:p w14:paraId="6CA46940" w14:textId="576BAB4E" w:rsidR="007C6B37" w:rsidRPr="00C41A51" w:rsidRDefault="007C6B37" w:rsidP="00606337">
      <w:pPr>
        <w:keepNext/>
        <w:jc w:val="both"/>
      </w:pPr>
      <w:r>
        <w:t xml:space="preserve">The following </w:t>
      </w:r>
      <w:r w:rsidR="0099115A">
        <w:t>sessions and workshops</w:t>
      </w:r>
      <w:r>
        <w:t xml:space="preserve"> were organized:</w:t>
      </w:r>
      <w:r w:rsidR="0099115A">
        <w:t xml:space="preserve"> </w:t>
      </w:r>
    </w:p>
    <w:p w14:paraId="6C302FD4" w14:textId="0626A288" w:rsidR="755CBB94" w:rsidRDefault="00BE7947" w:rsidP="00EE588F">
      <w:pPr>
        <w:pStyle w:val="ListParagraph"/>
        <w:numPr>
          <w:ilvl w:val="0"/>
          <w:numId w:val="2"/>
        </w:numPr>
        <w:spacing w:before="0"/>
        <w:jc w:val="both"/>
        <w:rPr>
          <w:rFonts w:eastAsia="Times New Roman"/>
        </w:rPr>
      </w:pPr>
      <w:hyperlink r:id="rId44">
        <w:r w:rsidR="755CBB94" w:rsidRPr="16C20DCF">
          <w:rPr>
            <w:rStyle w:val="Hyperlink"/>
            <w:rFonts w:eastAsia="Times New Roman"/>
          </w:rPr>
          <w:t>15</w:t>
        </w:r>
        <w:r w:rsidR="755CBB94" w:rsidRPr="16C20DCF">
          <w:rPr>
            <w:rStyle w:val="Hyperlink"/>
            <w:rFonts w:eastAsia="Times New Roman"/>
            <w:vertAlign w:val="superscript"/>
          </w:rPr>
          <w:t>th</w:t>
        </w:r>
        <w:r w:rsidR="755CBB94" w:rsidRPr="16C20DCF">
          <w:rPr>
            <w:rStyle w:val="Hyperlink"/>
            <w:rFonts w:eastAsia="Times New Roman"/>
          </w:rPr>
          <w:t xml:space="preserve"> Symposium on ICT, Environment, Climate Change and Circular Economy</w:t>
        </w:r>
      </w:hyperlink>
      <w:r w:rsidR="755CBB94" w:rsidRPr="16C20DCF">
        <w:rPr>
          <w:rFonts w:eastAsia="Times New Roman"/>
        </w:rPr>
        <w:t>, Ouagadougou, Burkina Faso, 7–9 May 2024.</w:t>
      </w:r>
    </w:p>
    <w:p w14:paraId="1E78D854" w14:textId="1F8046D8" w:rsidR="755CBB94" w:rsidRDefault="00BE7947" w:rsidP="00EE588F">
      <w:pPr>
        <w:pStyle w:val="ListParagraph"/>
        <w:numPr>
          <w:ilvl w:val="0"/>
          <w:numId w:val="2"/>
        </w:numPr>
        <w:spacing w:before="0"/>
        <w:jc w:val="both"/>
        <w:rPr>
          <w:rFonts w:eastAsia="Times New Roman"/>
        </w:rPr>
      </w:pPr>
      <w:hyperlink r:id="rId45">
        <w:r w:rsidR="755CBB94" w:rsidRPr="16C20DCF">
          <w:rPr>
            <w:rStyle w:val="Hyperlink"/>
            <w:rFonts w:eastAsia="Times New Roman"/>
          </w:rPr>
          <w:t xml:space="preserve">ITU Side Event to 2024 STI Forum: Leveraging Data for Climate Action: Insights from the ICT Sector </w:t>
        </w:r>
      </w:hyperlink>
      <w:r w:rsidR="755CBB94" w:rsidRPr="16C20DCF">
        <w:rPr>
          <w:rFonts w:eastAsia="Times New Roman"/>
          <w:color w:val="0000FF"/>
          <w:u w:val="single"/>
        </w:rPr>
        <w:t xml:space="preserve">, </w:t>
      </w:r>
      <w:r w:rsidR="755CBB94" w:rsidRPr="16C20DCF">
        <w:rPr>
          <w:rFonts w:eastAsia="Times New Roman"/>
        </w:rPr>
        <w:t>Virtual, 10 May 2024.</w:t>
      </w:r>
    </w:p>
    <w:p w14:paraId="608F68BA" w14:textId="6936B6D5" w:rsidR="755CBB94" w:rsidRDefault="00BE7947" w:rsidP="00EE588F">
      <w:pPr>
        <w:pStyle w:val="ListParagraph"/>
        <w:numPr>
          <w:ilvl w:val="0"/>
          <w:numId w:val="2"/>
        </w:numPr>
        <w:spacing w:before="0"/>
        <w:jc w:val="both"/>
        <w:rPr>
          <w:rFonts w:eastAsia="Times New Roman"/>
        </w:rPr>
      </w:pPr>
      <w:hyperlink r:id="rId46">
        <w:r w:rsidR="755CBB94" w:rsidRPr="16C20DCF">
          <w:rPr>
            <w:rStyle w:val="Hyperlink"/>
            <w:rFonts w:eastAsia="Times New Roman"/>
          </w:rPr>
          <w:t>ITU Regional Workshop on EMF Harmony: Balancing Connectivity, Safety and Tower Location Selection in the Arab Region</w:t>
        </w:r>
      </w:hyperlink>
      <w:r w:rsidR="755CBB94" w:rsidRPr="16C20DCF">
        <w:rPr>
          <w:rFonts w:eastAsia="Times New Roman"/>
        </w:rPr>
        <w:t xml:space="preserve"> , Muscat-Sultane, Oman, 13–16 May 2024.</w:t>
      </w:r>
    </w:p>
    <w:p w14:paraId="3DD11382" w14:textId="6F0D1958" w:rsidR="755CBB94" w:rsidRDefault="00BE7947" w:rsidP="00EE588F">
      <w:pPr>
        <w:pStyle w:val="ListParagraph"/>
        <w:numPr>
          <w:ilvl w:val="0"/>
          <w:numId w:val="2"/>
        </w:numPr>
        <w:spacing w:before="0"/>
        <w:jc w:val="both"/>
        <w:rPr>
          <w:rFonts w:eastAsia="Times New Roman"/>
        </w:rPr>
      </w:pPr>
      <w:hyperlink r:id="rId47">
        <w:r w:rsidR="755CBB94" w:rsidRPr="16C20DCF">
          <w:rPr>
            <w:rStyle w:val="Hyperlink"/>
            <w:rFonts w:eastAsia="Times New Roman"/>
          </w:rPr>
          <w:t xml:space="preserve">DTD Ask the expert session: Assessing the circularity of ICT goods </w:t>
        </w:r>
      </w:hyperlink>
      <w:r w:rsidR="755CBB94" w:rsidRPr="16C20DCF">
        <w:rPr>
          <w:rFonts w:eastAsia="Times New Roman"/>
        </w:rPr>
        <w:t>, Virtual, 22 May 2024.</w:t>
      </w:r>
    </w:p>
    <w:p w14:paraId="569B9771" w14:textId="3980E74A" w:rsidR="755CBB94" w:rsidRDefault="00BE7947" w:rsidP="00EE588F">
      <w:pPr>
        <w:pStyle w:val="ListParagraph"/>
        <w:numPr>
          <w:ilvl w:val="0"/>
          <w:numId w:val="2"/>
        </w:numPr>
        <w:spacing w:before="0"/>
        <w:jc w:val="both"/>
        <w:rPr>
          <w:rFonts w:eastAsia="Times New Roman"/>
        </w:rPr>
      </w:pPr>
      <w:hyperlink r:id="rId48">
        <w:r w:rsidR="755CBB94" w:rsidRPr="16C20DCF">
          <w:rPr>
            <w:rStyle w:val="Hyperlink"/>
            <w:rFonts w:eastAsia="Times New Roman"/>
          </w:rPr>
          <w:t xml:space="preserve">WSIS session on Traceability of E-Waste and the Use of Digital Product Passports for ICT Goods </w:t>
        </w:r>
      </w:hyperlink>
      <w:r w:rsidR="755CBB94" w:rsidRPr="16C20DCF">
        <w:rPr>
          <w:rFonts w:eastAsia="Times New Roman"/>
        </w:rPr>
        <w:t>, Virtual, 30 May 2024.</w:t>
      </w:r>
    </w:p>
    <w:p w14:paraId="0CB52302" w14:textId="345305E2" w:rsidR="755CBB94" w:rsidRDefault="755CBB94" w:rsidP="16C20DCF">
      <w:pPr>
        <w:jc w:val="both"/>
      </w:pPr>
      <w:r w:rsidRPr="16C20DCF">
        <w:rPr>
          <w:rFonts w:eastAsia="Times New Roman"/>
        </w:rPr>
        <w:t xml:space="preserve">During the ITU-T SG5 closing plenary the following activities were announced. More information will be made available on the </w:t>
      </w:r>
      <w:hyperlink r:id="rId49">
        <w:r w:rsidRPr="16C20DCF">
          <w:rPr>
            <w:rStyle w:val="Hyperlink"/>
            <w:rFonts w:eastAsia="Times New Roman"/>
          </w:rPr>
          <w:t>ITU SG5 website</w:t>
        </w:r>
      </w:hyperlink>
      <w:r w:rsidRPr="16C20DCF">
        <w:rPr>
          <w:rFonts w:eastAsia="Times New Roman"/>
        </w:rPr>
        <w:t>:</w:t>
      </w:r>
    </w:p>
    <w:p w14:paraId="46AE8863" w14:textId="4733611B" w:rsidR="755CBB94" w:rsidRDefault="755CBB94" w:rsidP="00EE588F">
      <w:pPr>
        <w:pStyle w:val="ListParagraph"/>
        <w:numPr>
          <w:ilvl w:val="0"/>
          <w:numId w:val="1"/>
        </w:numPr>
        <w:spacing w:before="0"/>
        <w:ind w:left="776"/>
        <w:jc w:val="both"/>
        <w:rPr>
          <w:rFonts w:eastAsia="Times New Roman"/>
        </w:rPr>
      </w:pPr>
      <w:r w:rsidRPr="16C20DCF">
        <w:rPr>
          <w:rFonts w:eastAsia="Times New Roman"/>
        </w:rPr>
        <w:t>ITU AI/ML Challenge on Sustainable AI: Designing Energy-Efficient ML Algorithms</w:t>
      </w:r>
    </w:p>
    <w:p w14:paraId="760005C0" w14:textId="44BE1D1B" w:rsidR="755CBB94" w:rsidRDefault="755CBB94" w:rsidP="00EE588F">
      <w:pPr>
        <w:pStyle w:val="ListParagraph"/>
        <w:numPr>
          <w:ilvl w:val="0"/>
          <w:numId w:val="1"/>
        </w:numPr>
        <w:spacing w:before="0"/>
        <w:ind w:left="776"/>
        <w:jc w:val="both"/>
        <w:rPr>
          <w:rFonts w:eastAsia="Times New Roman"/>
        </w:rPr>
      </w:pPr>
      <w:r w:rsidRPr="16C20DCF">
        <w:rPr>
          <w:rFonts w:eastAsia="Times New Roman"/>
        </w:rPr>
        <w:t>ITU and ETSI event on Sustainability, Geneva, 11–12 December 2024 (tbc)</w:t>
      </w:r>
    </w:p>
    <w:p w14:paraId="4F870B57" w14:textId="3E1396C6" w:rsidR="755CBB94" w:rsidRDefault="755CBB94" w:rsidP="00EE588F">
      <w:pPr>
        <w:pStyle w:val="ListParagraph"/>
        <w:numPr>
          <w:ilvl w:val="0"/>
          <w:numId w:val="1"/>
        </w:numPr>
        <w:spacing w:before="0"/>
        <w:ind w:left="776"/>
        <w:jc w:val="both"/>
        <w:rPr>
          <w:rFonts w:eastAsia="Times New Roman"/>
        </w:rPr>
      </w:pPr>
      <w:r w:rsidRPr="16C20DCF">
        <w:rPr>
          <w:rFonts w:eastAsia="Times New Roman"/>
        </w:rPr>
        <w:t>ITU and IEEE event on Climate Resilience, 12–13 December 2024 (tbc)</w:t>
      </w:r>
    </w:p>
    <w:p w14:paraId="6EC612F2" w14:textId="5670E9B6" w:rsidR="16C20DCF" w:rsidRDefault="16C20DCF" w:rsidP="16C20DCF">
      <w:pPr>
        <w:jc w:val="both"/>
        <w:rPr>
          <w:color w:val="000000" w:themeColor="text1"/>
        </w:rPr>
      </w:pPr>
    </w:p>
    <w:p w14:paraId="43F32D0A" w14:textId="078D33F9" w:rsidR="16C20DCF" w:rsidRDefault="16C20DCF" w:rsidP="16C20DCF">
      <w:pPr>
        <w:spacing w:before="0"/>
        <w:rPr>
          <w:color w:val="000000" w:themeColor="text1"/>
        </w:rPr>
      </w:pPr>
    </w:p>
    <w:p w14:paraId="6DDB4787" w14:textId="1E7A4594" w:rsidR="00B0022E" w:rsidRPr="00C41A51" w:rsidRDefault="00D12115" w:rsidP="007B5607">
      <w:pPr>
        <w:pStyle w:val="AnnexNotitle"/>
        <w:rPr>
          <w:color w:val="000000" w:themeColor="text1"/>
          <w:bdr w:val="none" w:sz="0" w:space="0" w:color="auto" w:frame="1"/>
          <w:lang w:eastAsia="en-GB"/>
        </w:rPr>
      </w:pPr>
      <w:bookmarkStart w:id="12" w:name="_Hlk30501459"/>
      <w:r w:rsidRPr="00C41A51">
        <w:lastRenderedPageBreak/>
        <w:t>Annex 1</w:t>
      </w:r>
    </w:p>
    <w:p w14:paraId="1053E5BB" w14:textId="70DA9DBB" w:rsidR="00B0022E" w:rsidRPr="00055F0A" w:rsidRDefault="00D12115">
      <w:pPr>
        <w:spacing w:before="240"/>
        <w:jc w:val="center"/>
        <w:rPr>
          <w:b/>
          <w:lang w:eastAsia="zh-CN"/>
        </w:rPr>
      </w:pPr>
      <w:r w:rsidRPr="0076351B">
        <w:rPr>
          <w:b/>
          <w:lang w:eastAsia="zh-CN"/>
        </w:rPr>
        <w:t>Achievements of ITU-T Study Group 5 on</w:t>
      </w:r>
      <w:r w:rsidR="003326FA" w:rsidRPr="0076351B">
        <w:rPr>
          <w:b/>
          <w:lang w:eastAsia="zh-CN"/>
        </w:rPr>
        <w:t xml:space="preserve"> 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r w:rsidRPr="0076351B">
        <w:rPr>
          <w:b/>
          <w:lang w:eastAsia="zh-CN"/>
        </w:rPr>
        <w:br/>
        <w:t xml:space="preserve">(status from </w:t>
      </w:r>
      <w:r w:rsidR="003326FA" w:rsidRPr="0076351B">
        <w:rPr>
          <w:b/>
          <w:lang w:eastAsia="zh-CN"/>
        </w:rPr>
        <w:t>January</w:t>
      </w:r>
      <w:r w:rsidR="00233913" w:rsidRPr="0076351B">
        <w:rPr>
          <w:b/>
          <w:lang w:eastAsia="zh-CN"/>
        </w:rPr>
        <w:t xml:space="preserve"> to </w:t>
      </w:r>
      <w:r w:rsidR="0076351B" w:rsidRPr="0076351B">
        <w:rPr>
          <w:rFonts w:hint="eastAsia"/>
          <w:b/>
          <w:lang w:eastAsia="zh-CN"/>
        </w:rPr>
        <w:t xml:space="preserve">July </w:t>
      </w:r>
      <w:r w:rsidR="000E1DA7" w:rsidRPr="0076351B">
        <w:rPr>
          <w:b/>
          <w:lang w:eastAsia="zh-CN"/>
        </w:rPr>
        <w:t>202</w:t>
      </w:r>
      <w:r w:rsidR="0076351B" w:rsidRPr="0076351B">
        <w:rPr>
          <w:rFonts w:hint="eastAsia"/>
          <w:b/>
          <w:lang w:eastAsia="zh-CN"/>
        </w:rPr>
        <w:t>4</w:t>
      </w:r>
      <w:r w:rsidRPr="0076351B">
        <w:rPr>
          <w:b/>
          <w:lang w:eastAsia="zh-CN"/>
        </w:rPr>
        <w:t>)</w:t>
      </w:r>
      <w:r w:rsidR="00E3008C">
        <w:rPr>
          <w:b/>
          <w:lang w:eastAsia="zh-CN"/>
        </w:rPr>
        <w:t xml:space="preserve"> </w:t>
      </w:r>
    </w:p>
    <w:p w14:paraId="7DA0E8C2" w14:textId="702229BA" w:rsidR="00B04367" w:rsidRPr="003D688B" w:rsidRDefault="00D12115" w:rsidP="00EE588F">
      <w:pPr>
        <w:numPr>
          <w:ilvl w:val="1"/>
          <w:numId w:val="6"/>
        </w:numPr>
        <w:spacing w:before="360"/>
        <w:rPr>
          <w:b/>
          <w:lang w:eastAsia="zh-CN"/>
        </w:rPr>
      </w:pPr>
      <w:r w:rsidRPr="00055F0A">
        <w:rPr>
          <w:b/>
          <w:lang w:eastAsia="zh-CN"/>
        </w:rPr>
        <w:t xml:space="preserve">WP1/5 </w:t>
      </w:r>
      <w:r w:rsidR="00E27694">
        <w:rPr>
          <w:b/>
          <w:lang w:eastAsia="zh-CN"/>
        </w:rPr>
        <w:t>–</w:t>
      </w:r>
      <w:r w:rsidRPr="00055F0A">
        <w:rPr>
          <w:b/>
          <w:lang w:eastAsia="zh-CN"/>
        </w:rPr>
        <w:t xml:space="preserve"> EMC, lightning protection, EMF</w:t>
      </w:r>
    </w:p>
    <w:p w14:paraId="210E52AA" w14:textId="2B8A9830" w:rsidR="00B0022E" w:rsidRPr="00756DD5" w:rsidRDefault="00D12115" w:rsidP="00EE588F">
      <w:pPr>
        <w:pStyle w:val="ListParagraph"/>
        <w:numPr>
          <w:ilvl w:val="2"/>
          <w:numId w:val="6"/>
        </w:numPr>
        <w:spacing w:before="240" w:after="120"/>
        <w:rPr>
          <w:b/>
          <w:color w:val="000000"/>
        </w:rPr>
      </w:pPr>
      <w:r w:rsidRPr="00756DD5">
        <w:rPr>
          <w:b/>
          <w:color w:val="000000"/>
        </w:rPr>
        <w:t>Recommendations approved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756DD5" w:rsidRPr="00141D52" w14:paraId="0EB48D75" w14:textId="77777777" w:rsidTr="16C20DCF">
        <w:trPr>
          <w:cantSplit/>
          <w:tblHeader/>
        </w:trPr>
        <w:tc>
          <w:tcPr>
            <w:tcW w:w="441" w:type="pct"/>
            <w:shd w:val="clear" w:color="auto" w:fill="D9D9D9" w:themeFill="background1" w:themeFillShade="D9"/>
          </w:tcPr>
          <w:p w14:paraId="715DCB18" w14:textId="77777777" w:rsidR="00756DD5" w:rsidRPr="00141D52" w:rsidRDefault="00756DD5" w:rsidP="00080B3A">
            <w:pPr>
              <w:spacing w:before="40" w:after="40"/>
              <w:jc w:val="center"/>
              <w:rPr>
                <w:b/>
                <w:bCs/>
                <w:color w:val="000000"/>
                <w:sz w:val="22"/>
                <w:szCs w:val="22"/>
              </w:rPr>
            </w:pPr>
            <w:r w:rsidRPr="00141D52">
              <w:rPr>
                <w:b/>
                <w:bCs/>
                <w:color w:val="000000"/>
                <w:sz w:val="22"/>
                <w:szCs w:val="22"/>
              </w:rPr>
              <w:t>SG</w:t>
            </w:r>
          </w:p>
        </w:tc>
        <w:tc>
          <w:tcPr>
            <w:tcW w:w="1029" w:type="pct"/>
            <w:shd w:val="clear" w:color="auto" w:fill="D9D9D9" w:themeFill="background1" w:themeFillShade="D9"/>
          </w:tcPr>
          <w:p w14:paraId="36454DF5" w14:textId="77777777" w:rsidR="00756DD5" w:rsidRPr="00141D52" w:rsidRDefault="00756DD5" w:rsidP="00080B3A">
            <w:pPr>
              <w:spacing w:before="40" w:after="40"/>
              <w:jc w:val="center"/>
              <w:rPr>
                <w:color w:val="000000"/>
                <w:sz w:val="22"/>
                <w:szCs w:val="22"/>
              </w:rPr>
            </w:pPr>
            <w:r w:rsidRPr="00141D52">
              <w:rPr>
                <w:b/>
                <w:bCs/>
                <w:color w:val="000000"/>
                <w:sz w:val="22"/>
                <w:szCs w:val="22"/>
              </w:rPr>
              <w:t>No</w:t>
            </w:r>
          </w:p>
        </w:tc>
        <w:tc>
          <w:tcPr>
            <w:tcW w:w="3530" w:type="pct"/>
            <w:shd w:val="clear" w:color="auto" w:fill="D9D9D9" w:themeFill="background1" w:themeFillShade="D9"/>
          </w:tcPr>
          <w:p w14:paraId="1BCC7BC2" w14:textId="77777777" w:rsidR="00756DD5" w:rsidRPr="00141D52" w:rsidRDefault="00756DD5" w:rsidP="00080B3A">
            <w:pPr>
              <w:spacing w:before="40" w:after="40"/>
              <w:jc w:val="center"/>
              <w:rPr>
                <w:color w:val="000000"/>
                <w:sz w:val="22"/>
                <w:szCs w:val="22"/>
              </w:rPr>
            </w:pPr>
            <w:r w:rsidRPr="00141D52">
              <w:rPr>
                <w:b/>
                <w:bCs/>
                <w:color w:val="000000"/>
                <w:sz w:val="22"/>
                <w:szCs w:val="22"/>
              </w:rPr>
              <w:t>Title</w:t>
            </w:r>
          </w:p>
        </w:tc>
      </w:tr>
      <w:tr w:rsidR="00BC238C" w:rsidRPr="00141D52" w14:paraId="2CA90FA4" w14:textId="77777777" w:rsidTr="16C20DCF">
        <w:tblPrEx>
          <w:tblCellMar>
            <w:top w:w="29" w:type="dxa"/>
            <w:left w:w="115" w:type="dxa"/>
            <w:bottom w:w="29" w:type="dxa"/>
            <w:right w:w="115" w:type="dxa"/>
          </w:tblCellMar>
        </w:tblPrEx>
        <w:trPr>
          <w:cantSplit/>
        </w:trPr>
        <w:tc>
          <w:tcPr>
            <w:tcW w:w="441" w:type="pct"/>
            <w:vAlign w:val="center"/>
          </w:tcPr>
          <w:p w14:paraId="3FA37C06" w14:textId="77777777" w:rsidR="00BC238C" w:rsidRPr="00141D52" w:rsidRDefault="00BC238C" w:rsidP="00BC238C">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themeFill="background1"/>
            <w:vAlign w:val="center"/>
          </w:tcPr>
          <w:p w14:paraId="7DD9C6B2" w14:textId="7C7C3A96" w:rsidR="00BC238C" w:rsidRPr="00141D52" w:rsidRDefault="00BC238C" w:rsidP="00BC238C">
            <w:pPr>
              <w:spacing w:before="40" w:after="40"/>
              <w:jc w:val="center"/>
              <w:rPr>
                <w:rFonts w:eastAsia="MS Mincho"/>
                <w:sz w:val="22"/>
                <w:szCs w:val="22"/>
                <w:lang w:val="en-US"/>
              </w:rPr>
            </w:pPr>
            <w:r w:rsidRPr="000C5F0D">
              <w:rPr>
                <w:sz w:val="22"/>
                <w:szCs w:val="22"/>
              </w:rPr>
              <w:t>K.83</w:t>
            </w:r>
          </w:p>
        </w:tc>
        <w:tc>
          <w:tcPr>
            <w:tcW w:w="3530" w:type="pct"/>
            <w:shd w:val="clear" w:color="auto" w:fill="FFFFFF" w:themeFill="background1"/>
            <w:vAlign w:val="center"/>
          </w:tcPr>
          <w:p w14:paraId="26A896AC" w14:textId="768ACE83" w:rsidR="00BC238C" w:rsidRPr="00141D52" w:rsidRDefault="00BC238C" w:rsidP="00BC238C">
            <w:pPr>
              <w:spacing w:before="40" w:after="40"/>
              <w:rPr>
                <w:rFonts w:eastAsia="MS Mincho"/>
                <w:sz w:val="22"/>
                <w:szCs w:val="22"/>
              </w:rPr>
            </w:pPr>
            <w:r w:rsidRPr="000C5F0D">
              <w:rPr>
                <w:sz w:val="22"/>
                <w:szCs w:val="22"/>
              </w:rPr>
              <w:t>Monitoring of the electromagnetic field levels</w:t>
            </w:r>
          </w:p>
        </w:tc>
      </w:tr>
      <w:tr w:rsidR="00BC238C" w:rsidRPr="00141D52" w14:paraId="4A577102" w14:textId="77777777" w:rsidTr="16C20DCF">
        <w:tblPrEx>
          <w:tblCellMar>
            <w:top w:w="29" w:type="dxa"/>
            <w:left w:w="115" w:type="dxa"/>
            <w:bottom w:w="29" w:type="dxa"/>
            <w:right w:w="115" w:type="dxa"/>
          </w:tblCellMar>
        </w:tblPrEx>
        <w:trPr>
          <w:cantSplit/>
        </w:trPr>
        <w:tc>
          <w:tcPr>
            <w:tcW w:w="441" w:type="pct"/>
            <w:vAlign w:val="center"/>
          </w:tcPr>
          <w:p w14:paraId="6CC9C12B" w14:textId="77777777" w:rsidR="00BC238C" w:rsidRPr="00141D52" w:rsidRDefault="00BC238C" w:rsidP="00BC238C">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themeFill="background1"/>
            <w:vAlign w:val="center"/>
          </w:tcPr>
          <w:p w14:paraId="1304907A" w14:textId="08E447C7" w:rsidR="00BC238C" w:rsidRPr="00141D52" w:rsidRDefault="00BC238C" w:rsidP="00BC238C">
            <w:pPr>
              <w:spacing w:before="40" w:after="40"/>
              <w:jc w:val="center"/>
              <w:rPr>
                <w:rFonts w:eastAsia="MS Mincho"/>
                <w:sz w:val="22"/>
                <w:szCs w:val="22"/>
                <w:lang w:val="en-US"/>
              </w:rPr>
            </w:pPr>
            <w:r w:rsidRPr="000C5F0D">
              <w:rPr>
                <w:sz w:val="22"/>
                <w:szCs w:val="22"/>
              </w:rPr>
              <w:t>K.91</w:t>
            </w:r>
          </w:p>
        </w:tc>
        <w:tc>
          <w:tcPr>
            <w:tcW w:w="3530" w:type="pct"/>
            <w:shd w:val="clear" w:color="auto" w:fill="FFFFFF" w:themeFill="background1"/>
            <w:vAlign w:val="center"/>
          </w:tcPr>
          <w:p w14:paraId="3127438E" w14:textId="437AA456" w:rsidR="00BC238C" w:rsidRPr="00141D52" w:rsidRDefault="00BC238C" w:rsidP="00BC238C">
            <w:pPr>
              <w:spacing w:before="40" w:after="40"/>
              <w:rPr>
                <w:rFonts w:eastAsia="MS Mincho"/>
                <w:sz w:val="22"/>
                <w:szCs w:val="22"/>
              </w:rPr>
            </w:pPr>
            <w:r w:rsidRPr="000C5F0D">
              <w:rPr>
                <w:sz w:val="22"/>
                <w:szCs w:val="22"/>
              </w:rPr>
              <w:t>Guidance for assessment, evaluation and monitoring of human exposure to radio frequency electromagnetic fields</w:t>
            </w:r>
          </w:p>
        </w:tc>
      </w:tr>
      <w:tr w:rsidR="00BC238C" w:rsidRPr="00141D52" w14:paraId="6F1E3127" w14:textId="77777777" w:rsidTr="16C20DCF">
        <w:tblPrEx>
          <w:tblCellMar>
            <w:top w:w="29" w:type="dxa"/>
            <w:left w:w="115" w:type="dxa"/>
            <w:bottom w:w="29" w:type="dxa"/>
            <w:right w:w="115" w:type="dxa"/>
          </w:tblCellMar>
        </w:tblPrEx>
        <w:trPr>
          <w:cantSplit/>
        </w:trPr>
        <w:tc>
          <w:tcPr>
            <w:tcW w:w="441" w:type="pct"/>
            <w:vAlign w:val="center"/>
          </w:tcPr>
          <w:p w14:paraId="17972C13" w14:textId="77777777" w:rsidR="00BC238C" w:rsidRPr="00141D52" w:rsidRDefault="00BC238C" w:rsidP="00BC238C">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themeFill="background1"/>
            <w:vAlign w:val="center"/>
          </w:tcPr>
          <w:p w14:paraId="1D82A048" w14:textId="28BF39D4" w:rsidR="00BC238C" w:rsidRPr="00141D52" w:rsidRDefault="00BC238C" w:rsidP="00BC238C">
            <w:pPr>
              <w:spacing w:before="40" w:after="40"/>
              <w:jc w:val="center"/>
              <w:rPr>
                <w:rFonts w:eastAsia="MS Mincho"/>
                <w:sz w:val="22"/>
                <w:szCs w:val="22"/>
                <w:lang w:val="en-US"/>
              </w:rPr>
            </w:pPr>
            <w:r w:rsidRPr="000C5F0D">
              <w:rPr>
                <w:sz w:val="22"/>
                <w:szCs w:val="22"/>
              </w:rPr>
              <w:t>K.37</w:t>
            </w:r>
          </w:p>
        </w:tc>
        <w:tc>
          <w:tcPr>
            <w:tcW w:w="3530" w:type="pct"/>
            <w:shd w:val="clear" w:color="auto" w:fill="FFFFFF" w:themeFill="background1"/>
            <w:vAlign w:val="center"/>
          </w:tcPr>
          <w:p w14:paraId="374BB9A8" w14:textId="47F6996F" w:rsidR="00BC238C" w:rsidRPr="00141D52" w:rsidRDefault="00BC238C" w:rsidP="00BC238C">
            <w:pPr>
              <w:spacing w:before="40" w:after="40"/>
              <w:rPr>
                <w:rFonts w:eastAsia="MS Mincho"/>
                <w:sz w:val="22"/>
                <w:szCs w:val="22"/>
              </w:rPr>
            </w:pPr>
            <w:r w:rsidRPr="000C5F0D">
              <w:rPr>
                <w:sz w:val="22"/>
                <w:szCs w:val="22"/>
              </w:rPr>
              <w:t>Low and high frequency EMC mitigation techniques for telecommunication installations and systems – Basic EMC Recommendation</w:t>
            </w:r>
          </w:p>
        </w:tc>
      </w:tr>
      <w:tr w:rsidR="00BC238C" w:rsidRPr="00141D52" w14:paraId="0FEAE4C1" w14:textId="77777777" w:rsidTr="16C20DCF">
        <w:tblPrEx>
          <w:tblCellMar>
            <w:top w:w="29" w:type="dxa"/>
            <w:left w:w="115" w:type="dxa"/>
            <w:bottom w:w="29" w:type="dxa"/>
            <w:right w:w="115" w:type="dxa"/>
          </w:tblCellMar>
        </w:tblPrEx>
        <w:trPr>
          <w:cantSplit/>
        </w:trPr>
        <w:tc>
          <w:tcPr>
            <w:tcW w:w="441" w:type="pct"/>
            <w:vAlign w:val="center"/>
          </w:tcPr>
          <w:p w14:paraId="74509E2D" w14:textId="77777777" w:rsidR="00BC238C" w:rsidRPr="00141D52" w:rsidRDefault="00BC238C" w:rsidP="00BC238C">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themeFill="background1"/>
            <w:vAlign w:val="center"/>
          </w:tcPr>
          <w:p w14:paraId="53D10BAC" w14:textId="0CE69CDF" w:rsidR="00BC238C" w:rsidRPr="00141D52" w:rsidRDefault="00BC238C" w:rsidP="00BC238C">
            <w:pPr>
              <w:spacing w:before="40" w:after="40"/>
              <w:jc w:val="center"/>
              <w:rPr>
                <w:rFonts w:eastAsia="MS Mincho"/>
                <w:sz w:val="22"/>
                <w:szCs w:val="22"/>
                <w:lang w:val="en-US"/>
              </w:rPr>
            </w:pPr>
            <w:r w:rsidRPr="000C5F0D">
              <w:rPr>
                <w:sz w:val="22"/>
                <w:szCs w:val="22"/>
              </w:rPr>
              <w:t>K.38</w:t>
            </w:r>
          </w:p>
        </w:tc>
        <w:tc>
          <w:tcPr>
            <w:tcW w:w="3530" w:type="pct"/>
            <w:shd w:val="clear" w:color="auto" w:fill="FFFFFF" w:themeFill="background1"/>
            <w:vAlign w:val="center"/>
          </w:tcPr>
          <w:p w14:paraId="15B9B1E9" w14:textId="1A5D05E7" w:rsidR="00BC238C" w:rsidRPr="00141D52" w:rsidRDefault="00BC238C" w:rsidP="00BC238C">
            <w:pPr>
              <w:spacing w:before="40" w:after="40"/>
              <w:rPr>
                <w:rFonts w:eastAsia="MS Mincho"/>
                <w:sz w:val="22"/>
                <w:szCs w:val="22"/>
              </w:rPr>
            </w:pPr>
            <w:r w:rsidRPr="000C5F0D">
              <w:rPr>
                <w:sz w:val="22"/>
                <w:szCs w:val="22"/>
              </w:rPr>
              <w:t>Radiated emission test procedure for physically large systems</w:t>
            </w:r>
          </w:p>
        </w:tc>
      </w:tr>
      <w:tr w:rsidR="00BC238C" w:rsidRPr="00141D52" w14:paraId="74D55555" w14:textId="77777777" w:rsidTr="16C20DCF">
        <w:tblPrEx>
          <w:tblCellMar>
            <w:top w:w="29" w:type="dxa"/>
            <w:left w:w="115" w:type="dxa"/>
            <w:bottom w:w="29" w:type="dxa"/>
            <w:right w:w="115" w:type="dxa"/>
          </w:tblCellMar>
        </w:tblPrEx>
        <w:trPr>
          <w:cantSplit/>
        </w:trPr>
        <w:tc>
          <w:tcPr>
            <w:tcW w:w="441" w:type="pct"/>
            <w:vAlign w:val="center"/>
          </w:tcPr>
          <w:p w14:paraId="01CF8CE1" w14:textId="58EF0128" w:rsidR="00BC238C" w:rsidRPr="00141D52" w:rsidRDefault="0C380A21" w:rsidP="00BC238C">
            <w:pPr>
              <w:spacing w:before="40" w:after="40"/>
              <w:jc w:val="center"/>
              <w:rPr>
                <w:rFonts w:eastAsia="MS Mincho"/>
                <w:sz w:val="22"/>
                <w:szCs w:val="22"/>
              </w:rPr>
            </w:pPr>
            <w:r w:rsidRPr="16C20DCF">
              <w:rPr>
                <w:rFonts w:eastAsia="MS Mincho"/>
                <w:sz w:val="22"/>
                <w:szCs w:val="22"/>
              </w:rPr>
              <w:t>5</w:t>
            </w:r>
          </w:p>
        </w:tc>
        <w:tc>
          <w:tcPr>
            <w:tcW w:w="1029" w:type="pct"/>
            <w:shd w:val="clear" w:color="auto" w:fill="FFFFFF" w:themeFill="background1"/>
            <w:vAlign w:val="center"/>
          </w:tcPr>
          <w:p w14:paraId="125C3695" w14:textId="7DB83041" w:rsidR="00BC238C" w:rsidRPr="00141D52" w:rsidRDefault="00BC238C" w:rsidP="00BC238C">
            <w:pPr>
              <w:spacing w:before="40" w:after="40"/>
              <w:jc w:val="center"/>
              <w:rPr>
                <w:sz w:val="22"/>
                <w:szCs w:val="22"/>
              </w:rPr>
            </w:pPr>
            <w:r>
              <w:rPr>
                <w:sz w:val="22"/>
                <w:szCs w:val="22"/>
              </w:rPr>
              <w:t>K.154</w:t>
            </w:r>
          </w:p>
        </w:tc>
        <w:tc>
          <w:tcPr>
            <w:tcW w:w="3530" w:type="pct"/>
            <w:shd w:val="clear" w:color="auto" w:fill="FFFFFF" w:themeFill="background1"/>
          </w:tcPr>
          <w:p w14:paraId="76A6B75D" w14:textId="1E201671" w:rsidR="00BC238C" w:rsidRPr="00141D52" w:rsidRDefault="00BC238C" w:rsidP="00BC238C">
            <w:pPr>
              <w:spacing w:before="40" w:after="40"/>
              <w:rPr>
                <w:rFonts w:eastAsia="Times New Roman"/>
                <w:sz w:val="22"/>
                <w:szCs w:val="22"/>
              </w:rPr>
            </w:pPr>
            <w:r>
              <w:rPr>
                <w:sz w:val="22"/>
                <w:szCs w:val="22"/>
              </w:rPr>
              <w:t>O</w:t>
            </w:r>
            <w:r w:rsidRPr="000C5F0D">
              <w:rPr>
                <w:sz w:val="22"/>
                <w:szCs w:val="22"/>
              </w:rPr>
              <w:t>perating telecommunication facilities using lightning strikes data obtained from Lightning Location Systems</w:t>
            </w:r>
          </w:p>
        </w:tc>
      </w:tr>
    </w:tbl>
    <w:p w14:paraId="05DE760E" w14:textId="77777777" w:rsidR="00B0022E" w:rsidRPr="00055F0A" w:rsidRDefault="00D12115" w:rsidP="16C20DCF">
      <w:pPr>
        <w:keepNext/>
        <w:keepLines/>
        <w:spacing w:before="240" w:after="120"/>
        <w:rPr>
          <w:b/>
          <w:bCs/>
          <w:lang w:eastAsia="zh-CN"/>
        </w:rPr>
      </w:pPr>
      <w:r w:rsidRPr="16C20DCF">
        <w:rPr>
          <w:b/>
          <w:bCs/>
          <w:lang w:eastAsia="zh-CN"/>
        </w:rPr>
        <w:t>1.1.2</w:t>
      </w:r>
      <w:r>
        <w:tab/>
      </w:r>
      <w:r w:rsidRPr="16C20DCF">
        <w:rPr>
          <w:b/>
          <w:bCs/>
          <w:lang w:eastAsia="zh-CN"/>
        </w:rPr>
        <w:t>Informati</w:t>
      </w:r>
      <w:r w:rsidR="008B2E55" w:rsidRPr="16C20DCF">
        <w:rPr>
          <w:b/>
          <w:bCs/>
          <w:lang w:eastAsia="zh-CN"/>
        </w:rPr>
        <w:t>ve</w:t>
      </w:r>
      <w:r w:rsidRPr="16C20DCF">
        <w:rPr>
          <w:b/>
          <w:bCs/>
          <w:lang w:eastAsia="zh-CN"/>
        </w:rPr>
        <w:t xml:space="preserve"> texts </w:t>
      </w:r>
      <w:r w:rsidR="006F5D95" w:rsidRPr="16C20DCF">
        <w:rPr>
          <w:b/>
          <w:bCs/>
          <w:lang w:eastAsia="zh-CN"/>
        </w:rPr>
        <w:t>agreed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55"/>
        <w:gridCol w:w="1950"/>
        <w:gridCol w:w="6824"/>
      </w:tblGrid>
      <w:tr w:rsidR="00B0022E" w:rsidRPr="00D525DC" w14:paraId="5C14594C" w14:textId="77777777" w:rsidTr="16C20DCF">
        <w:trPr>
          <w:tblHeader/>
        </w:trPr>
        <w:tc>
          <w:tcPr>
            <w:tcW w:w="855" w:type="dxa"/>
            <w:shd w:val="clear" w:color="auto" w:fill="D9D9D9" w:themeFill="background1" w:themeFillShade="D9"/>
          </w:tcPr>
          <w:p w14:paraId="4263A205" w14:textId="77777777" w:rsidR="00B0022E" w:rsidRPr="00D525DC" w:rsidRDefault="00D12115" w:rsidP="00141D52">
            <w:pPr>
              <w:keepNext/>
              <w:keepLines/>
              <w:spacing w:before="40" w:after="40"/>
              <w:jc w:val="center"/>
              <w:rPr>
                <w:b/>
                <w:sz w:val="22"/>
                <w:szCs w:val="22"/>
                <w:lang w:eastAsia="ko-KR"/>
              </w:rPr>
            </w:pPr>
            <w:r w:rsidRPr="00D525DC">
              <w:rPr>
                <w:b/>
                <w:sz w:val="22"/>
                <w:szCs w:val="22"/>
                <w:lang w:eastAsia="ko-KR"/>
              </w:rPr>
              <w:t>SG</w:t>
            </w:r>
          </w:p>
        </w:tc>
        <w:tc>
          <w:tcPr>
            <w:tcW w:w="1950" w:type="dxa"/>
            <w:shd w:val="clear" w:color="auto" w:fill="D9D9D9" w:themeFill="background1" w:themeFillShade="D9"/>
          </w:tcPr>
          <w:p w14:paraId="034B76BB" w14:textId="77777777" w:rsidR="00B0022E" w:rsidRPr="00D525DC" w:rsidRDefault="00D12115" w:rsidP="00141D52">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D525DC">
              <w:rPr>
                <w:b/>
                <w:sz w:val="22"/>
                <w:szCs w:val="22"/>
              </w:rPr>
              <w:t>No</w:t>
            </w:r>
          </w:p>
        </w:tc>
        <w:tc>
          <w:tcPr>
            <w:tcW w:w="6824" w:type="dxa"/>
            <w:shd w:val="clear" w:color="auto" w:fill="D9D9D9" w:themeFill="background1" w:themeFillShade="D9"/>
          </w:tcPr>
          <w:p w14:paraId="0116A068" w14:textId="77777777" w:rsidR="00B0022E" w:rsidRPr="00D525DC" w:rsidRDefault="00D12115" w:rsidP="00141D52">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D525DC">
              <w:rPr>
                <w:b/>
                <w:bCs/>
                <w:iCs/>
                <w:sz w:val="22"/>
                <w:szCs w:val="22"/>
              </w:rPr>
              <w:t>Title</w:t>
            </w:r>
          </w:p>
        </w:tc>
      </w:tr>
      <w:tr w:rsidR="003B22E8" w:rsidRPr="00D525DC" w14:paraId="08518619" w14:textId="77777777" w:rsidTr="16C20DCF">
        <w:trPr>
          <w:cantSplit/>
          <w:trHeight w:val="510"/>
        </w:trPr>
        <w:tc>
          <w:tcPr>
            <w:tcW w:w="855" w:type="dxa"/>
            <w:vAlign w:val="center"/>
          </w:tcPr>
          <w:p w14:paraId="13B2AD32" w14:textId="77777777" w:rsidR="003B22E8" w:rsidRPr="00D525DC" w:rsidRDefault="003B22E8" w:rsidP="00D525DC">
            <w:pPr>
              <w:spacing w:before="40" w:after="40"/>
              <w:jc w:val="center"/>
              <w:rPr>
                <w:rFonts w:eastAsia="Times New Roman"/>
                <w:sz w:val="22"/>
                <w:szCs w:val="22"/>
              </w:rPr>
            </w:pPr>
            <w:r w:rsidRPr="00D525DC">
              <w:rPr>
                <w:rFonts w:eastAsia="Times New Roman"/>
                <w:sz w:val="22"/>
                <w:szCs w:val="22"/>
              </w:rPr>
              <w:t>5</w:t>
            </w:r>
          </w:p>
        </w:tc>
        <w:tc>
          <w:tcPr>
            <w:tcW w:w="1950" w:type="dxa"/>
            <w:vAlign w:val="center"/>
          </w:tcPr>
          <w:p w14:paraId="63B29530" w14:textId="579768BB" w:rsidR="16C20DCF" w:rsidRDefault="16C20DCF" w:rsidP="16C20DCF">
            <w:pPr>
              <w:spacing w:before="80" w:after="80"/>
              <w:jc w:val="center"/>
              <w:rPr>
                <w:rFonts w:eastAsia="Times New Roman"/>
                <w:sz w:val="22"/>
                <w:szCs w:val="22"/>
              </w:rPr>
            </w:pPr>
            <w:r w:rsidRPr="16C20DCF">
              <w:rPr>
                <w:rFonts w:eastAsia="Times New Roman"/>
                <w:sz w:val="22"/>
                <w:szCs w:val="22"/>
              </w:rPr>
              <w:t>K.Suppl.32</w:t>
            </w:r>
          </w:p>
        </w:tc>
        <w:tc>
          <w:tcPr>
            <w:tcW w:w="6824" w:type="dxa"/>
          </w:tcPr>
          <w:p w14:paraId="26658D1E" w14:textId="64BEE99B" w:rsidR="16C20DCF" w:rsidRDefault="16C20DCF" w:rsidP="16C20DCF">
            <w:pPr>
              <w:spacing w:before="80" w:after="80"/>
              <w:jc w:val="center"/>
              <w:rPr>
                <w:rFonts w:eastAsia="Times New Roman"/>
                <w:sz w:val="22"/>
                <w:szCs w:val="22"/>
              </w:rPr>
            </w:pPr>
            <w:r w:rsidRPr="16C20DCF">
              <w:rPr>
                <w:rFonts w:eastAsia="Times New Roman"/>
                <w:sz w:val="22"/>
                <w:szCs w:val="22"/>
              </w:rPr>
              <w:t>Case studies of radio frequency - electromagnetic field (RF-EMF) assessment</w:t>
            </w:r>
          </w:p>
        </w:tc>
      </w:tr>
    </w:tbl>
    <w:p w14:paraId="08A2AF3B" w14:textId="341C0469" w:rsidR="00B0022E" w:rsidRPr="00055F0A" w:rsidRDefault="00D12115" w:rsidP="16C20DCF">
      <w:pPr>
        <w:spacing w:before="240" w:after="120"/>
        <w:rPr>
          <w:b/>
          <w:bCs/>
          <w:lang w:eastAsia="zh-CN"/>
        </w:rPr>
      </w:pPr>
      <w:r w:rsidRPr="16C20DCF">
        <w:rPr>
          <w:b/>
          <w:bCs/>
          <w:lang w:eastAsia="zh-CN"/>
        </w:rPr>
        <w:t>1.1.</w:t>
      </w:r>
      <w:r w:rsidR="00BC238C" w:rsidRPr="16C20DCF">
        <w:rPr>
          <w:b/>
          <w:bCs/>
          <w:lang w:eastAsia="zh-CN"/>
        </w:rPr>
        <w:t>3</w:t>
      </w:r>
      <w:r>
        <w:tab/>
      </w:r>
      <w:r w:rsidRPr="16C20DCF">
        <w:rPr>
          <w:b/>
          <w:bCs/>
          <w:lang w:eastAsia="zh-CN"/>
        </w:rPr>
        <w:t>Recommendation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0022E" w:rsidRPr="00055F0A" w14:paraId="09C9A965" w14:textId="77777777" w:rsidTr="16C20DCF">
        <w:trPr>
          <w:cantSplit/>
          <w:tblHeader/>
        </w:trPr>
        <w:tc>
          <w:tcPr>
            <w:tcW w:w="441" w:type="pct"/>
            <w:shd w:val="clear" w:color="auto" w:fill="D9D9D9" w:themeFill="background1" w:themeFillShade="D9"/>
          </w:tcPr>
          <w:p w14:paraId="642929D2" w14:textId="77777777" w:rsidR="00B0022E" w:rsidRPr="00233913" w:rsidRDefault="00D12115">
            <w:pPr>
              <w:spacing w:before="40" w:after="40"/>
              <w:jc w:val="center"/>
              <w:rPr>
                <w:b/>
                <w:bCs/>
                <w:color w:val="000000"/>
                <w:sz w:val="22"/>
                <w:szCs w:val="22"/>
              </w:rPr>
            </w:pPr>
            <w:r w:rsidRPr="00233913">
              <w:rPr>
                <w:b/>
                <w:bCs/>
                <w:color w:val="000000"/>
                <w:sz w:val="22"/>
                <w:szCs w:val="22"/>
              </w:rPr>
              <w:t>SG</w:t>
            </w:r>
          </w:p>
        </w:tc>
        <w:tc>
          <w:tcPr>
            <w:tcW w:w="1029" w:type="pct"/>
            <w:shd w:val="clear" w:color="auto" w:fill="D9D9D9" w:themeFill="background1" w:themeFillShade="D9"/>
          </w:tcPr>
          <w:p w14:paraId="1A3650C2" w14:textId="77777777" w:rsidR="00B0022E" w:rsidRPr="00233913" w:rsidRDefault="00D12115">
            <w:pPr>
              <w:spacing w:before="40" w:after="40"/>
              <w:jc w:val="center"/>
              <w:rPr>
                <w:color w:val="000000"/>
                <w:sz w:val="22"/>
                <w:szCs w:val="22"/>
              </w:rPr>
            </w:pPr>
            <w:r w:rsidRPr="00233913">
              <w:rPr>
                <w:b/>
                <w:bCs/>
                <w:color w:val="000000"/>
                <w:sz w:val="22"/>
                <w:szCs w:val="22"/>
              </w:rPr>
              <w:t>No</w:t>
            </w:r>
          </w:p>
        </w:tc>
        <w:tc>
          <w:tcPr>
            <w:tcW w:w="3529" w:type="pct"/>
            <w:shd w:val="clear" w:color="auto" w:fill="D9D9D9" w:themeFill="background1" w:themeFillShade="D9"/>
          </w:tcPr>
          <w:p w14:paraId="30C4D26F" w14:textId="77777777" w:rsidR="00B0022E" w:rsidRPr="00233913" w:rsidRDefault="00D12115">
            <w:pPr>
              <w:spacing w:before="40" w:after="40"/>
              <w:jc w:val="center"/>
              <w:rPr>
                <w:color w:val="000000"/>
                <w:sz w:val="22"/>
                <w:szCs w:val="22"/>
              </w:rPr>
            </w:pPr>
            <w:r w:rsidRPr="00233913">
              <w:rPr>
                <w:b/>
                <w:bCs/>
                <w:color w:val="000000"/>
                <w:sz w:val="22"/>
                <w:szCs w:val="22"/>
              </w:rPr>
              <w:t>Title</w:t>
            </w:r>
          </w:p>
        </w:tc>
      </w:tr>
      <w:tr w:rsidR="00141D52" w:rsidRPr="00055F0A" w14:paraId="25C6EF4B" w14:textId="77777777" w:rsidTr="16C20DCF">
        <w:tblPrEx>
          <w:tblCellMar>
            <w:top w:w="29" w:type="dxa"/>
            <w:left w:w="115" w:type="dxa"/>
            <w:bottom w:w="29" w:type="dxa"/>
            <w:right w:w="115" w:type="dxa"/>
          </w:tblCellMar>
        </w:tblPrEx>
        <w:trPr>
          <w:cantSplit/>
        </w:trPr>
        <w:tc>
          <w:tcPr>
            <w:tcW w:w="441" w:type="pct"/>
            <w:vAlign w:val="center"/>
          </w:tcPr>
          <w:p w14:paraId="18743C98" w14:textId="779E76C9"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themeFill="background1"/>
            <w:vAlign w:val="center"/>
          </w:tcPr>
          <w:p w14:paraId="19B3C42A" w14:textId="3F8271C2" w:rsidR="16C20DCF" w:rsidRDefault="16C20DCF" w:rsidP="16C20DCF">
            <w:pPr>
              <w:spacing w:before="80" w:after="80"/>
              <w:jc w:val="center"/>
              <w:rPr>
                <w:rFonts w:eastAsia="Times New Roman"/>
                <w:sz w:val="22"/>
                <w:szCs w:val="22"/>
              </w:rPr>
            </w:pPr>
            <w:r w:rsidRPr="16C20DCF">
              <w:rPr>
                <w:rFonts w:eastAsia="Times New Roman"/>
                <w:sz w:val="22"/>
                <w:szCs w:val="22"/>
              </w:rPr>
              <w:t>K.81</w:t>
            </w:r>
          </w:p>
        </w:tc>
        <w:tc>
          <w:tcPr>
            <w:tcW w:w="3529" w:type="pct"/>
            <w:shd w:val="clear" w:color="auto" w:fill="FFFFFF" w:themeFill="background1"/>
            <w:vAlign w:val="center"/>
          </w:tcPr>
          <w:p w14:paraId="237610F6" w14:textId="5E7BAA76" w:rsidR="16C20DCF" w:rsidRDefault="16C20DCF" w:rsidP="16C20DCF">
            <w:pPr>
              <w:spacing w:before="80" w:after="80"/>
              <w:jc w:val="center"/>
              <w:rPr>
                <w:rFonts w:eastAsia="Times New Roman"/>
                <w:sz w:val="22"/>
                <w:szCs w:val="22"/>
              </w:rPr>
            </w:pPr>
            <w:r w:rsidRPr="16C20DCF">
              <w:rPr>
                <w:rFonts w:eastAsia="Times New Roman"/>
                <w:sz w:val="22"/>
                <w:szCs w:val="22"/>
              </w:rPr>
              <w:t>High-power electromagnetic immunity guide for telecommunication systems</w:t>
            </w:r>
          </w:p>
        </w:tc>
      </w:tr>
      <w:tr w:rsidR="00141D52" w:rsidRPr="00055F0A" w14:paraId="7BD92A23" w14:textId="77777777" w:rsidTr="16C20DCF">
        <w:tblPrEx>
          <w:tblCellMar>
            <w:top w:w="29" w:type="dxa"/>
            <w:left w:w="115" w:type="dxa"/>
            <w:bottom w:w="29" w:type="dxa"/>
            <w:right w:w="115" w:type="dxa"/>
          </w:tblCellMar>
        </w:tblPrEx>
        <w:trPr>
          <w:cantSplit/>
        </w:trPr>
        <w:tc>
          <w:tcPr>
            <w:tcW w:w="441" w:type="pct"/>
            <w:vAlign w:val="center"/>
          </w:tcPr>
          <w:p w14:paraId="76ADB5AC" w14:textId="45BCAAB8"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themeFill="background1"/>
            <w:vAlign w:val="center"/>
          </w:tcPr>
          <w:p w14:paraId="2AD838D4" w14:textId="21FF44ED" w:rsidR="16C20DCF" w:rsidRDefault="16C20DCF" w:rsidP="16C20DCF">
            <w:pPr>
              <w:spacing w:before="80" w:after="80"/>
              <w:jc w:val="center"/>
              <w:rPr>
                <w:rFonts w:eastAsia="Times New Roman"/>
                <w:sz w:val="22"/>
                <w:szCs w:val="22"/>
              </w:rPr>
            </w:pPr>
            <w:r w:rsidRPr="16C20DCF">
              <w:rPr>
                <w:rFonts w:eastAsia="Times New Roman"/>
                <w:sz w:val="22"/>
                <w:szCs w:val="22"/>
              </w:rPr>
              <w:t>K.87</w:t>
            </w:r>
          </w:p>
        </w:tc>
        <w:tc>
          <w:tcPr>
            <w:tcW w:w="3529" w:type="pct"/>
            <w:shd w:val="clear" w:color="auto" w:fill="FFFFFF" w:themeFill="background1"/>
            <w:vAlign w:val="center"/>
          </w:tcPr>
          <w:p w14:paraId="2CE7CF37" w14:textId="75B1FE1B" w:rsidR="16C20DCF" w:rsidRDefault="16C20DCF" w:rsidP="16C20DCF">
            <w:pPr>
              <w:spacing w:before="80" w:after="80"/>
              <w:jc w:val="center"/>
              <w:rPr>
                <w:rFonts w:eastAsia="Times New Roman"/>
                <w:sz w:val="22"/>
                <w:szCs w:val="22"/>
              </w:rPr>
            </w:pPr>
            <w:r w:rsidRPr="16C20DCF">
              <w:rPr>
                <w:rFonts w:eastAsia="Times New Roman"/>
                <w:sz w:val="22"/>
                <w:szCs w:val="22"/>
              </w:rPr>
              <w:t>Guide for the application of electromagnetic security requirements – Overview</w:t>
            </w:r>
          </w:p>
        </w:tc>
      </w:tr>
      <w:tr w:rsidR="00141D52" w:rsidRPr="00055F0A" w14:paraId="07361912" w14:textId="77777777" w:rsidTr="16C20DCF">
        <w:tblPrEx>
          <w:tblCellMar>
            <w:top w:w="29" w:type="dxa"/>
            <w:left w:w="115" w:type="dxa"/>
            <w:bottom w:w="29" w:type="dxa"/>
            <w:right w:w="115" w:type="dxa"/>
          </w:tblCellMar>
        </w:tblPrEx>
        <w:trPr>
          <w:cantSplit/>
        </w:trPr>
        <w:tc>
          <w:tcPr>
            <w:tcW w:w="441" w:type="pct"/>
            <w:vAlign w:val="center"/>
          </w:tcPr>
          <w:p w14:paraId="4F350018" w14:textId="2F9FE679"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themeFill="background1"/>
            <w:vAlign w:val="center"/>
          </w:tcPr>
          <w:p w14:paraId="48D879C7" w14:textId="51AA79CC" w:rsidR="16C20DCF" w:rsidRDefault="16C20DCF" w:rsidP="16C20DCF">
            <w:pPr>
              <w:spacing w:before="80" w:after="80"/>
              <w:jc w:val="center"/>
              <w:rPr>
                <w:rFonts w:eastAsia="Times New Roman"/>
                <w:sz w:val="22"/>
                <w:szCs w:val="22"/>
              </w:rPr>
            </w:pPr>
            <w:r w:rsidRPr="16C20DCF">
              <w:rPr>
                <w:rFonts w:eastAsia="Times New Roman"/>
                <w:sz w:val="22"/>
                <w:szCs w:val="22"/>
              </w:rPr>
              <w:t>K.12</w:t>
            </w:r>
          </w:p>
        </w:tc>
        <w:tc>
          <w:tcPr>
            <w:tcW w:w="3529" w:type="pct"/>
            <w:shd w:val="clear" w:color="auto" w:fill="FFFFFF" w:themeFill="background1"/>
            <w:vAlign w:val="center"/>
          </w:tcPr>
          <w:p w14:paraId="22948F04" w14:textId="3DF852CF" w:rsidR="16C20DCF" w:rsidRDefault="16C20DCF" w:rsidP="16C20DCF">
            <w:pPr>
              <w:spacing w:before="80" w:after="80"/>
              <w:jc w:val="center"/>
              <w:rPr>
                <w:rFonts w:eastAsia="Times New Roman"/>
                <w:sz w:val="22"/>
                <w:szCs w:val="22"/>
              </w:rPr>
            </w:pPr>
            <w:r w:rsidRPr="16C20DCF">
              <w:rPr>
                <w:rFonts w:eastAsia="Times New Roman"/>
                <w:sz w:val="22"/>
                <w:szCs w:val="22"/>
              </w:rPr>
              <w:t>Characteristics of gas discharge tubes for the protection of telecommunications installations</w:t>
            </w:r>
          </w:p>
        </w:tc>
      </w:tr>
      <w:tr w:rsidR="00141D52" w:rsidRPr="00055F0A" w14:paraId="47917981" w14:textId="77777777" w:rsidTr="16C20DCF">
        <w:tblPrEx>
          <w:tblCellMar>
            <w:top w:w="29" w:type="dxa"/>
            <w:left w:w="115" w:type="dxa"/>
            <w:bottom w:w="29" w:type="dxa"/>
            <w:right w:w="115" w:type="dxa"/>
          </w:tblCellMar>
        </w:tblPrEx>
        <w:trPr>
          <w:cantSplit/>
        </w:trPr>
        <w:tc>
          <w:tcPr>
            <w:tcW w:w="441" w:type="pct"/>
            <w:vAlign w:val="center"/>
          </w:tcPr>
          <w:p w14:paraId="5256C063" w14:textId="1CB80AE9"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themeFill="background1"/>
            <w:vAlign w:val="center"/>
          </w:tcPr>
          <w:p w14:paraId="306DF88F" w14:textId="02180CA5" w:rsidR="16C20DCF" w:rsidRDefault="16C20DCF" w:rsidP="16C20DCF">
            <w:pPr>
              <w:spacing w:before="80" w:after="80"/>
              <w:jc w:val="center"/>
              <w:rPr>
                <w:rFonts w:eastAsia="Times New Roman"/>
                <w:sz w:val="22"/>
                <w:szCs w:val="22"/>
              </w:rPr>
            </w:pPr>
            <w:r w:rsidRPr="16C20DCF">
              <w:rPr>
                <w:rFonts w:eastAsia="Times New Roman"/>
                <w:sz w:val="22"/>
                <w:szCs w:val="22"/>
              </w:rPr>
              <w:t>K.52</w:t>
            </w:r>
          </w:p>
        </w:tc>
        <w:tc>
          <w:tcPr>
            <w:tcW w:w="3529" w:type="pct"/>
            <w:shd w:val="clear" w:color="auto" w:fill="FFFFFF" w:themeFill="background1"/>
            <w:vAlign w:val="center"/>
          </w:tcPr>
          <w:p w14:paraId="30821FF9" w14:textId="69120A40" w:rsidR="16C20DCF" w:rsidRDefault="16C20DCF" w:rsidP="16C20DCF">
            <w:pPr>
              <w:spacing w:before="80" w:after="80"/>
              <w:jc w:val="center"/>
              <w:rPr>
                <w:rFonts w:eastAsia="Times New Roman"/>
                <w:sz w:val="22"/>
                <w:szCs w:val="22"/>
              </w:rPr>
            </w:pPr>
            <w:r w:rsidRPr="16C20DCF">
              <w:rPr>
                <w:rFonts w:eastAsia="Times New Roman"/>
                <w:sz w:val="22"/>
                <w:szCs w:val="22"/>
              </w:rPr>
              <w:t>Guidance on complying with limits for human exposure to electromagnetic fields</w:t>
            </w:r>
          </w:p>
        </w:tc>
      </w:tr>
      <w:tr w:rsidR="00141D52" w:rsidRPr="00055F0A" w14:paraId="1C3842E9" w14:textId="77777777" w:rsidTr="16C20DCF">
        <w:tblPrEx>
          <w:tblCellMar>
            <w:top w:w="29" w:type="dxa"/>
            <w:left w:w="115" w:type="dxa"/>
            <w:bottom w:w="29" w:type="dxa"/>
            <w:right w:w="115" w:type="dxa"/>
          </w:tblCellMar>
        </w:tblPrEx>
        <w:trPr>
          <w:cantSplit/>
        </w:trPr>
        <w:tc>
          <w:tcPr>
            <w:tcW w:w="441" w:type="pct"/>
            <w:vAlign w:val="center"/>
          </w:tcPr>
          <w:p w14:paraId="0ED813B4" w14:textId="5CF44787"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themeFill="background1"/>
            <w:vAlign w:val="center"/>
          </w:tcPr>
          <w:p w14:paraId="4D7EAD81" w14:textId="4BD7A502" w:rsidR="16C20DCF" w:rsidRDefault="16C20DCF" w:rsidP="16C20DCF">
            <w:pPr>
              <w:spacing w:before="80" w:after="80"/>
              <w:jc w:val="center"/>
              <w:rPr>
                <w:rFonts w:eastAsia="Times New Roman"/>
                <w:sz w:val="22"/>
                <w:szCs w:val="22"/>
              </w:rPr>
            </w:pPr>
            <w:r w:rsidRPr="16C20DCF">
              <w:rPr>
                <w:rFonts w:eastAsia="Times New Roman"/>
                <w:sz w:val="22"/>
                <w:szCs w:val="22"/>
              </w:rPr>
              <w:t>K.100</w:t>
            </w:r>
          </w:p>
        </w:tc>
        <w:tc>
          <w:tcPr>
            <w:tcW w:w="3529" w:type="pct"/>
            <w:shd w:val="clear" w:color="auto" w:fill="FFFFFF" w:themeFill="background1"/>
          </w:tcPr>
          <w:p w14:paraId="5353E03C" w14:textId="58F9ABEF" w:rsidR="16C20DCF" w:rsidRDefault="16C20DCF" w:rsidP="16C20DCF">
            <w:pPr>
              <w:spacing w:before="80" w:after="80"/>
              <w:jc w:val="center"/>
              <w:rPr>
                <w:rFonts w:eastAsia="Times New Roman"/>
                <w:sz w:val="22"/>
                <w:szCs w:val="22"/>
              </w:rPr>
            </w:pPr>
            <w:r w:rsidRPr="16C20DCF">
              <w:rPr>
                <w:rFonts w:eastAsia="Times New Roman"/>
                <w:sz w:val="22"/>
                <w:szCs w:val="22"/>
              </w:rPr>
              <w:t>Measurement of radio frequency electromagnetic fields to determine compliance with human exposure limits when a base station is put into operation</w:t>
            </w:r>
          </w:p>
        </w:tc>
      </w:tr>
      <w:tr w:rsidR="16C20DCF" w14:paraId="2E40EDA2" w14:textId="77777777" w:rsidTr="16C20DCF">
        <w:tblPrEx>
          <w:tblCellMar>
            <w:top w:w="29" w:type="dxa"/>
            <w:left w:w="115" w:type="dxa"/>
            <w:bottom w:w="29" w:type="dxa"/>
            <w:right w:w="115" w:type="dxa"/>
          </w:tblCellMar>
        </w:tblPrEx>
        <w:trPr>
          <w:cantSplit/>
          <w:trHeight w:val="300"/>
        </w:trPr>
        <w:tc>
          <w:tcPr>
            <w:tcW w:w="849" w:type="dxa"/>
            <w:vAlign w:val="center"/>
          </w:tcPr>
          <w:p w14:paraId="24A38CB4" w14:textId="264ED965" w:rsidR="5D6D899A" w:rsidRDefault="5D6D899A" w:rsidP="16C20DCF">
            <w:pPr>
              <w:jc w:val="center"/>
              <w:rPr>
                <w:rFonts w:eastAsia="MS Mincho"/>
                <w:sz w:val="22"/>
                <w:szCs w:val="22"/>
              </w:rPr>
            </w:pPr>
            <w:r w:rsidRPr="16C20DCF">
              <w:rPr>
                <w:rFonts w:eastAsia="MS Mincho"/>
                <w:sz w:val="22"/>
                <w:szCs w:val="22"/>
              </w:rPr>
              <w:t>5</w:t>
            </w:r>
          </w:p>
        </w:tc>
        <w:tc>
          <w:tcPr>
            <w:tcW w:w="1982" w:type="dxa"/>
            <w:shd w:val="clear" w:color="auto" w:fill="FFFFFF" w:themeFill="background1"/>
            <w:vAlign w:val="center"/>
          </w:tcPr>
          <w:p w14:paraId="3313E0AF" w14:textId="08CF55A1" w:rsidR="16C20DCF" w:rsidRDefault="16C20DCF" w:rsidP="16C20DCF">
            <w:pPr>
              <w:spacing w:before="80" w:after="80"/>
              <w:jc w:val="center"/>
              <w:rPr>
                <w:rFonts w:eastAsia="Times New Roman"/>
                <w:sz w:val="22"/>
                <w:szCs w:val="22"/>
                <w:lang w:val="en-US"/>
              </w:rPr>
            </w:pPr>
            <w:r w:rsidRPr="16C20DCF">
              <w:rPr>
                <w:rFonts w:eastAsia="Times New Roman"/>
                <w:sz w:val="22"/>
                <w:szCs w:val="22"/>
                <w:lang w:val="en-US"/>
              </w:rPr>
              <w:t>K.42</w:t>
            </w:r>
          </w:p>
        </w:tc>
        <w:tc>
          <w:tcPr>
            <w:tcW w:w="6798" w:type="dxa"/>
            <w:shd w:val="clear" w:color="auto" w:fill="FFFFFF" w:themeFill="background1"/>
          </w:tcPr>
          <w:p w14:paraId="78B073C1" w14:textId="4FA90E16" w:rsidR="16C20DCF" w:rsidRDefault="16C20DCF" w:rsidP="16C20DCF">
            <w:pPr>
              <w:spacing w:before="80" w:after="80"/>
              <w:jc w:val="center"/>
              <w:rPr>
                <w:rFonts w:eastAsia="Times New Roman"/>
                <w:sz w:val="22"/>
                <w:szCs w:val="22"/>
              </w:rPr>
            </w:pPr>
            <w:r w:rsidRPr="16C20DCF">
              <w:rPr>
                <w:rFonts w:eastAsia="Times New Roman"/>
                <w:sz w:val="22"/>
                <w:szCs w:val="22"/>
              </w:rPr>
              <w:t>General Principle for the definition of emission and immunity requirements for Telecommunications/ICTs Equipment</w:t>
            </w:r>
          </w:p>
        </w:tc>
      </w:tr>
      <w:tr w:rsidR="16C20DCF" w14:paraId="3C59C764" w14:textId="77777777" w:rsidTr="16C20DCF">
        <w:tblPrEx>
          <w:tblCellMar>
            <w:top w:w="29" w:type="dxa"/>
            <w:left w:w="115" w:type="dxa"/>
            <w:bottom w:w="29" w:type="dxa"/>
            <w:right w:w="115" w:type="dxa"/>
          </w:tblCellMar>
        </w:tblPrEx>
        <w:trPr>
          <w:cantSplit/>
          <w:trHeight w:val="300"/>
        </w:trPr>
        <w:tc>
          <w:tcPr>
            <w:tcW w:w="849" w:type="dxa"/>
            <w:vAlign w:val="center"/>
          </w:tcPr>
          <w:p w14:paraId="70C94544" w14:textId="369897C5" w:rsidR="5D6D899A" w:rsidRDefault="5D6D899A" w:rsidP="16C20DCF">
            <w:pPr>
              <w:jc w:val="center"/>
              <w:rPr>
                <w:rFonts w:eastAsia="MS Mincho"/>
                <w:sz w:val="22"/>
                <w:szCs w:val="22"/>
              </w:rPr>
            </w:pPr>
            <w:r w:rsidRPr="16C20DCF">
              <w:rPr>
                <w:rFonts w:eastAsia="MS Mincho"/>
                <w:sz w:val="22"/>
                <w:szCs w:val="22"/>
              </w:rPr>
              <w:lastRenderedPageBreak/>
              <w:t>5</w:t>
            </w:r>
          </w:p>
        </w:tc>
        <w:tc>
          <w:tcPr>
            <w:tcW w:w="1982" w:type="dxa"/>
            <w:shd w:val="clear" w:color="auto" w:fill="FFFFFF" w:themeFill="background1"/>
            <w:vAlign w:val="center"/>
          </w:tcPr>
          <w:p w14:paraId="1FB536BE" w14:textId="7AF68904" w:rsidR="5D6D899A" w:rsidRDefault="5D6D899A" w:rsidP="16C20DCF">
            <w:pPr>
              <w:jc w:val="center"/>
              <w:rPr>
                <w:rFonts w:eastAsia="Times New Roman"/>
                <w:sz w:val="22"/>
                <w:szCs w:val="22"/>
              </w:rPr>
            </w:pPr>
            <w:r w:rsidRPr="16C20DCF">
              <w:rPr>
                <w:rFonts w:eastAsia="Times New Roman"/>
                <w:sz w:val="22"/>
                <w:szCs w:val="22"/>
              </w:rPr>
              <w:t>K.155</w:t>
            </w:r>
          </w:p>
        </w:tc>
        <w:tc>
          <w:tcPr>
            <w:tcW w:w="6798" w:type="dxa"/>
            <w:shd w:val="clear" w:color="auto" w:fill="FFFFFF" w:themeFill="background1"/>
          </w:tcPr>
          <w:p w14:paraId="3C68DCC8" w14:textId="3A28D949" w:rsidR="5D6D899A" w:rsidRDefault="5D6D899A" w:rsidP="16C20DCF">
            <w:pPr>
              <w:jc w:val="center"/>
              <w:rPr>
                <w:rFonts w:eastAsia="Times New Roman"/>
                <w:sz w:val="22"/>
                <w:szCs w:val="22"/>
              </w:rPr>
            </w:pPr>
            <w:r w:rsidRPr="16C20DCF">
              <w:rPr>
                <w:rFonts w:eastAsia="Times New Roman"/>
                <w:sz w:val="22"/>
                <w:szCs w:val="22"/>
              </w:rPr>
              <w:t>Performance Requirements and Test Methods for Surge Protective Modules Used in AC power port of Telecommunication Equipment</w:t>
            </w:r>
          </w:p>
        </w:tc>
      </w:tr>
      <w:tr w:rsidR="16C20DCF" w14:paraId="43FDA09B" w14:textId="77777777" w:rsidTr="16C20DCF">
        <w:tblPrEx>
          <w:tblCellMar>
            <w:top w:w="29" w:type="dxa"/>
            <w:left w:w="115" w:type="dxa"/>
            <w:bottom w:w="29" w:type="dxa"/>
            <w:right w:w="115" w:type="dxa"/>
          </w:tblCellMar>
        </w:tblPrEx>
        <w:trPr>
          <w:cantSplit/>
          <w:trHeight w:val="300"/>
        </w:trPr>
        <w:tc>
          <w:tcPr>
            <w:tcW w:w="849" w:type="dxa"/>
            <w:vAlign w:val="center"/>
          </w:tcPr>
          <w:p w14:paraId="529871FC" w14:textId="6F362CAE" w:rsidR="5D6D899A" w:rsidRDefault="5D6D899A" w:rsidP="16C20DCF">
            <w:pPr>
              <w:jc w:val="center"/>
              <w:rPr>
                <w:rFonts w:eastAsia="MS Mincho"/>
                <w:sz w:val="22"/>
                <w:szCs w:val="22"/>
              </w:rPr>
            </w:pPr>
            <w:r w:rsidRPr="16C20DCF">
              <w:rPr>
                <w:rFonts w:eastAsia="MS Mincho"/>
                <w:sz w:val="22"/>
                <w:szCs w:val="22"/>
              </w:rPr>
              <w:t>5</w:t>
            </w:r>
          </w:p>
        </w:tc>
        <w:tc>
          <w:tcPr>
            <w:tcW w:w="1982" w:type="dxa"/>
            <w:shd w:val="clear" w:color="auto" w:fill="FFFFFF" w:themeFill="background1"/>
            <w:vAlign w:val="center"/>
          </w:tcPr>
          <w:p w14:paraId="65C32EF9" w14:textId="2CB17CA5" w:rsidR="16C20DCF" w:rsidRDefault="16C20DCF" w:rsidP="16C20DCF">
            <w:pPr>
              <w:spacing w:before="80" w:after="80"/>
              <w:jc w:val="center"/>
              <w:rPr>
                <w:rFonts w:eastAsia="Times New Roman"/>
                <w:sz w:val="22"/>
                <w:szCs w:val="22"/>
              </w:rPr>
            </w:pPr>
            <w:r w:rsidRPr="16C20DCF">
              <w:rPr>
                <w:rFonts w:eastAsia="Times New Roman"/>
                <w:sz w:val="22"/>
                <w:szCs w:val="22"/>
              </w:rPr>
              <w:t>K.156</w:t>
            </w:r>
          </w:p>
        </w:tc>
        <w:tc>
          <w:tcPr>
            <w:tcW w:w="6798" w:type="dxa"/>
            <w:shd w:val="clear" w:color="auto" w:fill="FFFFFF" w:themeFill="background1"/>
          </w:tcPr>
          <w:p w14:paraId="0FF09EBE" w14:textId="294649B0" w:rsidR="16C20DCF" w:rsidRDefault="16C20DCF" w:rsidP="16C20DCF">
            <w:pPr>
              <w:spacing w:before="80" w:after="80"/>
              <w:jc w:val="center"/>
              <w:rPr>
                <w:rFonts w:eastAsia="Times New Roman"/>
                <w:sz w:val="22"/>
                <w:szCs w:val="22"/>
              </w:rPr>
            </w:pPr>
            <w:r w:rsidRPr="16C20DCF">
              <w:rPr>
                <w:rFonts w:eastAsia="Times New Roman"/>
                <w:sz w:val="22"/>
                <w:szCs w:val="22"/>
              </w:rPr>
              <w:t>Time and spatial averaging in RF-EMF exposure assessment</w:t>
            </w:r>
          </w:p>
        </w:tc>
      </w:tr>
      <w:tr w:rsidR="16C20DCF" w14:paraId="3BE6EF93" w14:textId="77777777" w:rsidTr="16C20DCF">
        <w:tblPrEx>
          <w:tblCellMar>
            <w:top w:w="29" w:type="dxa"/>
            <w:left w:w="115" w:type="dxa"/>
            <w:bottom w:w="29" w:type="dxa"/>
            <w:right w:w="115" w:type="dxa"/>
          </w:tblCellMar>
        </w:tblPrEx>
        <w:trPr>
          <w:cantSplit/>
          <w:trHeight w:val="300"/>
        </w:trPr>
        <w:tc>
          <w:tcPr>
            <w:tcW w:w="849" w:type="dxa"/>
            <w:vAlign w:val="center"/>
          </w:tcPr>
          <w:p w14:paraId="15ADDAD2" w14:textId="3D4FF70F" w:rsidR="5D6D899A" w:rsidRDefault="5D6D899A" w:rsidP="16C20DCF">
            <w:pPr>
              <w:jc w:val="center"/>
              <w:rPr>
                <w:rFonts w:eastAsia="MS Mincho"/>
                <w:sz w:val="22"/>
                <w:szCs w:val="22"/>
              </w:rPr>
            </w:pPr>
            <w:r w:rsidRPr="16C20DCF">
              <w:rPr>
                <w:rFonts w:eastAsia="MS Mincho"/>
                <w:sz w:val="22"/>
                <w:szCs w:val="22"/>
              </w:rPr>
              <w:t>5</w:t>
            </w:r>
          </w:p>
        </w:tc>
        <w:tc>
          <w:tcPr>
            <w:tcW w:w="1982" w:type="dxa"/>
            <w:shd w:val="clear" w:color="auto" w:fill="FFFFFF" w:themeFill="background1"/>
            <w:vAlign w:val="center"/>
          </w:tcPr>
          <w:p w14:paraId="4E272200" w14:textId="6F497D82" w:rsidR="16C20DCF" w:rsidRDefault="16C20DCF" w:rsidP="16C20DCF">
            <w:pPr>
              <w:spacing w:before="80" w:after="80"/>
              <w:jc w:val="center"/>
              <w:rPr>
                <w:rFonts w:eastAsia="Times New Roman"/>
                <w:sz w:val="22"/>
                <w:szCs w:val="22"/>
              </w:rPr>
            </w:pPr>
            <w:r w:rsidRPr="16C20DCF">
              <w:rPr>
                <w:rFonts w:eastAsia="Times New Roman"/>
                <w:sz w:val="22"/>
                <w:szCs w:val="22"/>
              </w:rPr>
              <w:t>K.157</w:t>
            </w:r>
          </w:p>
        </w:tc>
        <w:tc>
          <w:tcPr>
            <w:tcW w:w="6798" w:type="dxa"/>
            <w:shd w:val="clear" w:color="auto" w:fill="FFFFFF" w:themeFill="background1"/>
          </w:tcPr>
          <w:p w14:paraId="4DC323BF" w14:textId="6D055192" w:rsidR="16C20DCF" w:rsidRDefault="16C20DCF" w:rsidP="16C20DCF">
            <w:pPr>
              <w:spacing w:before="80" w:after="80"/>
              <w:jc w:val="center"/>
              <w:rPr>
                <w:rFonts w:eastAsia="Times New Roman"/>
                <w:sz w:val="22"/>
                <w:szCs w:val="22"/>
              </w:rPr>
            </w:pPr>
            <w:r w:rsidRPr="16C20DCF">
              <w:rPr>
                <w:rFonts w:eastAsia="Times New Roman"/>
                <w:sz w:val="22"/>
                <w:szCs w:val="22"/>
              </w:rPr>
              <w:t>Electromagnetic compatibility requirements and test methods for satellite communication terminal equipment</w:t>
            </w:r>
          </w:p>
        </w:tc>
      </w:tr>
    </w:tbl>
    <w:p w14:paraId="76E8509F" w14:textId="4B130250" w:rsidR="00B0022E" w:rsidRPr="00055F0A" w:rsidRDefault="00D12115" w:rsidP="00781DFB">
      <w:pPr>
        <w:spacing w:before="360"/>
        <w:rPr>
          <w:b/>
          <w:lang w:eastAsia="zh-CN"/>
        </w:rPr>
      </w:pPr>
      <w:r w:rsidRPr="00055F0A">
        <w:rPr>
          <w:b/>
          <w:lang w:eastAsia="zh-CN"/>
        </w:rPr>
        <w:t>1.2</w:t>
      </w:r>
      <w:r w:rsidRPr="00055F0A">
        <w:rPr>
          <w:b/>
          <w:lang w:eastAsia="zh-CN"/>
        </w:rPr>
        <w:tab/>
        <w:t xml:space="preserve">WP2/5 </w:t>
      </w:r>
      <w:r w:rsidR="00E27694">
        <w:rPr>
          <w:b/>
          <w:lang w:eastAsia="zh-CN"/>
        </w:rPr>
        <w:t>–</w:t>
      </w:r>
      <w:r w:rsidRPr="00055F0A">
        <w:rPr>
          <w:b/>
          <w:lang w:eastAsia="zh-CN"/>
        </w:rPr>
        <w:t xml:space="preserve"> </w:t>
      </w:r>
      <w:r w:rsidR="003326FA" w:rsidRPr="003326FA">
        <w:rPr>
          <w:b/>
          <w:lang w:eastAsia="zh-CN"/>
        </w:rPr>
        <w:t xml:space="preserve">Environmental efficiency, e-waste, </w:t>
      </w:r>
      <w:r w:rsidR="00515E69" w:rsidRPr="003326FA">
        <w:rPr>
          <w:b/>
          <w:lang w:eastAsia="zh-CN"/>
        </w:rPr>
        <w:t>circularity,</w:t>
      </w:r>
      <w:r w:rsidR="003326FA" w:rsidRPr="003326FA">
        <w:rPr>
          <w:b/>
          <w:lang w:eastAsia="zh-CN"/>
        </w:rPr>
        <w:t xml:space="preserve"> and sustainable ICT networks</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Recommendations approved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0022E" w:rsidRPr="00515E69" w14:paraId="2DD97A86" w14:textId="77777777" w:rsidTr="16C20DCF">
        <w:trPr>
          <w:cantSplit/>
          <w:tblHeader/>
        </w:trPr>
        <w:tc>
          <w:tcPr>
            <w:tcW w:w="441" w:type="pct"/>
            <w:shd w:val="clear" w:color="auto" w:fill="D9D9D9" w:themeFill="background1" w:themeFillShade="D9"/>
            <w:vAlign w:val="center"/>
          </w:tcPr>
          <w:p w14:paraId="7FD0FBA9" w14:textId="77777777" w:rsidR="00B0022E" w:rsidRPr="00515E69" w:rsidRDefault="00D12115" w:rsidP="00515E69">
            <w:pPr>
              <w:jc w:val="center"/>
              <w:rPr>
                <w:b/>
                <w:bCs/>
                <w:sz w:val="22"/>
                <w:szCs w:val="22"/>
              </w:rPr>
            </w:pPr>
            <w:r w:rsidRPr="00515E69">
              <w:rPr>
                <w:b/>
                <w:bCs/>
                <w:sz w:val="22"/>
                <w:szCs w:val="22"/>
              </w:rPr>
              <w:t>SG</w:t>
            </w:r>
          </w:p>
        </w:tc>
        <w:tc>
          <w:tcPr>
            <w:tcW w:w="1029" w:type="pct"/>
            <w:shd w:val="clear" w:color="auto" w:fill="D9D9D9" w:themeFill="background1" w:themeFillShade="D9"/>
            <w:vAlign w:val="center"/>
          </w:tcPr>
          <w:p w14:paraId="0F538A78" w14:textId="77777777" w:rsidR="00B0022E" w:rsidRPr="00515E69" w:rsidRDefault="00D12115" w:rsidP="00515E69">
            <w:pPr>
              <w:jc w:val="center"/>
              <w:rPr>
                <w:sz w:val="22"/>
                <w:szCs w:val="22"/>
              </w:rPr>
            </w:pPr>
            <w:r w:rsidRPr="00515E69">
              <w:rPr>
                <w:b/>
                <w:bCs/>
                <w:sz w:val="22"/>
                <w:szCs w:val="22"/>
              </w:rPr>
              <w:t>No</w:t>
            </w:r>
          </w:p>
        </w:tc>
        <w:tc>
          <w:tcPr>
            <w:tcW w:w="3530" w:type="pct"/>
            <w:shd w:val="clear" w:color="auto" w:fill="D9D9D9" w:themeFill="background1" w:themeFillShade="D9"/>
            <w:vAlign w:val="center"/>
          </w:tcPr>
          <w:p w14:paraId="12F3CBAD" w14:textId="77777777" w:rsidR="00B0022E" w:rsidRPr="00515E69" w:rsidRDefault="00D12115" w:rsidP="00515E69">
            <w:pPr>
              <w:jc w:val="center"/>
              <w:rPr>
                <w:sz w:val="22"/>
                <w:szCs w:val="22"/>
              </w:rPr>
            </w:pPr>
            <w:r w:rsidRPr="00515E69">
              <w:rPr>
                <w:b/>
                <w:bCs/>
                <w:sz w:val="22"/>
                <w:szCs w:val="22"/>
              </w:rPr>
              <w:t>Title</w:t>
            </w:r>
          </w:p>
        </w:tc>
      </w:tr>
      <w:tr w:rsidR="00BC238C" w:rsidRPr="00515E69" w14:paraId="56EFFA4B" w14:textId="77777777" w:rsidTr="16C20DCF">
        <w:tblPrEx>
          <w:tblCellMar>
            <w:top w:w="29" w:type="dxa"/>
            <w:left w:w="115" w:type="dxa"/>
            <w:bottom w:w="29" w:type="dxa"/>
            <w:right w:w="115" w:type="dxa"/>
          </w:tblCellMar>
        </w:tblPrEx>
        <w:trPr>
          <w:cantSplit/>
        </w:trPr>
        <w:tc>
          <w:tcPr>
            <w:tcW w:w="441" w:type="pct"/>
            <w:vAlign w:val="center"/>
          </w:tcPr>
          <w:p w14:paraId="442E98B2" w14:textId="69BF0F5D" w:rsidR="00BC238C" w:rsidRPr="00515E69" w:rsidRDefault="00BC238C" w:rsidP="00BC238C">
            <w:pPr>
              <w:jc w:val="center"/>
              <w:rPr>
                <w:rFonts w:eastAsia="Times New Roman"/>
                <w:sz w:val="22"/>
                <w:szCs w:val="22"/>
              </w:rPr>
            </w:pPr>
            <w:r w:rsidRPr="00515E69">
              <w:rPr>
                <w:rFonts w:eastAsia="Times New Roman"/>
                <w:sz w:val="22"/>
                <w:szCs w:val="22"/>
              </w:rPr>
              <w:t>5</w:t>
            </w:r>
          </w:p>
        </w:tc>
        <w:tc>
          <w:tcPr>
            <w:tcW w:w="1029" w:type="pct"/>
            <w:vAlign w:val="center"/>
          </w:tcPr>
          <w:p w14:paraId="4AA4B164" w14:textId="45E1BBB3" w:rsidR="00BC238C" w:rsidRPr="00A365FD" w:rsidRDefault="00BC238C" w:rsidP="00BC238C">
            <w:pPr>
              <w:jc w:val="center"/>
              <w:rPr>
                <w:rFonts w:eastAsia="Times New Roman"/>
                <w:sz w:val="22"/>
                <w:szCs w:val="22"/>
              </w:rPr>
            </w:pPr>
            <w:r w:rsidRPr="007C1BC4">
              <w:rPr>
                <w:sz w:val="22"/>
                <w:szCs w:val="22"/>
              </w:rPr>
              <w:t>L.1362</w:t>
            </w:r>
          </w:p>
        </w:tc>
        <w:tc>
          <w:tcPr>
            <w:tcW w:w="3530" w:type="pct"/>
            <w:vAlign w:val="center"/>
          </w:tcPr>
          <w:p w14:paraId="2B36232B" w14:textId="7FEA9BDD" w:rsidR="00BC238C" w:rsidRPr="00515E69" w:rsidRDefault="00BC238C" w:rsidP="00BC238C">
            <w:pPr>
              <w:spacing w:line="240" w:lineRule="atLeast"/>
              <w:rPr>
                <w:sz w:val="22"/>
                <w:szCs w:val="22"/>
              </w:rPr>
            </w:pPr>
            <w:r w:rsidRPr="007C1BC4">
              <w:rPr>
                <w:sz w:val="22"/>
                <w:szCs w:val="22"/>
              </w:rPr>
              <w:t>Power management capabilities of the future energy telecommunication fixed network nodes. Enhanced Interface for power management in Network Function Virtualization (NFV) environments</w:t>
            </w:r>
          </w:p>
        </w:tc>
      </w:tr>
      <w:tr w:rsidR="00BC238C" w:rsidRPr="00515E69" w14:paraId="5DD138B7" w14:textId="77777777" w:rsidTr="16C20DCF">
        <w:tblPrEx>
          <w:tblCellMar>
            <w:top w:w="29" w:type="dxa"/>
            <w:left w:w="115" w:type="dxa"/>
            <w:bottom w:w="29" w:type="dxa"/>
            <w:right w:w="115" w:type="dxa"/>
          </w:tblCellMar>
        </w:tblPrEx>
        <w:trPr>
          <w:cantSplit/>
        </w:trPr>
        <w:tc>
          <w:tcPr>
            <w:tcW w:w="441" w:type="pct"/>
            <w:vAlign w:val="center"/>
          </w:tcPr>
          <w:p w14:paraId="40406B0B" w14:textId="7883A12B" w:rsidR="00BC238C" w:rsidRPr="00515E69" w:rsidRDefault="00BC238C" w:rsidP="00BC238C">
            <w:pPr>
              <w:jc w:val="center"/>
              <w:rPr>
                <w:rFonts w:eastAsia="Times New Roman"/>
                <w:sz w:val="22"/>
                <w:szCs w:val="22"/>
              </w:rPr>
            </w:pPr>
            <w:r w:rsidRPr="00515E69">
              <w:rPr>
                <w:rFonts w:eastAsia="Times New Roman"/>
                <w:sz w:val="22"/>
                <w:szCs w:val="22"/>
              </w:rPr>
              <w:t>5</w:t>
            </w:r>
          </w:p>
        </w:tc>
        <w:tc>
          <w:tcPr>
            <w:tcW w:w="1029" w:type="pct"/>
            <w:vAlign w:val="center"/>
          </w:tcPr>
          <w:p w14:paraId="025769EE" w14:textId="666A6551" w:rsidR="00BC238C" w:rsidRPr="00A365FD" w:rsidRDefault="00BC238C" w:rsidP="00BC238C">
            <w:pPr>
              <w:jc w:val="center"/>
              <w:rPr>
                <w:rFonts w:eastAsia="Times New Roman"/>
                <w:sz w:val="22"/>
                <w:szCs w:val="22"/>
              </w:rPr>
            </w:pPr>
            <w:r w:rsidRPr="007C1BC4">
              <w:rPr>
                <w:sz w:val="22"/>
                <w:szCs w:val="22"/>
              </w:rPr>
              <w:t>L.1031</w:t>
            </w:r>
          </w:p>
        </w:tc>
        <w:tc>
          <w:tcPr>
            <w:tcW w:w="3530" w:type="pct"/>
            <w:vAlign w:val="center"/>
          </w:tcPr>
          <w:p w14:paraId="6E877645" w14:textId="1ABDD455" w:rsidR="00BC238C" w:rsidRPr="00515E69" w:rsidRDefault="00BC238C" w:rsidP="00BC238C">
            <w:pPr>
              <w:spacing w:line="240" w:lineRule="atLeast"/>
              <w:rPr>
                <w:sz w:val="22"/>
                <w:szCs w:val="22"/>
              </w:rPr>
            </w:pPr>
            <w:r w:rsidRPr="007C1BC4">
              <w:rPr>
                <w:sz w:val="22"/>
                <w:szCs w:val="22"/>
              </w:rPr>
              <w:t>Guideline for the development of an e-waste management system and achieving the e waste targets of the Connect 2030 Agenda</w:t>
            </w:r>
          </w:p>
        </w:tc>
      </w:tr>
      <w:tr w:rsidR="00BC238C" w:rsidRPr="00515E69" w14:paraId="08F65FB1" w14:textId="77777777" w:rsidTr="16C20DCF">
        <w:tblPrEx>
          <w:tblCellMar>
            <w:top w:w="29" w:type="dxa"/>
            <w:left w:w="115" w:type="dxa"/>
            <w:bottom w:w="29" w:type="dxa"/>
            <w:right w:w="115" w:type="dxa"/>
          </w:tblCellMar>
        </w:tblPrEx>
        <w:trPr>
          <w:cantSplit/>
          <w:trHeight w:val="540"/>
        </w:trPr>
        <w:tc>
          <w:tcPr>
            <w:tcW w:w="441" w:type="pct"/>
            <w:vAlign w:val="center"/>
          </w:tcPr>
          <w:p w14:paraId="0C059FA0" w14:textId="0DD71F95" w:rsidR="00BC238C" w:rsidRPr="00515E69" w:rsidRDefault="00BC238C" w:rsidP="00BC238C">
            <w:pPr>
              <w:jc w:val="center"/>
              <w:rPr>
                <w:rFonts w:eastAsia="Times New Roman"/>
                <w:sz w:val="22"/>
                <w:szCs w:val="22"/>
              </w:rPr>
            </w:pPr>
            <w:r w:rsidRPr="00515E69">
              <w:rPr>
                <w:rFonts w:eastAsia="Times New Roman"/>
                <w:sz w:val="22"/>
                <w:szCs w:val="22"/>
              </w:rPr>
              <w:t>5</w:t>
            </w:r>
          </w:p>
        </w:tc>
        <w:tc>
          <w:tcPr>
            <w:tcW w:w="1029" w:type="pct"/>
            <w:vAlign w:val="center"/>
          </w:tcPr>
          <w:p w14:paraId="4EC962F7" w14:textId="7F8776AD" w:rsidR="00BC238C" w:rsidRPr="00A365FD" w:rsidRDefault="00BC238C" w:rsidP="00BC238C">
            <w:pPr>
              <w:jc w:val="center"/>
              <w:rPr>
                <w:rFonts w:eastAsia="Times New Roman"/>
                <w:sz w:val="22"/>
                <w:szCs w:val="22"/>
              </w:rPr>
            </w:pPr>
            <w:r w:rsidRPr="007C1BC4">
              <w:rPr>
                <w:sz w:val="22"/>
                <w:szCs w:val="22"/>
              </w:rPr>
              <w:t>L.1307</w:t>
            </w:r>
          </w:p>
        </w:tc>
        <w:tc>
          <w:tcPr>
            <w:tcW w:w="3530" w:type="pct"/>
            <w:vAlign w:val="center"/>
          </w:tcPr>
          <w:p w14:paraId="1EE66D28" w14:textId="0AE0B4BA" w:rsidR="00BC238C" w:rsidRPr="00515E69" w:rsidRDefault="00BC238C" w:rsidP="00BC238C">
            <w:pPr>
              <w:spacing w:line="240" w:lineRule="atLeast"/>
              <w:rPr>
                <w:sz w:val="22"/>
                <w:szCs w:val="22"/>
              </w:rPr>
            </w:pPr>
            <w:r w:rsidRPr="007C1BC4">
              <w:rPr>
                <w:sz w:val="22"/>
                <w:szCs w:val="22"/>
              </w:rPr>
              <w:t>Energy Efficiency in Micro Data Centre for Edge Computing</w:t>
            </w:r>
          </w:p>
        </w:tc>
      </w:tr>
    </w:tbl>
    <w:p w14:paraId="6E60FAED" w14:textId="0A2E9CC6" w:rsidR="00B0022E" w:rsidRPr="00055F0A" w:rsidRDefault="00D12115" w:rsidP="16C20DCF">
      <w:pPr>
        <w:spacing w:before="240" w:after="120"/>
        <w:rPr>
          <w:b/>
          <w:bCs/>
          <w:lang w:eastAsia="zh-CN"/>
        </w:rPr>
      </w:pPr>
      <w:r w:rsidRPr="16C20DCF">
        <w:rPr>
          <w:b/>
          <w:bCs/>
          <w:lang w:eastAsia="zh-CN"/>
        </w:rPr>
        <w:t>1.2.</w:t>
      </w:r>
      <w:r w:rsidR="00BC238C" w:rsidRPr="16C20DCF">
        <w:rPr>
          <w:b/>
          <w:bCs/>
          <w:lang w:eastAsia="zh-CN"/>
        </w:rPr>
        <w:t>2</w:t>
      </w:r>
      <w:r>
        <w:tab/>
      </w:r>
      <w:r w:rsidRPr="16C20DCF">
        <w:rPr>
          <w:b/>
          <w:bCs/>
          <w:lang w:eastAsia="zh-CN"/>
        </w:rPr>
        <w:t>Recommendations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11"/>
        <w:gridCol w:w="6769"/>
      </w:tblGrid>
      <w:tr w:rsidR="00B0022E" w:rsidRPr="006A1660" w14:paraId="4644A091" w14:textId="77777777" w:rsidTr="16C20DCF">
        <w:trPr>
          <w:cantSplit/>
          <w:tblHeader/>
        </w:trPr>
        <w:tc>
          <w:tcPr>
            <w:tcW w:w="441" w:type="pct"/>
            <w:shd w:val="clear" w:color="auto" w:fill="D9D9D9" w:themeFill="background1" w:themeFillShade="D9"/>
          </w:tcPr>
          <w:p w14:paraId="198759D3" w14:textId="77777777" w:rsidR="00B0022E" w:rsidRPr="006A1660" w:rsidRDefault="00D12115">
            <w:pPr>
              <w:spacing w:before="40" w:after="40"/>
              <w:jc w:val="center"/>
              <w:rPr>
                <w:b/>
                <w:bCs/>
                <w:color w:val="000000"/>
                <w:sz w:val="22"/>
                <w:szCs w:val="22"/>
              </w:rPr>
            </w:pPr>
            <w:r w:rsidRPr="006A1660">
              <w:rPr>
                <w:b/>
                <w:bCs/>
                <w:color w:val="000000"/>
                <w:sz w:val="22"/>
                <w:szCs w:val="22"/>
              </w:rPr>
              <w:t>SG</w:t>
            </w:r>
          </w:p>
        </w:tc>
        <w:tc>
          <w:tcPr>
            <w:tcW w:w="1044" w:type="pct"/>
            <w:shd w:val="clear" w:color="auto" w:fill="D9D9D9" w:themeFill="background1" w:themeFillShade="D9"/>
          </w:tcPr>
          <w:p w14:paraId="788DB3B7" w14:textId="77777777" w:rsidR="00B0022E" w:rsidRPr="006A1660" w:rsidRDefault="00D12115" w:rsidP="00BD2D65">
            <w:pPr>
              <w:spacing w:before="40" w:after="40"/>
              <w:jc w:val="center"/>
              <w:rPr>
                <w:color w:val="000000"/>
                <w:sz w:val="22"/>
                <w:szCs w:val="22"/>
              </w:rPr>
            </w:pPr>
            <w:r w:rsidRPr="006A1660">
              <w:rPr>
                <w:b/>
                <w:bCs/>
                <w:color w:val="000000"/>
                <w:sz w:val="22"/>
                <w:szCs w:val="22"/>
              </w:rPr>
              <w:t>No</w:t>
            </w:r>
          </w:p>
        </w:tc>
        <w:tc>
          <w:tcPr>
            <w:tcW w:w="3514" w:type="pct"/>
            <w:shd w:val="clear" w:color="auto" w:fill="D9D9D9" w:themeFill="background1" w:themeFillShade="D9"/>
          </w:tcPr>
          <w:p w14:paraId="6F3458EE" w14:textId="77777777" w:rsidR="00B0022E" w:rsidRPr="006A1660" w:rsidRDefault="00D12115">
            <w:pPr>
              <w:spacing w:before="40" w:after="40"/>
              <w:jc w:val="center"/>
              <w:rPr>
                <w:color w:val="000000"/>
                <w:sz w:val="22"/>
                <w:szCs w:val="22"/>
              </w:rPr>
            </w:pPr>
            <w:r w:rsidRPr="006A1660">
              <w:rPr>
                <w:b/>
                <w:bCs/>
                <w:color w:val="000000"/>
                <w:sz w:val="22"/>
                <w:szCs w:val="22"/>
              </w:rPr>
              <w:t>Title</w:t>
            </w:r>
          </w:p>
        </w:tc>
      </w:tr>
      <w:tr w:rsidR="004A2B7D" w:rsidRPr="006A1660" w14:paraId="629E0EF9" w14:textId="77777777" w:rsidTr="16C20DCF">
        <w:tblPrEx>
          <w:tblCellMar>
            <w:top w:w="29" w:type="dxa"/>
            <w:left w:w="115" w:type="dxa"/>
            <w:bottom w:w="29" w:type="dxa"/>
            <w:right w:w="115" w:type="dxa"/>
          </w:tblCellMar>
        </w:tblPrEx>
        <w:trPr>
          <w:cantSplit/>
          <w:trHeight w:val="720"/>
        </w:trPr>
        <w:tc>
          <w:tcPr>
            <w:tcW w:w="441" w:type="pct"/>
            <w:vAlign w:val="center"/>
          </w:tcPr>
          <w:p w14:paraId="6E20324E" w14:textId="6CF98B2D"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themeFill="background1"/>
            <w:vAlign w:val="center"/>
          </w:tcPr>
          <w:p w14:paraId="2FCCD55F" w14:textId="21865CB8" w:rsidR="16C20DCF" w:rsidRDefault="16C20DCF" w:rsidP="16C20DCF">
            <w:pPr>
              <w:spacing w:before="80" w:after="80"/>
              <w:jc w:val="center"/>
              <w:rPr>
                <w:rFonts w:eastAsia="Times New Roman"/>
                <w:sz w:val="22"/>
                <w:szCs w:val="22"/>
              </w:rPr>
            </w:pPr>
            <w:r w:rsidRPr="16C20DCF">
              <w:rPr>
                <w:rFonts w:eastAsia="Times New Roman"/>
                <w:sz w:val="22"/>
                <w:szCs w:val="22"/>
              </w:rPr>
              <w:t>L.1310</w:t>
            </w:r>
          </w:p>
        </w:tc>
        <w:tc>
          <w:tcPr>
            <w:tcW w:w="3514" w:type="pct"/>
            <w:shd w:val="clear" w:color="auto" w:fill="FFFFFF" w:themeFill="background1"/>
            <w:vAlign w:val="center"/>
          </w:tcPr>
          <w:p w14:paraId="0766F361" w14:textId="25F7A643" w:rsidR="16C20DCF" w:rsidRDefault="16C20DCF" w:rsidP="16C20DCF">
            <w:pPr>
              <w:spacing w:before="80" w:after="80"/>
              <w:jc w:val="center"/>
              <w:rPr>
                <w:rFonts w:eastAsia="Times New Roman"/>
                <w:sz w:val="22"/>
                <w:szCs w:val="22"/>
              </w:rPr>
            </w:pPr>
            <w:r w:rsidRPr="16C20DCF">
              <w:rPr>
                <w:rFonts w:eastAsia="Times New Roman"/>
                <w:sz w:val="22"/>
                <w:szCs w:val="22"/>
              </w:rPr>
              <w:t>Energy efficiency metrics and measurement methods for telecommunication equipment</w:t>
            </w:r>
          </w:p>
        </w:tc>
      </w:tr>
      <w:tr w:rsidR="004A2B7D" w:rsidRPr="006A1660" w14:paraId="75D71B84" w14:textId="77777777" w:rsidTr="16C20DCF">
        <w:tblPrEx>
          <w:tblCellMar>
            <w:top w:w="29" w:type="dxa"/>
            <w:left w:w="115" w:type="dxa"/>
            <w:bottom w:w="29" w:type="dxa"/>
            <w:right w:w="115" w:type="dxa"/>
          </w:tblCellMar>
        </w:tblPrEx>
        <w:trPr>
          <w:cantSplit/>
        </w:trPr>
        <w:tc>
          <w:tcPr>
            <w:tcW w:w="441" w:type="pct"/>
            <w:vAlign w:val="center"/>
          </w:tcPr>
          <w:p w14:paraId="65429AF2" w14:textId="63DB9ABC"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themeFill="background1"/>
            <w:vAlign w:val="center"/>
          </w:tcPr>
          <w:p w14:paraId="25004BAB" w14:textId="52AA78BF" w:rsidR="16C20DCF" w:rsidRDefault="16C20DCF" w:rsidP="16C20DCF">
            <w:pPr>
              <w:spacing w:before="0"/>
              <w:jc w:val="center"/>
              <w:rPr>
                <w:rFonts w:eastAsia="Times New Roman"/>
                <w:sz w:val="22"/>
                <w:szCs w:val="22"/>
              </w:rPr>
            </w:pPr>
            <w:r w:rsidRPr="16C20DCF">
              <w:rPr>
                <w:rFonts w:eastAsia="Times New Roman"/>
                <w:sz w:val="22"/>
                <w:szCs w:val="22"/>
              </w:rPr>
              <w:t>L.1260</w:t>
            </w:r>
          </w:p>
        </w:tc>
        <w:tc>
          <w:tcPr>
            <w:tcW w:w="3514" w:type="pct"/>
            <w:shd w:val="clear" w:color="auto" w:fill="FFFFFF" w:themeFill="background1"/>
            <w:vAlign w:val="center"/>
          </w:tcPr>
          <w:p w14:paraId="72446E38" w14:textId="13457E9D" w:rsidR="16C20DCF" w:rsidRDefault="16C20DCF" w:rsidP="16C20DCF">
            <w:pPr>
              <w:spacing w:before="80" w:after="80"/>
              <w:jc w:val="center"/>
              <w:rPr>
                <w:rFonts w:eastAsia="Times New Roman"/>
                <w:sz w:val="22"/>
                <w:szCs w:val="22"/>
              </w:rPr>
            </w:pPr>
            <w:r w:rsidRPr="16C20DCF">
              <w:rPr>
                <w:rFonts w:eastAsia="Times New Roman"/>
                <w:sz w:val="22"/>
                <w:szCs w:val="22"/>
              </w:rPr>
              <w:t>Reference Model of a Factory Energy Management System</w:t>
            </w:r>
          </w:p>
        </w:tc>
      </w:tr>
      <w:tr w:rsidR="004A2B7D" w:rsidRPr="006A1660" w14:paraId="3DD11B18" w14:textId="77777777" w:rsidTr="16C20DCF">
        <w:tblPrEx>
          <w:tblCellMar>
            <w:top w:w="29" w:type="dxa"/>
            <w:left w:w="115" w:type="dxa"/>
            <w:bottom w:w="29" w:type="dxa"/>
            <w:right w:w="115" w:type="dxa"/>
          </w:tblCellMar>
        </w:tblPrEx>
        <w:trPr>
          <w:cantSplit/>
        </w:trPr>
        <w:tc>
          <w:tcPr>
            <w:tcW w:w="441" w:type="pct"/>
            <w:vAlign w:val="center"/>
          </w:tcPr>
          <w:p w14:paraId="0EF547F1" w14:textId="4D3C58E9"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themeFill="background1"/>
            <w:vAlign w:val="center"/>
          </w:tcPr>
          <w:p w14:paraId="56CF107D" w14:textId="6DEC876F" w:rsidR="16C20DCF" w:rsidRDefault="16C20DCF" w:rsidP="16C20DCF">
            <w:pPr>
              <w:spacing w:before="80" w:after="80"/>
              <w:jc w:val="center"/>
              <w:rPr>
                <w:rFonts w:eastAsia="Times New Roman"/>
                <w:sz w:val="22"/>
                <w:szCs w:val="22"/>
              </w:rPr>
            </w:pPr>
            <w:r w:rsidRPr="16C20DCF">
              <w:rPr>
                <w:rFonts w:eastAsia="Times New Roman"/>
                <w:sz w:val="22"/>
                <w:szCs w:val="22"/>
              </w:rPr>
              <w:t>L.1327</w:t>
            </w:r>
          </w:p>
        </w:tc>
        <w:tc>
          <w:tcPr>
            <w:tcW w:w="3514" w:type="pct"/>
            <w:shd w:val="clear" w:color="auto" w:fill="FFFFFF" w:themeFill="background1"/>
            <w:vAlign w:val="center"/>
          </w:tcPr>
          <w:p w14:paraId="705E8FB0" w14:textId="419F09D8" w:rsidR="16C20DCF" w:rsidRDefault="16C20DCF" w:rsidP="16C20DCF">
            <w:pPr>
              <w:spacing w:before="80" w:after="80"/>
              <w:jc w:val="center"/>
              <w:rPr>
                <w:rFonts w:eastAsia="Times New Roman"/>
                <w:sz w:val="22"/>
                <w:szCs w:val="22"/>
              </w:rPr>
            </w:pPr>
            <w:r w:rsidRPr="16C20DCF">
              <w:rPr>
                <w:rFonts w:eastAsia="Times New Roman"/>
                <w:sz w:val="22"/>
                <w:szCs w:val="22"/>
              </w:rPr>
              <w:t>Guidelines on the selection of cooling technologies for data centres in multiple scenarios</w:t>
            </w:r>
          </w:p>
        </w:tc>
      </w:tr>
      <w:tr w:rsidR="16C20DCF" w14:paraId="6F2A1532" w14:textId="77777777" w:rsidTr="16C20DCF">
        <w:tblPrEx>
          <w:tblCellMar>
            <w:top w:w="29" w:type="dxa"/>
            <w:left w:w="115" w:type="dxa"/>
            <w:bottom w:w="29" w:type="dxa"/>
            <w:right w:w="115" w:type="dxa"/>
          </w:tblCellMar>
        </w:tblPrEx>
        <w:trPr>
          <w:cantSplit/>
          <w:trHeight w:val="300"/>
        </w:trPr>
        <w:tc>
          <w:tcPr>
            <w:tcW w:w="849" w:type="dxa"/>
            <w:vAlign w:val="center"/>
          </w:tcPr>
          <w:p w14:paraId="7B299617" w14:textId="4FA5FDD6" w:rsidR="242B3585" w:rsidRDefault="242B3585" w:rsidP="16C20DCF">
            <w:pPr>
              <w:jc w:val="center"/>
              <w:rPr>
                <w:rFonts w:eastAsia="Times New Roman"/>
                <w:sz w:val="22"/>
                <w:szCs w:val="22"/>
              </w:rPr>
            </w:pPr>
            <w:r w:rsidRPr="16C20DCF">
              <w:rPr>
                <w:rFonts w:eastAsia="Times New Roman"/>
                <w:sz w:val="22"/>
                <w:szCs w:val="22"/>
              </w:rPr>
              <w:t>5</w:t>
            </w:r>
          </w:p>
        </w:tc>
        <w:tc>
          <w:tcPr>
            <w:tcW w:w="2011" w:type="dxa"/>
            <w:shd w:val="clear" w:color="auto" w:fill="FFFFFF" w:themeFill="background1"/>
            <w:vAlign w:val="center"/>
          </w:tcPr>
          <w:p w14:paraId="1E1103A2" w14:textId="4C111281" w:rsidR="16C20DCF" w:rsidRDefault="16C20DCF" w:rsidP="16C20DCF">
            <w:pPr>
              <w:spacing w:before="80" w:after="80"/>
              <w:jc w:val="center"/>
              <w:rPr>
                <w:rFonts w:eastAsia="Times New Roman"/>
                <w:sz w:val="22"/>
                <w:szCs w:val="22"/>
              </w:rPr>
            </w:pPr>
            <w:r w:rsidRPr="16C20DCF">
              <w:rPr>
                <w:rFonts w:eastAsia="Times New Roman"/>
                <w:sz w:val="22"/>
                <w:szCs w:val="22"/>
              </w:rPr>
              <w:t>L.1017</w:t>
            </w:r>
          </w:p>
        </w:tc>
        <w:tc>
          <w:tcPr>
            <w:tcW w:w="6769" w:type="dxa"/>
            <w:shd w:val="clear" w:color="auto" w:fill="FFFFFF" w:themeFill="background1"/>
            <w:vAlign w:val="center"/>
          </w:tcPr>
          <w:p w14:paraId="3EA986A2" w14:textId="68296A29" w:rsidR="16C20DCF" w:rsidRDefault="16C20DCF" w:rsidP="16C20DCF">
            <w:pPr>
              <w:spacing w:before="80" w:after="80"/>
              <w:jc w:val="center"/>
              <w:rPr>
                <w:rFonts w:eastAsia="Times New Roman"/>
                <w:sz w:val="22"/>
                <w:szCs w:val="22"/>
              </w:rPr>
            </w:pPr>
            <w:r w:rsidRPr="16C20DCF">
              <w:rPr>
                <w:rFonts w:eastAsia="Times New Roman"/>
                <w:sz w:val="22"/>
                <w:szCs w:val="22"/>
              </w:rPr>
              <w:t>Environmental performance scoring of smartphones</w:t>
            </w:r>
          </w:p>
        </w:tc>
      </w:tr>
      <w:tr w:rsidR="16C20DCF" w14:paraId="67006079" w14:textId="77777777" w:rsidTr="16C20DCF">
        <w:tblPrEx>
          <w:tblCellMar>
            <w:top w:w="29" w:type="dxa"/>
            <w:left w:w="115" w:type="dxa"/>
            <w:bottom w:w="29" w:type="dxa"/>
            <w:right w:w="115" w:type="dxa"/>
          </w:tblCellMar>
        </w:tblPrEx>
        <w:trPr>
          <w:cantSplit/>
          <w:trHeight w:val="300"/>
        </w:trPr>
        <w:tc>
          <w:tcPr>
            <w:tcW w:w="849" w:type="dxa"/>
            <w:vAlign w:val="center"/>
          </w:tcPr>
          <w:p w14:paraId="66F34FDE" w14:textId="5189D283" w:rsidR="242B3585" w:rsidRDefault="242B3585" w:rsidP="16C20DCF">
            <w:pPr>
              <w:jc w:val="center"/>
              <w:rPr>
                <w:rFonts w:eastAsia="Times New Roman"/>
                <w:sz w:val="22"/>
                <w:szCs w:val="22"/>
              </w:rPr>
            </w:pPr>
            <w:r w:rsidRPr="16C20DCF">
              <w:rPr>
                <w:rFonts w:eastAsia="Times New Roman"/>
                <w:sz w:val="22"/>
                <w:szCs w:val="22"/>
              </w:rPr>
              <w:t>5</w:t>
            </w:r>
          </w:p>
        </w:tc>
        <w:tc>
          <w:tcPr>
            <w:tcW w:w="2011" w:type="dxa"/>
            <w:shd w:val="clear" w:color="auto" w:fill="FFFFFF" w:themeFill="background1"/>
            <w:vAlign w:val="center"/>
          </w:tcPr>
          <w:p w14:paraId="28B03AC2" w14:textId="4ADE21D3" w:rsidR="16C20DCF" w:rsidRDefault="16C20DCF" w:rsidP="16C20DCF">
            <w:pPr>
              <w:spacing w:before="80" w:after="80"/>
              <w:jc w:val="center"/>
              <w:rPr>
                <w:rFonts w:eastAsia="Times New Roman"/>
                <w:sz w:val="22"/>
                <w:szCs w:val="22"/>
              </w:rPr>
            </w:pPr>
            <w:r w:rsidRPr="16C20DCF">
              <w:rPr>
                <w:rFonts w:eastAsia="Times New Roman"/>
                <w:sz w:val="22"/>
                <w:szCs w:val="22"/>
              </w:rPr>
              <w:t>L.1071</w:t>
            </w:r>
          </w:p>
        </w:tc>
        <w:tc>
          <w:tcPr>
            <w:tcW w:w="6769" w:type="dxa"/>
            <w:shd w:val="clear" w:color="auto" w:fill="FFFFFF" w:themeFill="background1"/>
            <w:vAlign w:val="center"/>
          </w:tcPr>
          <w:p w14:paraId="3ED05DBF" w14:textId="3AC07E73" w:rsidR="16C20DCF" w:rsidRDefault="16C20DCF" w:rsidP="16C20DCF">
            <w:pPr>
              <w:spacing w:before="80" w:after="80"/>
              <w:jc w:val="center"/>
              <w:rPr>
                <w:rFonts w:eastAsia="Times New Roman"/>
                <w:sz w:val="22"/>
                <w:szCs w:val="22"/>
              </w:rPr>
            </w:pPr>
            <w:r w:rsidRPr="16C20DCF">
              <w:rPr>
                <w:rFonts w:eastAsia="Times New Roman"/>
                <w:sz w:val="22"/>
                <w:szCs w:val="22"/>
              </w:rPr>
              <w:t xml:space="preserve"> A model for digital product passport information on sustainability and circularity</w:t>
            </w:r>
          </w:p>
        </w:tc>
      </w:tr>
      <w:tr w:rsidR="16C20DCF" w14:paraId="2A4F9C6D" w14:textId="77777777" w:rsidTr="16C20DCF">
        <w:tblPrEx>
          <w:tblCellMar>
            <w:top w:w="29" w:type="dxa"/>
            <w:left w:w="115" w:type="dxa"/>
            <w:bottom w:w="29" w:type="dxa"/>
            <w:right w:w="115" w:type="dxa"/>
          </w:tblCellMar>
        </w:tblPrEx>
        <w:trPr>
          <w:cantSplit/>
          <w:trHeight w:val="300"/>
        </w:trPr>
        <w:tc>
          <w:tcPr>
            <w:tcW w:w="849" w:type="dxa"/>
            <w:vAlign w:val="center"/>
          </w:tcPr>
          <w:p w14:paraId="5167A126" w14:textId="0E2C588A" w:rsidR="731AFF6F" w:rsidRDefault="731AFF6F" w:rsidP="16C20DCF">
            <w:pPr>
              <w:jc w:val="center"/>
              <w:rPr>
                <w:rFonts w:eastAsia="Times New Roman"/>
                <w:sz w:val="22"/>
                <w:szCs w:val="22"/>
              </w:rPr>
            </w:pPr>
            <w:r w:rsidRPr="16C20DCF">
              <w:rPr>
                <w:rFonts w:eastAsia="Times New Roman"/>
                <w:sz w:val="22"/>
                <w:szCs w:val="22"/>
              </w:rPr>
              <w:t>5</w:t>
            </w:r>
          </w:p>
        </w:tc>
        <w:tc>
          <w:tcPr>
            <w:tcW w:w="2011" w:type="dxa"/>
            <w:shd w:val="clear" w:color="auto" w:fill="FFFFFF" w:themeFill="background1"/>
            <w:vAlign w:val="center"/>
          </w:tcPr>
          <w:p w14:paraId="3138907F" w14:textId="496E526B" w:rsidR="16C20DCF" w:rsidRDefault="16C20DCF" w:rsidP="16C20DCF">
            <w:pPr>
              <w:spacing w:before="80" w:after="80"/>
              <w:jc w:val="center"/>
              <w:rPr>
                <w:rFonts w:eastAsia="Times New Roman"/>
                <w:sz w:val="22"/>
                <w:szCs w:val="22"/>
              </w:rPr>
            </w:pPr>
            <w:r w:rsidRPr="16C20DCF">
              <w:rPr>
                <w:rFonts w:eastAsia="Times New Roman"/>
                <w:sz w:val="22"/>
                <w:szCs w:val="22"/>
              </w:rPr>
              <w:t>L.1028</w:t>
            </w:r>
          </w:p>
        </w:tc>
        <w:tc>
          <w:tcPr>
            <w:tcW w:w="6769" w:type="dxa"/>
            <w:shd w:val="clear" w:color="auto" w:fill="FFFFFF" w:themeFill="background1"/>
            <w:vAlign w:val="center"/>
          </w:tcPr>
          <w:p w14:paraId="5424CE95" w14:textId="7E7A806A" w:rsidR="16C20DCF" w:rsidRDefault="16C20DCF" w:rsidP="16C20DCF">
            <w:pPr>
              <w:spacing w:before="80" w:after="80"/>
              <w:jc w:val="center"/>
              <w:rPr>
                <w:rFonts w:eastAsia="Times New Roman"/>
                <w:sz w:val="22"/>
                <w:szCs w:val="22"/>
              </w:rPr>
            </w:pPr>
            <w:r w:rsidRPr="16C20DCF">
              <w:rPr>
                <w:rFonts w:eastAsia="Times New Roman"/>
                <w:sz w:val="22"/>
                <w:szCs w:val="22"/>
              </w:rPr>
              <w:t>Indicator for global-warming-potential impact as a function of ICT-equipment operating-lifetime extension</w:t>
            </w:r>
          </w:p>
        </w:tc>
      </w:tr>
      <w:tr w:rsidR="16C20DCF" w14:paraId="54969BD8" w14:textId="77777777" w:rsidTr="16C20DCF">
        <w:tblPrEx>
          <w:tblCellMar>
            <w:top w:w="29" w:type="dxa"/>
            <w:left w:w="115" w:type="dxa"/>
            <w:bottom w:w="29" w:type="dxa"/>
            <w:right w:w="115" w:type="dxa"/>
          </w:tblCellMar>
        </w:tblPrEx>
        <w:trPr>
          <w:cantSplit/>
          <w:trHeight w:val="300"/>
        </w:trPr>
        <w:tc>
          <w:tcPr>
            <w:tcW w:w="849" w:type="dxa"/>
            <w:vAlign w:val="center"/>
          </w:tcPr>
          <w:p w14:paraId="5B262C97" w14:textId="01459F4B" w:rsidR="731AFF6F" w:rsidRDefault="731AFF6F" w:rsidP="16C20DCF">
            <w:pPr>
              <w:jc w:val="center"/>
              <w:rPr>
                <w:rFonts w:eastAsia="Times New Roman"/>
                <w:sz w:val="22"/>
                <w:szCs w:val="22"/>
              </w:rPr>
            </w:pPr>
            <w:r w:rsidRPr="16C20DCF">
              <w:rPr>
                <w:rFonts w:eastAsia="Times New Roman"/>
                <w:sz w:val="22"/>
                <w:szCs w:val="22"/>
              </w:rPr>
              <w:t>5</w:t>
            </w:r>
          </w:p>
        </w:tc>
        <w:tc>
          <w:tcPr>
            <w:tcW w:w="2011" w:type="dxa"/>
            <w:shd w:val="clear" w:color="auto" w:fill="FFFFFF" w:themeFill="background1"/>
            <w:vAlign w:val="center"/>
          </w:tcPr>
          <w:p w14:paraId="09AA3FBA" w14:textId="0B7B29D7" w:rsidR="16C20DCF" w:rsidRDefault="16C20DCF" w:rsidP="16C20DCF">
            <w:pPr>
              <w:spacing w:before="80" w:after="80"/>
              <w:jc w:val="center"/>
              <w:rPr>
                <w:rFonts w:eastAsia="Times New Roman"/>
                <w:sz w:val="22"/>
                <w:szCs w:val="22"/>
              </w:rPr>
            </w:pPr>
            <w:r w:rsidRPr="16C20DCF">
              <w:rPr>
                <w:rFonts w:eastAsia="Times New Roman"/>
                <w:sz w:val="22"/>
                <w:szCs w:val="22"/>
              </w:rPr>
              <w:t>L.1632</w:t>
            </w:r>
          </w:p>
        </w:tc>
        <w:tc>
          <w:tcPr>
            <w:tcW w:w="6769" w:type="dxa"/>
            <w:shd w:val="clear" w:color="auto" w:fill="FFFFFF" w:themeFill="background1"/>
            <w:vAlign w:val="center"/>
          </w:tcPr>
          <w:p w14:paraId="0C6AEAC4" w14:textId="5D4B48AF" w:rsidR="16C20DCF" w:rsidRDefault="16C20DCF" w:rsidP="16C20DCF">
            <w:pPr>
              <w:spacing w:before="80" w:after="80"/>
              <w:jc w:val="center"/>
              <w:rPr>
                <w:rFonts w:eastAsia="Times New Roman"/>
                <w:sz w:val="22"/>
                <w:szCs w:val="22"/>
              </w:rPr>
            </w:pPr>
            <w:r w:rsidRPr="16C20DCF">
              <w:rPr>
                <w:rFonts w:eastAsia="Times New Roman"/>
                <w:sz w:val="22"/>
                <w:szCs w:val="22"/>
              </w:rPr>
              <w:t>Identification method for building infrastructure equipment in a sustainable city</w:t>
            </w:r>
          </w:p>
        </w:tc>
      </w:tr>
    </w:tbl>
    <w:p w14:paraId="60AD6803" w14:textId="200CA563" w:rsidR="00502296" w:rsidRDefault="00B70043" w:rsidP="00781DFB">
      <w:pPr>
        <w:keepNext/>
        <w:tabs>
          <w:tab w:val="left" w:pos="794"/>
          <w:tab w:val="left" w:pos="1191"/>
          <w:tab w:val="left" w:pos="1588"/>
          <w:tab w:val="left" w:pos="1985"/>
        </w:tabs>
        <w:spacing w:before="360" w:after="120"/>
      </w:pPr>
      <w:r>
        <w:rPr>
          <w:b/>
          <w:lang w:eastAsia="zh-CN"/>
        </w:rPr>
        <w:t>1.3</w:t>
      </w:r>
      <w:r w:rsidR="00DD794A">
        <w:rPr>
          <w:b/>
          <w:lang w:eastAsia="zh-CN"/>
        </w:rPr>
        <w:tab/>
      </w:r>
      <w:r w:rsidRPr="00055F0A">
        <w:rPr>
          <w:b/>
          <w:lang w:eastAsia="zh-CN"/>
        </w:rPr>
        <w:t>WP</w:t>
      </w:r>
      <w:r>
        <w:rPr>
          <w:b/>
          <w:lang w:eastAsia="zh-CN"/>
        </w:rPr>
        <w:t>3</w:t>
      </w:r>
      <w:r w:rsidRPr="00055F0A">
        <w:rPr>
          <w:b/>
          <w:lang w:eastAsia="zh-CN"/>
        </w:rPr>
        <w:t xml:space="preserve">/5 </w:t>
      </w:r>
      <w:r w:rsidR="00E27694">
        <w:rPr>
          <w:b/>
          <w:lang w:eastAsia="zh-CN"/>
        </w:rPr>
        <w:t>–</w:t>
      </w:r>
      <w:r w:rsidRPr="00055F0A">
        <w:rPr>
          <w:b/>
          <w:lang w:eastAsia="zh-CN"/>
        </w:rPr>
        <w:t xml:space="preserve"> </w:t>
      </w:r>
      <w:r w:rsidRPr="00B70043">
        <w:rPr>
          <w:b/>
          <w:lang w:eastAsia="zh-CN"/>
        </w:rPr>
        <w:t>Climate change, adaptation, mitigation, and net-zero emissions</w:t>
      </w:r>
    </w:p>
    <w:p w14:paraId="7538650D" w14:textId="33D627D6" w:rsidR="00B70043" w:rsidRPr="00055F0A" w:rsidRDefault="00B70043" w:rsidP="00E27694">
      <w:pPr>
        <w:keepNext/>
        <w:spacing w:before="240" w:after="120"/>
        <w:rPr>
          <w:rFonts w:eastAsia="MS Mincho"/>
          <w:b/>
          <w:color w:val="000000"/>
        </w:rPr>
      </w:pPr>
      <w:r w:rsidRPr="00055F0A">
        <w:rPr>
          <w:b/>
          <w:lang w:eastAsia="zh-CN"/>
        </w:rPr>
        <w:t>1.</w:t>
      </w:r>
      <w:r>
        <w:rPr>
          <w:b/>
          <w:lang w:eastAsia="zh-CN"/>
        </w:rPr>
        <w:t>3</w:t>
      </w:r>
      <w:r w:rsidRPr="00055F0A">
        <w:rPr>
          <w:b/>
          <w:lang w:eastAsia="zh-CN"/>
        </w:rPr>
        <w:t>.1</w:t>
      </w:r>
      <w:r w:rsidRPr="00055F0A">
        <w:rPr>
          <w:b/>
          <w:lang w:eastAsia="zh-CN"/>
        </w:rPr>
        <w:tab/>
      </w:r>
      <w:r w:rsidRPr="00055F0A">
        <w:rPr>
          <w:b/>
          <w:color w:val="000000"/>
        </w:rPr>
        <w:t>Recommendations approved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70043" w:rsidRPr="006C677D" w14:paraId="3468300D" w14:textId="77777777" w:rsidTr="00BC238C">
        <w:trPr>
          <w:cantSplit/>
          <w:tblHeader/>
        </w:trPr>
        <w:tc>
          <w:tcPr>
            <w:tcW w:w="441" w:type="pct"/>
            <w:shd w:val="clear" w:color="auto" w:fill="D9D9D9"/>
          </w:tcPr>
          <w:p w14:paraId="0F8991CC" w14:textId="77777777" w:rsidR="00B70043" w:rsidRPr="006C677D" w:rsidRDefault="00B70043" w:rsidP="00DD794A">
            <w:pPr>
              <w:spacing w:before="40" w:after="40"/>
              <w:jc w:val="center"/>
              <w:rPr>
                <w:b/>
                <w:bCs/>
                <w:sz w:val="22"/>
                <w:szCs w:val="22"/>
              </w:rPr>
            </w:pPr>
            <w:r w:rsidRPr="006C677D">
              <w:rPr>
                <w:b/>
                <w:bCs/>
                <w:sz w:val="22"/>
                <w:szCs w:val="22"/>
              </w:rPr>
              <w:t>SG</w:t>
            </w:r>
          </w:p>
        </w:tc>
        <w:tc>
          <w:tcPr>
            <w:tcW w:w="1029" w:type="pct"/>
            <w:shd w:val="clear" w:color="auto" w:fill="D9D9D9"/>
          </w:tcPr>
          <w:p w14:paraId="2BAAEC25" w14:textId="77777777" w:rsidR="00B70043" w:rsidRPr="006C677D" w:rsidRDefault="00B70043" w:rsidP="00DD794A">
            <w:pPr>
              <w:spacing w:before="40" w:after="40"/>
              <w:jc w:val="center"/>
              <w:rPr>
                <w:sz w:val="22"/>
                <w:szCs w:val="22"/>
              </w:rPr>
            </w:pPr>
            <w:r w:rsidRPr="006C677D">
              <w:rPr>
                <w:b/>
                <w:bCs/>
                <w:sz w:val="22"/>
                <w:szCs w:val="22"/>
              </w:rPr>
              <w:t>No</w:t>
            </w:r>
          </w:p>
        </w:tc>
        <w:tc>
          <w:tcPr>
            <w:tcW w:w="3530" w:type="pct"/>
            <w:shd w:val="clear" w:color="auto" w:fill="D9D9D9"/>
          </w:tcPr>
          <w:p w14:paraId="57320149" w14:textId="77777777" w:rsidR="00B70043" w:rsidRPr="006C677D" w:rsidRDefault="00B70043" w:rsidP="00DD794A">
            <w:pPr>
              <w:spacing w:before="40" w:after="40"/>
              <w:jc w:val="center"/>
              <w:rPr>
                <w:sz w:val="22"/>
                <w:szCs w:val="22"/>
              </w:rPr>
            </w:pPr>
            <w:r w:rsidRPr="006C677D">
              <w:rPr>
                <w:b/>
                <w:bCs/>
                <w:sz w:val="22"/>
                <w:szCs w:val="22"/>
              </w:rPr>
              <w:t>Title</w:t>
            </w:r>
          </w:p>
        </w:tc>
      </w:tr>
      <w:tr w:rsidR="00BC238C" w:rsidRPr="0079207F" w14:paraId="0B940B9E" w14:textId="77777777" w:rsidTr="00BC238C">
        <w:tblPrEx>
          <w:tblCellMar>
            <w:top w:w="29" w:type="dxa"/>
            <w:left w:w="115" w:type="dxa"/>
            <w:bottom w:w="29" w:type="dxa"/>
            <w:right w:w="115" w:type="dxa"/>
          </w:tblCellMar>
        </w:tblPrEx>
        <w:trPr>
          <w:cantSplit/>
        </w:trPr>
        <w:tc>
          <w:tcPr>
            <w:tcW w:w="441" w:type="pct"/>
            <w:vAlign w:val="center"/>
          </w:tcPr>
          <w:p w14:paraId="1C083718" w14:textId="2BAD5385" w:rsidR="00BC238C" w:rsidRPr="0079207F" w:rsidRDefault="00BC238C" w:rsidP="00BC238C">
            <w:pPr>
              <w:spacing w:before="40" w:after="40"/>
              <w:jc w:val="center"/>
              <w:rPr>
                <w:rFonts w:eastAsia="Times New Roman"/>
                <w:sz w:val="22"/>
                <w:szCs w:val="22"/>
              </w:rPr>
            </w:pPr>
            <w:r w:rsidRPr="0079207F">
              <w:rPr>
                <w:rFonts w:eastAsia="Times New Roman"/>
                <w:sz w:val="22"/>
                <w:szCs w:val="22"/>
              </w:rPr>
              <w:t>5</w:t>
            </w:r>
          </w:p>
        </w:tc>
        <w:tc>
          <w:tcPr>
            <w:tcW w:w="1029" w:type="pct"/>
            <w:vAlign w:val="center"/>
          </w:tcPr>
          <w:p w14:paraId="02365B6E" w14:textId="5C56614A" w:rsidR="00BC238C" w:rsidRPr="0079207F" w:rsidRDefault="00BC238C" w:rsidP="00BC238C">
            <w:pPr>
              <w:spacing w:before="40" w:after="40" w:line="240" w:lineRule="atLeast"/>
              <w:jc w:val="center"/>
              <w:rPr>
                <w:sz w:val="22"/>
                <w:szCs w:val="22"/>
              </w:rPr>
            </w:pPr>
            <w:r w:rsidRPr="00762894">
              <w:rPr>
                <w:sz w:val="22"/>
                <w:szCs w:val="22"/>
              </w:rPr>
              <w:t>L.1640</w:t>
            </w:r>
          </w:p>
        </w:tc>
        <w:tc>
          <w:tcPr>
            <w:tcW w:w="3530" w:type="pct"/>
            <w:vAlign w:val="center"/>
          </w:tcPr>
          <w:p w14:paraId="7A5E37EA" w14:textId="27F200F6" w:rsidR="00BC238C" w:rsidRPr="0079207F" w:rsidRDefault="00BC238C" w:rsidP="00BC238C">
            <w:pPr>
              <w:spacing w:before="40" w:after="40" w:line="240" w:lineRule="atLeast"/>
              <w:rPr>
                <w:sz w:val="22"/>
                <w:szCs w:val="22"/>
              </w:rPr>
            </w:pPr>
            <w:r w:rsidRPr="0052403B">
              <w:t>Methodology for dynamic monitoring and analysis of greenhouse gas emissions in city</w:t>
            </w:r>
          </w:p>
        </w:tc>
      </w:tr>
      <w:tr w:rsidR="00BC238C" w:rsidRPr="00FF5C6F" w14:paraId="16597429" w14:textId="77777777" w:rsidTr="00BC238C">
        <w:tblPrEx>
          <w:tblCellMar>
            <w:top w:w="29" w:type="dxa"/>
            <w:left w:w="115" w:type="dxa"/>
            <w:bottom w:w="29" w:type="dxa"/>
            <w:right w:w="115" w:type="dxa"/>
          </w:tblCellMar>
        </w:tblPrEx>
        <w:trPr>
          <w:cantSplit/>
        </w:trPr>
        <w:tc>
          <w:tcPr>
            <w:tcW w:w="441" w:type="pct"/>
            <w:vAlign w:val="center"/>
          </w:tcPr>
          <w:p w14:paraId="498E5D54" w14:textId="36232314" w:rsidR="00BC238C" w:rsidRPr="00FF5C6F" w:rsidRDefault="00BC238C" w:rsidP="00BC238C">
            <w:pPr>
              <w:spacing w:before="40" w:after="40"/>
              <w:jc w:val="center"/>
              <w:rPr>
                <w:rFonts w:eastAsia="Times New Roman"/>
                <w:sz w:val="22"/>
                <w:szCs w:val="22"/>
              </w:rPr>
            </w:pPr>
            <w:r w:rsidRPr="00FF5C6F">
              <w:rPr>
                <w:rFonts w:eastAsia="Times New Roman"/>
                <w:sz w:val="22"/>
                <w:szCs w:val="22"/>
              </w:rPr>
              <w:lastRenderedPageBreak/>
              <w:t>5</w:t>
            </w:r>
          </w:p>
        </w:tc>
        <w:tc>
          <w:tcPr>
            <w:tcW w:w="1029" w:type="pct"/>
            <w:vAlign w:val="center"/>
          </w:tcPr>
          <w:p w14:paraId="759F2A71" w14:textId="64393EF5" w:rsidR="00BC238C" w:rsidRPr="00FF5C6F" w:rsidRDefault="00BC238C" w:rsidP="00BC238C">
            <w:pPr>
              <w:spacing w:before="40" w:after="40" w:line="240" w:lineRule="atLeast"/>
              <w:jc w:val="center"/>
              <w:rPr>
                <w:sz w:val="22"/>
                <w:szCs w:val="22"/>
              </w:rPr>
            </w:pPr>
            <w:r>
              <w:rPr>
                <w:sz w:val="22"/>
                <w:szCs w:val="22"/>
              </w:rPr>
              <w:t>L.1508</w:t>
            </w:r>
          </w:p>
        </w:tc>
        <w:tc>
          <w:tcPr>
            <w:tcW w:w="3530" w:type="pct"/>
            <w:vAlign w:val="center"/>
          </w:tcPr>
          <w:p w14:paraId="762C2377" w14:textId="1225B604" w:rsidR="00BC238C" w:rsidRPr="00FF5C6F" w:rsidRDefault="00BC238C" w:rsidP="00BC238C">
            <w:pPr>
              <w:spacing w:before="40" w:after="40" w:line="240" w:lineRule="atLeast"/>
              <w:rPr>
                <w:sz w:val="22"/>
                <w:szCs w:val="22"/>
              </w:rPr>
            </w:pPr>
            <w:r w:rsidRPr="0052403B">
              <w:t>Framework for climate change adaptation in coastal cities using ICT and digital technologies</w:t>
            </w:r>
          </w:p>
        </w:tc>
      </w:tr>
      <w:tr w:rsidR="00BC238C" w:rsidRPr="00FF5C6F" w14:paraId="2EC5334E" w14:textId="77777777" w:rsidTr="00BC238C">
        <w:tblPrEx>
          <w:tblCellMar>
            <w:top w:w="29" w:type="dxa"/>
            <w:left w:w="115" w:type="dxa"/>
            <w:bottom w:w="29" w:type="dxa"/>
            <w:right w:w="115" w:type="dxa"/>
          </w:tblCellMar>
        </w:tblPrEx>
        <w:trPr>
          <w:cantSplit/>
        </w:trPr>
        <w:tc>
          <w:tcPr>
            <w:tcW w:w="441" w:type="pct"/>
            <w:vAlign w:val="center"/>
          </w:tcPr>
          <w:p w14:paraId="34E7E6E2" w14:textId="60A84EE2" w:rsidR="00BC238C" w:rsidRPr="00FF5C6F" w:rsidRDefault="00210C3D" w:rsidP="00BC238C">
            <w:pPr>
              <w:spacing w:before="40" w:after="40"/>
              <w:jc w:val="center"/>
              <w:rPr>
                <w:rFonts w:eastAsia="Times New Roman"/>
                <w:sz w:val="22"/>
                <w:szCs w:val="22"/>
              </w:rPr>
            </w:pPr>
            <w:r>
              <w:rPr>
                <w:rFonts w:eastAsia="Times New Roman"/>
                <w:sz w:val="22"/>
                <w:szCs w:val="22"/>
              </w:rPr>
              <w:t>5</w:t>
            </w:r>
          </w:p>
        </w:tc>
        <w:tc>
          <w:tcPr>
            <w:tcW w:w="1029" w:type="pct"/>
            <w:vAlign w:val="center"/>
          </w:tcPr>
          <w:p w14:paraId="3F912DD0" w14:textId="4BC47904" w:rsidR="00BC238C" w:rsidRPr="00FF5C6F" w:rsidRDefault="00BC238C" w:rsidP="00BC238C">
            <w:pPr>
              <w:spacing w:before="40" w:after="40" w:line="240" w:lineRule="atLeast"/>
              <w:jc w:val="center"/>
              <w:rPr>
                <w:sz w:val="22"/>
                <w:szCs w:val="22"/>
              </w:rPr>
            </w:pPr>
            <w:r w:rsidRPr="000A1FA4">
              <w:rPr>
                <w:sz w:val="22"/>
                <w:szCs w:val="22"/>
              </w:rPr>
              <w:t>L.1391</w:t>
            </w:r>
          </w:p>
        </w:tc>
        <w:tc>
          <w:tcPr>
            <w:tcW w:w="3530" w:type="pct"/>
            <w:vAlign w:val="center"/>
          </w:tcPr>
          <w:p w14:paraId="3F9769DE" w14:textId="4B637CD2" w:rsidR="00BC238C" w:rsidRPr="00FF5C6F" w:rsidRDefault="00BC238C" w:rsidP="00BC238C">
            <w:pPr>
              <w:spacing w:before="40" w:after="40" w:line="240" w:lineRule="atLeast"/>
              <w:rPr>
                <w:sz w:val="22"/>
                <w:szCs w:val="22"/>
              </w:rPr>
            </w:pPr>
            <w:r w:rsidRPr="0052403B">
              <w:t>Specifications of 5G network sharing and co-construction adapting to climate change mitigation</w:t>
            </w:r>
          </w:p>
        </w:tc>
      </w:tr>
    </w:tbl>
    <w:p w14:paraId="07AAB9A8" w14:textId="0A26DC3F" w:rsidR="00B70043" w:rsidRPr="00055F0A" w:rsidRDefault="00B70043" w:rsidP="16C20DCF">
      <w:pPr>
        <w:keepNext/>
        <w:spacing w:before="240" w:after="120"/>
        <w:rPr>
          <w:b/>
          <w:bCs/>
          <w:lang w:eastAsia="zh-CN"/>
        </w:rPr>
      </w:pPr>
      <w:r w:rsidRPr="16C20DCF">
        <w:rPr>
          <w:b/>
          <w:bCs/>
          <w:lang w:eastAsia="zh-CN"/>
        </w:rPr>
        <w:t>1.3.2</w:t>
      </w:r>
      <w:r>
        <w:tab/>
      </w:r>
      <w:r w:rsidRPr="16C20DCF">
        <w:rPr>
          <w:b/>
          <w:bCs/>
          <w:lang w:eastAsia="zh-CN"/>
        </w:rPr>
        <w:t>Informative texts agreed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24"/>
        <w:gridCol w:w="2834"/>
        <w:gridCol w:w="6271"/>
      </w:tblGrid>
      <w:tr w:rsidR="00B70043" w:rsidRPr="00362957" w14:paraId="289A1ED9" w14:textId="77777777" w:rsidTr="16C20DCF">
        <w:trPr>
          <w:tblHeader/>
          <w:jc w:val="center"/>
        </w:trPr>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1185B" w14:textId="77777777" w:rsidR="00B70043" w:rsidRPr="00362957" w:rsidRDefault="00B70043" w:rsidP="00080B3A">
            <w:pPr>
              <w:spacing w:before="40" w:after="40"/>
              <w:jc w:val="center"/>
              <w:rPr>
                <w:b/>
                <w:sz w:val="22"/>
                <w:szCs w:val="22"/>
                <w:lang w:eastAsia="ko-KR"/>
              </w:rPr>
            </w:pPr>
            <w:r w:rsidRPr="00362957">
              <w:rPr>
                <w:b/>
                <w:sz w:val="22"/>
                <w:szCs w:val="22"/>
                <w:lang w:eastAsia="ko-KR"/>
              </w:rPr>
              <w:t>SG</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028FC" w14:textId="77777777" w:rsidR="00B70043" w:rsidRPr="00362957"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362957">
              <w:rPr>
                <w:b/>
                <w:sz w:val="22"/>
                <w:szCs w:val="22"/>
              </w:rPr>
              <w:t>No</w:t>
            </w:r>
          </w:p>
        </w:tc>
        <w:tc>
          <w:tcPr>
            <w:tcW w:w="3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121CB" w14:textId="77777777" w:rsidR="00B70043" w:rsidRPr="00362957"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362957">
              <w:rPr>
                <w:b/>
                <w:bCs/>
                <w:iCs/>
                <w:sz w:val="22"/>
                <w:szCs w:val="22"/>
              </w:rPr>
              <w:t>Title</w:t>
            </w:r>
          </w:p>
        </w:tc>
      </w:tr>
      <w:tr w:rsidR="00515E69" w:rsidRPr="00362957" w14:paraId="2B1DBA26" w14:textId="77777777" w:rsidTr="16C20DCF">
        <w:trPr>
          <w:cantSplit/>
          <w:jc w:val="center"/>
        </w:trPr>
        <w:tc>
          <w:tcPr>
            <w:tcW w:w="446" w:type="pct"/>
            <w:tcBorders>
              <w:top w:val="single" w:sz="4" w:space="0" w:color="auto"/>
              <w:left w:val="single" w:sz="4" w:space="0" w:color="auto"/>
              <w:bottom w:val="single" w:sz="4" w:space="0" w:color="auto"/>
              <w:right w:val="single" w:sz="4" w:space="0" w:color="auto"/>
            </w:tcBorders>
            <w:vAlign w:val="center"/>
          </w:tcPr>
          <w:p w14:paraId="6F1C1D35" w14:textId="77777777" w:rsidR="16C20DCF" w:rsidRDefault="16C20DCF" w:rsidP="16C20DCF">
            <w:pPr>
              <w:spacing w:before="40" w:after="40"/>
              <w:jc w:val="center"/>
              <w:rPr>
                <w:rFonts w:eastAsia="Times New Roman"/>
                <w:sz w:val="22"/>
                <w:szCs w:val="22"/>
              </w:rPr>
            </w:pPr>
            <w:r w:rsidRPr="16C20DCF">
              <w:rPr>
                <w:rFonts w:eastAsia="Times New Roman"/>
                <w:sz w:val="22"/>
                <w:szCs w:val="22"/>
              </w:rPr>
              <w:t>5</w:t>
            </w:r>
          </w:p>
        </w:tc>
        <w:tc>
          <w:tcPr>
            <w:tcW w:w="1033" w:type="pct"/>
            <w:tcBorders>
              <w:top w:val="single" w:sz="4" w:space="0" w:color="auto"/>
              <w:left w:val="single" w:sz="4" w:space="0" w:color="auto"/>
              <w:bottom w:val="single" w:sz="4" w:space="0" w:color="auto"/>
              <w:right w:val="single" w:sz="4" w:space="0" w:color="auto"/>
            </w:tcBorders>
            <w:vAlign w:val="center"/>
          </w:tcPr>
          <w:p w14:paraId="47B51717" w14:textId="32432BC4" w:rsidR="16C20DCF" w:rsidRPr="00033BA3" w:rsidRDefault="16C20DCF" w:rsidP="16C20DCF">
            <w:pPr>
              <w:spacing w:before="80" w:after="80"/>
              <w:jc w:val="center"/>
              <w:rPr>
                <w:rFonts w:eastAsia="Times New Roman"/>
                <w:color w:val="000000" w:themeColor="text1"/>
                <w:sz w:val="22"/>
                <w:szCs w:val="22"/>
                <w:lang w:val="fr-CH"/>
              </w:rPr>
            </w:pPr>
            <w:proofErr w:type="spellStart"/>
            <w:r w:rsidRPr="00033BA3">
              <w:rPr>
                <w:rFonts w:eastAsia="Times New Roman"/>
                <w:color w:val="000000" w:themeColor="text1"/>
                <w:sz w:val="22"/>
                <w:szCs w:val="22"/>
                <w:lang w:val="fr-CH"/>
              </w:rPr>
              <w:t>L.Suppl.Mobile_Phone_LCA</w:t>
            </w:r>
            <w:proofErr w:type="spellEnd"/>
          </w:p>
        </w:tc>
        <w:tc>
          <w:tcPr>
            <w:tcW w:w="3521" w:type="pct"/>
            <w:tcBorders>
              <w:top w:val="single" w:sz="4" w:space="0" w:color="auto"/>
              <w:left w:val="single" w:sz="4" w:space="0" w:color="auto"/>
              <w:bottom w:val="single" w:sz="4" w:space="0" w:color="auto"/>
              <w:right w:val="single" w:sz="4" w:space="0" w:color="auto"/>
            </w:tcBorders>
            <w:vAlign w:val="center"/>
          </w:tcPr>
          <w:p w14:paraId="7B2451B7" w14:textId="567C0FCC" w:rsidR="16C20DCF" w:rsidRDefault="16C20DCF" w:rsidP="16C20DCF">
            <w:pPr>
              <w:spacing w:before="80" w:after="80"/>
              <w:jc w:val="center"/>
            </w:pPr>
            <w:r w:rsidRPr="16C20DCF">
              <w:rPr>
                <w:rFonts w:eastAsia="Times New Roman"/>
                <w:sz w:val="22"/>
                <w:szCs w:val="22"/>
              </w:rPr>
              <w:t>Example of an LCA of a mobile phone fully compliant with Recommendation ITU-T L.1410</w:t>
            </w:r>
          </w:p>
        </w:tc>
      </w:tr>
      <w:tr w:rsidR="00515E69" w:rsidRPr="00362957" w14:paraId="0A4B0733" w14:textId="77777777" w:rsidTr="16C20DCF">
        <w:trPr>
          <w:cantSplit/>
          <w:jc w:val="center"/>
        </w:trPr>
        <w:tc>
          <w:tcPr>
            <w:tcW w:w="446" w:type="pct"/>
            <w:tcBorders>
              <w:top w:val="single" w:sz="4" w:space="0" w:color="auto"/>
              <w:left w:val="single" w:sz="4" w:space="0" w:color="auto"/>
              <w:bottom w:val="single" w:sz="4" w:space="0" w:color="auto"/>
              <w:right w:val="single" w:sz="4" w:space="0" w:color="auto"/>
            </w:tcBorders>
            <w:vAlign w:val="center"/>
          </w:tcPr>
          <w:p w14:paraId="2A7B86D8" w14:textId="611E1E9A" w:rsidR="16C20DCF" w:rsidRDefault="16C20DCF" w:rsidP="16C20DCF">
            <w:pPr>
              <w:jc w:val="center"/>
              <w:rPr>
                <w:rFonts w:eastAsia="Times New Roman"/>
                <w:sz w:val="22"/>
                <w:szCs w:val="22"/>
              </w:rPr>
            </w:pPr>
            <w:r w:rsidRPr="16C20DCF">
              <w:rPr>
                <w:rFonts w:eastAsia="Times New Roman"/>
                <w:sz w:val="22"/>
                <w:szCs w:val="22"/>
              </w:rPr>
              <w:t>5</w:t>
            </w:r>
          </w:p>
        </w:tc>
        <w:tc>
          <w:tcPr>
            <w:tcW w:w="1033" w:type="pct"/>
            <w:tcBorders>
              <w:top w:val="single" w:sz="4" w:space="0" w:color="auto"/>
              <w:left w:val="single" w:sz="4" w:space="0" w:color="auto"/>
              <w:bottom w:val="single" w:sz="4" w:space="0" w:color="auto"/>
              <w:right w:val="single" w:sz="4" w:space="0" w:color="auto"/>
            </w:tcBorders>
            <w:vAlign w:val="center"/>
          </w:tcPr>
          <w:p w14:paraId="0E95DEA5" w14:textId="52DB4A9C" w:rsidR="16C20DCF" w:rsidRDefault="16C20DCF" w:rsidP="16C20DCF">
            <w:pPr>
              <w:spacing w:before="80" w:after="80"/>
              <w:jc w:val="center"/>
            </w:pPr>
            <w:r w:rsidRPr="16C20DCF">
              <w:rPr>
                <w:rFonts w:eastAsia="Times New Roman"/>
                <w:sz w:val="22"/>
                <w:szCs w:val="22"/>
              </w:rPr>
              <w:t>L. Suppl.44</w:t>
            </w:r>
          </w:p>
        </w:tc>
        <w:tc>
          <w:tcPr>
            <w:tcW w:w="3521" w:type="pct"/>
            <w:tcBorders>
              <w:top w:val="single" w:sz="4" w:space="0" w:color="auto"/>
              <w:left w:val="single" w:sz="4" w:space="0" w:color="auto"/>
              <w:bottom w:val="single" w:sz="4" w:space="0" w:color="auto"/>
              <w:right w:val="single" w:sz="4" w:space="0" w:color="auto"/>
            </w:tcBorders>
            <w:vAlign w:val="center"/>
          </w:tcPr>
          <w:p w14:paraId="47093E33" w14:textId="24CD68FE" w:rsidR="16C20DCF" w:rsidRDefault="16C20DCF" w:rsidP="16C20DCF">
            <w:pPr>
              <w:spacing w:before="80" w:after="80"/>
              <w:jc w:val="center"/>
            </w:pPr>
            <w:r w:rsidRPr="16C20DCF">
              <w:rPr>
                <w:rFonts w:eastAsia="Times New Roman"/>
                <w:sz w:val="22"/>
                <w:szCs w:val="22"/>
              </w:rPr>
              <w:t>Guidelines on best practices and environment friendly policies for effective information and communication technology deployment methods</w:t>
            </w:r>
          </w:p>
        </w:tc>
      </w:tr>
    </w:tbl>
    <w:p w14:paraId="11EB4327" w14:textId="7F2581FD" w:rsidR="00B70043" w:rsidRPr="00055F0A" w:rsidRDefault="00B70043" w:rsidP="16C20DCF">
      <w:pPr>
        <w:spacing w:before="240" w:after="120"/>
        <w:rPr>
          <w:b/>
          <w:bCs/>
          <w:lang w:eastAsia="zh-CN"/>
        </w:rPr>
      </w:pPr>
      <w:r w:rsidRPr="16C20DCF">
        <w:rPr>
          <w:b/>
          <w:bCs/>
          <w:lang w:eastAsia="zh-CN"/>
        </w:rPr>
        <w:t>1.3.</w:t>
      </w:r>
      <w:r w:rsidR="00362957" w:rsidRPr="16C20DCF">
        <w:rPr>
          <w:b/>
          <w:bCs/>
          <w:lang w:eastAsia="zh-CN"/>
        </w:rPr>
        <w:t>3</w:t>
      </w:r>
      <w:r>
        <w:tab/>
      </w:r>
      <w:r w:rsidRPr="16C20DCF">
        <w:rPr>
          <w:b/>
          <w:bCs/>
          <w:lang w:eastAsia="zh-CN"/>
        </w:rPr>
        <w:t>Recommendations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11"/>
        <w:gridCol w:w="6769"/>
      </w:tblGrid>
      <w:tr w:rsidR="00B70043" w:rsidRPr="006A1660" w14:paraId="293BBE3F" w14:textId="77777777" w:rsidTr="16C20DCF">
        <w:trPr>
          <w:cantSplit/>
          <w:tblHeader/>
        </w:trPr>
        <w:tc>
          <w:tcPr>
            <w:tcW w:w="441" w:type="pct"/>
            <w:shd w:val="clear" w:color="auto" w:fill="D9D9D9" w:themeFill="background1" w:themeFillShade="D9"/>
          </w:tcPr>
          <w:p w14:paraId="097BDBC1" w14:textId="77777777" w:rsidR="00B70043" w:rsidRPr="006A1660" w:rsidRDefault="00B70043" w:rsidP="00080B3A">
            <w:pPr>
              <w:spacing w:before="40" w:after="40"/>
              <w:jc w:val="center"/>
              <w:rPr>
                <w:b/>
                <w:bCs/>
                <w:color w:val="000000"/>
                <w:sz w:val="22"/>
                <w:szCs w:val="22"/>
              </w:rPr>
            </w:pPr>
            <w:r w:rsidRPr="006A1660">
              <w:rPr>
                <w:b/>
                <w:bCs/>
                <w:color w:val="000000"/>
                <w:sz w:val="22"/>
                <w:szCs w:val="22"/>
              </w:rPr>
              <w:t>SG</w:t>
            </w:r>
          </w:p>
        </w:tc>
        <w:tc>
          <w:tcPr>
            <w:tcW w:w="1044" w:type="pct"/>
            <w:shd w:val="clear" w:color="auto" w:fill="D9D9D9" w:themeFill="background1" w:themeFillShade="D9"/>
          </w:tcPr>
          <w:p w14:paraId="6FAA3182" w14:textId="77777777" w:rsidR="00B70043" w:rsidRPr="006A1660" w:rsidRDefault="00B70043" w:rsidP="00080B3A">
            <w:pPr>
              <w:spacing w:before="40" w:after="40"/>
              <w:jc w:val="center"/>
              <w:rPr>
                <w:color w:val="000000"/>
                <w:sz w:val="22"/>
                <w:szCs w:val="22"/>
              </w:rPr>
            </w:pPr>
            <w:r w:rsidRPr="006A1660">
              <w:rPr>
                <w:b/>
                <w:bCs/>
                <w:color w:val="000000"/>
                <w:sz w:val="22"/>
                <w:szCs w:val="22"/>
              </w:rPr>
              <w:t>No</w:t>
            </w:r>
          </w:p>
        </w:tc>
        <w:tc>
          <w:tcPr>
            <w:tcW w:w="3514" w:type="pct"/>
            <w:shd w:val="clear" w:color="auto" w:fill="D9D9D9" w:themeFill="background1" w:themeFillShade="D9"/>
          </w:tcPr>
          <w:p w14:paraId="6F3A437B" w14:textId="77777777" w:rsidR="00B70043" w:rsidRPr="006A1660" w:rsidRDefault="00B70043" w:rsidP="00080B3A">
            <w:pPr>
              <w:spacing w:before="40" w:after="40"/>
              <w:jc w:val="center"/>
              <w:rPr>
                <w:color w:val="000000"/>
                <w:sz w:val="22"/>
                <w:szCs w:val="22"/>
              </w:rPr>
            </w:pPr>
            <w:r w:rsidRPr="006A1660">
              <w:rPr>
                <w:b/>
                <w:bCs/>
                <w:color w:val="000000"/>
                <w:sz w:val="22"/>
                <w:szCs w:val="22"/>
              </w:rPr>
              <w:t>Title</w:t>
            </w:r>
          </w:p>
        </w:tc>
      </w:tr>
      <w:tr w:rsidR="00362957" w:rsidRPr="006A1660" w14:paraId="2BD5B2AA" w14:textId="77777777" w:rsidTr="16C20DCF">
        <w:tblPrEx>
          <w:tblCellMar>
            <w:top w:w="29" w:type="dxa"/>
            <w:left w:w="115" w:type="dxa"/>
            <w:bottom w:w="29" w:type="dxa"/>
            <w:right w:w="115" w:type="dxa"/>
          </w:tblCellMar>
        </w:tblPrEx>
        <w:trPr>
          <w:cantSplit/>
        </w:trPr>
        <w:tc>
          <w:tcPr>
            <w:tcW w:w="441" w:type="pct"/>
            <w:vAlign w:val="center"/>
          </w:tcPr>
          <w:p w14:paraId="73FE3466" w14:textId="2F590FFD"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themeFill="background1"/>
            <w:vAlign w:val="center"/>
          </w:tcPr>
          <w:p w14:paraId="7B2A6B9B" w14:textId="15A84917" w:rsidR="16C20DCF" w:rsidRDefault="16C20DCF" w:rsidP="16C20DCF">
            <w:pPr>
              <w:spacing w:before="80" w:after="80"/>
              <w:jc w:val="center"/>
              <w:rPr>
                <w:rFonts w:eastAsia="Times New Roman"/>
                <w:sz w:val="22"/>
                <w:szCs w:val="22"/>
                <w:lang w:val="en-US"/>
              </w:rPr>
            </w:pPr>
            <w:r w:rsidRPr="16C20DCF">
              <w:rPr>
                <w:rFonts w:eastAsia="Times New Roman"/>
                <w:sz w:val="22"/>
                <w:szCs w:val="22"/>
                <w:lang w:val="en-US"/>
              </w:rPr>
              <w:t>L.1410</w:t>
            </w:r>
          </w:p>
        </w:tc>
        <w:tc>
          <w:tcPr>
            <w:tcW w:w="3514" w:type="pct"/>
            <w:shd w:val="clear" w:color="auto" w:fill="FFFFFF" w:themeFill="background1"/>
            <w:vAlign w:val="center"/>
          </w:tcPr>
          <w:p w14:paraId="44D5A803" w14:textId="4B9CDEBD" w:rsidR="16C20DCF" w:rsidRDefault="16C20DCF" w:rsidP="16C20DCF">
            <w:pPr>
              <w:spacing w:before="80" w:after="80"/>
              <w:jc w:val="center"/>
              <w:rPr>
                <w:rFonts w:eastAsia="Times New Roman"/>
                <w:sz w:val="22"/>
                <w:szCs w:val="22"/>
              </w:rPr>
            </w:pPr>
            <w:r w:rsidRPr="16C20DCF">
              <w:rPr>
                <w:rFonts w:eastAsia="Times New Roman"/>
                <w:sz w:val="22"/>
                <w:szCs w:val="22"/>
              </w:rPr>
              <w:t>Methodology for environmental life cycle assessments of information and communication technology goods, networks and services</w:t>
            </w:r>
          </w:p>
        </w:tc>
      </w:tr>
      <w:tr w:rsidR="00362957" w:rsidRPr="006A1660" w14:paraId="3131B51A" w14:textId="77777777" w:rsidTr="16C20DCF">
        <w:tblPrEx>
          <w:tblCellMar>
            <w:top w:w="29" w:type="dxa"/>
            <w:left w:w="115" w:type="dxa"/>
            <w:bottom w:w="29" w:type="dxa"/>
            <w:right w:w="115" w:type="dxa"/>
          </w:tblCellMar>
        </w:tblPrEx>
        <w:trPr>
          <w:cantSplit/>
        </w:trPr>
        <w:tc>
          <w:tcPr>
            <w:tcW w:w="441" w:type="pct"/>
            <w:vAlign w:val="center"/>
          </w:tcPr>
          <w:p w14:paraId="4033EAF1" w14:textId="49047CD0"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themeFill="background1"/>
            <w:vAlign w:val="center"/>
          </w:tcPr>
          <w:p w14:paraId="379F91AB" w14:textId="0317F758" w:rsidR="16C20DCF" w:rsidRDefault="16C20DCF" w:rsidP="16C20DCF">
            <w:pPr>
              <w:spacing w:before="80" w:after="80"/>
              <w:jc w:val="center"/>
              <w:rPr>
                <w:rFonts w:eastAsia="Times New Roman"/>
                <w:sz w:val="22"/>
                <w:szCs w:val="22"/>
              </w:rPr>
            </w:pPr>
            <w:r w:rsidRPr="16C20DCF">
              <w:rPr>
                <w:rFonts w:eastAsia="Times New Roman"/>
                <w:sz w:val="22"/>
                <w:szCs w:val="22"/>
              </w:rPr>
              <w:t>L.1472</w:t>
            </w:r>
          </w:p>
        </w:tc>
        <w:tc>
          <w:tcPr>
            <w:tcW w:w="3514" w:type="pct"/>
            <w:shd w:val="clear" w:color="auto" w:fill="FFFFFF" w:themeFill="background1"/>
            <w:vAlign w:val="center"/>
          </w:tcPr>
          <w:p w14:paraId="65969918" w14:textId="45ACB43E" w:rsidR="16C20DCF" w:rsidRDefault="16C20DCF" w:rsidP="16C20DCF">
            <w:pPr>
              <w:spacing w:before="80" w:after="80"/>
              <w:jc w:val="center"/>
              <w:rPr>
                <w:rFonts w:eastAsia="Times New Roman"/>
                <w:sz w:val="22"/>
                <w:szCs w:val="22"/>
              </w:rPr>
            </w:pPr>
            <w:r w:rsidRPr="16C20DCF">
              <w:rPr>
                <w:rFonts w:eastAsia="Times New Roman"/>
                <w:sz w:val="22"/>
                <w:szCs w:val="22"/>
              </w:rPr>
              <w:t>Requirements for the creation of an ITU database on energy consumption and GHG emissions of the ICT sector</w:t>
            </w:r>
          </w:p>
        </w:tc>
      </w:tr>
      <w:tr w:rsidR="16C20DCF" w14:paraId="676C9496" w14:textId="77777777" w:rsidTr="16C20DCF">
        <w:tblPrEx>
          <w:tblCellMar>
            <w:top w:w="29" w:type="dxa"/>
            <w:left w:w="115" w:type="dxa"/>
            <w:bottom w:w="29" w:type="dxa"/>
            <w:right w:w="115" w:type="dxa"/>
          </w:tblCellMar>
        </w:tblPrEx>
        <w:trPr>
          <w:cantSplit/>
          <w:trHeight w:val="300"/>
        </w:trPr>
        <w:tc>
          <w:tcPr>
            <w:tcW w:w="849" w:type="dxa"/>
            <w:vAlign w:val="center"/>
          </w:tcPr>
          <w:p w14:paraId="1B545349" w14:textId="323B257E" w:rsidR="3425916E" w:rsidRDefault="3425916E" w:rsidP="16C20DCF">
            <w:pPr>
              <w:jc w:val="center"/>
              <w:rPr>
                <w:rFonts w:eastAsia="Times New Roman"/>
                <w:sz w:val="22"/>
                <w:szCs w:val="22"/>
              </w:rPr>
            </w:pPr>
            <w:r w:rsidRPr="16C20DCF">
              <w:rPr>
                <w:rFonts w:eastAsia="Times New Roman"/>
                <w:sz w:val="22"/>
                <w:szCs w:val="22"/>
              </w:rPr>
              <w:t>5</w:t>
            </w:r>
          </w:p>
        </w:tc>
        <w:tc>
          <w:tcPr>
            <w:tcW w:w="2011" w:type="dxa"/>
            <w:shd w:val="clear" w:color="auto" w:fill="FFFFFF" w:themeFill="background1"/>
            <w:vAlign w:val="center"/>
          </w:tcPr>
          <w:p w14:paraId="49380418" w14:textId="0D14E6AB" w:rsidR="16C20DCF" w:rsidRDefault="16C20DCF" w:rsidP="16C20DCF">
            <w:pPr>
              <w:spacing w:before="80" w:after="80"/>
              <w:jc w:val="center"/>
              <w:rPr>
                <w:rFonts w:eastAsia="Times New Roman"/>
                <w:sz w:val="22"/>
                <w:szCs w:val="22"/>
              </w:rPr>
            </w:pPr>
            <w:r w:rsidRPr="16C20DCF">
              <w:rPr>
                <w:rFonts w:eastAsia="Times New Roman"/>
                <w:sz w:val="22"/>
                <w:szCs w:val="22"/>
              </w:rPr>
              <w:t>L.1384</w:t>
            </w:r>
          </w:p>
        </w:tc>
        <w:tc>
          <w:tcPr>
            <w:tcW w:w="6769" w:type="dxa"/>
            <w:shd w:val="clear" w:color="auto" w:fill="FFFFFF" w:themeFill="background1"/>
            <w:vAlign w:val="center"/>
          </w:tcPr>
          <w:p w14:paraId="3994460E" w14:textId="1A89B08E" w:rsidR="16C20DCF" w:rsidRDefault="16C20DCF" w:rsidP="16C20DCF">
            <w:pPr>
              <w:spacing w:before="80" w:after="80"/>
              <w:jc w:val="center"/>
              <w:rPr>
                <w:rFonts w:eastAsia="Times New Roman"/>
                <w:sz w:val="22"/>
                <w:szCs w:val="22"/>
              </w:rPr>
            </w:pPr>
            <w:r w:rsidRPr="16C20DCF">
              <w:rPr>
                <w:rFonts w:eastAsia="Times New Roman"/>
                <w:sz w:val="22"/>
                <w:szCs w:val="22"/>
              </w:rPr>
              <w:t>Implementation of a virtual micro power station at base station sites</w:t>
            </w:r>
          </w:p>
        </w:tc>
      </w:tr>
      <w:tr w:rsidR="00362957" w:rsidRPr="006A1660" w14:paraId="74B7001A" w14:textId="77777777" w:rsidTr="16C20DCF">
        <w:tblPrEx>
          <w:tblCellMar>
            <w:top w:w="29" w:type="dxa"/>
            <w:left w:w="115" w:type="dxa"/>
            <w:bottom w:w="29" w:type="dxa"/>
            <w:right w:w="115" w:type="dxa"/>
          </w:tblCellMar>
        </w:tblPrEx>
        <w:trPr>
          <w:cantSplit/>
          <w:trHeight w:val="1035"/>
        </w:trPr>
        <w:tc>
          <w:tcPr>
            <w:tcW w:w="441" w:type="pct"/>
            <w:vAlign w:val="center"/>
          </w:tcPr>
          <w:p w14:paraId="5AFD6CBA" w14:textId="581224A3"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themeFill="background1"/>
            <w:vAlign w:val="center"/>
          </w:tcPr>
          <w:p w14:paraId="59E6807F" w14:textId="5FBE7CD4" w:rsidR="16C20DCF" w:rsidRDefault="16C20DCF" w:rsidP="16C20DCF">
            <w:pPr>
              <w:spacing w:before="80" w:after="80"/>
              <w:jc w:val="center"/>
              <w:rPr>
                <w:rFonts w:eastAsia="Times New Roman"/>
                <w:sz w:val="22"/>
                <w:szCs w:val="22"/>
              </w:rPr>
            </w:pPr>
            <w:r w:rsidRPr="16C20DCF">
              <w:rPr>
                <w:rFonts w:eastAsia="Times New Roman"/>
                <w:sz w:val="22"/>
                <w:szCs w:val="22"/>
              </w:rPr>
              <w:t>L.1490</w:t>
            </w:r>
          </w:p>
        </w:tc>
        <w:tc>
          <w:tcPr>
            <w:tcW w:w="3514" w:type="pct"/>
            <w:shd w:val="clear" w:color="auto" w:fill="FFFFFF" w:themeFill="background1"/>
            <w:vAlign w:val="center"/>
          </w:tcPr>
          <w:p w14:paraId="2DFA73D2" w14:textId="556EEE36" w:rsidR="16C20DCF" w:rsidRDefault="16C20DCF" w:rsidP="16C20DCF">
            <w:pPr>
              <w:spacing w:before="80" w:after="80"/>
              <w:jc w:val="center"/>
              <w:rPr>
                <w:rFonts w:eastAsia="Times New Roman"/>
                <w:sz w:val="22"/>
                <w:szCs w:val="22"/>
              </w:rPr>
            </w:pPr>
            <w:r w:rsidRPr="16C20DCF">
              <w:rPr>
                <w:rFonts w:eastAsia="Times New Roman"/>
                <w:sz w:val="22"/>
                <w:szCs w:val="22"/>
              </w:rPr>
              <w:t>Framework and Functional Requirements of Greenhouse Gas Emissions Management System using Digital Technology for Public Sector</w:t>
            </w:r>
          </w:p>
        </w:tc>
      </w:tr>
      <w:bookmarkEnd w:id="12"/>
    </w:tbl>
    <w:p w14:paraId="59273B15" w14:textId="77777777" w:rsidR="00DB4521" w:rsidRDefault="00DB4521" w:rsidP="00DB4521"/>
    <w:p w14:paraId="511282FF" w14:textId="77777777" w:rsidR="00DB4521" w:rsidRDefault="00DB4521">
      <w:pPr>
        <w:jc w:val="center"/>
      </w:pPr>
      <w:r>
        <w:t>______________</w:t>
      </w:r>
    </w:p>
    <w:sectPr w:rsidR="00DB4521" w:rsidSect="00704DE0">
      <w:headerReference w:type="default" r:id="rId50"/>
      <w:footerReference w:type="even" r:id="rId51"/>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D4EA" w14:textId="77777777" w:rsidR="00FC7812" w:rsidRDefault="00FC7812">
      <w:pPr>
        <w:spacing w:before="0"/>
      </w:pPr>
      <w:r>
        <w:separator/>
      </w:r>
    </w:p>
  </w:endnote>
  <w:endnote w:type="continuationSeparator" w:id="0">
    <w:p w14:paraId="73C23854" w14:textId="77777777" w:rsidR="00FC7812" w:rsidRDefault="00FC78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Helvetica 75 Bold">
    <w:altName w:val="Arial"/>
    <w:charset w:val="00"/>
    <w:family w:val="swiss"/>
    <w:pitch w:val="variable"/>
    <w:sig w:usb0="A00002A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E523" w14:textId="40F2A606" w:rsidR="002D4C98" w:rsidRDefault="002D4C98">
    <w:pPr>
      <w:pStyle w:val="Footer"/>
    </w:pPr>
    <w:r>
      <w:rPr>
        <w:noProof/>
        <w:lang w:val="fr-CH" w:eastAsia="fr-CH"/>
      </w:rPr>
      <mc:AlternateContent>
        <mc:Choice Requires="wps">
          <w:drawing>
            <wp:anchor distT="0" distB="0" distL="0" distR="0" simplePos="0" relativeHeight="251659264" behindDoc="0" locked="0" layoutInCell="1" allowOverlap="1" wp14:anchorId="37D7FE82" wp14:editId="1168955B">
              <wp:simplePos x="635" y="635"/>
              <wp:positionH relativeFrom="page">
                <wp:align>center</wp:align>
              </wp:positionH>
              <wp:positionV relativeFrom="page">
                <wp:align>bottom</wp:align>
              </wp:positionV>
              <wp:extent cx="443865" cy="443865"/>
              <wp:effectExtent l="0" t="0" r="6985" b="0"/>
              <wp:wrapNone/>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8FE0" w14:textId="04735E25" w:rsidR="002D4C98" w:rsidRPr="002D4C98" w:rsidRDefault="002D4C98"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7FE82"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C38FE0" w14:textId="04735E25" w:rsidR="002D4C98" w:rsidRPr="002D4C98" w:rsidRDefault="002D4C98"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CD1A" w14:textId="77777777" w:rsidR="00FC7812" w:rsidRDefault="00FC7812">
      <w:pPr>
        <w:spacing w:before="0"/>
      </w:pPr>
      <w:r>
        <w:separator/>
      </w:r>
    </w:p>
  </w:footnote>
  <w:footnote w:type="continuationSeparator" w:id="0">
    <w:p w14:paraId="08F21F5E" w14:textId="77777777" w:rsidR="00FC7812" w:rsidRDefault="00FC78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C5DB" w14:textId="2734B4DB" w:rsidR="00080B3A" w:rsidRPr="00675F24" w:rsidRDefault="00675F24" w:rsidP="00675F24">
    <w:pPr>
      <w:pStyle w:val="Header"/>
      <w:rPr>
        <w:sz w:val="18"/>
      </w:rPr>
    </w:pPr>
    <w:r w:rsidRPr="00675F24">
      <w:rPr>
        <w:sz w:val="18"/>
      </w:rPr>
      <w:t xml:space="preserve">- </w:t>
    </w:r>
    <w:r w:rsidRPr="00675F24">
      <w:rPr>
        <w:sz w:val="18"/>
      </w:rPr>
      <w:fldChar w:fldCharType="begin"/>
    </w:r>
    <w:r w:rsidRPr="00675F24">
      <w:rPr>
        <w:sz w:val="18"/>
      </w:rPr>
      <w:instrText xml:space="preserve"> PAGE  \* MERGEFORMAT </w:instrText>
    </w:r>
    <w:r w:rsidRPr="00675F24">
      <w:rPr>
        <w:sz w:val="18"/>
      </w:rPr>
      <w:fldChar w:fldCharType="separate"/>
    </w:r>
    <w:r w:rsidR="0083152E">
      <w:rPr>
        <w:noProof/>
        <w:sz w:val="18"/>
      </w:rPr>
      <w:t>8</w:t>
    </w:r>
    <w:r w:rsidRPr="00675F24">
      <w:rPr>
        <w:sz w:val="18"/>
      </w:rPr>
      <w:fldChar w:fldCharType="end"/>
    </w:r>
    <w:r w:rsidRPr="00675F24">
      <w:rPr>
        <w:sz w:val="18"/>
      </w:rPr>
      <w:t xml:space="preserve"> -</w:t>
    </w:r>
  </w:p>
  <w:p w14:paraId="2C0AF387" w14:textId="6B6E682A" w:rsidR="00675F24" w:rsidRPr="00675F24" w:rsidRDefault="00BE7947" w:rsidP="00B766BE">
    <w:pPr>
      <w:pStyle w:val="Header"/>
      <w:spacing w:after="120"/>
      <w:rPr>
        <w:sz w:val="18"/>
      </w:rPr>
    </w:pPr>
    <w:r>
      <w:rPr>
        <w:sz w:val="18"/>
      </w:rPr>
      <w:t>TSAG-TD534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54AC"/>
    <w:multiLevelType w:val="hybridMultilevel"/>
    <w:tmpl w:val="E6586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8A7"/>
    <w:multiLevelType w:val="hybridMultilevel"/>
    <w:tmpl w:val="A94AE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6CDC4"/>
    <w:multiLevelType w:val="hybridMultilevel"/>
    <w:tmpl w:val="3BF2404A"/>
    <w:lvl w:ilvl="0" w:tplc="C7C675A6">
      <w:start w:val="1"/>
      <w:numFmt w:val="bullet"/>
      <w:lvlText w:val=""/>
      <w:lvlJc w:val="left"/>
      <w:pPr>
        <w:ind w:left="720" w:hanging="360"/>
      </w:pPr>
      <w:rPr>
        <w:rFonts w:ascii="Wingdings" w:hAnsi="Wingdings" w:hint="default"/>
      </w:rPr>
    </w:lvl>
    <w:lvl w:ilvl="1" w:tplc="F67CB6E0">
      <w:start w:val="1"/>
      <w:numFmt w:val="bullet"/>
      <w:lvlText w:val="o"/>
      <w:lvlJc w:val="left"/>
      <w:pPr>
        <w:ind w:left="1440" w:hanging="360"/>
      </w:pPr>
      <w:rPr>
        <w:rFonts w:ascii="Courier New" w:hAnsi="Courier New" w:hint="default"/>
      </w:rPr>
    </w:lvl>
    <w:lvl w:ilvl="2" w:tplc="40821A52">
      <w:start w:val="1"/>
      <w:numFmt w:val="bullet"/>
      <w:lvlText w:val=""/>
      <w:lvlJc w:val="left"/>
      <w:pPr>
        <w:ind w:left="2160" w:hanging="360"/>
      </w:pPr>
      <w:rPr>
        <w:rFonts w:ascii="Wingdings" w:hAnsi="Wingdings" w:hint="default"/>
      </w:rPr>
    </w:lvl>
    <w:lvl w:ilvl="3" w:tplc="FCE0C232">
      <w:start w:val="1"/>
      <w:numFmt w:val="bullet"/>
      <w:lvlText w:val=""/>
      <w:lvlJc w:val="left"/>
      <w:pPr>
        <w:ind w:left="2880" w:hanging="360"/>
      </w:pPr>
      <w:rPr>
        <w:rFonts w:ascii="Symbol" w:hAnsi="Symbol" w:hint="default"/>
      </w:rPr>
    </w:lvl>
    <w:lvl w:ilvl="4" w:tplc="7136C82C">
      <w:start w:val="1"/>
      <w:numFmt w:val="bullet"/>
      <w:lvlText w:val="o"/>
      <w:lvlJc w:val="left"/>
      <w:pPr>
        <w:ind w:left="3600" w:hanging="360"/>
      </w:pPr>
      <w:rPr>
        <w:rFonts w:ascii="Courier New" w:hAnsi="Courier New" w:hint="default"/>
      </w:rPr>
    </w:lvl>
    <w:lvl w:ilvl="5" w:tplc="CA3854BA">
      <w:start w:val="1"/>
      <w:numFmt w:val="bullet"/>
      <w:lvlText w:val=""/>
      <w:lvlJc w:val="left"/>
      <w:pPr>
        <w:ind w:left="4320" w:hanging="360"/>
      </w:pPr>
      <w:rPr>
        <w:rFonts w:ascii="Wingdings" w:hAnsi="Wingdings" w:hint="default"/>
      </w:rPr>
    </w:lvl>
    <w:lvl w:ilvl="6" w:tplc="F09C295A">
      <w:start w:val="1"/>
      <w:numFmt w:val="bullet"/>
      <w:lvlText w:val=""/>
      <w:lvlJc w:val="left"/>
      <w:pPr>
        <w:ind w:left="5040" w:hanging="360"/>
      </w:pPr>
      <w:rPr>
        <w:rFonts w:ascii="Symbol" w:hAnsi="Symbol" w:hint="default"/>
      </w:rPr>
    </w:lvl>
    <w:lvl w:ilvl="7" w:tplc="E5FEE080">
      <w:start w:val="1"/>
      <w:numFmt w:val="bullet"/>
      <w:lvlText w:val="o"/>
      <w:lvlJc w:val="left"/>
      <w:pPr>
        <w:ind w:left="5760" w:hanging="360"/>
      </w:pPr>
      <w:rPr>
        <w:rFonts w:ascii="Courier New" w:hAnsi="Courier New" w:hint="default"/>
      </w:rPr>
    </w:lvl>
    <w:lvl w:ilvl="8" w:tplc="4BAEE4E2">
      <w:start w:val="1"/>
      <w:numFmt w:val="bullet"/>
      <w:lvlText w:val=""/>
      <w:lvlJc w:val="left"/>
      <w:pPr>
        <w:ind w:left="6480" w:hanging="360"/>
      </w:pPr>
      <w:rPr>
        <w:rFonts w:ascii="Wingdings" w:hAnsi="Wingdings" w:hint="default"/>
      </w:rPr>
    </w:lvl>
  </w:abstractNum>
  <w:abstractNum w:abstractNumId="3" w15:restartNumberingAfterBreak="0">
    <w:nsid w:val="27C444EB"/>
    <w:multiLevelType w:val="hybridMultilevel"/>
    <w:tmpl w:val="3DC28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F6650"/>
    <w:multiLevelType w:val="hybridMultilevel"/>
    <w:tmpl w:val="ACA4B1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2B1D3BF9"/>
    <w:multiLevelType w:val="hybridMultilevel"/>
    <w:tmpl w:val="11506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53CF5"/>
    <w:multiLevelType w:val="hybridMultilevel"/>
    <w:tmpl w:val="928EB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4DA047"/>
    <w:multiLevelType w:val="hybridMultilevel"/>
    <w:tmpl w:val="5F1C10FA"/>
    <w:lvl w:ilvl="0" w:tplc="B33EF9BA">
      <w:start w:val="1"/>
      <w:numFmt w:val="bullet"/>
      <w:lvlText w:val="§"/>
      <w:lvlJc w:val="left"/>
      <w:pPr>
        <w:ind w:left="720" w:hanging="360"/>
      </w:pPr>
      <w:rPr>
        <w:rFonts w:ascii="Wingdings" w:hAnsi="Wingdings" w:hint="default"/>
      </w:rPr>
    </w:lvl>
    <w:lvl w:ilvl="1" w:tplc="038C59C4">
      <w:start w:val="1"/>
      <w:numFmt w:val="bullet"/>
      <w:lvlText w:val="o"/>
      <w:lvlJc w:val="left"/>
      <w:pPr>
        <w:ind w:left="1440" w:hanging="360"/>
      </w:pPr>
      <w:rPr>
        <w:rFonts w:ascii="Courier New" w:hAnsi="Courier New" w:hint="default"/>
      </w:rPr>
    </w:lvl>
    <w:lvl w:ilvl="2" w:tplc="22F21108">
      <w:start w:val="1"/>
      <w:numFmt w:val="bullet"/>
      <w:lvlText w:val=""/>
      <w:lvlJc w:val="left"/>
      <w:pPr>
        <w:ind w:left="2160" w:hanging="360"/>
      </w:pPr>
      <w:rPr>
        <w:rFonts w:ascii="Wingdings" w:hAnsi="Wingdings" w:hint="default"/>
      </w:rPr>
    </w:lvl>
    <w:lvl w:ilvl="3" w:tplc="BB868FBC">
      <w:start w:val="1"/>
      <w:numFmt w:val="bullet"/>
      <w:lvlText w:val=""/>
      <w:lvlJc w:val="left"/>
      <w:pPr>
        <w:ind w:left="2880" w:hanging="360"/>
      </w:pPr>
      <w:rPr>
        <w:rFonts w:ascii="Symbol" w:hAnsi="Symbol" w:hint="default"/>
      </w:rPr>
    </w:lvl>
    <w:lvl w:ilvl="4" w:tplc="9E42B5A6">
      <w:start w:val="1"/>
      <w:numFmt w:val="bullet"/>
      <w:lvlText w:val="o"/>
      <w:lvlJc w:val="left"/>
      <w:pPr>
        <w:ind w:left="3600" w:hanging="360"/>
      </w:pPr>
      <w:rPr>
        <w:rFonts w:ascii="Courier New" w:hAnsi="Courier New" w:hint="default"/>
      </w:rPr>
    </w:lvl>
    <w:lvl w:ilvl="5" w:tplc="2612E23C">
      <w:start w:val="1"/>
      <w:numFmt w:val="bullet"/>
      <w:lvlText w:val=""/>
      <w:lvlJc w:val="left"/>
      <w:pPr>
        <w:ind w:left="4320" w:hanging="360"/>
      </w:pPr>
      <w:rPr>
        <w:rFonts w:ascii="Wingdings" w:hAnsi="Wingdings" w:hint="default"/>
      </w:rPr>
    </w:lvl>
    <w:lvl w:ilvl="6" w:tplc="C7826B6E">
      <w:start w:val="1"/>
      <w:numFmt w:val="bullet"/>
      <w:lvlText w:val=""/>
      <w:lvlJc w:val="left"/>
      <w:pPr>
        <w:ind w:left="5040" w:hanging="360"/>
      </w:pPr>
      <w:rPr>
        <w:rFonts w:ascii="Symbol" w:hAnsi="Symbol" w:hint="default"/>
      </w:rPr>
    </w:lvl>
    <w:lvl w:ilvl="7" w:tplc="DF5C86A2">
      <w:start w:val="1"/>
      <w:numFmt w:val="bullet"/>
      <w:lvlText w:val="o"/>
      <w:lvlJc w:val="left"/>
      <w:pPr>
        <w:ind w:left="5760" w:hanging="360"/>
      </w:pPr>
      <w:rPr>
        <w:rFonts w:ascii="Courier New" w:hAnsi="Courier New" w:hint="default"/>
      </w:rPr>
    </w:lvl>
    <w:lvl w:ilvl="8" w:tplc="584845F0">
      <w:start w:val="1"/>
      <w:numFmt w:val="bullet"/>
      <w:lvlText w:val=""/>
      <w:lvlJc w:val="left"/>
      <w:pPr>
        <w:ind w:left="6480" w:hanging="360"/>
      </w:pPr>
      <w:rPr>
        <w:rFonts w:ascii="Wingdings" w:hAnsi="Wingdings" w:hint="default"/>
      </w:rPr>
    </w:lvl>
  </w:abstractNum>
  <w:abstractNum w:abstractNumId="9" w15:restartNumberingAfterBreak="0">
    <w:nsid w:val="477F0602"/>
    <w:multiLevelType w:val="hybridMultilevel"/>
    <w:tmpl w:val="7DDE36F2"/>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022469"/>
    <w:multiLevelType w:val="hybridMultilevel"/>
    <w:tmpl w:val="15E2C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42A13"/>
    <w:multiLevelType w:val="hybridMultilevel"/>
    <w:tmpl w:val="BD4A4FCA"/>
    <w:lvl w:ilvl="0" w:tplc="662ACC46">
      <w:start w:val="1"/>
      <w:numFmt w:val="bullet"/>
      <w:lvlText w:val="§"/>
      <w:lvlJc w:val="left"/>
      <w:pPr>
        <w:ind w:left="720" w:hanging="360"/>
      </w:pPr>
      <w:rPr>
        <w:rFonts w:ascii="Wingdings" w:hAnsi="Wingdings" w:hint="default"/>
      </w:rPr>
    </w:lvl>
    <w:lvl w:ilvl="1" w:tplc="3EAE1E1A">
      <w:start w:val="1"/>
      <w:numFmt w:val="bullet"/>
      <w:lvlText w:val="o"/>
      <w:lvlJc w:val="left"/>
      <w:pPr>
        <w:ind w:left="1440" w:hanging="360"/>
      </w:pPr>
      <w:rPr>
        <w:rFonts w:ascii="Courier New" w:hAnsi="Courier New" w:hint="default"/>
      </w:rPr>
    </w:lvl>
    <w:lvl w:ilvl="2" w:tplc="1332D8DE">
      <w:start w:val="1"/>
      <w:numFmt w:val="bullet"/>
      <w:lvlText w:val=""/>
      <w:lvlJc w:val="left"/>
      <w:pPr>
        <w:ind w:left="2160" w:hanging="360"/>
      </w:pPr>
      <w:rPr>
        <w:rFonts w:ascii="Wingdings" w:hAnsi="Wingdings" w:hint="default"/>
      </w:rPr>
    </w:lvl>
    <w:lvl w:ilvl="3" w:tplc="45808AF2">
      <w:start w:val="1"/>
      <w:numFmt w:val="bullet"/>
      <w:lvlText w:val=""/>
      <w:lvlJc w:val="left"/>
      <w:pPr>
        <w:ind w:left="2880" w:hanging="360"/>
      </w:pPr>
      <w:rPr>
        <w:rFonts w:ascii="Symbol" w:hAnsi="Symbol" w:hint="default"/>
      </w:rPr>
    </w:lvl>
    <w:lvl w:ilvl="4" w:tplc="E9F2672A">
      <w:start w:val="1"/>
      <w:numFmt w:val="bullet"/>
      <w:lvlText w:val="o"/>
      <w:lvlJc w:val="left"/>
      <w:pPr>
        <w:ind w:left="3600" w:hanging="360"/>
      </w:pPr>
      <w:rPr>
        <w:rFonts w:ascii="Courier New" w:hAnsi="Courier New" w:hint="default"/>
      </w:rPr>
    </w:lvl>
    <w:lvl w:ilvl="5" w:tplc="50F8BF72">
      <w:start w:val="1"/>
      <w:numFmt w:val="bullet"/>
      <w:lvlText w:val=""/>
      <w:lvlJc w:val="left"/>
      <w:pPr>
        <w:ind w:left="4320" w:hanging="360"/>
      </w:pPr>
      <w:rPr>
        <w:rFonts w:ascii="Wingdings" w:hAnsi="Wingdings" w:hint="default"/>
      </w:rPr>
    </w:lvl>
    <w:lvl w:ilvl="6" w:tplc="0B866866">
      <w:start w:val="1"/>
      <w:numFmt w:val="bullet"/>
      <w:lvlText w:val=""/>
      <w:lvlJc w:val="left"/>
      <w:pPr>
        <w:ind w:left="5040" w:hanging="360"/>
      </w:pPr>
      <w:rPr>
        <w:rFonts w:ascii="Symbol" w:hAnsi="Symbol" w:hint="default"/>
      </w:rPr>
    </w:lvl>
    <w:lvl w:ilvl="7" w:tplc="69AA1126">
      <w:start w:val="1"/>
      <w:numFmt w:val="bullet"/>
      <w:lvlText w:val="o"/>
      <w:lvlJc w:val="left"/>
      <w:pPr>
        <w:ind w:left="5760" w:hanging="360"/>
      </w:pPr>
      <w:rPr>
        <w:rFonts w:ascii="Courier New" w:hAnsi="Courier New" w:hint="default"/>
      </w:rPr>
    </w:lvl>
    <w:lvl w:ilvl="8" w:tplc="512684FC">
      <w:start w:val="1"/>
      <w:numFmt w:val="bullet"/>
      <w:lvlText w:val=""/>
      <w:lvlJc w:val="left"/>
      <w:pPr>
        <w:ind w:left="6480" w:hanging="360"/>
      </w:pPr>
      <w:rPr>
        <w:rFonts w:ascii="Wingdings" w:hAnsi="Wingdings" w:hint="default"/>
      </w:rPr>
    </w:lvl>
  </w:abstractNum>
  <w:abstractNum w:abstractNumId="12" w15:restartNumberingAfterBreak="0">
    <w:nsid w:val="51D78434"/>
    <w:multiLevelType w:val="hybridMultilevel"/>
    <w:tmpl w:val="84F6437E"/>
    <w:lvl w:ilvl="0" w:tplc="BE7A0118">
      <w:start w:val="1"/>
      <w:numFmt w:val="bullet"/>
      <w:lvlText w:val=""/>
      <w:lvlJc w:val="left"/>
      <w:pPr>
        <w:ind w:left="720" w:hanging="360"/>
      </w:pPr>
      <w:rPr>
        <w:rFonts w:ascii="Wingdings" w:hAnsi="Wingdings" w:hint="default"/>
      </w:rPr>
    </w:lvl>
    <w:lvl w:ilvl="1" w:tplc="49E4294C">
      <w:start w:val="1"/>
      <w:numFmt w:val="bullet"/>
      <w:lvlText w:val="o"/>
      <w:lvlJc w:val="left"/>
      <w:pPr>
        <w:ind w:left="1440" w:hanging="360"/>
      </w:pPr>
      <w:rPr>
        <w:rFonts w:ascii="Courier New" w:hAnsi="Courier New" w:hint="default"/>
      </w:rPr>
    </w:lvl>
    <w:lvl w:ilvl="2" w:tplc="913AE936">
      <w:start w:val="1"/>
      <w:numFmt w:val="bullet"/>
      <w:lvlText w:val=""/>
      <w:lvlJc w:val="left"/>
      <w:pPr>
        <w:ind w:left="2160" w:hanging="360"/>
      </w:pPr>
      <w:rPr>
        <w:rFonts w:ascii="Wingdings" w:hAnsi="Wingdings" w:hint="default"/>
      </w:rPr>
    </w:lvl>
    <w:lvl w:ilvl="3" w:tplc="718EE9A6">
      <w:start w:val="1"/>
      <w:numFmt w:val="bullet"/>
      <w:lvlText w:val=""/>
      <w:lvlJc w:val="left"/>
      <w:pPr>
        <w:ind w:left="2880" w:hanging="360"/>
      </w:pPr>
      <w:rPr>
        <w:rFonts w:ascii="Symbol" w:hAnsi="Symbol" w:hint="default"/>
      </w:rPr>
    </w:lvl>
    <w:lvl w:ilvl="4" w:tplc="207ED3EE">
      <w:start w:val="1"/>
      <w:numFmt w:val="bullet"/>
      <w:lvlText w:val="o"/>
      <w:lvlJc w:val="left"/>
      <w:pPr>
        <w:ind w:left="3600" w:hanging="360"/>
      </w:pPr>
      <w:rPr>
        <w:rFonts w:ascii="Courier New" w:hAnsi="Courier New" w:hint="default"/>
      </w:rPr>
    </w:lvl>
    <w:lvl w:ilvl="5" w:tplc="F718DABA">
      <w:start w:val="1"/>
      <w:numFmt w:val="bullet"/>
      <w:lvlText w:val=""/>
      <w:lvlJc w:val="left"/>
      <w:pPr>
        <w:ind w:left="4320" w:hanging="360"/>
      </w:pPr>
      <w:rPr>
        <w:rFonts w:ascii="Wingdings" w:hAnsi="Wingdings" w:hint="default"/>
      </w:rPr>
    </w:lvl>
    <w:lvl w:ilvl="6" w:tplc="9CB8C4EA">
      <w:start w:val="1"/>
      <w:numFmt w:val="bullet"/>
      <w:lvlText w:val=""/>
      <w:lvlJc w:val="left"/>
      <w:pPr>
        <w:ind w:left="5040" w:hanging="360"/>
      </w:pPr>
      <w:rPr>
        <w:rFonts w:ascii="Symbol" w:hAnsi="Symbol" w:hint="default"/>
      </w:rPr>
    </w:lvl>
    <w:lvl w:ilvl="7" w:tplc="BE8CAE74">
      <w:start w:val="1"/>
      <w:numFmt w:val="bullet"/>
      <w:lvlText w:val="o"/>
      <w:lvlJc w:val="left"/>
      <w:pPr>
        <w:ind w:left="5760" w:hanging="360"/>
      </w:pPr>
      <w:rPr>
        <w:rFonts w:ascii="Courier New" w:hAnsi="Courier New" w:hint="default"/>
      </w:rPr>
    </w:lvl>
    <w:lvl w:ilvl="8" w:tplc="41F23698">
      <w:start w:val="1"/>
      <w:numFmt w:val="bullet"/>
      <w:lvlText w:val=""/>
      <w:lvlJc w:val="left"/>
      <w:pPr>
        <w:ind w:left="6480" w:hanging="360"/>
      </w:pPr>
      <w:rPr>
        <w:rFonts w:ascii="Wingdings" w:hAnsi="Wingdings" w:hint="default"/>
      </w:rPr>
    </w:lvl>
  </w:abstractNum>
  <w:abstractNum w:abstractNumId="13" w15:restartNumberingAfterBreak="0">
    <w:nsid w:val="58EB7B65"/>
    <w:multiLevelType w:val="hybridMultilevel"/>
    <w:tmpl w:val="4F1C615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6871F16"/>
    <w:multiLevelType w:val="hybridMultilevel"/>
    <w:tmpl w:val="9CCCD3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CBD8A"/>
    <w:multiLevelType w:val="hybridMultilevel"/>
    <w:tmpl w:val="FBF6A2FA"/>
    <w:lvl w:ilvl="0" w:tplc="F0F200F4">
      <w:start w:val="1"/>
      <w:numFmt w:val="bullet"/>
      <w:lvlText w:val=""/>
      <w:lvlJc w:val="left"/>
      <w:pPr>
        <w:ind w:left="720" w:hanging="360"/>
      </w:pPr>
      <w:rPr>
        <w:rFonts w:ascii="Wingdings" w:hAnsi="Wingdings" w:hint="default"/>
      </w:rPr>
    </w:lvl>
    <w:lvl w:ilvl="1" w:tplc="D424F094">
      <w:start w:val="1"/>
      <w:numFmt w:val="bullet"/>
      <w:lvlText w:val="o"/>
      <w:lvlJc w:val="left"/>
      <w:pPr>
        <w:ind w:left="1440" w:hanging="360"/>
      </w:pPr>
      <w:rPr>
        <w:rFonts w:ascii="Courier New" w:hAnsi="Courier New" w:hint="default"/>
      </w:rPr>
    </w:lvl>
    <w:lvl w:ilvl="2" w:tplc="EFE6F8DE">
      <w:start w:val="1"/>
      <w:numFmt w:val="bullet"/>
      <w:lvlText w:val=""/>
      <w:lvlJc w:val="left"/>
      <w:pPr>
        <w:ind w:left="2160" w:hanging="360"/>
      </w:pPr>
      <w:rPr>
        <w:rFonts w:ascii="Wingdings" w:hAnsi="Wingdings" w:hint="default"/>
      </w:rPr>
    </w:lvl>
    <w:lvl w:ilvl="3" w:tplc="1D8E34C6">
      <w:start w:val="1"/>
      <w:numFmt w:val="bullet"/>
      <w:lvlText w:val=""/>
      <w:lvlJc w:val="left"/>
      <w:pPr>
        <w:ind w:left="2880" w:hanging="360"/>
      </w:pPr>
      <w:rPr>
        <w:rFonts w:ascii="Symbol" w:hAnsi="Symbol" w:hint="default"/>
      </w:rPr>
    </w:lvl>
    <w:lvl w:ilvl="4" w:tplc="DE64453E">
      <w:start w:val="1"/>
      <w:numFmt w:val="bullet"/>
      <w:lvlText w:val="o"/>
      <w:lvlJc w:val="left"/>
      <w:pPr>
        <w:ind w:left="3600" w:hanging="360"/>
      </w:pPr>
      <w:rPr>
        <w:rFonts w:ascii="Courier New" w:hAnsi="Courier New" w:hint="default"/>
      </w:rPr>
    </w:lvl>
    <w:lvl w:ilvl="5" w:tplc="E8D02F12">
      <w:start w:val="1"/>
      <w:numFmt w:val="bullet"/>
      <w:lvlText w:val=""/>
      <w:lvlJc w:val="left"/>
      <w:pPr>
        <w:ind w:left="4320" w:hanging="360"/>
      </w:pPr>
      <w:rPr>
        <w:rFonts w:ascii="Wingdings" w:hAnsi="Wingdings" w:hint="default"/>
      </w:rPr>
    </w:lvl>
    <w:lvl w:ilvl="6" w:tplc="357C5FD0">
      <w:start w:val="1"/>
      <w:numFmt w:val="bullet"/>
      <w:lvlText w:val=""/>
      <w:lvlJc w:val="left"/>
      <w:pPr>
        <w:ind w:left="5040" w:hanging="360"/>
      </w:pPr>
      <w:rPr>
        <w:rFonts w:ascii="Symbol" w:hAnsi="Symbol" w:hint="default"/>
      </w:rPr>
    </w:lvl>
    <w:lvl w:ilvl="7" w:tplc="0810BE08">
      <w:start w:val="1"/>
      <w:numFmt w:val="bullet"/>
      <w:lvlText w:val="o"/>
      <w:lvlJc w:val="left"/>
      <w:pPr>
        <w:ind w:left="5760" w:hanging="360"/>
      </w:pPr>
      <w:rPr>
        <w:rFonts w:ascii="Courier New" w:hAnsi="Courier New" w:hint="default"/>
      </w:rPr>
    </w:lvl>
    <w:lvl w:ilvl="8" w:tplc="E77E7D7C">
      <w:start w:val="1"/>
      <w:numFmt w:val="bullet"/>
      <w:lvlText w:val=""/>
      <w:lvlJc w:val="left"/>
      <w:pPr>
        <w:ind w:left="6480" w:hanging="360"/>
      </w:pPr>
      <w:rPr>
        <w:rFonts w:ascii="Wingdings" w:hAnsi="Wingdings" w:hint="default"/>
      </w:rPr>
    </w:lvl>
  </w:abstractNum>
  <w:abstractNum w:abstractNumId="16" w15:restartNumberingAfterBreak="0">
    <w:nsid w:val="729052AB"/>
    <w:multiLevelType w:val="hybridMultilevel"/>
    <w:tmpl w:val="6598E4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650647">
    <w:abstractNumId w:val="11"/>
  </w:num>
  <w:num w:numId="2" w16cid:durableId="54285493">
    <w:abstractNumId w:val="8"/>
  </w:num>
  <w:num w:numId="3" w16cid:durableId="812871737">
    <w:abstractNumId w:val="12"/>
  </w:num>
  <w:num w:numId="4" w16cid:durableId="622465659">
    <w:abstractNumId w:val="15"/>
  </w:num>
  <w:num w:numId="5" w16cid:durableId="1654946647">
    <w:abstractNumId w:val="2"/>
  </w:num>
  <w:num w:numId="6" w16cid:durableId="1320963452">
    <w:abstractNumId w:val="7"/>
  </w:num>
  <w:num w:numId="7" w16cid:durableId="825979523">
    <w:abstractNumId w:val="9"/>
  </w:num>
  <w:num w:numId="8" w16cid:durableId="1902521120">
    <w:abstractNumId w:val="13"/>
  </w:num>
  <w:num w:numId="9" w16cid:durableId="989671479">
    <w:abstractNumId w:val="10"/>
  </w:num>
  <w:num w:numId="10" w16cid:durableId="1123040176">
    <w:abstractNumId w:val="5"/>
  </w:num>
  <w:num w:numId="11" w16cid:durableId="1699771562">
    <w:abstractNumId w:val="6"/>
  </w:num>
  <w:num w:numId="12" w16cid:durableId="732893464">
    <w:abstractNumId w:val="1"/>
  </w:num>
  <w:num w:numId="13" w16cid:durableId="1416977991">
    <w:abstractNumId w:val="0"/>
  </w:num>
  <w:num w:numId="14" w16cid:durableId="369454905">
    <w:abstractNumId w:val="14"/>
  </w:num>
  <w:num w:numId="15" w16cid:durableId="1968847960">
    <w:abstractNumId w:val="3"/>
  </w:num>
  <w:num w:numId="16" w16cid:durableId="599413121">
    <w:abstractNumId w:val="16"/>
  </w:num>
  <w:num w:numId="17" w16cid:durableId="96824777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71"/>
    <w:rsid w:val="00002E98"/>
    <w:rsid w:val="00003578"/>
    <w:rsid w:val="00006557"/>
    <w:rsid w:val="000119D9"/>
    <w:rsid w:val="0001216A"/>
    <w:rsid w:val="00012A96"/>
    <w:rsid w:val="00012F0C"/>
    <w:rsid w:val="00014F69"/>
    <w:rsid w:val="0001626D"/>
    <w:rsid w:val="000171DB"/>
    <w:rsid w:val="000235E3"/>
    <w:rsid w:val="00023D9A"/>
    <w:rsid w:val="000253FC"/>
    <w:rsid w:val="0002798F"/>
    <w:rsid w:val="00030B46"/>
    <w:rsid w:val="0003229A"/>
    <w:rsid w:val="000326F2"/>
    <w:rsid w:val="00033BA3"/>
    <w:rsid w:val="0003582E"/>
    <w:rsid w:val="0004146D"/>
    <w:rsid w:val="000418C2"/>
    <w:rsid w:val="00043D75"/>
    <w:rsid w:val="0004446D"/>
    <w:rsid w:val="00044A8C"/>
    <w:rsid w:val="000463AA"/>
    <w:rsid w:val="00047067"/>
    <w:rsid w:val="00052697"/>
    <w:rsid w:val="000536C6"/>
    <w:rsid w:val="00053826"/>
    <w:rsid w:val="00055266"/>
    <w:rsid w:val="00055F0A"/>
    <w:rsid w:val="00057000"/>
    <w:rsid w:val="000615D4"/>
    <w:rsid w:val="00062240"/>
    <w:rsid w:val="000638E7"/>
    <w:rsid w:val="00063A1D"/>
    <w:rsid w:val="000640E0"/>
    <w:rsid w:val="00064558"/>
    <w:rsid w:val="000653FF"/>
    <w:rsid w:val="000664C7"/>
    <w:rsid w:val="00071FAE"/>
    <w:rsid w:val="00072380"/>
    <w:rsid w:val="00072FB7"/>
    <w:rsid w:val="00073BB9"/>
    <w:rsid w:val="00074249"/>
    <w:rsid w:val="000743CA"/>
    <w:rsid w:val="0007552B"/>
    <w:rsid w:val="00077A05"/>
    <w:rsid w:val="00077B3A"/>
    <w:rsid w:val="00077FD7"/>
    <w:rsid w:val="00080B3A"/>
    <w:rsid w:val="00084284"/>
    <w:rsid w:val="000843A5"/>
    <w:rsid w:val="00086828"/>
    <w:rsid w:val="000906CC"/>
    <w:rsid w:val="00090E17"/>
    <w:rsid w:val="00091CD0"/>
    <w:rsid w:val="0009349C"/>
    <w:rsid w:val="00094C64"/>
    <w:rsid w:val="000966A8"/>
    <w:rsid w:val="0009714A"/>
    <w:rsid w:val="000A0C54"/>
    <w:rsid w:val="000A2A50"/>
    <w:rsid w:val="000A2A92"/>
    <w:rsid w:val="000A3BAE"/>
    <w:rsid w:val="000A4E61"/>
    <w:rsid w:val="000A5CA2"/>
    <w:rsid w:val="000A69E1"/>
    <w:rsid w:val="000A6BF6"/>
    <w:rsid w:val="000B456E"/>
    <w:rsid w:val="000B4E1B"/>
    <w:rsid w:val="000B6212"/>
    <w:rsid w:val="000C0BB6"/>
    <w:rsid w:val="000C1F18"/>
    <w:rsid w:val="000C397B"/>
    <w:rsid w:val="000C4554"/>
    <w:rsid w:val="000C6BBA"/>
    <w:rsid w:val="000D19E2"/>
    <w:rsid w:val="000D1D65"/>
    <w:rsid w:val="000D25F9"/>
    <w:rsid w:val="000D4D11"/>
    <w:rsid w:val="000D6EA0"/>
    <w:rsid w:val="000D7D55"/>
    <w:rsid w:val="000E1DA7"/>
    <w:rsid w:val="000E3821"/>
    <w:rsid w:val="000E6125"/>
    <w:rsid w:val="000F0CC7"/>
    <w:rsid w:val="000F324B"/>
    <w:rsid w:val="000F3446"/>
    <w:rsid w:val="000F5A31"/>
    <w:rsid w:val="001043D8"/>
    <w:rsid w:val="0010538C"/>
    <w:rsid w:val="00105FA9"/>
    <w:rsid w:val="001065E6"/>
    <w:rsid w:val="00106907"/>
    <w:rsid w:val="00111025"/>
    <w:rsid w:val="00113DBE"/>
    <w:rsid w:val="0011643D"/>
    <w:rsid w:val="001178D3"/>
    <w:rsid w:val="001200A6"/>
    <w:rsid w:val="001217E9"/>
    <w:rsid w:val="00124A40"/>
    <w:rsid w:val="001251DA"/>
    <w:rsid w:val="00125432"/>
    <w:rsid w:val="00126D57"/>
    <w:rsid w:val="00131B4C"/>
    <w:rsid w:val="00134208"/>
    <w:rsid w:val="00134D7B"/>
    <w:rsid w:val="0013601E"/>
    <w:rsid w:val="00136DDD"/>
    <w:rsid w:val="0013714A"/>
    <w:rsid w:val="00137F40"/>
    <w:rsid w:val="00141D52"/>
    <w:rsid w:val="00144BDF"/>
    <w:rsid w:val="00146B64"/>
    <w:rsid w:val="001543DA"/>
    <w:rsid w:val="001550EA"/>
    <w:rsid w:val="001559C1"/>
    <w:rsid w:val="00155DDC"/>
    <w:rsid w:val="001566D0"/>
    <w:rsid w:val="00156997"/>
    <w:rsid w:val="00161830"/>
    <w:rsid w:val="00162ADD"/>
    <w:rsid w:val="00163065"/>
    <w:rsid w:val="00163120"/>
    <w:rsid w:val="00164D80"/>
    <w:rsid w:val="00170135"/>
    <w:rsid w:val="0017385E"/>
    <w:rsid w:val="0017498C"/>
    <w:rsid w:val="001762E5"/>
    <w:rsid w:val="00182153"/>
    <w:rsid w:val="00182E77"/>
    <w:rsid w:val="00183A64"/>
    <w:rsid w:val="00184BAC"/>
    <w:rsid w:val="00187091"/>
    <w:rsid w:val="001871E8"/>
    <w:rsid w:val="001871EC"/>
    <w:rsid w:val="00193DF7"/>
    <w:rsid w:val="001A0C32"/>
    <w:rsid w:val="001A1BF0"/>
    <w:rsid w:val="001A1E7C"/>
    <w:rsid w:val="001A20C3"/>
    <w:rsid w:val="001A2139"/>
    <w:rsid w:val="001A2C38"/>
    <w:rsid w:val="001A3492"/>
    <w:rsid w:val="001A3A85"/>
    <w:rsid w:val="001A670F"/>
    <w:rsid w:val="001A6E3E"/>
    <w:rsid w:val="001B0110"/>
    <w:rsid w:val="001B2391"/>
    <w:rsid w:val="001B2831"/>
    <w:rsid w:val="001B3E57"/>
    <w:rsid w:val="001B6A45"/>
    <w:rsid w:val="001C1C2C"/>
    <w:rsid w:val="001C297E"/>
    <w:rsid w:val="001C3FD7"/>
    <w:rsid w:val="001C40BE"/>
    <w:rsid w:val="001C4F19"/>
    <w:rsid w:val="001C62B8"/>
    <w:rsid w:val="001C6416"/>
    <w:rsid w:val="001C65EF"/>
    <w:rsid w:val="001D16A3"/>
    <w:rsid w:val="001D22D8"/>
    <w:rsid w:val="001D35FC"/>
    <w:rsid w:val="001D4213"/>
    <w:rsid w:val="001D4296"/>
    <w:rsid w:val="001D580E"/>
    <w:rsid w:val="001E358D"/>
    <w:rsid w:val="001E7B0E"/>
    <w:rsid w:val="001F141D"/>
    <w:rsid w:val="001F1814"/>
    <w:rsid w:val="001F1E4B"/>
    <w:rsid w:val="001F2409"/>
    <w:rsid w:val="001F2AEB"/>
    <w:rsid w:val="001F2FC5"/>
    <w:rsid w:val="001F432B"/>
    <w:rsid w:val="00200A06"/>
    <w:rsid w:val="00200A98"/>
    <w:rsid w:val="002016DC"/>
    <w:rsid w:val="00201838"/>
    <w:rsid w:val="002019E0"/>
    <w:rsid w:val="00201AFA"/>
    <w:rsid w:val="00202D64"/>
    <w:rsid w:val="00204784"/>
    <w:rsid w:val="002077B5"/>
    <w:rsid w:val="002108B2"/>
    <w:rsid w:val="002108BA"/>
    <w:rsid w:val="00210C3D"/>
    <w:rsid w:val="002136DB"/>
    <w:rsid w:val="00213CCA"/>
    <w:rsid w:val="0021517E"/>
    <w:rsid w:val="002165FC"/>
    <w:rsid w:val="002229F1"/>
    <w:rsid w:val="00222F2A"/>
    <w:rsid w:val="002243B2"/>
    <w:rsid w:val="00226358"/>
    <w:rsid w:val="002271DD"/>
    <w:rsid w:val="002300CC"/>
    <w:rsid w:val="00232BDA"/>
    <w:rsid w:val="00233913"/>
    <w:rsid w:val="00233F75"/>
    <w:rsid w:val="00234B2E"/>
    <w:rsid w:val="00235A88"/>
    <w:rsid w:val="00235C15"/>
    <w:rsid w:val="00236420"/>
    <w:rsid w:val="00240CA1"/>
    <w:rsid w:val="00240EB1"/>
    <w:rsid w:val="00242602"/>
    <w:rsid w:val="00242786"/>
    <w:rsid w:val="00242FE9"/>
    <w:rsid w:val="00244256"/>
    <w:rsid w:val="00244576"/>
    <w:rsid w:val="0024685F"/>
    <w:rsid w:val="0025043A"/>
    <w:rsid w:val="00253DBE"/>
    <w:rsid w:val="00253DC6"/>
    <w:rsid w:val="0025489C"/>
    <w:rsid w:val="00255006"/>
    <w:rsid w:val="002622FA"/>
    <w:rsid w:val="00263518"/>
    <w:rsid w:val="002637E4"/>
    <w:rsid w:val="00267E8F"/>
    <w:rsid w:val="00267EC7"/>
    <w:rsid w:val="002720EA"/>
    <w:rsid w:val="0027279C"/>
    <w:rsid w:val="00272C04"/>
    <w:rsid w:val="002759E7"/>
    <w:rsid w:val="00277326"/>
    <w:rsid w:val="002842C4"/>
    <w:rsid w:val="00286FB9"/>
    <w:rsid w:val="00291FAF"/>
    <w:rsid w:val="002950FA"/>
    <w:rsid w:val="00295445"/>
    <w:rsid w:val="002964FD"/>
    <w:rsid w:val="0029687D"/>
    <w:rsid w:val="002973EA"/>
    <w:rsid w:val="00297855"/>
    <w:rsid w:val="002A06B8"/>
    <w:rsid w:val="002A11C4"/>
    <w:rsid w:val="002A15AF"/>
    <w:rsid w:val="002A2231"/>
    <w:rsid w:val="002A399B"/>
    <w:rsid w:val="002A6B09"/>
    <w:rsid w:val="002B3285"/>
    <w:rsid w:val="002B5B1B"/>
    <w:rsid w:val="002C26C0"/>
    <w:rsid w:val="002C2BC5"/>
    <w:rsid w:val="002C2C4D"/>
    <w:rsid w:val="002C36DB"/>
    <w:rsid w:val="002C59F5"/>
    <w:rsid w:val="002C5BB0"/>
    <w:rsid w:val="002C7F1A"/>
    <w:rsid w:val="002C7F21"/>
    <w:rsid w:val="002D246C"/>
    <w:rsid w:val="002D344A"/>
    <w:rsid w:val="002D4C98"/>
    <w:rsid w:val="002D63B1"/>
    <w:rsid w:val="002E0407"/>
    <w:rsid w:val="002E22FD"/>
    <w:rsid w:val="002E3C52"/>
    <w:rsid w:val="002E79CB"/>
    <w:rsid w:val="002F4298"/>
    <w:rsid w:val="002F7F55"/>
    <w:rsid w:val="003001C2"/>
    <w:rsid w:val="00300683"/>
    <w:rsid w:val="00303576"/>
    <w:rsid w:val="00303D69"/>
    <w:rsid w:val="003048D0"/>
    <w:rsid w:val="0030686F"/>
    <w:rsid w:val="0030745F"/>
    <w:rsid w:val="00307DE5"/>
    <w:rsid w:val="00311B38"/>
    <w:rsid w:val="00312630"/>
    <w:rsid w:val="00313EAD"/>
    <w:rsid w:val="00314630"/>
    <w:rsid w:val="0032090A"/>
    <w:rsid w:val="00321CDE"/>
    <w:rsid w:val="003222E6"/>
    <w:rsid w:val="00323D78"/>
    <w:rsid w:val="003245D6"/>
    <w:rsid w:val="003276F0"/>
    <w:rsid w:val="003326FA"/>
    <w:rsid w:val="00333E15"/>
    <w:rsid w:val="0033402C"/>
    <w:rsid w:val="003371ED"/>
    <w:rsid w:val="003435A5"/>
    <w:rsid w:val="003449F4"/>
    <w:rsid w:val="00345468"/>
    <w:rsid w:val="003474E1"/>
    <w:rsid w:val="00347860"/>
    <w:rsid w:val="003571BC"/>
    <w:rsid w:val="0035748F"/>
    <w:rsid w:val="00357764"/>
    <w:rsid w:val="003605D8"/>
    <w:rsid w:val="0036090C"/>
    <w:rsid w:val="00361116"/>
    <w:rsid w:val="003613B4"/>
    <w:rsid w:val="00361C2E"/>
    <w:rsid w:val="00362562"/>
    <w:rsid w:val="00362610"/>
    <w:rsid w:val="00362957"/>
    <w:rsid w:val="0036424F"/>
    <w:rsid w:val="003660E8"/>
    <w:rsid w:val="00372114"/>
    <w:rsid w:val="003723A5"/>
    <w:rsid w:val="0037720D"/>
    <w:rsid w:val="003775A8"/>
    <w:rsid w:val="00382062"/>
    <w:rsid w:val="00383605"/>
    <w:rsid w:val="00383763"/>
    <w:rsid w:val="00384360"/>
    <w:rsid w:val="00385C77"/>
    <w:rsid w:val="00385FB5"/>
    <w:rsid w:val="0038715D"/>
    <w:rsid w:val="00394DBF"/>
    <w:rsid w:val="00395134"/>
    <w:rsid w:val="003957A6"/>
    <w:rsid w:val="0039583B"/>
    <w:rsid w:val="00396140"/>
    <w:rsid w:val="00396266"/>
    <w:rsid w:val="00396648"/>
    <w:rsid w:val="00397D8B"/>
    <w:rsid w:val="00397FE0"/>
    <w:rsid w:val="003A43EF"/>
    <w:rsid w:val="003A5384"/>
    <w:rsid w:val="003A6A88"/>
    <w:rsid w:val="003A796B"/>
    <w:rsid w:val="003B010A"/>
    <w:rsid w:val="003B22E8"/>
    <w:rsid w:val="003B3764"/>
    <w:rsid w:val="003B3FEC"/>
    <w:rsid w:val="003C1843"/>
    <w:rsid w:val="003C226C"/>
    <w:rsid w:val="003C2D02"/>
    <w:rsid w:val="003C304C"/>
    <w:rsid w:val="003C544F"/>
    <w:rsid w:val="003C7445"/>
    <w:rsid w:val="003D2A76"/>
    <w:rsid w:val="003D2C18"/>
    <w:rsid w:val="003D31E4"/>
    <w:rsid w:val="003D5E5E"/>
    <w:rsid w:val="003D688B"/>
    <w:rsid w:val="003D6D08"/>
    <w:rsid w:val="003D7F97"/>
    <w:rsid w:val="003E0E80"/>
    <w:rsid w:val="003E1E32"/>
    <w:rsid w:val="003E39A2"/>
    <w:rsid w:val="003E57AB"/>
    <w:rsid w:val="003E71D8"/>
    <w:rsid w:val="003F24A0"/>
    <w:rsid w:val="003F2BED"/>
    <w:rsid w:val="003F58F6"/>
    <w:rsid w:val="003F5FE1"/>
    <w:rsid w:val="003F60B1"/>
    <w:rsid w:val="003F7B43"/>
    <w:rsid w:val="00400628"/>
    <w:rsid w:val="00400B49"/>
    <w:rsid w:val="00401499"/>
    <w:rsid w:val="004032F1"/>
    <w:rsid w:val="00405ABF"/>
    <w:rsid w:val="00406058"/>
    <w:rsid w:val="0040762D"/>
    <w:rsid w:val="00410699"/>
    <w:rsid w:val="0041349F"/>
    <w:rsid w:val="004137D4"/>
    <w:rsid w:val="0042388D"/>
    <w:rsid w:val="00424843"/>
    <w:rsid w:val="004303C0"/>
    <w:rsid w:val="00430728"/>
    <w:rsid w:val="0043492A"/>
    <w:rsid w:val="004367FE"/>
    <w:rsid w:val="00437BC7"/>
    <w:rsid w:val="004421A4"/>
    <w:rsid w:val="00442750"/>
    <w:rsid w:val="00443421"/>
    <w:rsid w:val="00443878"/>
    <w:rsid w:val="004477BD"/>
    <w:rsid w:val="004513D7"/>
    <w:rsid w:val="00451B33"/>
    <w:rsid w:val="004539A8"/>
    <w:rsid w:val="004547C8"/>
    <w:rsid w:val="00454F5A"/>
    <w:rsid w:val="0046060E"/>
    <w:rsid w:val="00463F61"/>
    <w:rsid w:val="00464C7B"/>
    <w:rsid w:val="00464D80"/>
    <w:rsid w:val="00464DA6"/>
    <w:rsid w:val="00466482"/>
    <w:rsid w:val="004670D7"/>
    <w:rsid w:val="00467E11"/>
    <w:rsid w:val="00470391"/>
    <w:rsid w:val="00470B5B"/>
    <w:rsid w:val="004712CA"/>
    <w:rsid w:val="00472485"/>
    <w:rsid w:val="0047422E"/>
    <w:rsid w:val="00474E80"/>
    <w:rsid w:val="00475C5F"/>
    <w:rsid w:val="004767BD"/>
    <w:rsid w:val="00481AE3"/>
    <w:rsid w:val="00482043"/>
    <w:rsid w:val="00484A21"/>
    <w:rsid w:val="0048745D"/>
    <w:rsid w:val="0049041E"/>
    <w:rsid w:val="00491DB0"/>
    <w:rsid w:val="00493587"/>
    <w:rsid w:val="00496530"/>
    <w:rsid w:val="0049674B"/>
    <w:rsid w:val="0049674E"/>
    <w:rsid w:val="004A18EB"/>
    <w:rsid w:val="004A2A82"/>
    <w:rsid w:val="004A2B7D"/>
    <w:rsid w:val="004A34AC"/>
    <w:rsid w:val="004A5A4E"/>
    <w:rsid w:val="004B311A"/>
    <w:rsid w:val="004B357D"/>
    <w:rsid w:val="004B44A7"/>
    <w:rsid w:val="004C0673"/>
    <w:rsid w:val="004C24B7"/>
    <w:rsid w:val="004C34D3"/>
    <w:rsid w:val="004C4E4E"/>
    <w:rsid w:val="004C5B6D"/>
    <w:rsid w:val="004D0037"/>
    <w:rsid w:val="004D1864"/>
    <w:rsid w:val="004D3CCD"/>
    <w:rsid w:val="004E0F36"/>
    <w:rsid w:val="004E56AE"/>
    <w:rsid w:val="004F1D8D"/>
    <w:rsid w:val="004F20AA"/>
    <w:rsid w:val="004F3816"/>
    <w:rsid w:val="004F6032"/>
    <w:rsid w:val="00501A4D"/>
    <w:rsid w:val="00502296"/>
    <w:rsid w:val="005025B2"/>
    <w:rsid w:val="00502A3B"/>
    <w:rsid w:val="0050586A"/>
    <w:rsid w:val="0051443C"/>
    <w:rsid w:val="00515E69"/>
    <w:rsid w:val="0051650C"/>
    <w:rsid w:val="00517AB8"/>
    <w:rsid w:val="00520DBF"/>
    <w:rsid w:val="00521F40"/>
    <w:rsid w:val="005235D8"/>
    <w:rsid w:val="00524802"/>
    <w:rsid w:val="00525997"/>
    <w:rsid w:val="0053169F"/>
    <w:rsid w:val="00534AA1"/>
    <w:rsid w:val="00543D41"/>
    <w:rsid w:val="005441C0"/>
    <w:rsid w:val="00544592"/>
    <w:rsid w:val="0054562B"/>
    <w:rsid w:val="00545ABC"/>
    <w:rsid w:val="00546383"/>
    <w:rsid w:val="00546CC4"/>
    <w:rsid w:val="0054713E"/>
    <w:rsid w:val="005514A4"/>
    <w:rsid w:val="00552D6B"/>
    <w:rsid w:val="00552DE6"/>
    <w:rsid w:val="00552EE3"/>
    <w:rsid w:val="00553825"/>
    <w:rsid w:val="00561802"/>
    <w:rsid w:val="005621F0"/>
    <w:rsid w:val="00562BA0"/>
    <w:rsid w:val="005645FF"/>
    <w:rsid w:val="00566901"/>
    <w:rsid w:val="00566EDA"/>
    <w:rsid w:val="00567CD7"/>
    <w:rsid w:val="00567D00"/>
    <w:rsid w:val="00570713"/>
    <w:rsid w:val="0057081A"/>
    <w:rsid w:val="00572654"/>
    <w:rsid w:val="00575A01"/>
    <w:rsid w:val="0058029A"/>
    <w:rsid w:val="00582025"/>
    <w:rsid w:val="005848F4"/>
    <w:rsid w:val="0058551F"/>
    <w:rsid w:val="005867EE"/>
    <w:rsid w:val="00590007"/>
    <w:rsid w:val="00594323"/>
    <w:rsid w:val="00594DF8"/>
    <w:rsid w:val="00595D46"/>
    <w:rsid w:val="005976A1"/>
    <w:rsid w:val="00597AB5"/>
    <w:rsid w:val="005A307F"/>
    <w:rsid w:val="005A689A"/>
    <w:rsid w:val="005A710C"/>
    <w:rsid w:val="005A76FB"/>
    <w:rsid w:val="005B3762"/>
    <w:rsid w:val="005B3B7B"/>
    <w:rsid w:val="005B3D35"/>
    <w:rsid w:val="005B5629"/>
    <w:rsid w:val="005B6128"/>
    <w:rsid w:val="005C0300"/>
    <w:rsid w:val="005C05A6"/>
    <w:rsid w:val="005C27A2"/>
    <w:rsid w:val="005C3F50"/>
    <w:rsid w:val="005D2085"/>
    <w:rsid w:val="005D4FEB"/>
    <w:rsid w:val="005D5EAE"/>
    <w:rsid w:val="005E107B"/>
    <w:rsid w:val="005E6135"/>
    <w:rsid w:val="005F1113"/>
    <w:rsid w:val="005F19F9"/>
    <w:rsid w:val="005F3AC1"/>
    <w:rsid w:val="005F4059"/>
    <w:rsid w:val="005F4324"/>
    <w:rsid w:val="005F4B6A"/>
    <w:rsid w:val="0060021E"/>
    <w:rsid w:val="00600A11"/>
    <w:rsid w:val="00600C04"/>
    <w:rsid w:val="006010F3"/>
    <w:rsid w:val="00605993"/>
    <w:rsid w:val="00606337"/>
    <w:rsid w:val="00612CAB"/>
    <w:rsid w:val="00614B25"/>
    <w:rsid w:val="00615A0A"/>
    <w:rsid w:val="006202C7"/>
    <w:rsid w:val="00622294"/>
    <w:rsid w:val="00624771"/>
    <w:rsid w:val="00624E76"/>
    <w:rsid w:val="0062564F"/>
    <w:rsid w:val="00625DEA"/>
    <w:rsid w:val="00626673"/>
    <w:rsid w:val="00626686"/>
    <w:rsid w:val="006266F2"/>
    <w:rsid w:val="006279B8"/>
    <w:rsid w:val="0063203B"/>
    <w:rsid w:val="00632F0C"/>
    <w:rsid w:val="006333D4"/>
    <w:rsid w:val="006347FE"/>
    <w:rsid w:val="006369B2"/>
    <w:rsid w:val="0063718D"/>
    <w:rsid w:val="00637FF0"/>
    <w:rsid w:val="00643BE7"/>
    <w:rsid w:val="00643CDB"/>
    <w:rsid w:val="00644CE7"/>
    <w:rsid w:val="00647525"/>
    <w:rsid w:val="00647A71"/>
    <w:rsid w:val="006501F6"/>
    <w:rsid w:val="00651626"/>
    <w:rsid w:val="00652795"/>
    <w:rsid w:val="00654A5A"/>
    <w:rsid w:val="0065661C"/>
    <w:rsid w:val="006570B0"/>
    <w:rsid w:val="006576EE"/>
    <w:rsid w:val="0066019C"/>
    <w:rsid w:val="0066022F"/>
    <w:rsid w:val="00661C28"/>
    <w:rsid w:val="00662C11"/>
    <w:rsid w:val="00670D68"/>
    <w:rsid w:val="006734D5"/>
    <w:rsid w:val="00673979"/>
    <w:rsid w:val="00675F24"/>
    <w:rsid w:val="006779F6"/>
    <w:rsid w:val="00677DD3"/>
    <w:rsid w:val="0068049C"/>
    <w:rsid w:val="00681699"/>
    <w:rsid w:val="00681C7F"/>
    <w:rsid w:val="00681F70"/>
    <w:rsid w:val="006823F3"/>
    <w:rsid w:val="00684E52"/>
    <w:rsid w:val="00684EAE"/>
    <w:rsid w:val="00685874"/>
    <w:rsid w:val="00686610"/>
    <w:rsid w:val="00687743"/>
    <w:rsid w:val="00687D59"/>
    <w:rsid w:val="006913DC"/>
    <w:rsid w:val="00692049"/>
    <w:rsid w:val="0069210B"/>
    <w:rsid w:val="00695DD7"/>
    <w:rsid w:val="00697DFB"/>
    <w:rsid w:val="006A1660"/>
    <w:rsid w:val="006A264C"/>
    <w:rsid w:val="006A3BF4"/>
    <w:rsid w:val="006A4055"/>
    <w:rsid w:val="006A5236"/>
    <w:rsid w:val="006A620B"/>
    <w:rsid w:val="006A7C27"/>
    <w:rsid w:val="006B0877"/>
    <w:rsid w:val="006B11DB"/>
    <w:rsid w:val="006B1659"/>
    <w:rsid w:val="006B1D1A"/>
    <w:rsid w:val="006B2FE4"/>
    <w:rsid w:val="006B37B0"/>
    <w:rsid w:val="006B5642"/>
    <w:rsid w:val="006B723E"/>
    <w:rsid w:val="006C3976"/>
    <w:rsid w:val="006C52B3"/>
    <w:rsid w:val="006C5641"/>
    <w:rsid w:val="006C677D"/>
    <w:rsid w:val="006C76B2"/>
    <w:rsid w:val="006D06D6"/>
    <w:rsid w:val="006D1089"/>
    <w:rsid w:val="006D1B86"/>
    <w:rsid w:val="006D20F7"/>
    <w:rsid w:val="006D3027"/>
    <w:rsid w:val="006D463F"/>
    <w:rsid w:val="006D5092"/>
    <w:rsid w:val="006D7355"/>
    <w:rsid w:val="006E1762"/>
    <w:rsid w:val="006E5E8D"/>
    <w:rsid w:val="006E6C9B"/>
    <w:rsid w:val="006E6E16"/>
    <w:rsid w:val="006F0C55"/>
    <w:rsid w:val="006F4BE9"/>
    <w:rsid w:val="006F5ABE"/>
    <w:rsid w:val="006F5D95"/>
    <w:rsid w:val="006F63B4"/>
    <w:rsid w:val="006F6C23"/>
    <w:rsid w:val="006F725B"/>
    <w:rsid w:val="006F7DEE"/>
    <w:rsid w:val="00701DF0"/>
    <w:rsid w:val="0070219F"/>
    <w:rsid w:val="00704616"/>
    <w:rsid w:val="00704DE0"/>
    <w:rsid w:val="0070594E"/>
    <w:rsid w:val="007077FC"/>
    <w:rsid w:val="00711F83"/>
    <w:rsid w:val="00713E72"/>
    <w:rsid w:val="00715CA6"/>
    <w:rsid w:val="00715CC7"/>
    <w:rsid w:val="0071611D"/>
    <w:rsid w:val="00717A79"/>
    <w:rsid w:val="00720857"/>
    <w:rsid w:val="00721F7F"/>
    <w:rsid w:val="00722687"/>
    <w:rsid w:val="007242DA"/>
    <w:rsid w:val="007264B0"/>
    <w:rsid w:val="0072722A"/>
    <w:rsid w:val="00731135"/>
    <w:rsid w:val="007320ED"/>
    <w:rsid w:val="0073245A"/>
    <w:rsid w:val="007324AF"/>
    <w:rsid w:val="007347F6"/>
    <w:rsid w:val="00737701"/>
    <w:rsid w:val="007409B4"/>
    <w:rsid w:val="00741974"/>
    <w:rsid w:val="00743504"/>
    <w:rsid w:val="00746BBA"/>
    <w:rsid w:val="00747902"/>
    <w:rsid w:val="00750C2C"/>
    <w:rsid w:val="00750D4F"/>
    <w:rsid w:val="00751ED8"/>
    <w:rsid w:val="0075240D"/>
    <w:rsid w:val="00752B04"/>
    <w:rsid w:val="00753EB9"/>
    <w:rsid w:val="00754100"/>
    <w:rsid w:val="00754A32"/>
    <w:rsid w:val="0075525E"/>
    <w:rsid w:val="007554FD"/>
    <w:rsid w:val="00756D3D"/>
    <w:rsid w:val="00756DD5"/>
    <w:rsid w:val="00762364"/>
    <w:rsid w:val="0076351B"/>
    <w:rsid w:val="007637A9"/>
    <w:rsid w:val="0077113E"/>
    <w:rsid w:val="00771418"/>
    <w:rsid w:val="007717F0"/>
    <w:rsid w:val="00772D9D"/>
    <w:rsid w:val="00775EDA"/>
    <w:rsid w:val="00776277"/>
    <w:rsid w:val="00777A63"/>
    <w:rsid w:val="007806C2"/>
    <w:rsid w:val="007806E0"/>
    <w:rsid w:val="007812B2"/>
    <w:rsid w:val="00781DFB"/>
    <w:rsid w:val="00781F1A"/>
    <w:rsid w:val="00781FEE"/>
    <w:rsid w:val="0078476E"/>
    <w:rsid w:val="007852ED"/>
    <w:rsid w:val="00786D91"/>
    <w:rsid w:val="007903F8"/>
    <w:rsid w:val="0079207F"/>
    <w:rsid w:val="00794214"/>
    <w:rsid w:val="00794F4F"/>
    <w:rsid w:val="007974BE"/>
    <w:rsid w:val="007A0916"/>
    <w:rsid w:val="007A0DFD"/>
    <w:rsid w:val="007A1A7A"/>
    <w:rsid w:val="007A3611"/>
    <w:rsid w:val="007B03A3"/>
    <w:rsid w:val="007B2852"/>
    <w:rsid w:val="007B50E4"/>
    <w:rsid w:val="007B5607"/>
    <w:rsid w:val="007B5788"/>
    <w:rsid w:val="007B7938"/>
    <w:rsid w:val="007C0B22"/>
    <w:rsid w:val="007C1BBD"/>
    <w:rsid w:val="007C1BC4"/>
    <w:rsid w:val="007C36D2"/>
    <w:rsid w:val="007C5F52"/>
    <w:rsid w:val="007C6B37"/>
    <w:rsid w:val="007C7122"/>
    <w:rsid w:val="007D1123"/>
    <w:rsid w:val="007D209B"/>
    <w:rsid w:val="007D2F0D"/>
    <w:rsid w:val="007D315D"/>
    <w:rsid w:val="007D3F11"/>
    <w:rsid w:val="007D5A10"/>
    <w:rsid w:val="007D7B96"/>
    <w:rsid w:val="007E08B4"/>
    <w:rsid w:val="007E1164"/>
    <w:rsid w:val="007E171F"/>
    <w:rsid w:val="007E235F"/>
    <w:rsid w:val="007E291D"/>
    <w:rsid w:val="007E2C69"/>
    <w:rsid w:val="007E53E4"/>
    <w:rsid w:val="007E6558"/>
    <w:rsid w:val="007E656A"/>
    <w:rsid w:val="007F1F8D"/>
    <w:rsid w:val="007F339F"/>
    <w:rsid w:val="007F3CAA"/>
    <w:rsid w:val="007F664D"/>
    <w:rsid w:val="008009E7"/>
    <w:rsid w:val="00803F72"/>
    <w:rsid w:val="008120EC"/>
    <w:rsid w:val="00812264"/>
    <w:rsid w:val="00816C5C"/>
    <w:rsid w:val="00820326"/>
    <w:rsid w:val="00820C41"/>
    <w:rsid w:val="00821ED5"/>
    <w:rsid w:val="00827A01"/>
    <w:rsid w:val="00830702"/>
    <w:rsid w:val="0083152E"/>
    <w:rsid w:val="008322E0"/>
    <w:rsid w:val="00833C62"/>
    <w:rsid w:val="00837203"/>
    <w:rsid w:val="00842137"/>
    <w:rsid w:val="00850D34"/>
    <w:rsid w:val="00852332"/>
    <w:rsid w:val="008536B4"/>
    <w:rsid w:val="00853F5F"/>
    <w:rsid w:val="008603FD"/>
    <w:rsid w:val="00860DAE"/>
    <w:rsid w:val="008623ED"/>
    <w:rsid w:val="008670EE"/>
    <w:rsid w:val="008676A4"/>
    <w:rsid w:val="008724E4"/>
    <w:rsid w:val="00874179"/>
    <w:rsid w:val="00875AA6"/>
    <w:rsid w:val="00875EB7"/>
    <w:rsid w:val="00877AF1"/>
    <w:rsid w:val="00880944"/>
    <w:rsid w:val="008811C8"/>
    <w:rsid w:val="008857DA"/>
    <w:rsid w:val="0088713E"/>
    <w:rsid w:val="0089088E"/>
    <w:rsid w:val="00892297"/>
    <w:rsid w:val="00894A9A"/>
    <w:rsid w:val="008964D6"/>
    <w:rsid w:val="00896F8B"/>
    <w:rsid w:val="008974F6"/>
    <w:rsid w:val="008A283B"/>
    <w:rsid w:val="008A2AE0"/>
    <w:rsid w:val="008A4855"/>
    <w:rsid w:val="008A770F"/>
    <w:rsid w:val="008B28B9"/>
    <w:rsid w:val="008B2B82"/>
    <w:rsid w:val="008B2E55"/>
    <w:rsid w:val="008B5123"/>
    <w:rsid w:val="008B689F"/>
    <w:rsid w:val="008B7D76"/>
    <w:rsid w:val="008B7DC2"/>
    <w:rsid w:val="008C0097"/>
    <w:rsid w:val="008C00B7"/>
    <w:rsid w:val="008C346B"/>
    <w:rsid w:val="008C43A3"/>
    <w:rsid w:val="008C4487"/>
    <w:rsid w:val="008C5B70"/>
    <w:rsid w:val="008D3B89"/>
    <w:rsid w:val="008D4C09"/>
    <w:rsid w:val="008D52A4"/>
    <w:rsid w:val="008D5C64"/>
    <w:rsid w:val="008D5EE5"/>
    <w:rsid w:val="008E0172"/>
    <w:rsid w:val="008E0CE2"/>
    <w:rsid w:val="008E279E"/>
    <w:rsid w:val="008E47B2"/>
    <w:rsid w:val="008E6D59"/>
    <w:rsid w:val="008E7DC1"/>
    <w:rsid w:val="008E7F1D"/>
    <w:rsid w:val="008F04E6"/>
    <w:rsid w:val="008F2A0D"/>
    <w:rsid w:val="008F53C4"/>
    <w:rsid w:val="008F552B"/>
    <w:rsid w:val="009012C5"/>
    <w:rsid w:val="0090410C"/>
    <w:rsid w:val="00906137"/>
    <w:rsid w:val="009063A1"/>
    <w:rsid w:val="00906AD0"/>
    <w:rsid w:val="00911D06"/>
    <w:rsid w:val="00911DF7"/>
    <w:rsid w:val="00912D9A"/>
    <w:rsid w:val="0091362A"/>
    <w:rsid w:val="00913B13"/>
    <w:rsid w:val="009175BA"/>
    <w:rsid w:val="009179CD"/>
    <w:rsid w:val="00920110"/>
    <w:rsid w:val="0092075A"/>
    <w:rsid w:val="009233ED"/>
    <w:rsid w:val="009249C9"/>
    <w:rsid w:val="009251D3"/>
    <w:rsid w:val="00925F53"/>
    <w:rsid w:val="00926CFE"/>
    <w:rsid w:val="00927C05"/>
    <w:rsid w:val="00931E14"/>
    <w:rsid w:val="00933CE1"/>
    <w:rsid w:val="00936852"/>
    <w:rsid w:val="00936DE2"/>
    <w:rsid w:val="0094045D"/>
    <w:rsid w:val="009406B5"/>
    <w:rsid w:val="00942596"/>
    <w:rsid w:val="00943CBA"/>
    <w:rsid w:val="00943DCA"/>
    <w:rsid w:val="00946166"/>
    <w:rsid w:val="00946C4E"/>
    <w:rsid w:val="0095217D"/>
    <w:rsid w:val="0095225B"/>
    <w:rsid w:val="00953186"/>
    <w:rsid w:val="00956A1E"/>
    <w:rsid w:val="00964479"/>
    <w:rsid w:val="009655F2"/>
    <w:rsid w:val="009661D2"/>
    <w:rsid w:val="00970992"/>
    <w:rsid w:val="0097397A"/>
    <w:rsid w:val="00974D7B"/>
    <w:rsid w:val="00977787"/>
    <w:rsid w:val="00980846"/>
    <w:rsid w:val="00981D3A"/>
    <w:rsid w:val="00982EB9"/>
    <w:rsid w:val="00983164"/>
    <w:rsid w:val="00983555"/>
    <w:rsid w:val="009849F1"/>
    <w:rsid w:val="0098572D"/>
    <w:rsid w:val="00986346"/>
    <w:rsid w:val="009863E1"/>
    <w:rsid w:val="009873D8"/>
    <w:rsid w:val="00987675"/>
    <w:rsid w:val="00990A09"/>
    <w:rsid w:val="0099115A"/>
    <w:rsid w:val="00992A41"/>
    <w:rsid w:val="00992A91"/>
    <w:rsid w:val="009932A5"/>
    <w:rsid w:val="00994912"/>
    <w:rsid w:val="0099536E"/>
    <w:rsid w:val="00995501"/>
    <w:rsid w:val="009967B4"/>
    <w:rsid w:val="009972EF"/>
    <w:rsid w:val="00997ED4"/>
    <w:rsid w:val="009A3F0E"/>
    <w:rsid w:val="009A496E"/>
    <w:rsid w:val="009A77FE"/>
    <w:rsid w:val="009B0C76"/>
    <w:rsid w:val="009B2FB5"/>
    <w:rsid w:val="009B5035"/>
    <w:rsid w:val="009B6BC0"/>
    <w:rsid w:val="009C2C33"/>
    <w:rsid w:val="009C3160"/>
    <w:rsid w:val="009C4249"/>
    <w:rsid w:val="009C4647"/>
    <w:rsid w:val="009D0EB8"/>
    <w:rsid w:val="009D1A83"/>
    <w:rsid w:val="009D2C70"/>
    <w:rsid w:val="009D3465"/>
    <w:rsid w:val="009D4DBC"/>
    <w:rsid w:val="009E0068"/>
    <w:rsid w:val="009E0D26"/>
    <w:rsid w:val="009E4068"/>
    <w:rsid w:val="009E42B2"/>
    <w:rsid w:val="009E572E"/>
    <w:rsid w:val="009E766E"/>
    <w:rsid w:val="009F1960"/>
    <w:rsid w:val="009F3163"/>
    <w:rsid w:val="009F5666"/>
    <w:rsid w:val="009F715E"/>
    <w:rsid w:val="009F74AD"/>
    <w:rsid w:val="009F7B7D"/>
    <w:rsid w:val="00A046B5"/>
    <w:rsid w:val="00A0600B"/>
    <w:rsid w:val="00A07541"/>
    <w:rsid w:val="00A10DBB"/>
    <w:rsid w:val="00A11720"/>
    <w:rsid w:val="00A13185"/>
    <w:rsid w:val="00A17F98"/>
    <w:rsid w:val="00A21247"/>
    <w:rsid w:val="00A21AA2"/>
    <w:rsid w:val="00A22BAF"/>
    <w:rsid w:val="00A24A30"/>
    <w:rsid w:val="00A2658F"/>
    <w:rsid w:val="00A268C1"/>
    <w:rsid w:val="00A27236"/>
    <w:rsid w:val="00A27AD6"/>
    <w:rsid w:val="00A316F5"/>
    <w:rsid w:val="00A31D47"/>
    <w:rsid w:val="00A32F5F"/>
    <w:rsid w:val="00A33906"/>
    <w:rsid w:val="00A356E9"/>
    <w:rsid w:val="00A365D1"/>
    <w:rsid w:val="00A365FD"/>
    <w:rsid w:val="00A376C3"/>
    <w:rsid w:val="00A4013E"/>
    <w:rsid w:val="00A4045F"/>
    <w:rsid w:val="00A427CD"/>
    <w:rsid w:val="00A44804"/>
    <w:rsid w:val="00A454FB"/>
    <w:rsid w:val="00A459D0"/>
    <w:rsid w:val="00A45FED"/>
    <w:rsid w:val="00A45FEE"/>
    <w:rsid w:val="00A4600B"/>
    <w:rsid w:val="00A50506"/>
    <w:rsid w:val="00A509B2"/>
    <w:rsid w:val="00A50C55"/>
    <w:rsid w:val="00A51EF0"/>
    <w:rsid w:val="00A52069"/>
    <w:rsid w:val="00A53CA3"/>
    <w:rsid w:val="00A542B5"/>
    <w:rsid w:val="00A54A31"/>
    <w:rsid w:val="00A55523"/>
    <w:rsid w:val="00A56774"/>
    <w:rsid w:val="00A62D0C"/>
    <w:rsid w:val="00A64B4E"/>
    <w:rsid w:val="00A664DA"/>
    <w:rsid w:val="00A6677F"/>
    <w:rsid w:val="00A67A81"/>
    <w:rsid w:val="00A70F5A"/>
    <w:rsid w:val="00A72E61"/>
    <w:rsid w:val="00A730A6"/>
    <w:rsid w:val="00A7465A"/>
    <w:rsid w:val="00A773FE"/>
    <w:rsid w:val="00A77D1E"/>
    <w:rsid w:val="00A803C7"/>
    <w:rsid w:val="00A817EF"/>
    <w:rsid w:val="00A8242E"/>
    <w:rsid w:val="00A835A7"/>
    <w:rsid w:val="00A83931"/>
    <w:rsid w:val="00A85E8E"/>
    <w:rsid w:val="00A8698D"/>
    <w:rsid w:val="00A87049"/>
    <w:rsid w:val="00A906CF"/>
    <w:rsid w:val="00A971A0"/>
    <w:rsid w:val="00A97CCD"/>
    <w:rsid w:val="00AA157C"/>
    <w:rsid w:val="00AA1F22"/>
    <w:rsid w:val="00AA26F5"/>
    <w:rsid w:val="00AA2E61"/>
    <w:rsid w:val="00AA51CB"/>
    <w:rsid w:val="00AA5669"/>
    <w:rsid w:val="00AA7A61"/>
    <w:rsid w:val="00AB00A1"/>
    <w:rsid w:val="00AB1728"/>
    <w:rsid w:val="00AB1EEB"/>
    <w:rsid w:val="00AB45E7"/>
    <w:rsid w:val="00AB4A12"/>
    <w:rsid w:val="00AB4B62"/>
    <w:rsid w:val="00AB55D7"/>
    <w:rsid w:val="00AB5B0C"/>
    <w:rsid w:val="00AB6AFE"/>
    <w:rsid w:val="00AB7AA7"/>
    <w:rsid w:val="00AB7FB5"/>
    <w:rsid w:val="00AC0074"/>
    <w:rsid w:val="00AC2204"/>
    <w:rsid w:val="00AC2C94"/>
    <w:rsid w:val="00AC5CD1"/>
    <w:rsid w:val="00AC5EE5"/>
    <w:rsid w:val="00AD0C2B"/>
    <w:rsid w:val="00AD1633"/>
    <w:rsid w:val="00AD291F"/>
    <w:rsid w:val="00AD5FF3"/>
    <w:rsid w:val="00AD7347"/>
    <w:rsid w:val="00AE08C1"/>
    <w:rsid w:val="00AE0F51"/>
    <w:rsid w:val="00AE1C9F"/>
    <w:rsid w:val="00AE2004"/>
    <w:rsid w:val="00AE6133"/>
    <w:rsid w:val="00AE64AF"/>
    <w:rsid w:val="00AE77F5"/>
    <w:rsid w:val="00AF167C"/>
    <w:rsid w:val="00AF235B"/>
    <w:rsid w:val="00AF3CA7"/>
    <w:rsid w:val="00AF4ACE"/>
    <w:rsid w:val="00B0022E"/>
    <w:rsid w:val="00B02B8E"/>
    <w:rsid w:val="00B04367"/>
    <w:rsid w:val="00B05821"/>
    <w:rsid w:val="00B068A9"/>
    <w:rsid w:val="00B07225"/>
    <w:rsid w:val="00B07449"/>
    <w:rsid w:val="00B075D2"/>
    <w:rsid w:val="00B0792C"/>
    <w:rsid w:val="00B100D6"/>
    <w:rsid w:val="00B10587"/>
    <w:rsid w:val="00B12A49"/>
    <w:rsid w:val="00B1407A"/>
    <w:rsid w:val="00B164C9"/>
    <w:rsid w:val="00B17993"/>
    <w:rsid w:val="00B23EC0"/>
    <w:rsid w:val="00B26C28"/>
    <w:rsid w:val="00B2739E"/>
    <w:rsid w:val="00B3167E"/>
    <w:rsid w:val="00B321A7"/>
    <w:rsid w:val="00B35059"/>
    <w:rsid w:val="00B35643"/>
    <w:rsid w:val="00B4174C"/>
    <w:rsid w:val="00B429E5"/>
    <w:rsid w:val="00B43F7F"/>
    <w:rsid w:val="00B453F5"/>
    <w:rsid w:val="00B5092A"/>
    <w:rsid w:val="00B51A3A"/>
    <w:rsid w:val="00B51B17"/>
    <w:rsid w:val="00B527D1"/>
    <w:rsid w:val="00B52BD9"/>
    <w:rsid w:val="00B53C30"/>
    <w:rsid w:val="00B56DD1"/>
    <w:rsid w:val="00B577B2"/>
    <w:rsid w:val="00B57BDE"/>
    <w:rsid w:val="00B57D26"/>
    <w:rsid w:val="00B60B43"/>
    <w:rsid w:val="00B61624"/>
    <w:rsid w:val="00B62013"/>
    <w:rsid w:val="00B643B6"/>
    <w:rsid w:val="00B65FE7"/>
    <w:rsid w:val="00B66481"/>
    <w:rsid w:val="00B67702"/>
    <w:rsid w:val="00B70043"/>
    <w:rsid w:val="00B70F68"/>
    <w:rsid w:val="00B7189C"/>
    <w:rsid w:val="00B718A5"/>
    <w:rsid w:val="00B748A5"/>
    <w:rsid w:val="00B766BE"/>
    <w:rsid w:val="00B8077B"/>
    <w:rsid w:val="00B82087"/>
    <w:rsid w:val="00B854E1"/>
    <w:rsid w:val="00B907F8"/>
    <w:rsid w:val="00B90AD6"/>
    <w:rsid w:val="00B920CD"/>
    <w:rsid w:val="00B95F35"/>
    <w:rsid w:val="00B96659"/>
    <w:rsid w:val="00B969F3"/>
    <w:rsid w:val="00B96F90"/>
    <w:rsid w:val="00BA20D9"/>
    <w:rsid w:val="00BA691B"/>
    <w:rsid w:val="00BA788A"/>
    <w:rsid w:val="00BB0BA0"/>
    <w:rsid w:val="00BB4983"/>
    <w:rsid w:val="00BB60C4"/>
    <w:rsid w:val="00BB7597"/>
    <w:rsid w:val="00BC15D1"/>
    <w:rsid w:val="00BC197B"/>
    <w:rsid w:val="00BC238C"/>
    <w:rsid w:val="00BC2AAB"/>
    <w:rsid w:val="00BC324D"/>
    <w:rsid w:val="00BC3BDF"/>
    <w:rsid w:val="00BC62E2"/>
    <w:rsid w:val="00BD06A7"/>
    <w:rsid w:val="00BD0799"/>
    <w:rsid w:val="00BD2363"/>
    <w:rsid w:val="00BD2D65"/>
    <w:rsid w:val="00BD4F5E"/>
    <w:rsid w:val="00BD56A4"/>
    <w:rsid w:val="00BD56D0"/>
    <w:rsid w:val="00BD58FB"/>
    <w:rsid w:val="00BD6AB4"/>
    <w:rsid w:val="00BD7AF1"/>
    <w:rsid w:val="00BE0A15"/>
    <w:rsid w:val="00BE7947"/>
    <w:rsid w:val="00BF0FC3"/>
    <w:rsid w:val="00BF1EFF"/>
    <w:rsid w:val="00C00438"/>
    <w:rsid w:val="00C033B1"/>
    <w:rsid w:val="00C03DBC"/>
    <w:rsid w:val="00C048EB"/>
    <w:rsid w:val="00C07C2B"/>
    <w:rsid w:val="00C115BB"/>
    <w:rsid w:val="00C1356C"/>
    <w:rsid w:val="00C20B02"/>
    <w:rsid w:val="00C2353F"/>
    <w:rsid w:val="00C24503"/>
    <w:rsid w:val="00C2506D"/>
    <w:rsid w:val="00C25B3A"/>
    <w:rsid w:val="00C26B4D"/>
    <w:rsid w:val="00C2733D"/>
    <w:rsid w:val="00C32998"/>
    <w:rsid w:val="00C3386D"/>
    <w:rsid w:val="00C375D4"/>
    <w:rsid w:val="00C37820"/>
    <w:rsid w:val="00C40A06"/>
    <w:rsid w:val="00C41A51"/>
    <w:rsid w:val="00C41AE3"/>
    <w:rsid w:val="00C42125"/>
    <w:rsid w:val="00C42DCF"/>
    <w:rsid w:val="00C45A74"/>
    <w:rsid w:val="00C51FEB"/>
    <w:rsid w:val="00C54BFA"/>
    <w:rsid w:val="00C606D3"/>
    <w:rsid w:val="00C60E0E"/>
    <w:rsid w:val="00C61B33"/>
    <w:rsid w:val="00C62814"/>
    <w:rsid w:val="00C63C8A"/>
    <w:rsid w:val="00C641D9"/>
    <w:rsid w:val="00C650CC"/>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2F40"/>
    <w:rsid w:val="00C86670"/>
    <w:rsid w:val="00C9004E"/>
    <w:rsid w:val="00C91022"/>
    <w:rsid w:val="00C91A4B"/>
    <w:rsid w:val="00C95BE4"/>
    <w:rsid w:val="00C96D2A"/>
    <w:rsid w:val="00CA2809"/>
    <w:rsid w:val="00CA44A2"/>
    <w:rsid w:val="00CA5022"/>
    <w:rsid w:val="00CB127B"/>
    <w:rsid w:val="00CB14D2"/>
    <w:rsid w:val="00CB2599"/>
    <w:rsid w:val="00CB287B"/>
    <w:rsid w:val="00CB7B8B"/>
    <w:rsid w:val="00CC0149"/>
    <w:rsid w:val="00CC0EE2"/>
    <w:rsid w:val="00CC1A95"/>
    <w:rsid w:val="00CC237C"/>
    <w:rsid w:val="00CC5BE0"/>
    <w:rsid w:val="00CD0CFA"/>
    <w:rsid w:val="00CD20A3"/>
    <w:rsid w:val="00CD2139"/>
    <w:rsid w:val="00CD26BF"/>
    <w:rsid w:val="00CD363E"/>
    <w:rsid w:val="00CD6848"/>
    <w:rsid w:val="00CD75EE"/>
    <w:rsid w:val="00CE1248"/>
    <w:rsid w:val="00CE1B1B"/>
    <w:rsid w:val="00CE5986"/>
    <w:rsid w:val="00CF14F5"/>
    <w:rsid w:val="00CF23A5"/>
    <w:rsid w:val="00CF3996"/>
    <w:rsid w:val="00CF4EE3"/>
    <w:rsid w:val="00CF5E00"/>
    <w:rsid w:val="00D02D91"/>
    <w:rsid w:val="00D042AB"/>
    <w:rsid w:val="00D04F13"/>
    <w:rsid w:val="00D069F8"/>
    <w:rsid w:val="00D0751C"/>
    <w:rsid w:val="00D07622"/>
    <w:rsid w:val="00D10B23"/>
    <w:rsid w:val="00D12115"/>
    <w:rsid w:val="00D1327A"/>
    <w:rsid w:val="00D14966"/>
    <w:rsid w:val="00D257C3"/>
    <w:rsid w:val="00D26DD0"/>
    <w:rsid w:val="00D33B85"/>
    <w:rsid w:val="00D3712E"/>
    <w:rsid w:val="00D408E4"/>
    <w:rsid w:val="00D4108B"/>
    <w:rsid w:val="00D42140"/>
    <w:rsid w:val="00D43D52"/>
    <w:rsid w:val="00D44172"/>
    <w:rsid w:val="00D44FAE"/>
    <w:rsid w:val="00D45D7B"/>
    <w:rsid w:val="00D4703A"/>
    <w:rsid w:val="00D525DC"/>
    <w:rsid w:val="00D5355D"/>
    <w:rsid w:val="00D537DE"/>
    <w:rsid w:val="00D54321"/>
    <w:rsid w:val="00D559E2"/>
    <w:rsid w:val="00D60D25"/>
    <w:rsid w:val="00D64258"/>
    <w:rsid w:val="00D647EF"/>
    <w:rsid w:val="00D64ED4"/>
    <w:rsid w:val="00D66D8A"/>
    <w:rsid w:val="00D67039"/>
    <w:rsid w:val="00D67419"/>
    <w:rsid w:val="00D709A8"/>
    <w:rsid w:val="00D72E01"/>
    <w:rsid w:val="00D73137"/>
    <w:rsid w:val="00D744A6"/>
    <w:rsid w:val="00D74F56"/>
    <w:rsid w:val="00D769B4"/>
    <w:rsid w:val="00D76EAE"/>
    <w:rsid w:val="00D77572"/>
    <w:rsid w:val="00D80ADB"/>
    <w:rsid w:val="00D83DB2"/>
    <w:rsid w:val="00D843DD"/>
    <w:rsid w:val="00D866A1"/>
    <w:rsid w:val="00D87DA5"/>
    <w:rsid w:val="00D900AE"/>
    <w:rsid w:val="00D9023B"/>
    <w:rsid w:val="00D93A47"/>
    <w:rsid w:val="00D94134"/>
    <w:rsid w:val="00D96409"/>
    <w:rsid w:val="00D96E57"/>
    <w:rsid w:val="00D977A2"/>
    <w:rsid w:val="00DA1D47"/>
    <w:rsid w:val="00DA1E26"/>
    <w:rsid w:val="00DA22D0"/>
    <w:rsid w:val="00DA2BE9"/>
    <w:rsid w:val="00DB1CD5"/>
    <w:rsid w:val="00DB2175"/>
    <w:rsid w:val="00DB4521"/>
    <w:rsid w:val="00DB6312"/>
    <w:rsid w:val="00DB7D19"/>
    <w:rsid w:val="00DC1BE8"/>
    <w:rsid w:val="00DC2E33"/>
    <w:rsid w:val="00DC4A29"/>
    <w:rsid w:val="00DC4E43"/>
    <w:rsid w:val="00DC5D8F"/>
    <w:rsid w:val="00DC667C"/>
    <w:rsid w:val="00DC7B0B"/>
    <w:rsid w:val="00DD1355"/>
    <w:rsid w:val="00DD149E"/>
    <w:rsid w:val="00DD27E0"/>
    <w:rsid w:val="00DD4531"/>
    <w:rsid w:val="00DD4672"/>
    <w:rsid w:val="00DD50DE"/>
    <w:rsid w:val="00DD72F7"/>
    <w:rsid w:val="00DD737B"/>
    <w:rsid w:val="00DD794A"/>
    <w:rsid w:val="00DE3062"/>
    <w:rsid w:val="00DE40C9"/>
    <w:rsid w:val="00DE4C6E"/>
    <w:rsid w:val="00DE669E"/>
    <w:rsid w:val="00DE6C96"/>
    <w:rsid w:val="00DF07A9"/>
    <w:rsid w:val="00DF10DB"/>
    <w:rsid w:val="00DF29DC"/>
    <w:rsid w:val="00DF4E84"/>
    <w:rsid w:val="00DF55A6"/>
    <w:rsid w:val="00DF7DCF"/>
    <w:rsid w:val="00E01E6D"/>
    <w:rsid w:val="00E0390F"/>
    <w:rsid w:val="00E057F7"/>
    <w:rsid w:val="00E0581D"/>
    <w:rsid w:val="00E12F95"/>
    <w:rsid w:val="00E14A6E"/>
    <w:rsid w:val="00E1769B"/>
    <w:rsid w:val="00E17A74"/>
    <w:rsid w:val="00E204DD"/>
    <w:rsid w:val="00E21CBA"/>
    <w:rsid w:val="00E226A2"/>
    <w:rsid w:val="00E23E2F"/>
    <w:rsid w:val="00E24131"/>
    <w:rsid w:val="00E2675B"/>
    <w:rsid w:val="00E27694"/>
    <w:rsid w:val="00E3008C"/>
    <w:rsid w:val="00E30BDA"/>
    <w:rsid w:val="00E327D2"/>
    <w:rsid w:val="00E334D5"/>
    <w:rsid w:val="00E34CE1"/>
    <w:rsid w:val="00E353EC"/>
    <w:rsid w:val="00E35DA9"/>
    <w:rsid w:val="00E40A1C"/>
    <w:rsid w:val="00E41163"/>
    <w:rsid w:val="00E44CA7"/>
    <w:rsid w:val="00E45A19"/>
    <w:rsid w:val="00E47FCB"/>
    <w:rsid w:val="00E508F1"/>
    <w:rsid w:val="00E51801"/>
    <w:rsid w:val="00E51C3D"/>
    <w:rsid w:val="00E51F61"/>
    <w:rsid w:val="00E53C24"/>
    <w:rsid w:val="00E54269"/>
    <w:rsid w:val="00E56C1F"/>
    <w:rsid w:val="00E56E77"/>
    <w:rsid w:val="00E5735C"/>
    <w:rsid w:val="00E6010D"/>
    <w:rsid w:val="00E610EE"/>
    <w:rsid w:val="00E611F6"/>
    <w:rsid w:val="00E63B1A"/>
    <w:rsid w:val="00E6685C"/>
    <w:rsid w:val="00E6734C"/>
    <w:rsid w:val="00E70CB5"/>
    <w:rsid w:val="00E719CF"/>
    <w:rsid w:val="00E7375D"/>
    <w:rsid w:val="00E74D6D"/>
    <w:rsid w:val="00E752C5"/>
    <w:rsid w:val="00E76CC0"/>
    <w:rsid w:val="00E76F12"/>
    <w:rsid w:val="00E80463"/>
    <w:rsid w:val="00E81270"/>
    <w:rsid w:val="00E81276"/>
    <w:rsid w:val="00E858CA"/>
    <w:rsid w:val="00E869B1"/>
    <w:rsid w:val="00E8738A"/>
    <w:rsid w:val="00E93340"/>
    <w:rsid w:val="00E9388F"/>
    <w:rsid w:val="00EA4D91"/>
    <w:rsid w:val="00EA744A"/>
    <w:rsid w:val="00EB01CE"/>
    <w:rsid w:val="00EB11EE"/>
    <w:rsid w:val="00EB1D79"/>
    <w:rsid w:val="00EB29B4"/>
    <w:rsid w:val="00EB444D"/>
    <w:rsid w:val="00EB7005"/>
    <w:rsid w:val="00EB7A99"/>
    <w:rsid w:val="00EC0C5F"/>
    <w:rsid w:val="00EC14ED"/>
    <w:rsid w:val="00EC3E2C"/>
    <w:rsid w:val="00EC774F"/>
    <w:rsid w:val="00ED16CF"/>
    <w:rsid w:val="00ED22CE"/>
    <w:rsid w:val="00ED686D"/>
    <w:rsid w:val="00ED6950"/>
    <w:rsid w:val="00EE06E9"/>
    <w:rsid w:val="00EE088F"/>
    <w:rsid w:val="00EE3C41"/>
    <w:rsid w:val="00EE4A67"/>
    <w:rsid w:val="00EE588F"/>
    <w:rsid w:val="00EE5C0D"/>
    <w:rsid w:val="00EE6AB1"/>
    <w:rsid w:val="00EF258B"/>
    <w:rsid w:val="00EF3DDE"/>
    <w:rsid w:val="00EF4792"/>
    <w:rsid w:val="00EF5B35"/>
    <w:rsid w:val="00EF6FB8"/>
    <w:rsid w:val="00F0154F"/>
    <w:rsid w:val="00F02294"/>
    <w:rsid w:val="00F03378"/>
    <w:rsid w:val="00F035AF"/>
    <w:rsid w:val="00F05C3D"/>
    <w:rsid w:val="00F12413"/>
    <w:rsid w:val="00F124BA"/>
    <w:rsid w:val="00F132DE"/>
    <w:rsid w:val="00F13871"/>
    <w:rsid w:val="00F141F9"/>
    <w:rsid w:val="00F154CB"/>
    <w:rsid w:val="00F240A4"/>
    <w:rsid w:val="00F25597"/>
    <w:rsid w:val="00F26645"/>
    <w:rsid w:val="00F304B0"/>
    <w:rsid w:val="00F305D5"/>
    <w:rsid w:val="00F30DE7"/>
    <w:rsid w:val="00F315BD"/>
    <w:rsid w:val="00F31877"/>
    <w:rsid w:val="00F35F57"/>
    <w:rsid w:val="00F3637C"/>
    <w:rsid w:val="00F40F69"/>
    <w:rsid w:val="00F435E4"/>
    <w:rsid w:val="00F46592"/>
    <w:rsid w:val="00F47A9D"/>
    <w:rsid w:val="00F50467"/>
    <w:rsid w:val="00F52EC3"/>
    <w:rsid w:val="00F562A0"/>
    <w:rsid w:val="00F56E43"/>
    <w:rsid w:val="00F57FA4"/>
    <w:rsid w:val="00F63B3C"/>
    <w:rsid w:val="00F70485"/>
    <w:rsid w:val="00F70B55"/>
    <w:rsid w:val="00F70DD5"/>
    <w:rsid w:val="00F72EBE"/>
    <w:rsid w:val="00F74D4D"/>
    <w:rsid w:val="00F75A19"/>
    <w:rsid w:val="00F75B09"/>
    <w:rsid w:val="00F800E3"/>
    <w:rsid w:val="00F8186A"/>
    <w:rsid w:val="00F83147"/>
    <w:rsid w:val="00F83600"/>
    <w:rsid w:val="00F83686"/>
    <w:rsid w:val="00F836A6"/>
    <w:rsid w:val="00F845F1"/>
    <w:rsid w:val="00F85E39"/>
    <w:rsid w:val="00F942C2"/>
    <w:rsid w:val="00F945A9"/>
    <w:rsid w:val="00F959BC"/>
    <w:rsid w:val="00F96104"/>
    <w:rsid w:val="00FA02CB"/>
    <w:rsid w:val="00FA13C9"/>
    <w:rsid w:val="00FA2177"/>
    <w:rsid w:val="00FA5F35"/>
    <w:rsid w:val="00FA6008"/>
    <w:rsid w:val="00FB0783"/>
    <w:rsid w:val="00FB1D19"/>
    <w:rsid w:val="00FB2C8C"/>
    <w:rsid w:val="00FB6180"/>
    <w:rsid w:val="00FB62C9"/>
    <w:rsid w:val="00FB6CD5"/>
    <w:rsid w:val="00FB7504"/>
    <w:rsid w:val="00FB7A8B"/>
    <w:rsid w:val="00FC2321"/>
    <w:rsid w:val="00FC45E3"/>
    <w:rsid w:val="00FC5E94"/>
    <w:rsid w:val="00FC735E"/>
    <w:rsid w:val="00FC7812"/>
    <w:rsid w:val="00FD0F87"/>
    <w:rsid w:val="00FD157A"/>
    <w:rsid w:val="00FD17CB"/>
    <w:rsid w:val="00FD4136"/>
    <w:rsid w:val="00FD41B8"/>
    <w:rsid w:val="00FD439E"/>
    <w:rsid w:val="00FD6EFB"/>
    <w:rsid w:val="00FD76CB"/>
    <w:rsid w:val="00FE03ED"/>
    <w:rsid w:val="00FE1001"/>
    <w:rsid w:val="00FE10B6"/>
    <w:rsid w:val="00FE152B"/>
    <w:rsid w:val="00FE239E"/>
    <w:rsid w:val="00FE3A9A"/>
    <w:rsid w:val="00FE48BA"/>
    <w:rsid w:val="00FE4BE3"/>
    <w:rsid w:val="00FF3677"/>
    <w:rsid w:val="00FF4493"/>
    <w:rsid w:val="00FF4546"/>
    <w:rsid w:val="00FF538F"/>
    <w:rsid w:val="00FF5C6F"/>
    <w:rsid w:val="00FF6EA5"/>
    <w:rsid w:val="00FF7F70"/>
    <w:rsid w:val="09615853"/>
    <w:rsid w:val="0C380A21"/>
    <w:rsid w:val="0E227C80"/>
    <w:rsid w:val="0F9E9E62"/>
    <w:rsid w:val="10ADEDDE"/>
    <w:rsid w:val="150C202D"/>
    <w:rsid w:val="16C20DCF"/>
    <w:rsid w:val="17B53D59"/>
    <w:rsid w:val="1BC5E471"/>
    <w:rsid w:val="1D340CCF"/>
    <w:rsid w:val="1FCEF397"/>
    <w:rsid w:val="2162CCBC"/>
    <w:rsid w:val="21676B21"/>
    <w:rsid w:val="2348B7E2"/>
    <w:rsid w:val="242B3585"/>
    <w:rsid w:val="27B7A1D0"/>
    <w:rsid w:val="285D605C"/>
    <w:rsid w:val="28BAD2EA"/>
    <w:rsid w:val="29622424"/>
    <w:rsid w:val="2E1AB211"/>
    <w:rsid w:val="3425916E"/>
    <w:rsid w:val="45C67A4B"/>
    <w:rsid w:val="46C5420E"/>
    <w:rsid w:val="4CF1FC62"/>
    <w:rsid w:val="51123A13"/>
    <w:rsid w:val="522F4E76"/>
    <w:rsid w:val="523913CC"/>
    <w:rsid w:val="57F77AA5"/>
    <w:rsid w:val="5CC67C58"/>
    <w:rsid w:val="5D6D899A"/>
    <w:rsid w:val="68EF1FAB"/>
    <w:rsid w:val="6A79CEB3"/>
    <w:rsid w:val="712735BB"/>
    <w:rsid w:val="731AFF6F"/>
    <w:rsid w:val="755CBB94"/>
    <w:rsid w:val="783C302B"/>
    <w:rsid w:val="7C32959B"/>
    <w:rsid w:val="7C9672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A90"/>
  <w15:docId w15:val="{75602AC8-56D5-4DE5-BB6A-59CE9890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A"/>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3">
    <w:name w:val="Unresolved Mention3"/>
    <w:basedOn w:val="DefaultParagraphFont"/>
    <w:uiPriority w:val="99"/>
    <w:semiHidden/>
    <w:unhideWhenUsed/>
    <w:rsid w:val="00E327D2"/>
    <w:rPr>
      <w:color w:val="605E5C"/>
      <w:shd w:val="clear" w:color="auto" w:fill="E1DFDD"/>
    </w:rPr>
  </w:style>
  <w:style w:type="table" w:styleId="TableGrid">
    <w:name w:val="Table Grid"/>
    <w:basedOn w:val="TableNormal"/>
    <w:uiPriority w:val="59"/>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D408E4"/>
    <w:pPr>
      <w:spacing w:after="160" w:line="259"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E6E16"/>
    <w:rPr>
      <w:color w:val="605E5C"/>
      <w:shd w:val="clear" w:color="auto" w:fill="E1DFDD"/>
    </w:rPr>
  </w:style>
  <w:style w:type="paragraph" w:customStyle="1" w:styleId="TSBHeaderQuestion">
    <w:name w:val="TSBHeaderQuestion"/>
    <w:basedOn w:val="Normal"/>
    <w:rsid w:val="001F432B"/>
    <w:rPr>
      <w:rFonts w:eastAsia="DengXian"/>
      <w:lang w:eastAsia="en-GB"/>
    </w:rPr>
  </w:style>
  <w:style w:type="paragraph" w:customStyle="1" w:styleId="TSBHeaderRight14">
    <w:name w:val="TSBHeaderRight14"/>
    <w:basedOn w:val="Normal"/>
    <w:rsid w:val="001F432B"/>
    <w:pPr>
      <w:jc w:val="right"/>
    </w:pPr>
    <w:rPr>
      <w:rFonts w:eastAsia="DengXian"/>
      <w:b/>
      <w:bCs/>
      <w:sz w:val="28"/>
      <w:szCs w:val="28"/>
      <w:lang w:eastAsia="en-GB"/>
    </w:rPr>
  </w:style>
  <w:style w:type="paragraph" w:customStyle="1" w:styleId="TSBHeaderSource">
    <w:name w:val="TSBHeaderSource"/>
    <w:basedOn w:val="Normal"/>
    <w:rsid w:val="001F432B"/>
    <w:rPr>
      <w:rFonts w:eastAsia="DengXian"/>
      <w:lang w:eastAsia="en-GB"/>
    </w:rPr>
  </w:style>
  <w:style w:type="paragraph" w:customStyle="1" w:styleId="TSBHeaderSummary">
    <w:name w:val="TSBHeaderSummary"/>
    <w:basedOn w:val="Normal"/>
    <w:rsid w:val="001F432B"/>
    <w:rPr>
      <w:rFonts w:eastAsia="DengXian"/>
      <w:lang w:eastAsia="en-GB"/>
    </w:rPr>
  </w:style>
  <w:style w:type="paragraph" w:customStyle="1" w:styleId="TSBHeaderTitle">
    <w:name w:val="TSBHeaderTitle"/>
    <w:basedOn w:val="Normal"/>
    <w:rsid w:val="001F432B"/>
    <w:rPr>
      <w:rFonts w:eastAsia="DengXian"/>
      <w:lang w:eastAsia="en-GB"/>
    </w:rPr>
  </w:style>
  <w:style w:type="paragraph" w:customStyle="1" w:styleId="VenueDate">
    <w:name w:val="VenueDate"/>
    <w:basedOn w:val="Normal"/>
    <w:rsid w:val="001F432B"/>
    <w:pPr>
      <w:jc w:val="right"/>
    </w:pPr>
    <w:rPr>
      <w:rFonts w:eastAsia="DengXian"/>
      <w:lang w:eastAsia="en-GB"/>
    </w:rPr>
  </w:style>
  <w:style w:type="paragraph" w:customStyle="1" w:styleId="Reasons">
    <w:name w:val="Reasons"/>
    <w:basedOn w:val="Normal"/>
    <w:qFormat/>
    <w:rsid w:val="00DB4521"/>
    <w:pPr>
      <w:spacing w:before="0"/>
    </w:pPr>
    <w:rPr>
      <w:rFonts w:eastAsia="Times New Roman"/>
      <w:szCs w:val="20"/>
      <w:lang w:val="en-US" w:eastAsia="en-US"/>
    </w:rPr>
  </w:style>
  <w:style w:type="character" w:customStyle="1" w:styleId="ui-provider">
    <w:name w:val="ui-provider"/>
    <w:basedOn w:val="DefaultParagraphFont"/>
    <w:rsid w:val="00717A79"/>
  </w:style>
  <w:style w:type="character" w:styleId="UnresolvedMention">
    <w:name w:val="Unresolved Mention"/>
    <w:basedOn w:val="DefaultParagraphFont"/>
    <w:uiPriority w:val="99"/>
    <w:semiHidden/>
    <w:unhideWhenUsed/>
    <w:rsid w:val="00BE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51067344">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3935777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6075076">
      <w:bodyDiv w:val="1"/>
      <w:marLeft w:val="0"/>
      <w:marRight w:val="0"/>
      <w:marTop w:val="0"/>
      <w:marBottom w:val="0"/>
      <w:divBdr>
        <w:top w:val="none" w:sz="0" w:space="0" w:color="auto"/>
        <w:left w:val="none" w:sz="0" w:space="0" w:color="auto"/>
        <w:bottom w:val="none" w:sz="0" w:space="0" w:color="auto"/>
        <w:right w:val="none" w:sz="0" w:space="0" w:color="auto"/>
      </w:divBdr>
      <w:divsChild>
        <w:div w:id="1775709084">
          <w:marLeft w:val="0"/>
          <w:marRight w:val="0"/>
          <w:marTop w:val="0"/>
          <w:marBottom w:val="0"/>
          <w:divBdr>
            <w:top w:val="none" w:sz="0" w:space="0" w:color="auto"/>
            <w:left w:val="none" w:sz="0" w:space="0" w:color="auto"/>
            <w:bottom w:val="none" w:sz="0" w:space="0" w:color="auto"/>
            <w:right w:val="none" w:sz="0" w:space="0" w:color="auto"/>
          </w:divBdr>
        </w:div>
        <w:div w:id="1827821675">
          <w:marLeft w:val="0"/>
          <w:marRight w:val="0"/>
          <w:marTop w:val="0"/>
          <w:marBottom w:val="0"/>
          <w:divBdr>
            <w:top w:val="none" w:sz="0" w:space="0" w:color="auto"/>
            <w:left w:val="none" w:sz="0" w:space="0" w:color="auto"/>
            <w:bottom w:val="none" w:sz="0" w:space="0" w:color="auto"/>
            <w:right w:val="none" w:sz="0" w:space="0" w:color="auto"/>
          </w:divBdr>
          <w:divsChild>
            <w:div w:id="1360012772">
              <w:marLeft w:val="0"/>
              <w:marRight w:val="0"/>
              <w:marTop w:val="0"/>
              <w:marBottom w:val="0"/>
              <w:divBdr>
                <w:top w:val="none" w:sz="0" w:space="0" w:color="auto"/>
                <w:left w:val="none" w:sz="0" w:space="0" w:color="auto"/>
                <w:bottom w:val="none" w:sz="0" w:space="0" w:color="auto"/>
                <w:right w:val="none" w:sz="0" w:space="0" w:color="auto"/>
              </w:divBdr>
              <w:divsChild>
                <w:div w:id="96947842">
                  <w:marLeft w:val="0"/>
                  <w:marRight w:val="0"/>
                  <w:marTop w:val="0"/>
                  <w:marBottom w:val="0"/>
                  <w:divBdr>
                    <w:top w:val="none" w:sz="0" w:space="0" w:color="auto"/>
                    <w:left w:val="none" w:sz="0" w:space="0" w:color="auto"/>
                    <w:bottom w:val="none" w:sz="0" w:space="0" w:color="auto"/>
                    <w:right w:val="none" w:sz="0" w:space="0" w:color="auto"/>
                  </w:divBdr>
                  <w:divsChild>
                    <w:div w:id="1683970298">
                      <w:marLeft w:val="0"/>
                      <w:marRight w:val="0"/>
                      <w:marTop w:val="0"/>
                      <w:marBottom w:val="0"/>
                      <w:divBdr>
                        <w:top w:val="none" w:sz="0" w:space="0" w:color="auto"/>
                        <w:left w:val="none" w:sz="0" w:space="0" w:color="auto"/>
                        <w:bottom w:val="none" w:sz="0" w:space="0" w:color="auto"/>
                        <w:right w:val="none" w:sz="0" w:space="0" w:color="auto"/>
                      </w:divBdr>
                    </w:div>
                    <w:div w:id="591671239">
                      <w:marLeft w:val="0"/>
                      <w:marRight w:val="0"/>
                      <w:marTop w:val="0"/>
                      <w:marBottom w:val="0"/>
                      <w:divBdr>
                        <w:top w:val="none" w:sz="0" w:space="0" w:color="auto"/>
                        <w:left w:val="none" w:sz="0" w:space="0" w:color="auto"/>
                        <w:bottom w:val="none" w:sz="0" w:space="0" w:color="auto"/>
                        <w:right w:val="none" w:sz="0" w:space="0" w:color="auto"/>
                      </w:divBdr>
                    </w:div>
                  </w:divsChild>
                </w:div>
                <w:div w:id="620385044">
                  <w:marLeft w:val="0"/>
                  <w:marRight w:val="0"/>
                  <w:marTop w:val="0"/>
                  <w:marBottom w:val="0"/>
                  <w:divBdr>
                    <w:top w:val="none" w:sz="0" w:space="0" w:color="auto"/>
                    <w:left w:val="none" w:sz="0" w:space="0" w:color="auto"/>
                    <w:bottom w:val="none" w:sz="0" w:space="0" w:color="auto"/>
                    <w:right w:val="none" w:sz="0" w:space="0" w:color="auto"/>
                  </w:divBdr>
                  <w:divsChild>
                    <w:div w:id="1454401014">
                      <w:marLeft w:val="0"/>
                      <w:marRight w:val="0"/>
                      <w:marTop w:val="0"/>
                      <w:marBottom w:val="0"/>
                      <w:divBdr>
                        <w:top w:val="none" w:sz="0" w:space="0" w:color="auto"/>
                        <w:left w:val="none" w:sz="0" w:space="0" w:color="auto"/>
                        <w:bottom w:val="none" w:sz="0" w:space="0" w:color="auto"/>
                        <w:right w:val="none" w:sz="0" w:space="0" w:color="auto"/>
                      </w:divBdr>
                      <w:divsChild>
                        <w:div w:id="1059551844">
                          <w:marLeft w:val="0"/>
                          <w:marRight w:val="0"/>
                          <w:marTop w:val="0"/>
                          <w:marBottom w:val="0"/>
                          <w:divBdr>
                            <w:top w:val="none" w:sz="0" w:space="0" w:color="auto"/>
                            <w:left w:val="none" w:sz="0" w:space="0" w:color="auto"/>
                            <w:bottom w:val="none" w:sz="0" w:space="0" w:color="auto"/>
                            <w:right w:val="none" w:sz="0" w:space="0" w:color="auto"/>
                          </w:divBdr>
                        </w:div>
                        <w:div w:id="20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40036352">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7583620">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74006839">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07258">
      <w:bodyDiv w:val="1"/>
      <w:marLeft w:val="0"/>
      <w:marRight w:val="0"/>
      <w:marTop w:val="0"/>
      <w:marBottom w:val="0"/>
      <w:divBdr>
        <w:top w:val="none" w:sz="0" w:space="0" w:color="auto"/>
        <w:left w:val="none" w:sz="0" w:space="0" w:color="auto"/>
        <w:bottom w:val="none" w:sz="0" w:space="0" w:color="auto"/>
        <w:right w:val="none" w:sz="0" w:space="0" w:color="auto"/>
      </w:divBdr>
      <w:divsChild>
        <w:div w:id="1018193228">
          <w:marLeft w:val="0"/>
          <w:marRight w:val="0"/>
          <w:marTop w:val="0"/>
          <w:marBottom w:val="0"/>
          <w:divBdr>
            <w:top w:val="none" w:sz="0" w:space="0" w:color="auto"/>
            <w:left w:val="none" w:sz="0" w:space="0" w:color="auto"/>
            <w:bottom w:val="none" w:sz="0" w:space="0" w:color="auto"/>
            <w:right w:val="none" w:sz="0" w:space="0" w:color="auto"/>
          </w:divBdr>
          <w:divsChild>
            <w:div w:id="1128738545">
              <w:marLeft w:val="0"/>
              <w:marRight w:val="0"/>
              <w:marTop w:val="0"/>
              <w:marBottom w:val="0"/>
              <w:divBdr>
                <w:top w:val="none" w:sz="0" w:space="0" w:color="auto"/>
                <w:left w:val="none" w:sz="0" w:space="0" w:color="auto"/>
                <w:bottom w:val="none" w:sz="0" w:space="0" w:color="auto"/>
                <w:right w:val="none" w:sz="0" w:space="0" w:color="auto"/>
              </w:divBdr>
              <w:divsChild>
                <w:div w:id="548538608">
                  <w:marLeft w:val="0"/>
                  <w:marRight w:val="0"/>
                  <w:marTop w:val="0"/>
                  <w:marBottom w:val="0"/>
                  <w:divBdr>
                    <w:top w:val="none" w:sz="0" w:space="0" w:color="auto"/>
                    <w:left w:val="none" w:sz="0" w:space="0" w:color="auto"/>
                    <w:bottom w:val="none" w:sz="0" w:space="0" w:color="auto"/>
                    <w:right w:val="none" w:sz="0" w:space="0" w:color="auto"/>
                  </w:divBdr>
                  <w:divsChild>
                    <w:div w:id="920143291">
                      <w:marLeft w:val="0"/>
                      <w:marRight w:val="0"/>
                      <w:marTop w:val="0"/>
                      <w:marBottom w:val="0"/>
                      <w:divBdr>
                        <w:top w:val="none" w:sz="0" w:space="0" w:color="auto"/>
                        <w:left w:val="none" w:sz="0" w:space="0" w:color="auto"/>
                        <w:bottom w:val="none" w:sz="0" w:space="0" w:color="auto"/>
                        <w:right w:val="none" w:sz="0" w:space="0" w:color="auto"/>
                      </w:divBdr>
                      <w:divsChild>
                        <w:div w:id="132218528">
                          <w:marLeft w:val="0"/>
                          <w:marRight w:val="0"/>
                          <w:marTop w:val="0"/>
                          <w:marBottom w:val="0"/>
                          <w:divBdr>
                            <w:top w:val="none" w:sz="0" w:space="0" w:color="auto"/>
                            <w:left w:val="none" w:sz="0" w:space="0" w:color="auto"/>
                            <w:bottom w:val="none" w:sz="0" w:space="0" w:color="auto"/>
                            <w:right w:val="none" w:sz="0" w:space="0" w:color="auto"/>
                          </w:divBdr>
                        </w:div>
                        <w:div w:id="189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244">
                  <w:marLeft w:val="0"/>
                  <w:marRight w:val="0"/>
                  <w:marTop w:val="0"/>
                  <w:marBottom w:val="0"/>
                  <w:divBdr>
                    <w:top w:val="none" w:sz="0" w:space="0" w:color="auto"/>
                    <w:left w:val="none" w:sz="0" w:space="0" w:color="auto"/>
                    <w:bottom w:val="none" w:sz="0" w:space="0" w:color="auto"/>
                    <w:right w:val="none" w:sz="0" w:space="0" w:color="auto"/>
                  </w:divBdr>
                  <w:divsChild>
                    <w:div w:id="1142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sChild>
        <w:div w:id="756831038">
          <w:marLeft w:val="0"/>
          <w:marRight w:val="0"/>
          <w:marTop w:val="0"/>
          <w:marBottom w:val="0"/>
          <w:divBdr>
            <w:top w:val="none" w:sz="0" w:space="0" w:color="auto"/>
            <w:left w:val="none" w:sz="0" w:space="0" w:color="auto"/>
            <w:bottom w:val="none" w:sz="0" w:space="0" w:color="auto"/>
            <w:right w:val="none" w:sz="0" w:space="0" w:color="auto"/>
          </w:divBdr>
        </w:div>
        <w:div w:id="531722024">
          <w:marLeft w:val="0"/>
          <w:marRight w:val="0"/>
          <w:marTop w:val="0"/>
          <w:marBottom w:val="0"/>
          <w:divBdr>
            <w:top w:val="none" w:sz="0" w:space="0" w:color="auto"/>
            <w:left w:val="none" w:sz="0" w:space="0" w:color="auto"/>
            <w:bottom w:val="none" w:sz="0" w:space="0" w:color="auto"/>
            <w:right w:val="none" w:sz="0" w:space="0" w:color="auto"/>
          </w:divBdr>
        </w:div>
        <w:div w:id="224875296">
          <w:marLeft w:val="0"/>
          <w:marRight w:val="0"/>
          <w:marTop w:val="0"/>
          <w:marBottom w:val="0"/>
          <w:divBdr>
            <w:top w:val="none" w:sz="0" w:space="0" w:color="auto"/>
            <w:left w:val="none" w:sz="0" w:space="0" w:color="auto"/>
            <w:bottom w:val="none" w:sz="0" w:space="0" w:color="auto"/>
            <w:right w:val="none" w:sz="0" w:space="0" w:color="auto"/>
          </w:divBdr>
        </w:div>
        <w:div w:id="613055405">
          <w:marLeft w:val="0"/>
          <w:marRight w:val="0"/>
          <w:marTop w:val="0"/>
          <w:marBottom w:val="0"/>
          <w:divBdr>
            <w:top w:val="none" w:sz="0" w:space="0" w:color="auto"/>
            <w:left w:val="none" w:sz="0" w:space="0" w:color="auto"/>
            <w:bottom w:val="none" w:sz="0" w:space="0" w:color="auto"/>
            <w:right w:val="none" w:sz="0" w:space="0" w:color="auto"/>
          </w:divBdr>
        </w:div>
      </w:divsChild>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17214106">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29335">
      <w:bodyDiv w:val="1"/>
      <w:marLeft w:val="0"/>
      <w:marRight w:val="0"/>
      <w:marTop w:val="0"/>
      <w:marBottom w:val="0"/>
      <w:divBdr>
        <w:top w:val="none" w:sz="0" w:space="0" w:color="auto"/>
        <w:left w:val="none" w:sz="0" w:space="0" w:color="auto"/>
        <w:bottom w:val="none" w:sz="0" w:space="0" w:color="auto"/>
        <w:right w:val="none" w:sz="0" w:space="0" w:color="auto"/>
      </w:divBdr>
      <w:divsChild>
        <w:div w:id="1680235814">
          <w:marLeft w:val="0"/>
          <w:marRight w:val="0"/>
          <w:marTop w:val="0"/>
          <w:marBottom w:val="0"/>
          <w:divBdr>
            <w:top w:val="none" w:sz="0" w:space="0" w:color="auto"/>
            <w:left w:val="none" w:sz="0" w:space="0" w:color="auto"/>
            <w:bottom w:val="none" w:sz="0" w:space="0" w:color="auto"/>
            <w:right w:val="none" w:sz="0" w:space="0" w:color="auto"/>
          </w:divBdr>
          <w:divsChild>
            <w:div w:id="949898793">
              <w:marLeft w:val="0"/>
              <w:marRight w:val="0"/>
              <w:marTop w:val="0"/>
              <w:marBottom w:val="0"/>
              <w:divBdr>
                <w:top w:val="none" w:sz="0" w:space="0" w:color="auto"/>
                <w:left w:val="none" w:sz="0" w:space="0" w:color="auto"/>
                <w:bottom w:val="none" w:sz="0" w:space="0" w:color="auto"/>
                <w:right w:val="none" w:sz="0" w:space="0" w:color="auto"/>
              </w:divBdr>
            </w:div>
            <w:div w:id="1055278430">
              <w:marLeft w:val="0"/>
              <w:marRight w:val="0"/>
              <w:marTop w:val="0"/>
              <w:marBottom w:val="0"/>
              <w:divBdr>
                <w:top w:val="none" w:sz="0" w:space="0" w:color="auto"/>
                <w:left w:val="none" w:sz="0" w:space="0" w:color="auto"/>
                <w:bottom w:val="none" w:sz="0" w:space="0" w:color="auto"/>
                <w:right w:val="none" w:sz="0" w:space="0" w:color="auto"/>
              </w:divBdr>
              <w:divsChild>
                <w:div w:id="249388073">
                  <w:marLeft w:val="0"/>
                  <w:marRight w:val="0"/>
                  <w:marTop w:val="0"/>
                  <w:marBottom w:val="0"/>
                  <w:divBdr>
                    <w:top w:val="none" w:sz="0" w:space="0" w:color="auto"/>
                    <w:left w:val="none" w:sz="0" w:space="0" w:color="auto"/>
                    <w:bottom w:val="none" w:sz="0" w:space="0" w:color="auto"/>
                    <w:right w:val="none" w:sz="0" w:space="0" w:color="auto"/>
                  </w:divBdr>
                </w:div>
                <w:div w:id="2076583019">
                  <w:marLeft w:val="0"/>
                  <w:marRight w:val="0"/>
                  <w:marTop w:val="0"/>
                  <w:marBottom w:val="0"/>
                  <w:divBdr>
                    <w:top w:val="none" w:sz="0" w:space="0" w:color="auto"/>
                    <w:left w:val="none" w:sz="0" w:space="0" w:color="auto"/>
                    <w:bottom w:val="none" w:sz="0" w:space="0" w:color="auto"/>
                    <w:right w:val="none" w:sz="0" w:space="0" w:color="auto"/>
                  </w:divBdr>
                </w:div>
              </w:divsChild>
            </w:div>
            <w:div w:id="1834955873">
              <w:marLeft w:val="0"/>
              <w:marRight w:val="0"/>
              <w:marTop w:val="0"/>
              <w:marBottom w:val="0"/>
              <w:divBdr>
                <w:top w:val="none" w:sz="0" w:space="0" w:color="auto"/>
                <w:left w:val="none" w:sz="0" w:space="0" w:color="auto"/>
                <w:bottom w:val="none" w:sz="0" w:space="0" w:color="auto"/>
                <w:right w:val="none" w:sz="0" w:space="0" w:color="auto"/>
              </w:divBdr>
            </w:div>
            <w:div w:id="72552196">
              <w:marLeft w:val="0"/>
              <w:marRight w:val="0"/>
              <w:marTop w:val="0"/>
              <w:marBottom w:val="0"/>
              <w:divBdr>
                <w:top w:val="none" w:sz="0" w:space="0" w:color="auto"/>
                <w:left w:val="none" w:sz="0" w:space="0" w:color="auto"/>
                <w:bottom w:val="none" w:sz="0" w:space="0" w:color="auto"/>
                <w:right w:val="none" w:sz="0" w:space="0" w:color="auto"/>
              </w:divBdr>
            </w:div>
            <w:div w:id="203753435">
              <w:marLeft w:val="0"/>
              <w:marRight w:val="0"/>
              <w:marTop w:val="0"/>
              <w:marBottom w:val="0"/>
              <w:divBdr>
                <w:top w:val="none" w:sz="0" w:space="0" w:color="auto"/>
                <w:left w:val="none" w:sz="0" w:space="0" w:color="auto"/>
                <w:bottom w:val="none" w:sz="0" w:space="0" w:color="auto"/>
                <w:right w:val="none" w:sz="0" w:space="0" w:color="auto"/>
              </w:divBdr>
            </w:div>
          </w:divsChild>
        </w:div>
        <w:div w:id="459804632">
          <w:marLeft w:val="0"/>
          <w:marRight w:val="0"/>
          <w:marTop w:val="0"/>
          <w:marBottom w:val="0"/>
          <w:divBdr>
            <w:top w:val="none" w:sz="0" w:space="0" w:color="auto"/>
            <w:left w:val="none" w:sz="0" w:space="0" w:color="auto"/>
            <w:bottom w:val="none" w:sz="0" w:space="0" w:color="auto"/>
            <w:right w:val="none" w:sz="0" w:space="0" w:color="auto"/>
          </w:divBdr>
          <w:divsChild>
            <w:div w:id="243688849">
              <w:marLeft w:val="0"/>
              <w:marRight w:val="0"/>
              <w:marTop w:val="0"/>
              <w:marBottom w:val="0"/>
              <w:divBdr>
                <w:top w:val="none" w:sz="0" w:space="0" w:color="auto"/>
                <w:left w:val="none" w:sz="0" w:space="0" w:color="auto"/>
                <w:bottom w:val="none" w:sz="0" w:space="0" w:color="auto"/>
                <w:right w:val="none" w:sz="0" w:space="0" w:color="auto"/>
              </w:divBdr>
            </w:div>
            <w:div w:id="524945167">
              <w:marLeft w:val="0"/>
              <w:marRight w:val="0"/>
              <w:marTop w:val="0"/>
              <w:marBottom w:val="0"/>
              <w:divBdr>
                <w:top w:val="none" w:sz="0" w:space="0" w:color="auto"/>
                <w:left w:val="none" w:sz="0" w:space="0" w:color="auto"/>
                <w:bottom w:val="none" w:sz="0" w:space="0" w:color="auto"/>
                <w:right w:val="none" w:sz="0" w:space="0" w:color="auto"/>
              </w:divBdr>
            </w:div>
            <w:div w:id="1594319029">
              <w:marLeft w:val="0"/>
              <w:marRight w:val="0"/>
              <w:marTop w:val="0"/>
              <w:marBottom w:val="0"/>
              <w:divBdr>
                <w:top w:val="none" w:sz="0" w:space="0" w:color="auto"/>
                <w:left w:val="none" w:sz="0" w:space="0" w:color="auto"/>
                <w:bottom w:val="none" w:sz="0" w:space="0" w:color="auto"/>
                <w:right w:val="none" w:sz="0" w:space="0" w:color="auto"/>
              </w:divBdr>
            </w:div>
            <w:div w:id="708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06791209">
      <w:bodyDiv w:val="1"/>
      <w:marLeft w:val="0"/>
      <w:marRight w:val="0"/>
      <w:marTop w:val="0"/>
      <w:marBottom w:val="0"/>
      <w:divBdr>
        <w:top w:val="none" w:sz="0" w:space="0" w:color="auto"/>
        <w:left w:val="none" w:sz="0" w:space="0" w:color="auto"/>
        <w:bottom w:val="none" w:sz="0" w:space="0" w:color="auto"/>
        <w:right w:val="none" w:sz="0" w:space="0" w:color="auto"/>
      </w:divBdr>
      <w:divsChild>
        <w:div w:id="1613130708">
          <w:marLeft w:val="0"/>
          <w:marRight w:val="0"/>
          <w:marTop w:val="0"/>
          <w:marBottom w:val="0"/>
          <w:divBdr>
            <w:top w:val="none" w:sz="0" w:space="0" w:color="auto"/>
            <w:left w:val="none" w:sz="0" w:space="0" w:color="auto"/>
            <w:bottom w:val="none" w:sz="0" w:space="0" w:color="auto"/>
            <w:right w:val="none" w:sz="0" w:space="0" w:color="auto"/>
          </w:divBdr>
        </w:div>
        <w:div w:id="24211403">
          <w:marLeft w:val="0"/>
          <w:marRight w:val="0"/>
          <w:marTop w:val="0"/>
          <w:marBottom w:val="0"/>
          <w:divBdr>
            <w:top w:val="none" w:sz="0" w:space="0" w:color="auto"/>
            <w:left w:val="none" w:sz="0" w:space="0" w:color="auto"/>
            <w:bottom w:val="none" w:sz="0" w:space="0" w:color="auto"/>
            <w:right w:val="none" w:sz="0" w:space="0" w:color="auto"/>
          </w:divBdr>
          <w:divsChild>
            <w:div w:id="1646004615">
              <w:marLeft w:val="0"/>
              <w:marRight w:val="0"/>
              <w:marTop w:val="0"/>
              <w:marBottom w:val="0"/>
              <w:divBdr>
                <w:top w:val="none" w:sz="0" w:space="0" w:color="auto"/>
                <w:left w:val="none" w:sz="0" w:space="0" w:color="auto"/>
                <w:bottom w:val="none" w:sz="0" w:space="0" w:color="auto"/>
                <w:right w:val="none" w:sz="0" w:space="0" w:color="auto"/>
              </w:divBdr>
              <w:divsChild>
                <w:div w:id="289820753">
                  <w:marLeft w:val="0"/>
                  <w:marRight w:val="0"/>
                  <w:marTop w:val="0"/>
                  <w:marBottom w:val="0"/>
                  <w:divBdr>
                    <w:top w:val="none" w:sz="0" w:space="0" w:color="auto"/>
                    <w:left w:val="none" w:sz="0" w:space="0" w:color="auto"/>
                    <w:bottom w:val="none" w:sz="0" w:space="0" w:color="auto"/>
                    <w:right w:val="none" w:sz="0" w:space="0" w:color="auto"/>
                  </w:divBdr>
                  <w:divsChild>
                    <w:div w:id="1224834630">
                      <w:marLeft w:val="0"/>
                      <w:marRight w:val="0"/>
                      <w:marTop w:val="0"/>
                      <w:marBottom w:val="0"/>
                      <w:divBdr>
                        <w:top w:val="none" w:sz="0" w:space="0" w:color="auto"/>
                        <w:left w:val="none" w:sz="0" w:space="0" w:color="auto"/>
                        <w:bottom w:val="none" w:sz="0" w:space="0" w:color="auto"/>
                        <w:right w:val="none" w:sz="0" w:space="0" w:color="auto"/>
                      </w:divBdr>
                    </w:div>
                    <w:div w:id="1703285528">
                      <w:marLeft w:val="0"/>
                      <w:marRight w:val="0"/>
                      <w:marTop w:val="0"/>
                      <w:marBottom w:val="0"/>
                      <w:divBdr>
                        <w:top w:val="none" w:sz="0" w:space="0" w:color="auto"/>
                        <w:left w:val="none" w:sz="0" w:space="0" w:color="auto"/>
                        <w:bottom w:val="none" w:sz="0" w:space="0" w:color="auto"/>
                        <w:right w:val="none" w:sz="0" w:space="0" w:color="auto"/>
                      </w:divBdr>
                    </w:div>
                  </w:divsChild>
                </w:div>
                <w:div w:id="1585264256">
                  <w:marLeft w:val="0"/>
                  <w:marRight w:val="0"/>
                  <w:marTop w:val="0"/>
                  <w:marBottom w:val="0"/>
                  <w:divBdr>
                    <w:top w:val="none" w:sz="0" w:space="0" w:color="auto"/>
                    <w:left w:val="none" w:sz="0" w:space="0" w:color="auto"/>
                    <w:bottom w:val="none" w:sz="0" w:space="0" w:color="auto"/>
                    <w:right w:val="none" w:sz="0" w:space="0" w:color="auto"/>
                  </w:divBdr>
                  <w:divsChild>
                    <w:div w:id="1148671398">
                      <w:marLeft w:val="0"/>
                      <w:marRight w:val="0"/>
                      <w:marTop w:val="0"/>
                      <w:marBottom w:val="0"/>
                      <w:divBdr>
                        <w:top w:val="none" w:sz="0" w:space="0" w:color="auto"/>
                        <w:left w:val="none" w:sz="0" w:space="0" w:color="auto"/>
                        <w:bottom w:val="none" w:sz="0" w:space="0" w:color="auto"/>
                        <w:right w:val="none" w:sz="0" w:space="0" w:color="auto"/>
                      </w:divBdr>
                      <w:divsChild>
                        <w:div w:id="1794664558">
                          <w:marLeft w:val="0"/>
                          <w:marRight w:val="0"/>
                          <w:marTop w:val="0"/>
                          <w:marBottom w:val="0"/>
                          <w:divBdr>
                            <w:top w:val="none" w:sz="0" w:space="0" w:color="auto"/>
                            <w:left w:val="none" w:sz="0" w:space="0" w:color="auto"/>
                            <w:bottom w:val="none" w:sz="0" w:space="0" w:color="auto"/>
                            <w:right w:val="none" w:sz="0" w:space="0" w:color="auto"/>
                          </w:divBdr>
                        </w:div>
                        <w:div w:id="2098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26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28948195">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659205">
      <w:bodyDiv w:val="1"/>
      <w:marLeft w:val="0"/>
      <w:marRight w:val="0"/>
      <w:marTop w:val="0"/>
      <w:marBottom w:val="0"/>
      <w:divBdr>
        <w:top w:val="none" w:sz="0" w:space="0" w:color="auto"/>
        <w:left w:val="none" w:sz="0" w:space="0" w:color="auto"/>
        <w:bottom w:val="none" w:sz="0" w:space="0" w:color="auto"/>
        <w:right w:val="none" w:sz="0" w:space="0" w:color="auto"/>
      </w:divBdr>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sg5-oLS-00134.docx" TargetMode="External"/><Relationship Id="rId18" Type="http://schemas.openxmlformats.org/officeDocument/2006/relationships/hyperlink" Target="https://www.itu.int/ITU-T/workprog/wp_search.aspx?sg=5" TargetMode="External"/><Relationship Id="rId26" Type="http://schemas.openxmlformats.org/officeDocument/2006/relationships/hyperlink" Target="https://www.itu.int/ITU-T/workprog/wp_search.aspx?isn_sp=8265&amp;isn_sg=8268&amp;isn_qu=8301&amp;isn_status=-1,8,1&amp;details=0&amp;field=acdefghijo" TargetMode="External"/><Relationship Id="rId39" Type="http://schemas.openxmlformats.org/officeDocument/2006/relationships/hyperlink" Target="mailto:daniel.dianat@ericsson.com" TargetMode="External"/><Relationship Id="rId21" Type="http://schemas.openxmlformats.org/officeDocument/2006/relationships/hyperlink" Target="https://www.itu.int/ITU-T/workprog/wp_search.aspx?isn_sp=8265&amp;isn_sg=8268&amp;isn_qu=8296&amp;isn_status=-1,8,1&amp;details=0&amp;field=acdefghijo" TargetMode="External"/><Relationship Id="rId34" Type="http://schemas.openxmlformats.org/officeDocument/2006/relationships/hyperlink" Target="https://www.itu.int/en/itu-t/regionalgroups/sg05-afr/Pages/default.aspx" TargetMode="External"/><Relationship Id="rId42" Type="http://schemas.openxmlformats.org/officeDocument/2006/relationships/hyperlink" Target="https://www.itu.int/md/meetingdoc.asp?lang=en&amp;parent=T22-SG05-240617-TD-GEN-1720" TargetMode="External"/><Relationship Id="rId47" Type="http://schemas.openxmlformats.org/officeDocument/2006/relationships/hyperlink" Target="https://www.itu.int/cities/digitaltransformationdialogues/circularity"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qishuguang@caict.ac.cn" TargetMode="External"/><Relationship Id="rId29" Type="http://schemas.openxmlformats.org/officeDocument/2006/relationships/hyperlink" Target="https://www.itu.int/ITU-T/workprog/wp_search.aspx?isn_sp=8265&amp;isn_sg=8268&amp;isn_qu=8304&amp;isn_status=-1,8,1&amp;details=0&amp;field=acdefghijo" TargetMode="External"/><Relationship Id="rId11" Type="http://schemas.openxmlformats.org/officeDocument/2006/relationships/endnotes" Target="endnotes.xml"/><Relationship Id="rId24" Type="http://schemas.openxmlformats.org/officeDocument/2006/relationships/hyperlink" Target="https://www.itu.int/ITU-T/workprog/wp_search.aspx?isn_sp=8265&amp;isn_sg=8268&amp;isn_qu=8299&amp;isn_status=-1,8,1&amp;details=0&amp;field=acdefghijo" TargetMode="External"/><Relationship Id="rId32" Type="http://schemas.openxmlformats.org/officeDocument/2006/relationships/hyperlink" Target="https://www.itu.int/en/ITU-T/Workshops-and-Seminars/sg05rg/emf/Pages/default.aspx" TargetMode="External"/><Relationship Id="rId37" Type="http://schemas.openxmlformats.org/officeDocument/2006/relationships/hyperlink" Target="https://www.itu.int/en/itu-t/regionalgroups/sg05-latam/Pages/default.aspx" TargetMode="External"/><Relationship Id="rId40" Type="http://schemas.openxmlformats.org/officeDocument/2006/relationships/hyperlink" Target="mailto:qishuguang@caict.ac.cn" TargetMode="External"/><Relationship Id="rId45" Type="http://schemas.openxmlformats.org/officeDocument/2006/relationships/hyperlink" Target="https://www.itu.int/en/ITU-T/studygroups/2022-2024/05/Pages/event-20240510.asp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itu.int/ITU-T/workprog/wp_search.aspx?isn_sp=8265&amp;isn_sg=8268&amp;isn_qu=8294&amp;isn_status=-1,8,1&amp;details=0&amp;field=acdefghijo" TargetMode="External"/><Relationship Id="rId31" Type="http://schemas.openxmlformats.org/officeDocument/2006/relationships/hyperlink" Target="https://www.itu.int/md/meetingdoc.asp?lang=en&amp;parent=T22-SG05-240617-TD-GEN-1561" TargetMode="External"/><Relationship Id="rId44" Type="http://schemas.openxmlformats.org/officeDocument/2006/relationships/hyperlink" Target="https://www.itu.int/en/ITU-T/climatechange/symposia/202405/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le.itu.int/11.1002/ls/sp17-sg5-oLS-00134.docx" TargetMode="External"/><Relationship Id="rId22" Type="http://schemas.openxmlformats.org/officeDocument/2006/relationships/hyperlink" Target="https://www.itu.int/ITU-T/workprog/wp_search.aspx?isn_sp=8265&amp;isn_sg=8268&amp;isn_qu=8297&amp;isn_status=-1,8,1&amp;details=0&amp;field=acdefghijo" TargetMode="External"/><Relationship Id="rId27" Type="http://schemas.openxmlformats.org/officeDocument/2006/relationships/hyperlink" Target="https://www.itu.int/ITU-T/workprog/wp_search.aspx?isn_sp=8265&amp;isn_sg=8268&amp;isn_qu=8302&amp;isn_status=-1,8,1&amp;details=0&amp;field=acdefghijo" TargetMode="External"/><Relationship Id="rId30" Type="http://schemas.openxmlformats.org/officeDocument/2006/relationships/hyperlink" Target="https://www.itu.int/en/itu-t/regionalgroups/sg05-arb/Pages/default.aspx" TargetMode="External"/><Relationship Id="rId35" Type="http://schemas.openxmlformats.org/officeDocument/2006/relationships/hyperlink" Target="https://www.itu.int/md/meetingdoc.asp?lang=en&amp;parent=T22-SG05-240617-TD-GEN-1558" TargetMode="External"/><Relationship Id="rId43" Type="http://schemas.openxmlformats.org/officeDocument/2006/relationships/hyperlink" Target="https://www.itu.int/md/meetingdoc.asp?lang=en&amp;parent=T22-SG05-240617-TD-GEN-1722" TargetMode="External"/><Relationship Id="rId48" Type="http://schemas.openxmlformats.org/officeDocument/2006/relationships/hyperlink" Target="https://www.itu.int/net4/wsis/forum/2024/Agenda/Session/267"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en/ITU-T/studygroups/2022-2024/05/Pages/exec-sum.aspx" TargetMode="External"/><Relationship Id="rId25" Type="http://schemas.openxmlformats.org/officeDocument/2006/relationships/hyperlink" Target="https://www.itu.int/ITU-T/workprog/wp_search.aspx?isn_sp=8265&amp;isn_sg=8268&amp;isn_qu=8300&amp;isn_status=-1,8,1&amp;details=0&amp;field=acdefghijo" TargetMode="External"/><Relationship Id="rId33" Type="http://schemas.openxmlformats.org/officeDocument/2006/relationships/hyperlink" Target="https://www.itu.int/md/meetingdoc.asp?lang=en&amp;parent=T22-SG05-240617-TD-GEN-1560" TargetMode="External"/><Relationship Id="rId38" Type="http://schemas.openxmlformats.org/officeDocument/2006/relationships/hyperlink" Target="https://www.itu.int/md/meetingdoc.asp?lang=en&amp;parent=T22-SG05-240617-TD-GEN-1506" TargetMode="External"/><Relationship Id="rId46" Type="http://schemas.openxmlformats.org/officeDocument/2006/relationships/hyperlink" Target="https://www.itu.int/en/ITU-T/Workshops-and-Seminars/sg05rg/emf/Pages/default.aspx" TargetMode="External"/><Relationship Id="rId20" Type="http://schemas.openxmlformats.org/officeDocument/2006/relationships/hyperlink" Target="https://www.itu.int/ITU-T/workprog/wp_search.aspx?isn_sp=8265&amp;isn_sg=8268&amp;isn_qu=8295&amp;isn_status=-1,8,1&amp;details=0&amp;field=acdefghijo" TargetMode="External"/><Relationship Id="rId41" Type="http://schemas.openxmlformats.org/officeDocument/2006/relationships/hyperlink" Target="https://www.itu.int/md/meetingdoc.asp?lang=en&amp;parent=T22-SG05-240617-TD-GEN-156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olo.gemma@huawei.com" TargetMode="External"/><Relationship Id="rId23" Type="http://schemas.openxmlformats.org/officeDocument/2006/relationships/hyperlink" Target="https://www.itu.int/ITU-T/workprog/wp_search.aspx?isn_sp=8265&amp;isn_sg=8268&amp;isn_qu=8298&amp;isn_status=-1,8,1&amp;details=0&amp;field=acdefghijo" TargetMode="External"/><Relationship Id="rId28" Type="http://schemas.openxmlformats.org/officeDocument/2006/relationships/hyperlink" Target="https://www.itu.int/ITU-T/workprog/wp_search.aspx?isn_sp=8265&amp;isn_sg=8268&amp;isn_qu=8303&amp;isn_status=-1,8,1&amp;details=0&amp;field=acdefghijo" TargetMode="External"/><Relationship Id="rId36" Type="http://schemas.openxmlformats.org/officeDocument/2006/relationships/hyperlink" Target="https://www.itu.int/en/ITU-T/climatechange/symposia/202405/Pages/default.aspx" TargetMode="External"/><Relationship Id="rId49" Type="http://schemas.openxmlformats.org/officeDocument/2006/relationships/hyperlink" Target="https://www.itu.int/en/ITU-T/studygroups/2022-2024/05/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7EDFC0E0-F317-4B95-9175-D7A6B7F8815D}">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8ABF9-04F1-4A64-8C61-66EF52AAA97C}">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Draft LS/o on ITU-T Study Group 5 Lead Study Group Report [to TSAG]</vt:lpstr>
    </vt:vector>
  </TitlesOfParts>
  <Manager>ITU-T</Manager>
  <Company>International Telecommunication Union (ITU)</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ITU-T Study Group 5 Lead Study Group Report [to TSAG]</dc:title>
  <dc:creator>ITU-T Study Group 5</dc:creator>
  <cp:keywords>SG5; lead roles; electromagnetic compatibility; lightning protection; electromagnetic effects; ICTs ; environment; climate change; energy efficiency; circular economy; e‑waste</cp:keywords>
  <dc:description>SG5-LS41  For: Rome, 17-27 October 2022_x000d_Document date: _x000d_Saved by ITU51014277 at 15:02:59 on 31.10.22</dc:description>
  <cp:lastModifiedBy>Al-Mnini, Lara</cp:lastModifiedBy>
  <cp:revision>4</cp:revision>
  <cp:lastPrinted>2020-01-21T13:16:00Z</cp:lastPrinted>
  <dcterms:created xsi:type="dcterms:W3CDTF">2024-07-22T19:51:00Z</dcterms:created>
  <dcterms:modified xsi:type="dcterms:W3CDTF">2024-07-22T20:15:00Z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SG5-LS41</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Rome, 17-27 October 2022</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ClassificationContentMarkingFooterShapeIds">
    <vt:lpwstr>1,2,4</vt:lpwstr>
  </property>
  <property fmtid="{D5CDD505-2E9C-101B-9397-08002B2CF9AE}" pid="11" name="ClassificationContentMarkingFooterFontProps">
    <vt:lpwstr>#ed7d31,8,Helvetica 75 Bold</vt:lpwstr>
  </property>
  <property fmtid="{D5CDD505-2E9C-101B-9397-08002B2CF9AE}" pid="12" name="ClassificationContentMarkingFooterText">
    <vt:lpwstr>Orange Restricted</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1721220592</vt:lpwstr>
  </property>
</Properties>
</file>