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0" w:type="dxa"/>
        <w:tblLayout w:type="fixed"/>
        <w:tblCellMar>
          <w:left w:w="57" w:type="dxa"/>
          <w:right w:w="57" w:type="dxa"/>
        </w:tblCellMar>
        <w:tblLook w:val="04A0" w:firstRow="1" w:lastRow="0" w:firstColumn="1" w:lastColumn="0" w:noHBand="0" w:noVBand="1"/>
      </w:tblPr>
      <w:tblGrid>
        <w:gridCol w:w="1192"/>
        <w:gridCol w:w="509"/>
        <w:gridCol w:w="4597"/>
        <w:gridCol w:w="3632"/>
      </w:tblGrid>
      <w:tr w:rsidR="008C39F0" w:rsidRPr="00233DC4" w14:paraId="3A7FDD0B" w14:textId="77777777" w:rsidTr="00B34358">
        <w:trPr>
          <w:cantSplit/>
          <w:trHeight w:val="20"/>
        </w:trPr>
        <w:tc>
          <w:tcPr>
            <w:tcW w:w="1192" w:type="dxa"/>
            <w:vMerge w:val="restart"/>
            <w:tcBorders>
              <w:top w:val="nil"/>
              <w:left w:val="nil"/>
              <w:bottom w:val="single" w:sz="12" w:space="0" w:color="auto"/>
              <w:right w:val="nil"/>
            </w:tcBorders>
            <w:hideMark/>
          </w:tcPr>
          <w:p w14:paraId="6F0DE975" w14:textId="77777777" w:rsidR="008C39F0" w:rsidRPr="00233DC4" w:rsidRDefault="008C39F0" w:rsidP="00960FEC">
            <w:pPr>
              <w:rPr>
                <w:b/>
                <w:bCs/>
                <w:sz w:val="26"/>
              </w:rPr>
            </w:pPr>
            <w:bookmarkStart w:id="0" w:name="dnum" w:colFirst="2" w:colLast="2"/>
            <w:bookmarkStart w:id="1" w:name="dtableau"/>
            <w:r w:rsidRPr="00233DC4">
              <w:rPr>
                <w:noProof/>
              </w:rPr>
              <w:drawing>
                <wp:inline distT="0" distB="0" distL="0" distR="0" wp14:anchorId="388F987E" wp14:editId="77D9DD2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2"/>
            <w:vMerge w:val="restart"/>
            <w:tcBorders>
              <w:top w:val="nil"/>
              <w:left w:val="nil"/>
              <w:bottom w:val="single" w:sz="12" w:space="0" w:color="auto"/>
              <w:right w:val="nil"/>
            </w:tcBorders>
            <w:hideMark/>
          </w:tcPr>
          <w:p w14:paraId="03C21A74" w14:textId="77777777" w:rsidR="008C39F0" w:rsidRPr="00233DC4" w:rsidRDefault="008C39F0" w:rsidP="00960FEC">
            <w:r w:rsidRPr="00233DC4">
              <w:t>INTERNATIONAL TELECOMMUNICATION UNION</w:t>
            </w:r>
          </w:p>
          <w:p w14:paraId="487D8BD0" w14:textId="77777777" w:rsidR="008C39F0" w:rsidRPr="00233DC4" w:rsidRDefault="008C39F0" w:rsidP="00960FEC">
            <w:pPr>
              <w:rPr>
                <w:b/>
                <w:bCs/>
                <w:sz w:val="26"/>
              </w:rPr>
            </w:pPr>
            <w:r w:rsidRPr="00233DC4">
              <w:rPr>
                <w:b/>
                <w:bCs/>
                <w:sz w:val="26"/>
              </w:rPr>
              <w:t>TELECOMMUNICATION STANDARDIZATION SECTOR</w:t>
            </w:r>
          </w:p>
          <w:p w14:paraId="136982D5" w14:textId="77777777" w:rsidR="008C39F0" w:rsidRPr="00233DC4" w:rsidRDefault="008C39F0" w:rsidP="00960FEC">
            <w:r w:rsidRPr="00233DC4">
              <w:t>STUDY PERIOD 2022-2024</w:t>
            </w:r>
          </w:p>
        </w:tc>
        <w:tc>
          <w:tcPr>
            <w:tcW w:w="3632" w:type="dxa"/>
            <w:shd w:val="clear" w:color="auto" w:fill="auto"/>
            <w:hideMark/>
          </w:tcPr>
          <w:p w14:paraId="51CCD7CE" w14:textId="6199F615" w:rsidR="008C39F0" w:rsidRPr="00233DC4" w:rsidRDefault="008C39F0" w:rsidP="00960FEC">
            <w:pPr>
              <w:pStyle w:val="Docnumber"/>
              <w:rPr>
                <w:color w:val="FF0000"/>
              </w:rPr>
            </w:pPr>
            <w:r w:rsidRPr="00233DC4">
              <w:rPr>
                <w:color w:val="000000" w:themeColor="text1"/>
              </w:rPr>
              <w:t>TSAG-TD</w:t>
            </w:r>
            <w:r w:rsidR="00D000A0">
              <w:rPr>
                <w:color w:val="000000" w:themeColor="text1"/>
              </w:rPr>
              <w:t>531</w:t>
            </w:r>
          </w:p>
        </w:tc>
      </w:tr>
      <w:tr w:rsidR="008C39F0" w:rsidRPr="00233DC4" w14:paraId="1183E310" w14:textId="77777777" w:rsidTr="00B34358">
        <w:trPr>
          <w:cantSplit/>
          <w:trHeight w:val="20"/>
        </w:trPr>
        <w:tc>
          <w:tcPr>
            <w:tcW w:w="1192" w:type="dxa"/>
            <w:vMerge/>
            <w:tcBorders>
              <w:top w:val="nil"/>
              <w:left w:val="nil"/>
              <w:bottom w:val="single" w:sz="12" w:space="0" w:color="auto"/>
              <w:right w:val="nil"/>
            </w:tcBorders>
            <w:vAlign w:val="center"/>
            <w:hideMark/>
          </w:tcPr>
          <w:p w14:paraId="564FB55A" w14:textId="77777777" w:rsidR="008C39F0" w:rsidRPr="00233DC4" w:rsidRDefault="008C39F0" w:rsidP="00960FEC">
            <w:pPr>
              <w:rPr>
                <w:b/>
                <w:bCs/>
                <w:sz w:val="26"/>
              </w:rPr>
            </w:pPr>
          </w:p>
        </w:tc>
        <w:tc>
          <w:tcPr>
            <w:tcW w:w="5106" w:type="dxa"/>
            <w:gridSpan w:val="2"/>
            <w:vMerge/>
            <w:tcBorders>
              <w:top w:val="nil"/>
              <w:left w:val="nil"/>
              <w:bottom w:val="single" w:sz="12" w:space="0" w:color="auto"/>
              <w:right w:val="nil"/>
            </w:tcBorders>
            <w:vAlign w:val="center"/>
            <w:hideMark/>
          </w:tcPr>
          <w:p w14:paraId="4AED2D0A" w14:textId="77777777" w:rsidR="008C39F0" w:rsidRPr="00233DC4" w:rsidRDefault="008C39F0" w:rsidP="00960FEC"/>
        </w:tc>
        <w:tc>
          <w:tcPr>
            <w:tcW w:w="3632" w:type="dxa"/>
            <w:hideMark/>
          </w:tcPr>
          <w:p w14:paraId="07E5AF54" w14:textId="77777777" w:rsidR="008C39F0" w:rsidRPr="00233DC4" w:rsidRDefault="008C39F0" w:rsidP="00960FEC">
            <w:pPr>
              <w:jc w:val="right"/>
              <w:rPr>
                <w:b/>
                <w:bCs/>
                <w:sz w:val="28"/>
              </w:rPr>
            </w:pPr>
            <w:r w:rsidRPr="00233DC4">
              <w:rPr>
                <w:b/>
                <w:bCs/>
                <w:sz w:val="28"/>
              </w:rPr>
              <w:t>TSAG</w:t>
            </w:r>
          </w:p>
        </w:tc>
      </w:tr>
      <w:tr w:rsidR="008C39F0" w:rsidRPr="00233DC4" w14:paraId="028A10F5" w14:textId="77777777" w:rsidTr="00B34358">
        <w:trPr>
          <w:cantSplit/>
          <w:trHeight w:val="20"/>
        </w:trPr>
        <w:tc>
          <w:tcPr>
            <w:tcW w:w="1192" w:type="dxa"/>
            <w:vMerge/>
            <w:tcBorders>
              <w:top w:val="nil"/>
              <w:left w:val="nil"/>
              <w:bottom w:val="single" w:sz="12" w:space="0" w:color="auto"/>
              <w:right w:val="nil"/>
            </w:tcBorders>
            <w:vAlign w:val="center"/>
            <w:hideMark/>
          </w:tcPr>
          <w:p w14:paraId="0BAAA379" w14:textId="77777777" w:rsidR="008C39F0" w:rsidRPr="00233DC4" w:rsidRDefault="008C39F0" w:rsidP="00960FEC">
            <w:pPr>
              <w:rPr>
                <w:b/>
                <w:bCs/>
                <w:sz w:val="26"/>
              </w:rPr>
            </w:pPr>
          </w:p>
        </w:tc>
        <w:tc>
          <w:tcPr>
            <w:tcW w:w="5106" w:type="dxa"/>
            <w:gridSpan w:val="2"/>
            <w:vMerge/>
            <w:tcBorders>
              <w:top w:val="nil"/>
              <w:left w:val="nil"/>
              <w:bottom w:val="single" w:sz="12" w:space="0" w:color="auto"/>
              <w:right w:val="nil"/>
            </w:tcBorders>
            <w:vAlign w:val="center"/>
            <w:hideMark/>
          </w:tcPr>
          <w:p w14:paraId="2C4E1773" w14:textId="77777777" w:rsidR="008C39F0" w:rsidRPr="00233DC4" w:rsidRDefault="008C39F0" w:rsidP="00960FEC"/>
        </w:tc>
        <w:tc>
          <w:tcPr>
            <w:tcW w:w="3632" w:type="dxa"/>
            <w:tcBorders>
              <w:top w:val="nil"/>
              <w:left w:val="nil"/>
              <w:bottom w:val="single" w:sz="12" w:space="0" w:color="auto"/>
              <w:right w:val="nil"/>
            </w:tcBorders>
            <w:hideMark/>
          </w:tcPr>
          <w:p w14:paraId="4AE65CFC" w14:textId="77777777" w:rsidR="008C39F0" w:rsidRPr="00233DC4" w:rsidRDefault="008C39F0" w:rsidP="00960FEC">
            <w:pPr>
              <w:jc w:val="right"/>
              <w:rPr>
                <w:b/>
                <w:bCs/>
                <w:sz w:val="28"/>
              </w:rPr>
            </w:pPr>
            <w:r w:rsidRPr="00233DC4">
              <w:rPr>
                <w:b/>
                <w:bCs/>
                <w:sz w:val="28"/>
              </w:rPr>
              <w:t>Original: English</w:t>
            </w:r>
          </w:p>
        </w:tc>
      </w:tr>
      <w:tr w:rsidR="008C39F0" w:rsidRPr="00060166" w14:paraId="0393E21E" w14:textId="77777777" w:rsidTr="00B34358">
        <w:trPr>
          <w:cantSplit/>
          <w:trHeight w:val="20"/>
        </w:trPr>
        <w:tc>
          <w:tcPr>
            <w:tcW w:w="1701" w:type="dxa"/>
            <w:gridSpan w:val="2"/>
            <w:hideMark/>
          </w:tcPr>
          <w:p w14:paraId="05B93F94" w14:textId="77777777" w:rsidR="008C39F0" w:rsidRPr="00060166" w:rsidRDefault="008C39F0" w:rsidP="00960FEC">
            <w:pPr>
              <w:rPr>
                <w:b/>
                <w:bCs/>
              </w:rPr>
            </w:pPr>
            <w:r w:rsidRPr="00060166">
              <w:rPr>
                <w:b/>
                <w:bCs/>
              </w:rPr>
              <w:t>Question(s):</w:t>
            </w:r>
          </w:p>
        </w:tc>
        <w:tc>
          <w:tcPr>
            <w:tcW w:w="4597" w:type="dxa"/>
            <w:hideMark/>
          </w:tcPr>
          <w:p w14:paraId="2EC8C991" w14:textId="77777777" w:rsidR="008C39F0" w:rsidRPr="00060166" w:rsidRDefault="008C39F0" w:rsidP="00960FEC">
            <w:r w:rsidRPr="00060166">
              <w:t>N/A</w:t>
            </w:r>
          </w:p>
        </w:tc>
        <w:tc>
          <w:tcPr>
            <w:tcW w:w="3632" w:type="dxa"/>
            <w:hideMark/>
          </w:tcPr>
          <w:p w14:paraId="67E97E01" w14:textId="77777777" w:rsidR="008C39F0" w:rsidRPr="00060166" w:rsidRDefault="008C39F0" w:rsidP="00960FEC">
            <w:pPr>
              <w:jc w:val="right"/>
            </w:pPr>
            <w:r w:rsidRPr="00060166">
              <w:t>Geneva, 29 July – 2 August 2024</w:t>
            </w:r>
          </w:p>
        </w:tc>
      </w:tr>
      <w:tr w:rsidR="008C39F0" w:rsidRPr="00060166" w14:paraId="186F340B" w14:textId="77777777" w:rsidTr="00B34358">
        <w:trPr>
          <w:cantSplit/>
          <w:trHeight w:val="20"/>
        </w:trPr>
        <w:tc>
          <w:tcPr>
            <w:tcW w:w="9930" w:type="dxa"/>
            <w:gridSpan w:val="4"/>
            <w:hideMark/>
          </w:tcPr>
          <w:p w14:paraId="5B564A5A" w14:textId="77777777" w:rsidR="008C39F0" w:rsidRPr="00060166" w:rsidRDefault="008C39F0" w:rsidP="00960FEC">
            <w:pPr>
              <w:jc w:val="center"/>
              <w:rPr>
                <w:b/>
                <w:bCs/>
              </w:rPr>
            </w:pPr>
            <w:r w:rsidRPr="00060166">
              <w:rPr>
                <w:b/>
                <w:bCs/>
              </w:rPr>
              <w:t>TD</w:t>
            </w:r>
          </w:p>
        </w:tc>
      </w:tr>
      <w:tr w:rsidR="008C39F0" w:rsidRPr="00060166" w14:paraId="738C922F" w14:textId="77777777" w:rsidTr="00B34358">
        <w:trPr>
          <w:cantSplit/>
          <w:trHeight w:val="20"/>
        </w:trPr>
        <w:tc>
          <w:tcPr>
            <w:tcW w:w="1701" w:type="dxa"/>
            <w:gridSpan w:val="2"/>
            <w:hideMark/>
          </w:tcPr>
          <w:p w14:paraId="7D2C3933" w14:textId="77777777" w:rsidR="008C39F0" w:rsidRPr="00060166" w:rsidRDefault="008C39F0" w:rsidP="00960FEC">
            <w:pPr>
              <w:rPr>
                <w:b/>
                <w:bCs/>
              </w:rPr>
            </w:pPr>
            <w:r w:rsidRPr="00060166">
              <w:rPr>
                <w:b/>
                <w:bCs/>
              </w:rPr>
              <w:t>Source:</w:t>
            </w:r>
          </w:p>
        </w:tc>
        <w:tc>
          <w:tcPr>
            <w:tcW w:w="8229" w:type="dxa"/>
            <w:gridSpan w:val="2"/>
            <w:hideMark/>
          </w:tcPr>
          <w:p w14:paraId="249B4401" w14:textId="0F274260" w:rsidR="008C39F0" w:rsidRPr="00060166" w:rsidRDefault="008C39F0" w:rsidP="00960FEC">
            <w:pPr>
              <w:rPr>
                <w:color w:val="2E74B5"/>
              </w:rPr>
            </w:pPr>
            <w:r>
              <w:t>Rapporteur, RG</w:t>
            </w:r>
            <w:r w:rsidR="008C4EB5">
              <w:t>-DT</w:t>
            </w:r>
          </w:p>
        </w:tc>
      </w:tr>
      <w:tr w:rsidR="00D000A0" w:rsidRPr="00060166" w14:paraId="223B24A3" w14:textId="77777777" w:rsidTr="00D000A0">
        <w:trPr>
          <w:cantSplit/>
          <w:trHeight w:val="537"/>
        </w:trPr>
        <w:tc>
          <w:tcPr>
            <w:tcW w:w="1701" w:type="dxa"/>
            <w:gridSpan w:val="2"/>
            <w:tcBorders>
              <w:bottom w:val="single" w:sz="4" w:space="0" w:color="auto"/>
            </w:tcBorders>
            <w:hideMark/>
          </w:tcPr>
          <w:p w14:paraId="72D0FB46" w14:textId="77777777" w:rsidR="00D000A0" w:rsidRPr="00060166" w:rsidRDefault="00D000A0" w:rsidP="00960FEC">
            <w:pPr>
              <w:rPr>
                <w:b/>
                <w:bCs/>
              </w:rPr>
            </w:pPr>
            <w:r w:rsidRPr="00060166">
              <w:rPr>
                <w:b/>
                <w:bCs/>
              </w:rPr>
              <w:t>Title:</w:t>
            </w:r>
          </w:p>
        </w:tc>
        <w:tc>
          <w:tcPr>
            <w:tcW w:w="8229" w:type="dxa"/>
            <w:gridSpan w:val="2"/>
            <w:hideMark/>
          </w:tcPr>
          <w:p w14:paraId="5644A357" w14:textId="7F34D8DD" w:rsidR="00D000A0" w:rsidRPr="008C4EB5" w:rsidRDefault="005C25E3" w:rsidP="00960FEC">
            <w:pPr>
              <w:pStyle w:val="Heading1"/>
              <w:shd w:val="clear" w:color="auto" w:fill="FFFFFF"/>
              <w:tabs>
                <w:tab w:val="clear" w:pos="794"/>
              </w:tabs>
              <w:spacing w:before="120"/>
              <w:ind w:left="0" w:firstLine="0"/>
              <w:rPr>
                <w:rFonts w:eastAsiaTheme="minorEastAsia"/>
                <w:b w:val="0"/>
                <w:bCs/>
                <w:szCs w:val="24"/>
                <w:lang w:eastAsia="ja-JP"/>
              </w:rPr>
            </w:pPr>
            <w:r>
              <w:rPr>
                <w:b w:val="0"/>
                <w:bCs/>
              </w:rPr>
              <w:t>Progress r</w:t>
            </w:r>
            <w:r w:rsidR="00D000A0" w:rsidRPr="008C4EB5">
              <w:rPr>
                <w:b w:val="0"/>
                <w:bCs/>
              </w:rPr>
              <w:t>eport of the interim TSAG RG-DT meetings (June 2023 to July 2024</w:t>
            </w:r>
            <w:r w:rsidR="00D000A0">
              <w:rPr>
                <w:b w:val="0"/>
                <w:bCs/>
              </w:rPr>
              <w:t>)</w:t>
            </w:r>
          </w:p>
        </w:tc>
      </w:tr>
      <w:tr w:rsidR="008C39F0" w:rsidRPr="00D000A0" w14:paraId="16EB2DF4" w14:textId="77777777" w:rsidTr="00D000A0">
        <w:trPr>
          <w:trHeight w:val="989"/>
        </w:trPr>
        <w:tc>
          <w:tcPr>
            <w:tcW w:w="1701" w:type="dxa"/>
            <w:gridSpan w:val="2"/>
            <w:tcBorders>
              <w:top w:val="single" w:sz="4" w:space="0" w:color="auto"/>
              <w:left w:val="nil"/>
              <w:bottom w:val="single" w:sz="4" w:space="0" w:color="auto"/>
              <w:right w:val="nil"/>
            </w:tcBorders>
          </w:tcPr>
          <w:p w14:paraId="51F9477F" w14:textId="46331C3D" w:rsidR="008C39F0" w:rsidRPr="00060166" w:rsidRDefault="00B34358" w:rsidP="00D000A0">
            <w:pPr>
              <w:rPr>
                <w:b/>
                <w:bCs/>
              </w:rPr>
            </w:pPr>
            <w:r w:rsidRPr="0068196C">
              <w:rPr>
                <w:b/>
                <w:bCs/>
              </w:rPr>
              <w:t>Contact:</w:t>
            </w:r>
          </w:p>
        </w:tc>
        <w:tc>
          <w:tcPr>
            <w:tcW w:w="4597" w:type="dxa"/>
            <w:tcBorders>
              <w:top w:val="single" w:sz="4" w:space="0" w:color="auto"/>
              <w:left w:val="nil"/>
              <w:bottom w:val="single" w:sz="4" w:space="0" w:color="auto"/>
              <w:right w:val="nil"/>
            </w:tcBorders>
          </w:tcPr>
          <w:p w14:paraId="6338BB83" w14:textId="1FBB8421" w:rsidR="008C39F0" w:rsidRPr="00060166" w:rsidRDefault="008C4EB5" w:rsidP="00D000A0">
            <w:r w:rsidRPr="008C4EB5">
              <w:rPr>
                <w:rFonts w:asciiTheme="majorBidi" w:hAnsiTheme="majorBidi" w:cstheme="majorBidi"/>
                <w:bCs/>
              </w:rPr>
              <w:t>Ahmad Sh</w:t>
            </w:r>
            <w:r>
              <w:rPr>
                <w:rFonts w:asciiTheme="majorBidi" w:hAnsiTheme="majorBidi" w:cstheme="majorBidi"/>
                <w:bCs/>
              </w:rPr>
              <w:t>arafat</w:t>
            </w:r>
            <w:r w:rsidR="00B34358" w:rsidRPr="008C4EB5">
              <w:rPr>
                <w:rFonts w:asciiTheme="majorBidi" w:hAnsiTheme="majorBidi" w:cstheme="majorBidi"/>
                <w:bCs/>
              </w:rPr>
              <w:br/>
              <w:t>Rapporteur, TSAG RG-</w:t>
            </w:r>
            <w:r>
              <w:rPr>
                <w:rFonts w:asciiTheme="majorBidi" w:hAnsiTheme="majorBidi" w:cstheme="majorBidi"/>
                <w:bCs/>
              </w:rPr>
              <w:t>DT</w:t>
            </w:r>
            <w:r w:rsidR="00B34358" w:rsidRPr="008C4EB5">
              <w:rPr>
                <w:rFonts w:asciiTheme="majorBidi" w:hAnsiTheme="majorBidi" w:cstheme="majorBidi"/>
                <w:bCs/>
              </w:rPr>
              <w:br/>
            </w:r>
            <w:r w:rsidR="00137606">
              <w:rPr>
                <w:rFonts w:asciiTheme="majorBidi" w:hAnsiTheme="majorBidi" w:cstheme="majorBidi"/>
                <w:bCs/>
              </w:rPr>
              <w:t>Iran</w:t>
            </w:r>
          </w:p>
        </w:tc>
        <w:tc>
          <w:tcPr>
            <w:tcW w:w="3632" w:type="dxa"/>
            <w:tcBorders>
              <w:top w:val="single" w:sz="4" w:space="0" w:color="auto"/>
              <w:left w:val="nil"/>
              <w:bottom w:val="single" w:sz="4" w:space="0" w:color="auto"/>
              <w:right w:val="nil"/>
            </w:tcBorders>
          </w:tcPr>
          <w:p w14:paraId="127E6B68" w14:textId="4F5E8E97" w:rsidR="008C39F0" w:rsidRPr="00060166" w:rsidRDefault="00B34358" w:rsidP="00D000A0">
            <w:pPr>
              <w:rPr>
                <w:lang w:val="de-DE"/>
              </w:rPr>
            </w:pPr>
            <w:r w:rsidRPr="00B769A8">
              <w:rPr>
                <w:rFonts w:asciiTheme="majorBidi" w:hAnsiTheme="majorBidi" w:cstheme="majorBidi"/>
                <w:bCs/>
                <w:lang w:val="de-DE"/>
              </w:rPr>
              <w:t xml:space="preserve">E-mail: </w:t>
            </w:r>
            <w:r w:rsidR="005C25E3">
              <w:fldChar w:fldCharType="begin"/>
            </w:r>
            <w:r w:rsidR="005C25E3" w:rsidRPr="00D000A0">
              <w:rPr>
                <w:lang w:val="de-DE"/>
              </w:rPr>
              <w:instrText>HYPERLINK "mailto:ahmad.sharafat@gmail.com"</w:instrText>
            </w:r>
            <w:r w:rsidR="005C25E3">
              <w:fldChar w:fldCharType="separate"/>
            </w:r>
            <w:r w:rsidR="008C4EB5" w:rsidRPr="00D000A0">
              <w:rPr>
                <w:rStyle w:val="Hyperlink"/>
                <w:lang w:val="de-DE"/>
              </w:rPr>
              <w:t>ahmad.sharafat@gmail.com</w:t>
            </w:r>
            <w:r w:rsidR="005C25E3">
              <w:rPr>
                <w:rStyle w:val="Hyperlink"/>
                <w:lang w:val="fr-FR"/>
              </w:rPr>
              <w:fldChar w:fldCharType="end"/>
            </w:r>
          </w:p>
        </w:tc>
      </w:tr>
      <w:tr w:rsidR="00D000A0" w:rsidRPr="00D000A0" w14:paraId="16239A65" w14:textId="77777777" w:rsidTr="00D000A0">
        <w:trPr>
          <w:trHeight w:val="20"/>
        </w:trPr>
        <w:tc>
          <w:tcPr>
            <w:tcW w:w="1701" w:type="dxa"/>
            <w:gridSpan w:val="2"/>
            <w:tcBorders>
              <w:top w:val="single" w:sz="4" w:space="0" w:color="auto"/>
              <w:left w:val="nil"/>
              <w:bottom w:val="single" w:sz="4" w:space="0" w:color="auto"/>
              <w:right w:val="nil"/>
            </w:tcBorders>
          </w:tcPr>
          <w:p w14:paraId="01E71457" w14:textId="765DD0E1" w:rsidR="00D000A0" w:rsidRPr="0068196C" w:rsidRDefault="00D000A0" w:rsidP="00B34358">
            <w:pPr>
              <w:rPr>
                <w:b/>
                <w:bCs/>
              </w:rPr>
            </w:pPr>
            <w:r w:rsidRPr="00060166">
              <w:rPr>
                <w:b/>
                <w:bCs/>
              </w:rPr>
              <w:t>Contact:</w:t>
            </w:r>
          </w:p>
        </w:tc>
        <w:tc>
          <w:tcPr>
            <w:tcW w:w="4597" w:type="dxa"/>
            <w:tcBorders>
              <w:top w:val="single" w:sz="4" w:space="0" w:color="auto"/>
              <w:left w:val="nil"/>
              <w:bottom w:val="single" w:sz="4" w:space="0" w:color="auto"/>
              <w:right w:val="nil"/>
            </w:tcBorders>
          </w:tcPr>
          <w:p w14:paraId="55009ACB" w14:textId="77777777" w:rsidR="00D000A0" w:rsidRDefault="00D000A0" w:rsidP="00D000A0">
            <w:pPr>
              <w:rPr>
                <w:rFonts w:asciiTheme="majorBidi" w:hAnsiTheme="majorBidi" w:cstheme="majorBidi"/>
                <w:bCs/>
              </w:rPr>
            </w:pPr>
            <w:r>
              <w:rPr>
                <w:rFonts w:asciiTheme="majorBidi" w:hAnsiTheme="majorBidi" w:cstheme="majorBidi"/>
                <w:bCs/>
              </w:rPr>
              <w:t>Ahmed Said</w:t>
            </w:r>
          </w:p>
          <w:p w14:paraId="133F40E1" w14:textId="77777777" w:rsidR="00D000A0" w:rsidRPr="00D000A0" w:rsidRDefault="00D000A0" w:rsidP="00D000A0">
            <w:pPr>
              <w:spacing w:before="0"/>
              <w:rPr>
                <w:rFonts w:asciiTheme="majorBidi" w:hAnsiTheme="majorBidi" w:cstheme="majorBidi"/>
                <w:bCs/>
                <w:lang w:val="fr-FR"/>
              </w:rPr>
            </w:pPr>
            <w:r w:rsidRPr="00D000A0">
              <w:rPr>
                <w:rFonts w:asciiTheme="majorBidi" w:hAnsiTheme="majorBidi" w:cstheme="majorBidi"/>
                <w:bCs/>
                <w:lang w:val="fr-FR"/>
              </w:rPr>
              <w:t>Associate Rapporteur, TSAG RG-DT</w:t>
            </w:r>
          </w:p>
          <w:p w14:paraId="19040356" w14:textId="31CF1C83" w:rsidR="00D000A0" w:rsidRPr="008C4EB5" w:rsidRDefault="00D000A0" w:rsidP="00D000A0">
            <w:pPr>
              <w:spacing w:before="0"/>
              <w:rPr>
                <w:rFonts w:asciiTheme="majorBidi" w:hAnsiTheme="majorBidi" w:cstheme="majorBidi"/>
                <w:bCs/>
              </w:rPr>
            </w:pPr>
            <w:r w:rsidRPr="00D000A0">
              <w:rPr>
                <w:rFonts w:asciiTheme="majorBidi" w:hAnsiTheme="majorBidi" w:cstheme="majorBidi"/>
                <w:bCs/>
                <w:lang w:val="fr-FR"/>
              </w:rPr>
              <w:t xml:space="preserve">MCIT, </w:t>
            </w:r>
            <w:proofErr w:type="spellStart"/>
            <w:r w:rsidRPr="00D000A0">
              <w:rPr>
                <w:rFonts w:asciiTheme="majorBidi" w:hAnsiTheme="majorBidi" w:cstheme="majorBidi"/>
                <w:bCs/>
                <w:lang w:val="fr-FR"/>
              </w:rPr>
              <w:t>Egypt</w:t>
            </w:r>
            <w:proofErr w:type="spellEnd"/>
          </w:p>
        </w:tc>
        <w:tc>
          <w:tcPr>
            <w:tcW w:w="3632" w:type="dxa"/>
            <w:tcBorders>
              <w:top w:val="single" w:sz="4" w:space="0" w:color="auto"/>
              <w:left w:val="nil"/>
              <w:bottom w:val="single" w:sz="4" w:space="0" w:color="auto"/>
              <w:right w:val="nil"/>
            </w:tcBorders>
          </w:tcPr>
          <w:p w14:paraId="2885C748" w14:textId="77777777" w:rsidR="00D000A0" w:rsidRPr="00D000A0" w:rsidRDefault="00D000A0" w:rsidP="00D000A0">
            <w:pPr>
              <w:rPr>
                <w:rStyle w:val="Hyperlink"/>
                <w:lang w:val="de-DE"/>
              </w:rPr>
            </w:pPr>
            <w:r w:rsidRPr="00B769A8">
              <w:rPr>
                <w:rFonts w:asciiTheme="majorBidi" w:hAnsiTheme="majorBidi" w:cstheme="majorBidi"/>
                <w:bCs/>
                <w:lang w:val="de-DE"/>
              </w:rPr>
              <w:t xml:space="preserve">E-mail: </w:t>
            </w:r>
            <w:r>
              <w:fldChar w:fldCharType="begin"/>
            </w:r>
            <w:r w:rsidRPr="00D000A0">
              <w:rPr>
                <w:lang w:val="de-DE"/>
              </w:rPr>
              <w:instrText>HYPERLINK "mailto:ahmed.said@mcit.gov.eg"</w:instrText>
            </w:r>
            <w:r>
              <w:fldChar w:fldCharType="separate"/>
            </w:r>
            <w:r w:rsidRPr="000657DD">
              <w:rPr>
                <w:rStyle w:val="Hyperlink"/>
                <w:rFonts w:asciiTheme="majorBidi" w:hAnsiTheme="majorBidi" w:cstheme="majorBidi"/>
                <w:bCs/>
                <w:lang w:val="de-DE"/>
              </w:rPr>
              <w:t>ahmed.said@mcit.gov.eg</w:t>
            </w:r>
            <w:r>
              <w:rPr>
                <w:rStyle w:val="Hyperlink"/>
                <w:rFonts w:asciiTheme="majorBidi" w:hAnsiTheme="majorBidi" w:cstheme="majorBidi"/>
                <w:bCs/>
                <w:lang w:val="de-DE"/>
              </w:rPr>
              <w:fldChar w:fldCharType="end"/>
            </w:r>
            <w:r>
              <w:rPr>
                <w:rFonts w:asciiTheme="majorBidi" w:hAnsiTheme="majorBidi" w:cstheme="majorBidi"/>
                <w:bCs/>
                <w:lang w:val="de-DE"/>
              </w:rPr>
              <w:t xml:space="preserve"> </w:t>
            </w:r>
          </w:p>
          <w:p w14:paraId="4A00A76B" w14:textId="77777777" w:rsidR="00D000A0" w:rsidRPr="00B769A8" w:rsidRDefault="00D000A0" w:rsidP="00B34358">
            <w:pPr>
              <w:rPr>
                <w:rFonts w:asciiTheme="majorBidi" w:hAnsiTheme="majorBidi" w:cstheme="majorBidi"/>
                <w:bCs/>
                <w:lang w:val="de-DE"/>
              </w:rPr>
            </w:pPr>
          </w:p>
        </w:tc>
      </w:tr>
      <w:tr w:rsidR="00D000A0" w:rsidRPr="00D000A0" w14:paraId="0C8EB1E8" w14:textId="77777777" w:rsidTr="00D000A0">
        <w:trPr>
          <w:trHeight w:val="20"/>
        </w:trPr>
        <w:tc>
          <w:tcPr>
            <w:tcW w:w="1701" w:type="dxa"/>
            <w:gridSpan w:val="2"/>
            <w:tcBorders>
              <w:top w:val="single" w:sz="4" w:space="0" w:color="auto"/>
              <w:left w:val="nil"/>
              <w:bottom w:val="single" w:sz="4" w:space="0" w:color="auto"/>
              <w:right w:val="nil"/>
            </w:tcBorders>
          </w:tcPr>
          <w:p w14:paraId="2425694F" w14:textId="08234818" w:rsidR="00D000A0" w:rsidRPr="0068196C" w:rsidRDefault="00D000A0" w:rsidP="00B34358">
            <w:pPr>
              <w:rPr>
                <w:b/>
                <w:bCs/>
              </w:rPr>
            </w:pPr>
            <w:r w:rsidRPr="00060166">
              <w:rPr>
                <w:b/>
                <w:bCs/>
              </w:rPr>
              <w:t>Contact:</w:t>
            </w:r>
          </w:p>
        </w:tc>
        <w:tc>
          <w:tcPr>
            <w:tcW w:w="4597" w:type="dxa"/>
            <w:tcBorders>
              <w:top w:val="single" w:sz="4" w:space="0" w:color="auto"/>
              <w:left w:val="nil"/>
              <w:bottom w:val="single" w:sz="4" w:space="0" w:color="auto"/>
              <w:right w:val="nil"/>
            </w:tcBorders>
          </w:tcPr>
          <w:p w14:paraId="3C015145" w14:textId="77777777" w:rsidR="00D000A0" w:rsidRPr="00D000A0" w:rsidRDefault="00D000A0" w:rsidP="00D000A0">
            <w:pPr>
              <w:rPr>
                <w:rFonts w:asciiTheme="majorBidi" w:hAnsiTheme="majorBidi" w:cstheme="majorBidi"/>
                <w:bCs/>
                <w:lang w:val="fr-FR"/>
              </w:rPr>
            </w:pPr>
            <w:r w:rsidRPr="00D000A0">
              <w:rPr>
                <w:rFonts w:asciiTheme="majorBidi" w:hAnsiTheme="majorBidi" w:cstheme="majorBidi"/>
                <w:bCs/>
                <w:lang w:val="fr-FR"/>
              </w:rPr>
              <w:t>Cynthia Lesufi</w:t>
            </w:r>
          </w:p>
          <w:p w14:paraId="1997900C" w14:textId="77777777" w:rsidR="00D000A0" w:rsidRPr="00D000A0" w:rsidRDefault="00D000A0" w:rsidP="00D000A0">
            <w:pPr>
              <w:spacing w:before="0"/>
              <w:rPr>
                <w:rFonts w:asciiTheme="majorBidi" w:hAnsiTheme="majorBidi" w:cstheme="majorBidi"/>
                <w:bCs/>
                <w:lang w:val="fr-FR"/>
              </w:rPr>
            </w:pPr>
            <w:r w:rsidRPr="00D000A0">
              <w:rPr>
                <w:rFonts w:asciiTheme="majorBidi" w:hAnsiTheme="majorBidi" w:cstheme="majorBidi"/>
                <w:bCs/>
                <w:lang w:val="fr-FR"/>
              </w:rPr>
              <w:t>Associate Rapporteur, TSAG RG-DT</w:t>
            </w:r>
          </w:p>
          <w:p w14:paraId="4A45BE76" w14:textId="7185AAF3" w:rsidR="00D000A0" w:rsidRPr="008C4EB5" w:rsidRDefault="00D000A0" w:rsidP="00D000A0">
            <w:pPr>
              <w:spacing w:before="0"/>
              <w:rPr>
                <w:rFonts w:asciiTheme="majorBidi" w:hAnsiTheme="majorBidi" w:cstheme="majorBidi"/>
                <w:bCs/>
              </w:rPr>
            </w:pPr>
            <w:r>
              <w:rPr>
                <w:rFonts w:asciiTheme="majorBidi" w:hAnsiTheme="majorBidi" w:cstheme="majorBidi"/>
                <w:bCs/>
              </w:rPr>
              <w:t>South Africa</w:t>
            </w:r>
          </w:p>
        </w:tc>
        <w:tc>
          <w:tcPr>
            <w:tcW w:w="3632" w:type="dxa"/>
            <w:tcBorders>
              <w:top w:val="single" w:sz="4" w:space="0" w:color="auto"/>
              <w:left w:val="nil"/>
              <w:bottom w:val="single" w:sz="4" w:space="0" w:color="auto"/>
              <w:right w:val="nil"/>
            </w:tcBorders>
          </w:tcPr>
          <w:p w14:paraId="70A888A2" w14:textId="7C97021E" w:rsidR="00D000A0" w:rsidRPr="00B769A8" w:rsidRDefault="00D000A0" w:rsidP="00B34358">
            <w:pPr>
              <w:rPr>
                <w:rFonts w:asciiTheme="majorBidi" w:hAnsiTheme="majorBidi" w:cstheme="majorBidi"/>
                <w:bCs/>
                <w:lang w:val="de-DE"/>
              </w:rPr>
            </w:pPr>
            <w:r w:rsidRPr="00B769A8">
              <w:rPr>
                <w:rFonts w:asciiTheme="majorBidi" w:hAnsiTheme="majorBidi" w:cstheme="majorBidi"/>
                <w:bCs/>
                <w:lang w:val="de-DE"/>
              </w:rPr>
              <w:t xml:space="preserve">E-mail: </w:t>
            </w:r>
            <w:r>
              <w:fldChar w:fldCharType="begin"/>
            </w:r>
            <w:r w:rsidRPr="00D000A0">
              <w:rPr>
                <w:lang w:val="de-DE"/>
              </w:rPr>
              <w:instrText>HYPERLINK "mailto:clesufi@dtps.gov.za"</w:instrText>
            </w:r>
            <w:r>
              <w:fldChar w:fldCharType="separate"/>
            </w:r>
            <w:r w:rsidRPr="00D000A0">
              <w:rPr>
                <w:rStyle w:val="Hyperlink"/>
                <w:lang w:val="de-DE"/>
              </w:rPr>
              <w:t>clesufi@dtps.gov.za</w:t>
            </w:r>
            <w:r>
              <w:rPr>
                <w:rStyle w:val="Hyperlink"/>
                <w:lang w:val="fr-FR"/>
              </w:rPr>
              <w:fldChar w:fldCharType="end"/>
            </w:r>
          </w:p>
        </w:tc>
      </w:tr>
      <w:tr w:rsidR="00D000A0" w:rsidRPr="00D000A0" w14:paraId="4E12524A" w14:textId="77777777" w:rsidTr="00D000A0">
        <w:trPr>
          <w:trHeight w:val="20"/>
        </w:trPr>
        <w:tc>
          <w:tcPr>
            <w:tcW w:w="1701" w:type="dxa"/>
            <w:gridSpan w:val="2"/>
            <w:tcBorders>
              <w:top w:val="single" w:sz="4" w:space="0" w:color="auto"/>
              <w:left w:val="nil"/>
              <w:bottom w:val="single" w:sz="12" w:space="0" w:color="auto"/>
              <w:right w:val="nil"/>
            </w:tcBorders>
          </w:tcPr>
          <w:p w14:paraId="012C235B" w14:textId="4C917A0A" w:rsidR="00D000A0" w:rsidRPr="0068196C" w:rsidRDefault="00D000A0" w:rsidP="00B34358">
            <w:pPr>
              <w:rPr>
                <w:b/>
                <w:bCs/>
              </w:rPr>
            </w:pPr>
            <w:r w:rsidRPr="00060166">
              <w:rPr>
                <w:b/>
                <w:bCs/>
              </w:rPr>
              <w:t>Contact:</w:t>
            </w:r>
          </w:p>
        </w:tc>
        <w:tc>
          <w:tcPr>
            <w:tcW w:w="4597" w:type="dxa"/>
            <w:tcBorders>
              <w:top w:val="single" w:sz="4" w:space="0" w:color="auto"/>
              <w:left w:val="nil"/>
              <w:bottom w:val="single" w:sz="12" w:space="0" w:color="auto"/>
              <w:right w:val="nil"/>
            </w:tcBorders>
          </w:tcPr>
          <w:p w14:paraId="155512C8" w14:textId="58482C73" w:rsidR="00D000A0" w:rsidRPr="008C4EB5" w:rsidRDefault="00D000A0" w:rsidP="00960FEC">
            <w:pPr>
              <w:rPr>
                <w:rFonts w:asciiTheme="majorBidi" w:hAnsiTheme="majorBidi" w:cstheme="majorBidi"/>
                <w:bCs/>
              </w:rPr>
            </w:pPr>
            <w:r>
              <w:t>Vijay Mauree</w:t>
            </w:r>
            <w:r w:rsidRPr="00060166">
              <w:t xml:space="preserve"> </w:t>
            </w:r>
            <w:r w:rsidRPr="00060166">
              <w:br/>
            </w:r>
            <w:r w:rsidRPr="004D4291">
              <w:rPr>
                <w:rFonts w:eastAsia="SimSun"/>
                <w:bCs/>
              </w:rPr>
              <w:t>Secretary of TSAG RG-</w:t>
            </w:r>
            <w:r>
              <w:rPr>
                <w:rFonts w:eastAsia="SimSun"/>
                <w:bCs/>
              </w:rPr>
              <w:t>DT</w:t>
            </w:r>
          </w:p>
        </w:tc>
        <w:tc>
          <w:tcPr>
            <w:tcW w:w="3632" w:type="dxa"/>
            <w:tcBorders>
              <w:top w:val="single" w:sz="4" w:space="0" w:color="auto"/>
              <w:left w:val="nil"/>
              <w:bottom w:val="single" w:sz="12" w:space="0" w:color="auto"/>
              <w:right w:val="nil"/>
            </w:tcBorders>
          </w:tcPr>
          <w:p w14:paraId="7BBE4963" w14:textId="3A4328A1" w:rsidR="00D000A0" w:rsidRPr="00D000A0" w:rsidRDefault="00D000A0" w:rsidP="00B34358">
            <w:pPr>
              <w:rPr>
                <w:rFonts w:asciiTheme="majorBidi" w:hAnsiTheme="majorBidi" w:cstheme="majorBidi"/>
                <w:bCs/>
                <w:lang w:val="de-DE"/>
              </w:rPr>
            </w:pPr>
            <w:r w:rsidRPr="00060166">
              <w:rPr>
                <w:lang w:val="de-DE"/>
              </w:rPr>
              <w:t xml:space="preserve">E-mail: </w:t>
            </w:r>
            <w:r>
              <w:rPr>
                <w:lang w:val="de-DE"/>
              </w:rPr>
              <w:fldChar w:fldCharType="begin"/>
            </w:r>
            <w:r>
              <w:rPr>
                <w:lang w:val="de-DE"/>
              </w:rPr>
              <w:instrText>HYPERLINK "mailto:vijay.mauree@itu.int"</w:instrText>
            </w:r>
            <w:r>
              <w:rPr>
                <w:lang w:val="de-DE"/>
              </w:rPr>
            </w:r>
            <w:r>
              <w:rPr>
                <w:lang w:val="de-DE"/>
              </w:rPr>
              <w:fldChar w:fldCharType="separate"/>
            </w:r>
            <w:r w:rsidRPr="000657DD">
              <w:rPr>
                <w:rStyle w:val="Hyperlink"/>
                <w:lang w:val="de-DE"/>
              </w:rPr>
              <w:t>vijay.mauree@itu.int</w:t>
            </w:r>
            <w:r>
              <w:rPr>
                <w:lang w:val="de-DE"/>
              </w:rPr>
              <w:fldChar w:fldCharType="end"/>
            </w:r>
            <w:r>
              <w:rPr>
                <w:lang w:val="de-DE"/>
              </w:rPr>
              <w:t xml:space="preserve"> </w:t>
            </w:r>
            <w:r>
              <w:fldChar w:fldCharType="begin"/>
            </w:r>
            <w:r w:rsidRPr="00D000A0">
              <w:rPr>
                <w:lang w:val="de-DE"/>
              </w:rPr>
              <w:instrText>HYPERLINK "mailto:xiaoya.yang@itu.int"</w:instrText>
            </w:r>
            <w:r>
              <w:fldChar w:fldCharType="separate"/>
            </w:r>
            <w:r>
              <w:fldChar w:fldCharType="end"/>
            </w:r>
          </w:p>
        </w:tc>
      </w:tr>
    </w:tbl>
    <w:p w14:paraId="4901835C" w14:textId="77777777" w:rsidR="00B34358" w:rsidRPr="00D000A0" w:rsidRDefault="00B34358" w:rsidP="008C39F0">
      <w:pPr>
        <w:rPr>
          <w:b/>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8C39F0" w:rsidRPr="00060166" w14:paraId="4482AAA0" w14:textId="77777777" w:rsidTr="00960FEC">
        <w:trPr>
          <w:cantSplit/>
        </w:trPr>
        <w:tc>
          <w:tcPr>
            <w:tcW w:w="1701" w:type="dxa"/>
          </w:tcPr>
          <w:p w14:paraId="01555264" w14:textId="77777777" w:rsidR="008C39F0" w:rsidRPr="00060166" w:rsidRDefault="008C39F0" w:rsidP="00960FEC">
            <w:pPr>
              <w:rPr>
                <w:b/>
                <w:bCs/>
              </w:rPr>
            </w:pPr>
            <w:r w:rsidRPr="00060166">
              <w:rPr>
                <w:b/>
                <w:bCs/>
              </w:rPr>
              <w:t>Abstract:</w:t>
            </w:r>
          </w:p>
        </w:tc>
        <w:tc>
          <w:tcPr>
            <w:tcW w:w="8222" w:type="dxa"/>
          </w:tcPr>
          <w:p w14:paraId="4146644D" w14:textId="33278D36" w:rsidR="008C39F0" w:rsidRPr="00060166" w:rsidRDefault="00B34358" w:rsidP="005C25E3">
            <w:pPr>
              <w:autoSpaceDE w:val="0"/>
              <w:autoSpaceDN w:val="0"/>
              <w:adjustRightInd w:val="0"/>
              <w:spacing w:before="0"/>
            </w:pPr>
            <w:r w:rsidRPr="00B34358">
              <w:rPr>
                <w:bCs/>
              </w:rPr>
              <w:t xml:space="preserve">This TD </w:t>
            </w:r>
            <w:r w:rsidR="008C4EB5" w:rsidRPr="00501A80">
              <w:rPr>
                <w:bCs/>
              </w:rPr>
              <w:t>contains the final report of the interim meetings of TSAG Rapporteur Group on Sustainable Digital Transformation (RG-DT) which were held fully virtual from June 2023 to July 2024 and the text for the draft new</w:t>
            </w:r>
            <w:r w:rsidR="00501A80">
              <w:rPr>
                <w:bCs/>
              </w:rPr>
              <w:t xml:space="preserve"> </w:t>
            </w:r>
            <w:r w:rsidR="00501A80" w:rsidRPr="00501A80">
              <w:rPr>
                <w:bCs/>
              </w:rPr>
              <w:t>WTSA</w:t>
            </w:r>
            <w:r w:rsidR="008C4EB5" w:rsidRPr="00501A80">
              <w:rPr>
                <w:bCs/>
              </w:rPr>
              <w:t xml:space="preserve"> Resolution </w:t>
            </w:r>
            <w:r w:rsidR="00501A80" w:rsidRPr="00501A80">
              <w:rPr>
                <w:bCs/>
              </w:rPr>
              <w:t xml:space="preserve">on </w:t>
            </w:r>
            <w:r w:rsidR="00501A80" w:rsidRPr="00501A80">
              <w:rPr>
                <w:bCs/>
                <w:i/>
                <w:iCs/>
              </w:rPr>
              <w:t>Enhancing the standardization activities on Sustainable Digital Transformation</w:t>
            </w:r>
            <w:r w:rsidR="00501A80">
              <w:rPr>
                <w:bCs/>
              </w:rPr>
              <w:t>.</w:t>
            </w:r>
          </w:p>
        </w:tc>
      </w:tr>
      <w:tr w:rsidR="008C39F0" w:rsidRPr="00060166" w14:paraId="30637840" w14:textId="77777777" w:rsidTr="00960FEC">
        <w:trPr>
          <w:cantSplit/>
        </w:trPr>
        <w:tc>
          <w:tcPr>
            <w:tcW w:w="1701" w:type="dxa"/>
          </w:tcPr>
          <w:p w14:paraId="63D89A75" w14:textId="77777777" w:rsidR="008C39F0" w:rsidRPr="00060166" w:rsidRDefault="008C39F0" w:rsidP="00960FEC">
            <w:pPr>
              <w:rPr>
                <w:b/>
                <w:bCs/>
              </w:rPr>
            </w:pPr>
            <w:r w:rsidRPr="00060166">
              <w:rPr>
                <w:b/>
                <w:bCs/>
              </w:rPr>
              <w:t>Action required</w:t>
            </w:r>
            <w:r w:rsidRPr="00060166">
              <w:t>:</w:t>
            </w:r>
          </w:p>
        </w:tc>
        <w:tc>
          <w:tcPr>
            <w:tcW w:w="8222" w:type="dxa"/>
          </w:tcPr>
          <w:p w14:paraId="07AA6EA6" w14:textId="50C1F16B" w:rsidR="008C39F0" w:rsidRPr="00060166" w:rsidRDefault="008C4EB5" w:rsidP="00960FEC">
            <w:r>
              <w:t>TSAG</w:t>
            </w:r>
            <w:r w:rsidR="00B34358">
              <w:t xml:space="preserve"> is invited to </w:t>
            </w:r>
            <w:r w:rsidR="00501A80">
              <w:t>note</w:t>
            </w:r>
            <w:r w:rsidR="005B5A16">
              <w:t xml:space="preserve"> the </w:t>
            </w:r>
            <w:r w:rsidR="00501A80">
              <w:t xml:space="preserve">report and the consensus reached on the </w:t>
            </w:r>
            <w:r w:rsidR="00501A80" w:rsidRPr="00501A80">
              <w:rPr>
                <w:bCs/>
              </w:rPr>
              <w:t>text for the draft new</w:t>
            </w:r>
            <w:r w:rsidR="00501A80">
              <w:rPr>
                <w:bCs/>
              </w:rPr>
              <w:t xml:space="preserve"> </w:t>
            </w:r>
            <w:r w:rsidR="00501A80" w:rsidRPr="00501A80">
              <w:rPr>
                <w:bCs/>
              </w:rPr>
              <w:t xml:space="preserve">WTSA Resolution on </w:t>
            </w:r>
            <w:r w:rsidR="00501A80" w:rsidRPr="00501A80">
              <w:rPr>
                <w:bCs/>
                <w:i/>
                <w:iCs/>
              </w:rPr>
              <w:t>Enhancing the standardization activities on Sustainable Digital Transformation</w:t>
            </w:r>
            <w:r w:rsidR="00501A80">
              <w:rPr>
                <w:bCs/>
              </w:rPr>
              <w:t xml:space="preserve"> in Annex 1 of the report</w:t>
            </w:r>
            <w:r w:rsidR="005B5A16">
              <w:t>.</w:t>
            </w:r>
            <w:r w:rsidR="00B34358">
              <w:t xml:space="preserve"> </w:t>
            </w:r>
          </w:p>
        </w:tc>
      </w:tr>
    </w:tbl>
    <w:p w14:paraId="7308ED96" w14:textId="77777777" w:rsidR="008C39F0" w:rsidRDefault="008C39F0" w:rsidP="008C39F0"/>
    <w:p w14:paraId="5918756A" w14:textId="77777777" w:rsidR="00501A80" w:rsidRDefault="00501A80" w:rsidP="008C39F0"/>
    <w:p w14:paraId="6DC8AE7B" w14:textId="77777777" w:rsidR="00501A80" w:rsidRDefault="00501A80" w:rsidP="008C39F0"/>
    <w:p w14:paraId="1E737D09" w14:textId="77777777" w:rsidR="00501A80" w:rsidRDefault="00501A80" w:rsidP="008C39F0"/>
    <w:p w14:paraId="77A1F465" w14:textId="77777777" w:rsidR="00501A80" w:rsidRDefault="00501A80" w:rsidP="008C39F0"/>
    <w:p w14:paraId="776242C4" w14:textId="77777777" w:rsidR="00501A80" w:rsidRDefault="00501A80" w:rsidP="008C39F0"/>
    <w:p w14:paraId="455B383C" w14:textId="77777777" w:rsidR="00501A80" w:rsidRDefault="00501A80" w:rsidP="008C39F0"/>
    <w:p w14:paraId="538B962D" w14:textId="77777777" w:rsidR="00501A80" w:rsidRDefault="00501A80" w:rsidP="008C39F0"/>
    <w:p w14:paraId="1BC33E01" w14:textId="77777777" w:rsidR="00501A80" w:rsidRDefault="00501A80" w:rsidP="008C39F0"/>
    <w:p w14:paraId="1E2AD63B" w14:textId="77777777" w:rsidR="005C25E3" w:rsidRDefault="005C25E3" w:rsidP="008C39F0"/>
    <w:bookmarkEnd w:id="0"/>
    <w:bookmarkEnd w:id="1"/>
    <w:p w14:paraId="3A48ED07" w14:textId="26249C50" w:rsidR="00501A80" w:rsidRPr="00501A80" w:rsidRDefault="00501A80" w:rsidP="00D000A0">
      <w:pPr>
        <w:keepNext/>
        <w:keepLines/>
        <w:tabs>
          <w:tab w:val="left" w:pos="794"/>
          <w:tab w:val="left" w:pos="1191"/>
          <w:tab w:val="left" w:pos="1588"/>
          <w:tab w:val="left" w:pos="1985"/>
          <w:tab w:val="left" w:pos="5254"/>
        </w:tabs>
        <w:overflowPunct w:val="0"/>
        <w:autoSpaceDE w:val="0"/>
        <w:autoSpaceDN w:val="0"/>
        <w:adjustRightInd w:val="0"/>
        <w:spacing w:before="360"/>
        <w:ind w:left="794" w:hanging="794"/>
        <w:textAlignment w:val="baseline"/>
        <w:outlineLvl w:val="0"/>
        <w:rPr>
          <w:rFonts w:eastAsia="Times New Roman"/>
          <w:b/>
          <w:szCs w:val="20"/>
          <w:lang w:eastAsia="en-US"/>
        </w:rPr>
      </w:pPr>
      <w:r w:rsidRPr="00501A80">
        <w:rPr>
          <w:rFonts w:eastAsia="Times New Roman"/>
          <w:b/>
          <w:szCs w:val="20"/>
          <w:lang w:eastAsia="en-US"/>
        </w:rPr>
        <w:lastRenderedPageBreak/>
        <w:t>1.</w:t>
      </w:r>
      <w:r w:rsidRPr="00501A80">
        <w:rPr>
          <w:rFonts w:eastAsia="Times New Roman"/>
          <w:b/>
          <w:szCs w:val="20"/>
          <w:lang w:eastAsia="en-US"/>
        </w:rPr>
        <w:tab/>
        <w:t>Reports from the interim meetings</w:t>
      </w:r>
      <w:r w:rsidR="00D000A0">
        <w:rPr>
          <w:rFonts w:eastAsia="Times New Roman"/>
          <w:b/>
          <w:szCs w:val="20"/>
          <w:lang w:eastAsia="en-US"/>
        </w:rPr>
        <w:tab/>
      </w:r>
    </w:p>
    <w:p w14:paraId="1AB9FD36" w14:textId="77777777" w:rsidR="00501A80" w:rsidRPr="00501A80" w:rsidRDefault="00501A80" w:rsidP="00501A80">
      <w:pPr>
        <w:spacing w:after="240"/>
      </w:pPr>
      <w:r w:rsidRPr="00501A80">
        <w:t>TSAG RG-DT organized several interim meetings as highlighted below.</w:t>
      </w:r>
    </w:p>
    <w:tbl>
      <w:tblPr>
        <w:tblStyle w:val="TableGrid1"/>
        <w:tblW w:w="0" w:type="auto"/>
        <w:tblLook w:val="04A0" w:firstRow="1" w:lastRow="0" w:firstColumn="1" w:lastColumn="0" w:noHBand="0" w:noVBand="1"/>
      </w:tblPr>
      <w:tblGrid>
        <w:gridCol w:w="2263"/>
        <w:gridCol w:w="4572"/>
        <w:gridCol w:w="2515"/>
      </w:tblGrid>
      <w:tr w:rsidR="00501A80" w:rsidRPr="00501A80" w14:paraId="54F5D601" w14:textId="77777777" w:rsidTr="00BF3648">
        <w:trPr>
          <w:tblHeader/>
        </w:trPr>
        <w:tc>
          <w:tcPr>
            <w:tcW w:w="2263" w:type="dxa"/>
            <w:shd w:val="clear" w:color="auto" w:fill="D9D9D9" w:themeFill="background1" w:themeFillShade="D9"/>
            <w:vAlign w:val="center"/>
          </w:tcPr>
          <w:p w14:paraId="6C33C805" w14:textId="77777777" w:rsidR="00501A80" w:rsidRPr="00501A80" w:rsidRDefault="00501A80" w:rsidP="00501A80">
            <w:pPr>
              <w:jc w:val="center"/>
              <w:rPr>
                <w:rFonts w:cstheme="minorHAnsi"/>
                <w:b/>
                <w:bCs/>
              </w:rPr>
            </w:pPr>
            <w:r w:rsidRPr="00501A80">
              <w:rPr>
                <w:rFonts w:cstheme="minorHAnsi"/>
                <w:b/>
                <w:bCs/>
              </w:rPr>
              <w:t>Meeting Date, Time</w:t>
            </w:r>
          </w:p>
        </w:tc>
        <w:tc>
          <w:tcPr>
            <w:tcW w:w="4572" w:type="dxa"/>
            <w:shd w:val="clear" w:color="auto" w:fill="D9D9D9" w:themeFill="background1" w:themeFillShade="D9"/>
            <w:vAlign w:val="center"/>
          </w:tcPr>
          <w:p w14:paraId="198D6BFE" w14:textId="77777777" w:rsidR="00501A80" w:rsidRPr="00501A80" w:rsidRDefault="00501A80" w:rsidP="00501A80">
            <w:pPr>
              <w:jc w:val="center"/>
              <w:rPr>
                <w:rFonts w:cstheme="minorHAnsi"/>
                <w:b/>
                <w:bCs/>
              </w:rPr>
            </w:pPr>
            <w:r w:rsidRPr="00501A80">
              <w:rPr>
                <w:rFonts w:cstheme="minorHAnsi"/>
                <w:b/>
                <w:bCs/>
              </w:rPr>
              <w:t>Objectives</w:t>
            </w:r>
          </w:p>
        </w:tc>
        <w:tc>
          <w:tcPr>
            <w:tcW w:w="2515" w:type="dxa"/>
            <w:shd w:val="clear" w:color="auto" w:fill="D9D9D9" w:themeFill="background1" w:themeFillShade="D9"/>
            <w:vAlign w:val="center"/>
          </w:tcPr>
          <w:p w14:paraId="6174B2A2" w14:textId="77777777" w:rsidR="00501A80" w:rsidRPr="00501A80" w:rsidRDefault="00501A80" w:rsidP="00501A80">
            <w:pPr>
              <w:jc w:val="center"/>
              <w:rPr>
                <w:rFonts w:cstheme="minorHAnsi"/>
                <w:b/>
                <w:bCs/>
              </w:rPr>
            </w:pPr>
            <w:r w:rsidRPr="00501A80">
              <w:rPr>
                <w:rFonts w:cstheme="minorHAnsi"/>
                <w:b/>
                <w:bCs/>
              </w:rPr>
              <w:t>Contribution Deadline</w:t>
            </w:r>
          </w:p>
        </w:tc>
      </w:tr>
      <w:tr w:rsidR="00501A80" w:rsidRPr="00501A80" w14:paraId="1FB5FADB" w14:textId="77777777" w:rsidTr="00BF3648">
        <w:trPr>
          <w:trHeight w:val="3986"/>
        </w:trPr>
        <w:tc>
          <w:tcPr>
            <w:tcW w:w="2263" w:type="dxa"/>
            <w:vAlign w:val="center"/>
          </w:tcPr>
          <w:p w14:paraId="761FC671" w14:textId="77777777" w:rsidR="00501A80" w:rsidRPr="00501A80" w:rsidRDefault="00501A80" w:rsidP="00501A80">
            <w:pPr>
              <w:jc w:val="center"/>
              <w:rPr>
                <w:rFonts w:cstheme="minorHAnsi"/>
              </w:rPr>
            </w:pPr>
            <w:r w:rsidRPr="00501A80">
              <w:t>24 July 2023</w:t>
            </w:r>
            <w:r w:rsidRPr="00501A80">
              <w:br/>
            </w:r>
            <w:r w:rsidRPr="00501A80">
              <w:rPr>
                <w:lang w:val="en-US"/>
              </w:rPr>
              <w:t>1300-1500 hours (CEST)</w:t>
            </w:r>
          </w:p>
        </w:tc>
        <w:tc>
          <w:tcPr>
            <w:tcW w:w="4572" w:type="dxa"/>
            <w:vAlign w:val="center"/>
          </w:tcPr>
          <w:p w14:paraId="3C0CD456" w14:textId="77777777" w:rsidR="00501A80" w:rsidRPr="00501A80" w:rsidRDefault="00501A80" w:rsidP="00501A80">
            <w:pPr>
              <w:ind w:left="321" w:hanging="321"/>
              <w:rPr>
                <w:rFonts w:cstheme="minorHAnsi"/>
              </w:rPr>
            </w:pPr>
            <w:r w:rsidRPr="00501A80">
              <w:rPr>
                <w:rFonts w:cstheme="minorHAnsi"/>
              </w:rPr>
              <w:t>•</w:t>
            </w:r>
            <w:r w:rsidRPr="00501A80">
              <w:rPr>
                <w:rFonts w:cstheme="minorHAnsi"/>
              </w:rPr>
              <w:tab/>
              <w:t xml:space="preserve">Collect inputs to be used for performing a gap analysis on the activities and studies on digital transformation in ITU-T, ITU-D and ITU-R as well as in other standardization </w:t>
            </w:r>
            <w:proofErr w:type="gramStart"/>
            <w:r w:rsidRPr="00501A80">
              <w:rPr>
                <w:rFonts w:cstheme="minorHAnsi"/>
              </w:rPr>
              <w:t>bodies;</w:t>
            </w:r>
            <w:proofErr w:type="gramEnd"/>
          </w:p>
          <w:p w14:paraId="533AC7AD" w14:textId="77777777" w:rsidR="00501A80" w:rsidRPr="00501A80" w:rsidRDefault="00501A80" w:rsidP="00501A80">
            <w:pPr>
              <w:ind w:left="321" w:hanging="321"/>
              <w:rPr>
                <w:rFonts w:cstheme="minorHAnsi"/>
              </w:rPr>
            </w:pPr>
            <w:r w:rsidRPr="00501A80">
              <w:rPr>
                <w:rFonts w:cstheme="minorHAnsi"/>
              </w:rPr>
              <w:t>•</w:t>
            </w:r>
            <w:r w:rsidRPr="00501A80">
              <w:rPr>
                <w:rFonts w:cstheme="minorHAnsi"/>
              </w:rPr>
              <w:tab/>
              <w:t xml:space="preserve">Consider inter alia, definitions, concepts, system architectures, use-cases, fundamental underlying technologies, interoperability, and the ecosystem of digital </w:t>
            </w:r>
            <w:proofErr w:type="gramStart"/>
            <w:r w:rsidRPr="00501A80">
              <w:rPr>
                <w:rFonts w:cstheme="minorHAnsi"/>
              </w:rPr>
              <w:t>transformation;</w:t>
            </w:r>
            <w:proofErr w:type="gramEnd"/>
          </w:p>
          <w:p w14:paraId="110B08EC" w14:textId="77777777" w:rsidR="00501A80" w:rsidRPr="00501A80" w:rsidRDefault="00501A80" w:rsidP="00501A80">
            <w:pPr>
              <w:ind w:left="321" w:hanging="321"/>
              <w:rPr>
                <w:rFonts w:cstheme="minorHAnsi"/>
              </w:rPr>
            </w:pPr>
            <w:r w:rsidRPr="00501A80">
              <w:rPr>
                <w:rFonts w:cstheme="minorHAnsi"/>
              </w:rPr>
              <w:t>•</w:t>
            </w:r>
            <w:r w:rsidRPr="00501A80">
              <w:rPr>
                <w:rFonts w:cstheme="minorHAnsi"/>
              </w:rPr>
              <w:tab/>
              <w:t>Develop draft new Resolution WTSA on digital transformation.</w:t>
            </w:r>
          </w:p>
        </w:tc>
        <w:tc>
          <w:tcPr>
            <w:tcW w:w="2515" w:type="dxa"/>
            <w:vAlign w:val="center"/>
          </w:tcPr>
          <w:p w14:paraId="6F620DBD" w14:textId="77777777" w:rsidR="00501A80" w:rsidRPr="00501A80" w:rsidRDefault="00501A80" w:rsidP="00501A80">
            <w:pPr>
              <w:jc w:val="center"/>
              <w:rPr>
                <w:rFonts w:cstheme="minorHAnsi"/>
              </w:rPr>
            </w:pPr>
            <w:r w:rsidRPr="00501A80">
              <w:rPr>
                <w:rFonts w:cstheme="minorHAnsi"/>
              </w:rPr>
              <w:t>16 July 2023</w:t>
            </w:r>
          </w:p>
        </w:tc>
      </w:tr>
      <w:tr w:rsidR="00501A80" w:rsidRPr="00501A80" w14:paraId="50A85DC4" w14:textId="77777777" w:rsidTr="00BF3648">
        <w:trPr>
          <w:trHeight w:val="1538"/>
        </w:trPr>
        <w:tc>
          <w:tcPr>
            <w:tcW w:w="2263" w:type="dxa"/>
            <w:vAlign w:val="center"/>
          </w:tcPr>
          <w:p w14:paraId="23656C51" w14:textId="77777777" w:rsidR="00501A80" w:rsidRPr="00501A80" w:rsidRDefault="00501A80" w:rsidP="00501A80">
            <w:pPr>
              <w:jc w:val="center"/>
              <w:rPr>
                <w:rFonts w:cstheme="minorHAnsi"/>
              </w:rPr>
            </w:pPr>
            <w:r w:rsidRPr="00501A80">
              <w:t>27 September 2023</w:t>
            </w:r>
            <w:r w:rsidRPr="00501A80">
              <w:br/>
            </w:r>
            <w:r w:rsidRPr="00501A80">
              <w:rPr>
                <w:lang w:val="en-US"/>
              </w:rPr>
              <w:t>1300-1500 hours (CEST)</w:t>
            </w:r>
          </w:p>
        </w:tc>
        <w:tc>
          <w:tcPr>
            <w:tcW w:w="4572" w:type="dxa"/>
            <w:vAlign w:val="center"/>
          </w:tcPr>
          <w:p w14:paraId="04F92137" w14:textId="77777777" w:rsidR="00501A80" w:rsidRPr="00501A80" w:rsidRDefault="00501A80" w:rsidP="00501A80">
            <w:pPr>
              <w:ind w:left="321" w:hanging="321"/>
              <w:rPr>
                <w:rFonts w:cstheme="minorHAnsi"/>
              </w:rPr>
            </w:pPr>
            <w:r w:rsidRPr="00501A80">
              <w:rPr>
                <w:rFonts w:cstheme="minorHAnsi"/>
              </w:rPr>
              <w:t>•</w:t>
            </w:r>
            <w:r w:rsidRPr="00501A80">
              <w:rPr>
                <w:rFonts w:cstheme="minorHAnsi"/>
              </w:rPr>
              <w:tab/>
              <w:t xml:space="preserve">Progress a gap analysis on the activities and studies on digital </w:t>
            </w:r>
            <w:proofErr w:type="gramStart"/>
            <w:r w:rsidRPr="00501A80">
              <w:rPr>
                <w:rFonts w:cstheme="minorHAnsi"/>
              </w:rPr>
              <w:t>transformation;</w:t>
            </w:r>
            <w:proofErr w:type="gramEnd"/>
          </w:p>
          <w:p w14:paraId="647C00E3" w14:textId="77777777" w:rsidR="00501A80" w:rsidRPr="00501A80" w:rsidRDefault="00501A80" w:rsidP="00501A80">
            <w:pPr>
              <w:ind w:left="321" w:hanging="321"/>
              <w:rPr>
                <w:rFonts w:cstheme="minorHAnsi"/>
              </w:rPr>
            </w:pPr>
            <w:r w:rsidRPr="00501A80">
              <w:rPr>
                <w:rFonts w:cstheme="minorHAnsi"/>
              </w:rPr>
              <w:t>•</w:t>
            </w:r>
            <w:r w:rsidRPr="00501A80">
              <w:rPr>
                <w:rFonts w:cstheme="minorHAnsi"/>
              </w:rPr>
              <w:tab/>
              <w:t xml:space="preserve">Consider inter alia, definitions, concepts, system architectures, use-cases, fundamental underlying technologies, interoperability, and the ecosystem of digital </w:t>
            </w:r>
            <w:proofErr w:type="gramStart"/>
            <w:r w:rsidRPr="00501A80">
              <w:rPr>
                <w:rFonts w:cstheme="minorHAnsi"/>
              </w:rPr>
              <w:t>transformation;</w:t>
            </w:r>
            <w:proofErr w:type="gramEnd"/>
          </w:p>
          <w:p w14:paraId="043AF05E" w14:textId="77777777" w:rsidR="00501A80" w:rsidRPr="00501A80" w:rsidRDefault="00501A80" w:rsidP="00501A80">
            <w:pPr>
              <w:ind w:left="321" w:hanging="321"/>
              <w:rPr>
                <w:rFonts w:cstheme="minorHAnsi"/>
              </w:rPr>
            </w:pPr>
            <w:r w:rsidRPr="00501A80">
              <w:rPr>
                <w:rFonts w:cstheme="minorHAnsi"/>
              </w:rPr>
              <w:t>•</w:t>
            </w:r>
            <w:r w:rsidRPr="00501A80">
              <w:rPr>
                <w:rFonts w:cstheme="minorHAnsi"/>
              </w:rPr>
              <w:tab/>
              <w:t>Progress draft new Resolution WTSA on digital transformation.</w:t>
            </w:r>
          </w:p>
        </w:tc>
        <w:tc>
          <w:tcPr>
            <w:tcW w:w="2515" w:type="dxa"/>
            <w:vAlign w:val="center"/>
          </w:tcPr>
          <w:p w14:paraId="6423E8D7" w14:textId="77777777" w:rsidR="00501A80" w:rsidRPr="00501A80" w:rsidRDefault="00501A80" w:rsidP="00501A80">
            <w:pPr>
              <w:jc w:val="center"/>
              <w:rPr>
                <w:rFonts w:cstheme="minorHAnsi"/>
              </w:rPr>
            </w:pPr>
            <w:r w:rsidRPr="00501A80">
              <w:rPr>
                <w:lang w:val="en-US"/>
              </w:rPr>
              <w:t>19 September 2023</w:t>
            </w:r>
          </w:p>
        </w:tc>
      </w:tr>
      <w:tr w:rsidR="00501A80" w:rsidRPr="00501A80" w14:paraId="1AA38F35" w14:textId="77777777" w:rsidTr="00BF3648">
        <w:trPr>
          <w:trHeight w:val="3401"/>
        </w:trPr>
        <w:tc>
          <w:tcPr>
            <w:tcW w:w="2263" w:type="dxa"/>
            <w:vAlign w:val="center"/>
          </w:tcPr>
          <w:p w14:paraId="662203FD" w14:textId="77777777" w:rsidR="00501A80" w:rsidRPr="00501A80" w:rsidRDefault="00501A80" w:rsidP="00501A80">
            <w:pPr>
              <w:jc w:val="center"/>
              <w:rPr>
                <w:rFonts w:cstheme="minorHAnsi"/>
              </w:rPr>
            </w:pPr>
            <w:r w:rsidRPr="00501A80">
              <w:rPr>
                <w:lang w:val="en-US"/>
              </w:rPr>
              <w:t>17 November 2023</w:t>
            </w:r>
            <w:r w:rsidRPr="00501A80">
              <w:rPr>
                <w:lang w:val="en-US"/>
              </w:rPr>
              <w:br/>
              <w:t>1300-1500 hours (CET)</w:t>
            </w:r>
          </w:p>
        </w:tc>
        <w:tc>
          <w:tcPr>
            <w:tcW w:w="4572" w:type="dxa"/>
            <w:vAlign w:val="center"/>
          </w:tcPr>
          <w:p w14:paraId="41FFEE4E" w14:textId="77777777" w:rsidR="00501A80" w:rsidRPr="00501A80" w:rsidRDefault="00501A80" w:rsidP="00501A80">
            <w:pPr>
              <w:numPr>
                <w:ilvl w:val="0"/>
                <w:numId w:val="36"/>
              </w:numPr>
              <w:ind w:left="321" w:hanging="321"/>
              <w:contextualSpacing/>
              <w:rPr>
                <w:rFonts w:cstheme="minorHAnsi"/>
              </w:rPr>
            </w:pPr>
            <w:r w:rsidRPr="00501A80">
              <w:rPr>
                <w:rFonts w:cstheme="minorHAnsi"/>
              </w:rPr>
              <w:t xml:space="preserve">Progress a gap analysis on the activities and studies on digital </w:t>
            </w:r>
            <w:proofErr w:type="gramStart"/>
            <w:r w:rsidRPr="00501A80">
              <w:rPr>
                <w:rFonts w:cstheme="minorHAnsi"/>
              </w:rPr>
              <w:t>transformation;</w:t>
            </w:r>
            <w:proofErr w:type="gramEnd"/>
          </w:p>
          <w:p w14:paraId="126607AC" w14:textId="77777777" w:rsidR="00501A80" w:rsidRPr="00501A80" w:rsidRDefault="00501A80" w:rsidP="00501A80">
            <w:pPr>
              <w:numPr>
                <w:ilvl w:val="0"/>
                <w:numId w:val="36"/>
              </w:numPr>
              <w:ind w:left="321" w:hanging="321"/>
              <w:contextualSpacing/>
              <w:rPr>
                <w:rFonts w:cstheme="minorHAnsi"/>
              </w:rPr>
            </w:pPr>
            <w:r w:rsidRPr="00501A80">
              <w:rPr>
                <w:rFonts w:cstheme="minorHAnsi"/>
              </w:rPr>
              <w:t xml:space="preserve">Consider inter alia, definitions, concepts, system architectures, use-cases, fundamental underlying technologies, interoperability, and the ecosystem of digital </w:t>
            </w:r>
            <w:proofErr w:type="gramStart"/>
            <w:r w:rsidRPr="00501A80">
              <w:rPr>
                <w:rFonts w:cstheme="minorHAnsi"/>
              </w:rPr>
              <w:t>transformation;</w:t>
            </w:r>
            <w:proofErr w:type="gramEnd"/>
          </w:p>
          <w:p w14:paraId="6F410316" w14:textId="77777777" w:rsidR="00501A80" w:rsidRPr="00501A80" w:rsidRDefault="00501A80" w:rsidP="00501A80">
            <w:pPr>
              <w:numPr>
                <w:ilvl w:val="0"/>
                <w:numId w:val="36"/>
              </w:numPr>
              <w:ind w:left="321" w:hanging="321"/>
              <w:contextualSpacing/>
              <w:rPr>
                <w:rFonts w:cstheme="minorHAnsi"/>
              </w:rPr>
            </w:pPr>
            <w:r w:rsidRPr="00501A80">
              <w:rPr>
                <w:rFonts w:cstheme="minorHAnsi"/>
              </w:rPr>
              <w:t xml:space="preserve">Progress draft new Resolution WTSA on digital </w:t>
            </w:r>
            <w:proofErr w:type="gramStart"/>
            <w:r w:rsidRPr="00501A80">
              <w:rPr>
                <w:rFonts w:cstheme="minorHAnsi"/>
              </w:rPr>
              <w:t>transformation;</w:t>
            </w:r>
            <w:proofErr w:type="gramEnd"/>
          </w:p>
          <w:p w14:paraId="2C204646" w14:textId="77777777" w:rsidR="00501A80" w:rsidRPr="00501A80" w:rsidRDefault="00501A80" w:rsidP="00501A80">
            <w:pPr>
              <w:numPr>
                <w:ilvl w:val="0"/>
                <w:numId w:val="36"/>
              </w:numPr>
              <w:ind w:left="321" w:hanging="321"/>
              <w:contextualSpacing/>
              <w:rPr>
                <w:rFonts w:cstheme="minorHAnsi"/>
              </w:rPr>
            </w:pPr>
            <w:r w:rsidRPr="00501A80">
              <w:rPr>
                <w:rFonts w:cstheme="minorHAnsi"/>
              </w:rPr>
              <w:t>Submit RG-DT report to TSAG.</w:t>
            </w:r>
          </w:p>
        </w:tc>
        <w:tc>
          <w:tcPr>
            <w:tcW w:w="2515" w:type="dxa"/>
            <w:vAlign w:val="center"/>
          </w:tcPr>
          <w:p w14:paraId="6D34B8D4" w14:textId="77777777" w:rsidR="00501A80" w:rsidRPr="00501A80" w:rsidRDefault="00501A80" w:rsidP="00501A80">
            <w:pPr>
              <w:jc w:val="center"/>
              <w:rPr>
                <w:rFonts w:cstheme="minorHAnsi"/>
              </w:rPr>
            </w:pPr>
            <w:r w:rsidRPr="00501A80">
              <w:rPr>
                <w:lang w:val="en-US"/>
              </w:rPr>
              <w:t>9 November 2023</w:t>
            </w:r>
          </w:p>
        </w:tc>
      </w:tr>
      <w:tr w:rsidR="00501A80" w:rsidRPr="00501A80" w14:paraId="466D0A61" w14:textId="77777777" w:rsidTr="00BF3648">
        <w:trPr>
          <w:trHeight w:val="3401"/>
        </w:trPr>
        <w:tc>
          <w:tcPr>
            <w:tcW w:w="2263" w:type="dxa"/>
            <w:vAlign w:val="center"/>
          </w:tcPr>
          <w:p w14:paraId="0FB9B734" w14:textId="77777777" w:rsidR="00501A80" w:rsidRPr="00501A80" w:rsidRDefault="00501A80" w:rsidP="00501A80">
            <w:pPr>
              <w:jc w:val="center"/>
              <w:rPr>
                <w:lang w:val="en-US"/>
              </w:rPr>
            </w:pPr>
            <w:r w:rsidRPr="00501A80">
              <w:rPr>
                <w:lang w:val="en-US"/>
              </w:rPr>
              <w:lastRenderedPageBreak/>
              <w:t>5 March 2024</w:t>
            </w:r>
            <w:r w:rsidRPr="00501A80">
              <w:rPr>
                <w:lang w:val="en-US"/>
              </w:rPr>
              <w:br/>
              <w:t>1300-1500 hours (CET)</w:t>
            </w:r>
          </w:p>
        </w:tc>
        <w:tc>
          <w:tcPr>
            <w:tcW w:w="4572" w:type="dxa"/>
            <w:vAlign w:val="center"/>
          </w:tcPr>
          <w:p w14:paraId="62B5FC49" w14:textId="77777777" w:rsidR="00501A80" w:rsidRPr="00501A80" w:rsidRDefault="00501A80" w:rsidP="00501A80">
            <w:pPr>
              <w:numPr>
                <w:ilvl w:val="0"/>
                <w:numId w:val="36"/>
              </w:numPr>
              <w:ind w:left="321" w:hanging="321"/>
              <w:contextualSpacing/>
              <w:rPr>
                <w:rFonts w:cstheme="minorHAnsi"/>
              </w:rPr>
            </w:pPr>
            <w:r w:rsidRPr="00501A80">
              <w:rPr>
                <w:rFonts w:cstheme="minorHAnsi"/>
              </w:rPr>
              <w:t xml:space="preserve">Progress a gap analysis on the activities and studies on digital </w:t>
            </w:r>
            <w:proofErr w:type="gramStart"/>
            <w:r w:rsidRPr="00501A80">
              <w:rPr>
                <w:rFonts w:cstheme="minorHAnsi"/>
              </w:rPr>
              <w:t>transformation;</w:t>
            </w:r>
            <w:proofErr w:type="gramEnd"/>
          </w:p>
          <w:p w14:paraId="7A9C77C6" w14:textId="77777777" w:rsidR="00501A80" w:rsidRPr="00501A80" w:rsidRDefault="00501A80" w:rsidP="00501A80">
            <w:pPr>
              <w:numPr>
                <w:ilvl w:val="0"/>
                <w:numId w:val="36"/>
              </w:numPr>
              <w:ind w:left="321" w:hanging="321"/>
              <w:contextualSpacing/>
              <w:rPr>
                <w:rFonts w:cstheme="minorHAnsi"/>
              </w:rPr>
            </w:pPr>
            <w:r w:rsidRPr="00501A80">
              <w:rPr>
                <w:rFonts w:cstheme="minorHAnsi"/>
              </w:rPr>
              <w:t xml:space="preserve">Consider inter alia, definitions, concepts, system architectures, use-cases, fundamental underlying technologies, interoperability, and the ecosystem of digital </w:t>
            </w:r>
            <w:proofErr w:type="gramStart"/>
            <w:r w:rsidRPr="00501A80">
              <w:rPr>
                <w:rFonts w:cstheme="minorHAnsi"/>
              </w:rPr>
              <w:t>transformation;</w:t>
            </w:r>
            <w:proofErr w:type="gramEnd"/>
          </w:p>
          <w:p w14:paraId="5FABDF6A" w14:textId="77777777" w:rsidR="00501A80" w:rsidRPr="00501A80" w:rsidRDefault="00501A80" w:rsidP="00501A80">
            <w:pPr>
              <w:numPr>
                <w:ilvl w:val="0"/>
                <w:numId w:val="36"/>
              </w:numPr>
              <w:ind w:left="321" w:hanging="321"/>
              <w:contextualSpacing/>
              <w:rPr>
                <w:rFonts w:cstheme="minorHAnsi"/>
              </w:rPr>
            </w:pPr>
            <w:r w:rsidRPr="00501A80">
              <w:rPr>
                <w:rFonts w:cstheme="minorHAnsi"/>
              </w:rPr>
              <w:t xml:space="preserve">Progress draft new Resolution WTSA on digital </w:t>
            </w:r>
            <w:proofErr w:type="gramStart"/>
            <w:r w:rsidRPr="00501A80">
              <w:rPr>
                <w:rFonts w:cstheme="minorHAnsi"/>
              </w:rPr>
              <w:t>transformation;</w:t>
            </w:r>
            <w:proofErr w:type="gramEnd"/>
          </w:p>
          <w:p w14:paraId="5FA6C258" w14:textId="77777777" w:rsidR="00501A80" w:rsidRPr="00501A80" w:rsidRDefault="00501A80" w:rsidP="00501A80">
            <w:pPr>
              <w:numPr>
                <w:ilvl w:val="0"/>
                <w:numId w:val="36"/>
              </w:numPr>
              <w:ind w:left="321" w:hanging="321"/>
              <w:contextualSpacing/>
              <w:rPr>
                <w:rFonts w:cstheme="minorHAnsi"/>
              </w:rPr>
            </w:pPr>
            <w:r w:rsidRPr="00501A80">
              <w:rPr>
                <w:rFonts w:cstheme="minorHAnsi"/>
              </w:rPr>
              <w:t>Submit RG-DT report to TSAG.</w:t>
            </w:r>
          </w:p>
        </w:tc>
        <w:tc>
          <w:tcPr>
            <w:tcW w:w="2515" w:type="dxa"/>
            <w:vAlign w:val="center"/>
          </w:tcPr>
          <w:p w14:paraId="1B7A85D5" w14:textId="77777777" w:rsidR="00501A80" w:rsidRPr="00501A80" w:rsidRDefault="00501A80" w:rsidP="00501A80">
            <w:pPr>
              <w:jc w:val="center"/>
              <w:rPr>
                <w:lang w:val="en-US"/>
              </w:rPr>
            </w:pPr>
            <w:r w:rsidRPr="00501A80">
              <w:rPr>
                <w:lang w:val="en-US"/>
              </w:rPr>
              <w:t>26 February 2024</w:t>
            </w:r>
          </w:p>
        </w:tc>
      </w:tr>
      <w:tr w:rsidR="00501A80" w:rsidRPr="00501A80" w14:paraId="3B872996" w14:textId="77777777" w:rsidTr="00BF3648">
        <w:trPr>
          <w:trHeight w:val="3401"/>
        </w:trPr>
        <w:tc>
          <w:tcPr>
            <w:tcW w:w="2263" w:type="dxa"/>
            <w:vAlign w:val="center"/>
          </w:tcPr>
          <w:p w14:paraId="60340873" w14:textId="77777777" w:rsidR="00501A80" w:rsidRPr="00501A80" w:rsidRDefault="00501A80" w:rsidP="00501A80">
            <w:pPr>
              <w:jc w:val="center"/>
              <w:rPr>
                <w:lang w:val="en-US"/>
              </w:rPr>
            </w:pPr>
            <w:r w:rsidRPr="00501A80">
              <w:rPr>
                <w:lang w:val="en-US"/>
              </w:rPr>
              <w:t>23 April 2024</w:t>
            </w:r>
          </w:p>
          <w:p w14:paraId="4734FC1E" w14:textId="77777777" w:rsidR="00501A80" w:rsidRPr="00501A80" w:rsidRDefault="00501A80" w:rsidP="00501A80">
            <w:pPr>
              <w:jc w:val="center"/>
              <w:rPr>
                <w:lang w:val="en-US"/>
              </w:rPr>
            </w:pPr>
            <w:r w:rsidRPr="00501A80">
              <w:rPr>
                <w:lang w:val="en-US"/>
              </w:rPr>
              <w:t>1300-1500 hours (CEST)</w:t>
            </w:r>
          </w:p>
        </w:tc>
        <w:tc>
          <w:tcPr>
            <w:tcW w:w="4572" w:type="dxa"/>
            <w:vAlign w:val="center"/>
          </w:tcPr>
          <w:p w14:paraId="56B8EAA8" w14:textId="77777777" w:rsidR="00501A80" w:rsidRPr="00501A80" w:rsidRDefault="00501A80" w:rsidP="00501A80">
            <w:pPr>
              <w:numPr>
                <w:ilvl w:val="0"/>
                <w:numId w:val="36"/>
              </w:numPr>
              <w:ind w:left="321" w:hanging="321"/>
              <w:contextualSpacing/>
              <w:rPr>
                <w:rFonts w:cstheme="minorHAnsi"/>
              </w:rPr>
            </w:pPr>
            <w:r w:rsidRPr="00501A80">
              <w:rPr>
                <w:rFonts w:cstheme="minorHAnsi"/>
              </w:rPr>
              <w:t xml:space="preserve">Progress a gap analysis on the activities and studies on digital </w:t>
            </w:r>
            <w:proofErr w:type="gramStart"/>
            <w:r w:rsidRPr="00501A80">
              <w:rPr>
                <w:rFonts w:cstheme="minorHAnsi"/>
              </w:rPr>
              <w:t>transformation;</w:t>
            </w:r>
            <w:proofErr w:type="gramEnd"/>
          </w:p>
          <w:p w14:paraId="0F0F0E1E" w14:textId="77777777" w:rsidR="00501A80" w:rsidRPr="00501A80" w:rsidRDefault="00501A80" w:rsidP="00501A80">
            <w:pPr>
              <w:numPr>
                <w:ilvl w:val="0"/>
                <w:numId w:val="36"/>
              </w:numPr>
              <w:ind w:left="321" w:hanging="321"/>
              <w:contextualSpacing/>
              <w:rPr>
                <w:rFonts w:cstheme="minorHAnsi"/>
              </w:rPr>
            </w:pPr>
            <w:r w:rsidRPr="00501A80">
              <w:rPr>
                <w:rFonts w:cstheme="minorHAnsi"/>
              </w:rPr>
              <w:t xml:space="preserve">Consider inter alia, definitions, concepts, system architectures, use-cases, fundamental underlying technologies, interoperability, and the ecosystem of digital </w:t>
            </w:r>
            <w:proofErr w:type="gramStart"/>
            <w:r w:rsidRPr="00501A80">
              <w:rPr>
                <w:rFonts w:cstheme="minorHAnsi"/>
              </w:rPr>
              <w:t>transformation;</w:t>
            </w:r>
            <w:proofErr w:type="gramEnd"/>
          </w:p>
          <w:p w14:paraId="4F9D5BA1" w14:textId="77777777" w:rsidR="00501A80" w:rsidRPr="00501A80" w:rsidRDefault="00501A80" w:rsidP="00501A80">
            <w:pPr>
              <w:numPr>
                <w:ilvl w:val="0"/>
                <w:numId w:val="36"/>
              </w:numPr>
              <w:ind w:left="321" w:hanging="321"/>
              <w:contextualSpacing/>
              <w:rPr>
                <w:rFonts w:cstheme="minorHAnsi"/>
              </w:rPr>
            </w:pPr>
            <w:r w:rsidRPr="00501A80">
              <w:rPr>
                <w:rFonts w:cstheme="minorHAnsi"/>
              </w:rPr>
              <w:t xml:space="preserve">Progress draft new Resolution WTSA on digital </w:t>
            </w:r>
            <w:proofErr w:type="gramStart"/>
            <w:r w:rsidRPr="00501A80">
              <w:rPr>
                <w:rFonts w:cstheme="minorHAnsi"/>
              </w:rPr>
              <w:t>transformation;</w:t>
            </w:r>
            <w:proofErr w:type="gramEnd"/>
          </w:p>
          <w:p w14:paraId="62D11B4F" w14:textId="77777777" w:rsidR="00501A80" w:rsidRPr="00501A80" w:rsidRDefault="00501A80" w:rsidP="00501A80">
            <w:pPr>
              <w:numPr>
                <w:ilvl w:val="0"/>
                <w:numId w:val="36"/>
              </w:numPr>
              <w:ind w:left="321" w:hanging="321"/>
              <w:contextualSpacing/>
              <w:rPr>
                <w:rFonts w:cstheme="minorHAnsi"/>
              </w:rPr>
            </w:pPr>
            <w:r w:rsidRPr="00501A80">
              <w:rPr>
                <w:rFonts w:cstheme="minorHAnsi"/>
              </w:rPr>
              <w:t>Submit RG-DT report to TSAG</w:t>
            </w:r>
          </w:p>
        </w:tc>
        <w:tc>
          <w:tcPr>
            <w:tcW w:w="2515" w:type="dxa"/>
            <w:vAlign w:val="center"/>
          </w:tcPr>
          <w:p w14:paraId="0B118E27" w14:textId="77777777" w:rsidR="00501A80" w:rsidRPr="00501A80" w:rsidRDefault="00501A80" w:rsidP="00501A80">
            <w:pPr>
              <w:jc w:val="center"/>
              <w:rPr>
                <w:lang w:val="en-US"/>
              </w:rPr>
            </w:pPr>
            <w:r w:rsidRPr="00501A80">
              <w:rPr>
                <w:lang w:val="en-US"/>
              </w:rPr>
              <w:t>15 April 2024</w:t>
            </w:r>
          </w:p>
        </w:tc>
      </w:tr>
      <w:tr w:rsidR="00501A80" w:rsidRPr="00501A80" w14:paraId="26412BA3" w14:textId="77777777" w:rsidTr="00BF3648">
        <w:trPr>
          <w:trHeight w:val="3401"/>
        </w:trPr>
        <w:tc>
          <w:tcPr>
            <w:tcW w:w="2263" w:type="dxa"/>
            <w:vAlign w:val="center"/>
          </w:tcPr>
          <w:p w14:paraId="4B533AE8" w14:textId="77777777" w:rsidR="00501A80" w:rsidRPr="00501A80" w:rsidRDefault="00501A80" w:rsidP="00501A80">
            <w:pPr>
              <w:jc w:val="center"/>
              <w:rPr>
                <w:lang w:val="en-US"/>
              </w:rPr>
            </w:pPr>
            <w:r w:rsidRPr="00501A80">
              <w:rPr>
                <w:lang w:val="en-US"/>
              </w:rPr>
              <w:t>24 June 2024</w:t>
            </w:r>
          </w:p>
          <w:p w14:paraId="5307A0D6" w14:textId="77777777" w:rsidR="00501A80" w:rsidRPr="00501A80" w:rsidRDefault="00501A80" w:rsidP="00501A80">
            <w:pPr>
              <w:jc w:val="center"/>
              <w:rPr>
                <w:lang w:val="en-US"/>
              </w:rPr>
            </w:pPr>
            <w:r w:rsidRPr="00501A80">
              <w:rPr>
                <w:lang w:val="en-US"/>
              </w:rPr>
              <w:t>1300-1500 hours (CEST)</w:t>
            </w:r>
          </w:p>
        </w:tc>
        <w:tc>
          <w:tcPr>
            <w:tcW w:w="4572" w:type="dxa"/>
            <w:vAlign w:val="center"/>
          </w:tcPr>
          <w:p w14:paraId="66B20150" w14:textId="77777777" w:rsidR="00501A80" w:rsidRPr="00501A80" w:rsidRDefault="00501A80" w:rsidP="00501A80">
            <w:pPr>
              <w:numPr>
                <w:ilvl w:val="0"/>
                <w:numId w:val="36"/>
              </w:numPr>
              <w:ind w:left="321" w:hanging="321"/>
              <w:contextualSpacing/>
              <w:rPr>
                <w:rFonts w:cstheme="minorHAnsi"/>
              </w:rPr>
            </w:pPr>
            <w:r w:rsidRPr="00501A80">
              <w:rPr>
                <w:rFonts w:cstheme="minorHAnsi"/>
              </w:rPr>
              <w:t xml:space="preserve">Progress a gap analysis on the activities and studies on digital </w:t>
            </w:r>
            <w:proofErr w:type="gramStart"/>
            <w:r w:rsidRPr="00501A80">
              <w:rPr>
                <w:rFonts w:cstheme="minorHAnsi"/>
              </w:rPr>
              <w:t>transformation;</w:t>
            </w:r>
            <w:proofErr w:type="gramEnd"/>
          </w:p>
          <w:p w14:paraId="55E95684" w14:textId="77777777" w:rsidR="00501A80" w:rsidRPr="00501A80" w:rsidRDefault="00501A80" w:rsidP="00501A80">
            <w:pPr>
              <w:numPr>
                <w:ilvl w:val="0"/>
                <w:numId w:val="36"/>
              </w:numPr>
              <w:ind w:left="321" w:hanging="321"/>
              <w:contextualSpacing/>
              <w:rPr>
                <w:rFonts w:cstheme="minorHAnsi"/>
              </w:rPr>
            </w:pPr>
            <w:r w:rsidRPr="00501A80">
              <w:rPr>
                <w:rFonts w:cstheme="minorHAnsi"/>
              </w:rPr>
              <w:t xml:space="preserve">Consider inter alia, definitions, concepts, system architectures, use-cases, fundamental underlying technologies, interoperability, and the ecosystem of digital </w:t>
            </w:r>
            <w:proofErr w:type="gramStart"/>
            <w:r w:rsidRPr="00501A80">
              <w:rPr>
                <w:rFonts w:cstheme="minorHAnsi"/>
              </w:rPr>
              <w:t>transformation;</w:t>
            </w:r>
            <w:proofErr w:type="gramEnd"/>
          </w:p>
          <w:p w14:paraId="73A8FAD7" w14:textId="77777777" w:rsidR="00501A80" w:rsidRPr="00501A80" w:rsidRDefault="00501A80" w:rsidP="00501A80">
            <w:pPr>
              <w:numPr>
                <w:ilvl w:val="0"/>
                <w:numId w:val="36"/>
              </w:numPr>
              <w:ind w:left="321" w:hanging="321"/>
              <w:contextualSpacing/>
              <w:rPr>
                <w:rFonts w:cstheme="minorHAnsi"/>
              </w:rPr>
            </w:pPr>
            <w:r w:rsidRPr="00501A80">
              <w:rPr>
                <w:rFonts w:cstheme="minorHAnsi"/>
              </w:rPr>
              <w:t xml:space="preserve">Progress draft new Resolution WTSA on digital </w:t>
            </w:r>
            <w:proofErr w:type="gramStart"/>
            <w:r w:rsidRPr="00501A80">
              <w:rPr>
                <w:rFonts w:cstheme="minorHAnsi"/>
              </w:rPr>
              <w:t>transformation;</w:t>
            </w:r>
            <w:proofErr w:type="gramEnd"/>
          </w:p>
          <w:p w14:paraId="34ABF1BB" w14:textId="77777777" w:rsidR="00501A80" w:rsidRPr="00501A80" w:rsidRDefault="00501A80" w:rsidP="00501A80">
            <w:pPr>
              <w:numPr>
                <w:ilvl w:val="0"/>
                <w:numId w:val="36"/>
              </w:numPr>
              <w:ind w:left="321" w:hanging="321"/>
              <w:contextualSpacing/>
              <w:rPr>
                <w:rFonts w:cstheme="minorHAnsi"/>
              </w:rPr>
            </w:pPr>
            <w:r w:rsidRPr="00501A80">
              <w:rPr>
                <w:rFonts w:cstheme="minorHAnsi"/>
              </w:rPr>
              <w:t>Submit RG-DT report to TSAG</w:t>
            </w:r>
          </w:p>
        </w:tc>
        <w:tc>
          <w:tcPr>
            <w:tcW w:w="2515" w:type="dxa"/>
            <w:vAlign w:val="center"/>
          </w:tcPr>
          <w:p w14:paraId="436574DD" w14:textId="77777777" w:rsidR="00501A80" w:rsidRPr="00501A80" w:rsidRDefault="00501A80" w:rsidP="00501A80">
            <w:pPr>
              <w:jc w:val="center"/>
              <w:rPr>
                <w:lang w:val="en-US"/>
              </w:rPr>
            </w:pPr>
            <w:r w:rsidRPr="00501A80">
              <w:rPr>
                <w:lang w:val="en-US"/>
              </w:rPr>
              <w:t>17 June 2024</w:t>
            </w:r>
          </w:p>
        </w:tc>
      </w:tr>
      <w:tr w:rsidR="00501A80" w:rsidRPr="00501A80" w14:paraId="353CAE97" w14:textId="77777777" w:rsidTr="00BF3648">
        <w:trPr>
          <w:trHeight w:val="3401"/>
        </w:trPr>
        <w:tc>
          <w:tcPr>
            <w:tcW w:w="2263" w:type="dxa"/>
            <w:vAlign w:val="center"/>
          </w:tcPr>
          <w:p w14:paraId="2D33CE87" w14:textId="77777777" w:rsidR="00501A80" w:rsidRPr="00501A80" w:rsidRDefault="00501A80" w:rsidP="00501A80">
            <w:pPr>
              <w:jc w:val="center"/>
              <w:rPr>
                <w:lang w:val="en-US"/>
              </w:rPr>
            </w:pPr>
            <w:r w:rsidRPr="00501A80">
              <w:rPr>
                <w:lang w:val="en-US"/>
              </w:rPr>
              <w:t>1 July 2024</w:t>
            </w:r>
          </w:p>
          <w:p w14:paraId="3786E15E" w14:textId="77777777" w:rsidR="00501A80" w:rsidRPr="00501A80" w:rsidRDefault="00501A80" w:rsidP="00501A80">
            <w:pPr>
              <w:jc w:val="center"/>
              <w:rPr>
                <w:lang w:val="en-US"/>
              </w:rPr>
            </w:pPr>
            <w:r w:rsidRPr="00501A80">
              <w:rPr>
                <w:lang w:val="en-US"/>
              </w:rPr>
              <w:t>1300-1500 hours (CEST)</w:t>
            </w:r>
          </w:p>
        </w:tc>
        <w:tc>
          <w:tcPr>
            <w:tcW w:w="4572" w:type="dxa"/>
            <w:vAlign w:val="center"/>
          </w:tcPr>
          <w:p w14:paraId="4C80A233" w14:textId="77777777" w:rsidR="00501A80" w:rsidRPr="00501A80" w:rsidRDefault="00501A80" w:rsidP="00501A80">
            <w:pPr>
              <w:numPr>
                <w:ilvl w:val="0"/>
                <w:numId w:val="36"/>
              </w:numPr>
              <w:ind w:left="321" w:hanging="321"/>
              <w:contextualSpacing/>
              <w:rPr>
                <w:rFonts w:cstheme="minorHAnsi"/>
              </w:rPr>
            </w:pPr>
            <w:r w:rsidRPr="00501A80">
              <w:rPr>
                <w:rFonts w:cstheme="minorHAnsi"/>
              </w:rPr>
              <w:t xml:space="preserve">Progress a gap analysis on the activities and studies on digital </w:t>
            </w:r>
            <w:proofErr w:type="gramStart"/>
            <w:r w:rsidRPr="00501A80">
              <w:rPr>
                <w:rFonts w:cstheme="minorHAnsi"/>
              </w:rPr>
              <w:t>transformation;</w:t>
            </w:r>
            <w:proofErr w:type="gramEnd"/>
          </w:p>
          <w:p w14:paraId="7DDB4A34" w14:textId="77777777" w:rsidR="00501A80" w:rsidRPr="00501A80" w:rsidRDefault="00501A80" w:rsidP="00501A80">
            <w:pPr>
              <w:numPr>
                <w:ilvl w:val="0"/>
                <w:numId w:val="36"/>
              </w:numPr>
              <w:ind w:left="321" w:hanging="321"/>
              <w:contextualSpacing/>
              <w:rPr>
                <w:rFonts w:cstheme="minorHAnsi"/>
              </w:rPr>
            </w:pPr>
            <w:r w:rsidRPr="00501A80">
              <w:rPr>
                <w:rFonts w:cstheme="minorHAnsi"/>
              </w:rPr>
              <w:t xml:space="preserve">Consider inter alia, definitions, concepts, system architectures, use-cases, fundamental underlying technologies, interoperability, and the ecosystem of digital </w:t>
            </w:r>
            <w:proofErr w:type="gramStart"/>
            <w:r w:rsidRPr="00501A80">
              <w:rPr>
                <w:rFonts w:cstheme="minorHAnsi"/>
              </w:rPr>
              <w:t>transformation;</w:t>
            </w:r>
            <w:proofErr w:type="gramEnd"/>
          </w:p>
          <w:p w14:paraId="60BA9843" w14:textId="77777777" w:rsidR="00501A80" w:rsidRPr="00501A80" w:rsidRDefault="00501A80" w:rsidP="00501A80">
            <w:pPr>
              <w:numPr>
                <w:ilvl w:val="0"/>
                <w:numId w:val="36"/>
              </w:numPr>
              <w:ind w:left="321" w:hanging="321"/>
              <w:contextualSpacing/>
              <w:rPr>
                <w:rFonts w:cstheme="minorHAnsi"/>
              </w:rPr>
            </w:pPr>
            <w:r w:rsidRPr="00501A80">
              <w:rPr>
                <w:rFonts w:cstheme="minorHAnsi"/>
              </w:rPr>
              <w:t xml:space="preserve">Progress draft new Resolution WTSA on digital </w:t>
            </w:r>
            <w:proofErr w:type="gramStart"/>
            <w:r w:rsidRPr="00501A80">
              <w:rPr>
                <w:rFonts w:cstheme="minorHAnsi"/>
              </w:rPr>
              <w:t>transformation;</w:t>
            </w:r>
            <w:proofErr w:type="gramEnd"/>
          </w:p>
          <w:p w14:paraId="7170276A" w14:textId="77777777" w:rsidR="00501A80" w:rsidRPr="00501A80" w:rsidRDefault="00501A80" w:rsidP="00501A80">
            <w:pPr>
              <w:numPr>
                <w:ilvl w:val="0"/>
                <w:numId w:val="36"/>
              </w:numPr>
              <w:ind w:left="321" w:hanging="321"/>
              <w:contextualSpacing/>
              <w:rPr>
                <w:rFonts w:cstheme="minorHAnsi"/>
              </w:rPr>
            </w:pPr>
            <w:r w:rsidRPr="00501A80">
              <w:rPr>
                <w:rFonts w:cstheme="minorHAnsi"/>
              </w:rPr>
              <w:t>Submit RG-DT report to TSAG</w:t>
            </w:r>
          </w:p>
        </w:tc>
        <w:tc>
          <w:tcPr>
            <w:tcW w:w="2515" w:type="dxa"/>
            <w:vAlign w:val="center"/>
          </w:tcPr>
          <w:p w14:paraId="76A50EFB" w14:textId="77777777" w:rsidR="00501A80" w:rsidRPr="00501A80" w:rsidRDefault="00501A80" w:rsidP="00501A80">
            <w:pPr>
              <w:jc w:val="center"/>
              <w:rPr>
                <w:lang w:val="en-US"/>
              </w:rPr>
            </w:pPr>
            <w:r w:rsidRPr="00501A80">
              <w:rPr>
                <w:lang w:val="en-US"/>
              </w:rPr>
              <w:t>25 June 2024</w:t>
            </w:r>
          </w:p>
        </w:tc>
      </w:tr>
    </w:tbl>
    <w:p w14:paraId="7402B6FC" w14:textId="77777777" w:rsidR="00501A80" w:rsidRPr="00501A80" w:rsidRDefault="00501A80" w:rsidP="00501A80">
      <w:r w:rsidRPr="00501A80">
        <w:lastRenderedPageBreak/>
        <w:t xml:space="preserve">The reports from these meetings are attached as contained in </w:t>
      </w:r>
      <w:hyperlink r:id="rId12" w:history="1">
        <w:r w:rsidRPr="00501A80">
          <w:rPr>
            <w:color w:val="0000FF"/>
            <w:u w:val="single"/>
          </w:rPr>
          <w:t>RGDT-DOC3 (230927)</w:t>
        </w:r>
      </w:hyperlink>
      <w:r w:rsidRPr="00501A80">
        <w:t xml:space="preserve">, </w:t>
      </w:r>
      <w:hyperlink r:id="rId13" w:history="1">
        <w:r w:rsidRPr="00501A80">
          <w:rPr>
            <w:color w:val="0000FF"/>
            <w:u w:val="single"/>
          </w:rPr>
          <w:t>RGDT-DOC1 (231117)</w:t>
        </w:r>
      </w:hyperlink>
      <w:r w:rsidRPr="00501A80">
        <w:t xml:space="preserve">, </w:t>
      </w:r>
      <w:hyperlink r:id="rId14" w:history="1">
        <w:r w:rsidRPr="00501A80">
          <w:rPr>
            <w:color w:val="0000FF"/>
            <w:u w:val="single"/>
          </w:rPr>
          <w:t>RGDT-DOC3 (240305)</w:t>
        </w:r>
      </w:hyperlink>
      <w:r w:rsidRPr="00501A80">
        <w:t xml:space="preserve"> , </w:t>
      </w:r>
      <w:hyperlink r:id="rId15" w:history="1">
        <w:r w:rsidRPr="00501A80">
          <w:rPr>
            <w:color w:val="0000FF"/>
            <w:u w:val="single"/>
          </w:rPr>
          <w:t>RGDT-DOC3 (240423)</w:t>
        </w:r>
      </w:hyperlink>
      <w:r w:rsidRPr="00501A80">
        <w:t xml:space="preserve"> , </w:t>
      </w:r>
      <w:bookmarkStart w:id="2" w:name="_Hlk170510034"/>
      <w:r w:rsidRPr="00501A80">
        <w:fldChar w:fldCharType="begin"/>
      </w:r>
      <w:r w:rsidRPr="00501A80">
        <w:instrText>HYPERLINK "https://extranet.itu.int/meetings/ITU-T/T22-TSAGRGM/RGDT-240624/DOCs/T22-TSAGRGM-RGDT-240624-DOC-0002.docx"</w:instrText>
      </w:r>
      <w:r w:rsidRPr="00501A80">
        <w:fldChar w:fldCharType="separate"/>
      </w:r>
      <w:r w:rsidRPr="00501A80">
        <w:rPr>
          <w:color w:val="0000FF"/>
          <w:u w:val="single"/>
        </w:rPr>
        <w:t>RGDT-DOC2 (240624)</w:t>
      </w:r>
      <w:r w:rsidRPr="00501A80">
        <w:fldChar w:fldCharType="end"/>
      </w:r>
      <w:bookmarkEnd w:id="2"/>
      <w:r w:rsidRPr="00501A80">
        <w:t xml:space="preserve"> and </w:t>
      </w:r>
      <w:hyperlink r:id="rId16" w:history="1">
        <w:r w:rsidRPr="00501A80">
          <w:rPr>
            <w:color w:val="0000FF"/>
            <w:u w:val="single"/>
          </w:rPr>
          <w:t>RGDT-DOC7 (240701)</w:t>
        </w:r>
      </w:hyperlink>
      <w:r w:rsidRPr="00501A80">
        <w:t xml:space="preserve">. </w:t>
      </w:r>
    </w:p>
    <w:p w14:paraId="2732E379" w14:textId="77777777" w:rsidR="00501A80" w:rsidRPr="00501A80" w:rsidRDefault="00501A80" w:rsidP="00501A8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501A80">
        <w:rPr>
          <w:rFonts w:eastAsia="Times New Roman"/>
          <w:b/>
          <w:szCs w:val="20"/>
          <w:lang w:eastAsia="en-US"/>
        </w:rPr>
        <w:t>2.</w:t>
      </w:r>
      <w:r w:rsidRPr="00501A80">
        <w:rPr>
          <w:rFonts w:eastAsia="Times New Roman"/>
          <w:b/>
          <w:szCs w:val="20"/>
          <w:lang w:eastAsia="en-US"/>
        </w:rPr>
        <w:tab/>
        <w:t>Discussion</w:t>
      </w:r>
    </w:p>
    <w:p w14:paraId="664D7198" w14:textId="77777777" w:rsidR="00501A80" w:rsidRPr="00501A80" w:rsidRDefault="00501A80" w:rsidP="00501A80">
      <w:r w:rsidRPr="00501A80">
        <w:t>2.1</w:t>
      </w:r>
      <w:r w:rsidRPr="00501A80">
        <w:tab/>
        <w:t>TSAG RG-DT discussed the draft new WTSA Resolution on digital transformation (Annex 1) and has advanced the text submitted to the last TSAG meeting in this study period.</w:t>
      </w:r>
    </w:p>
    <w:p w14:paraId="440BCFDA" w14:textId="77777777" w:rsidR="00501A80" w:rsidRPr="00501A80" w:rsidRDefault="00501A80" w:rsidP="00501A80">
      <w:r w:rsidRPr="00501A80">
        <w:t>2.2</w:t>
      </w:r>
      <w:r w:rsidRPr="00501A80">
        <w:tab/>
        <w:t xml:space="preserve">TSAG RG-DT received liaison statements (LSs) from both ITU-D SGs and some ITU-T SGs which contain information about their activities and outcomes on digital transformation. The current list of activities and outcomes of </w:t>
      </w:r>
      <w:proofErr w:type="gramStart"/>
      <w:r w:rsidRPr="00501A80">
        <w:t>particular study</w:t>
      </w:r>
      <w:proofErr w:type="gramEnd"/>
      <w:r w:rsidRPr="00501A80">
        <w:t xml:space="preserve"> groups are highlighted in Annex 2 accordingly.</w:t>
      </w:r>
    </w:p>
    <w:p w14:paraId="1431ACCC" w14:textId="77777777" w:rsidR="00501A80" w:rsidRPr="00501A80" w:rsidRDefault="00501A80" w:rsidP="00501A80">
      <w:r w:rsidRPr="00501A80">
        <w:t>2.3</w:t>
      </w:r>
      <w:r w:rsidRPr="00501A80">
        <w:tab/>
        <w:t xml:space="preserve">TSAG RG-DT has used this information provided by SGs </w:t>
      </w:r>
      <w:proofErr w:type="gramStart"/>
      <w:r w:rsidRPr="00501A80">
        <w:t>in order to</w:t>
      </w:r>
      <w:proofErr w:type="gramEnd"/>
      <w:r w:rsidRPr="00501A80">
        <w:t xml:space="preserve"> develop gap analysis which was tasked by TSAG.</w:t>
      </w:r>
    </w:p>
    <w:p w14:paraId="50BED657" w14:textId="77777777" w:rsidR="00501A80" w:rsidRPr="00501A80" w:rsidRDefault="00501A80" w:rsidP="00501A8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rFonts w:eastAsia="Times New Roman"/>
          <w:b/>
          <w:szCs w:val="20"/>
          <w:lang w:eastAsia="en-US"/>
        </w:rPr>
      </w:pPr>
      <w:r w:rsidRPr="00501A80">
        <w:rPr>
          <w:rFonts w:eastAsia="Times New Roman"/>
          <w:b/>
          <w:szCs w:val="20"/>
          <w:lang w:eastAsia="en-US"/>
        </w:rPr>
        <w:t>3.</w:t>
      </w:r>
      <w:r w:rsidRPr="00501A80">
        <w:rPr>
          <w:rFonts w:eastAsia="Times New Roman"/>
          <w:b/>
          <w:szCs w:val="20"/>
          <w:lang w:eastAsia="en-US"/>
        </w:rPr>
        <w:tab/>
        <w:t>Invited actions for TSAG</w:t>
      </w:r>
    </w:p>
    <w:p w14:paraId="4431A557" w14:textId="77777777" w:rsidR="00501A80" w:rsidRPr="00501A80" w:rsidRDefault="00501A80" w:rsidP="00501A80">
      <w:r w:rsidRPr="00501A80">
        <w:t>RG-DT is pleased to bring the following actions to the attention of TSAG:</w:t>
      </w:r>
    </w:p>
    <w:p w14:paraId="3FA0DD5C" w14:textId="77777777" w:rsidR="00501A80" w:rsidRPr="00501A80" w:rsidRDefault="00501A80" w:rsidP="00501A80">
      <w:pPr>
        <w:tabs>
          <w:tab w:val="left" w:pos="2760"/>
          <w:tab w:val="right" w:leader="dot" w:pos="9639"/>
        </w:tabs>
        <w:rPr>
          <w:rFonts w:asciiTheme="majorBidi" w:eastAsia="MS Mincho" w:hAnsiTheme="majorBidi"/>
          <w:i/>
          <w:iCs/>
          <w:noProof/>
        </w:rPr>
      </w:pPr>
      <w:r w:rsidRPr="00501A80">
        <w:rPr>
          <w:rFonts w:asciiTheme="majorBidi" w:eastAsia="MS Mincho" w:hAnsiTheme="majorBidi"/>
          <w:b/>
          <w:bCs/>
          <w:i/>
          <w:iCs/>
          <w:noProof/>
        </w:rPr>
        <w:t>Action TSAG RG-DT-1-1:</w:t>
      </w:r>
      <w:r w:rsidRPr="00501A80">
        <w:rPr>
          <w:rFonts w:asciiTheme="minorHAnsi" w:hAnsiTheme="minorHAnsi" w:cstheme="minorBidi"/>
          <w:i/>
          <w:iCs/>
          <w:noProof/>
        </w:rPr>
        <w:t xml:space="preserve"> </w:t>
      </w:r>
      <w:r w:rsidRPr="00501A80">
        <w:rPr>
          <w:rFonts w:asciiTheme="majorBidi" w:eastAsia="MS Mincho" w:hAnsiTheme="majorBidi"/>
          <w:i/>
          <w:iCs/>
          <w:noProof/>
        </w:rPr>
        <w:t>TSAG is invited to review and note the RG-DT report, t</w:t>
      </w:r>
      <w:r w:rsidRPr="00501A80">
        <w:rPr>
          <w:rFonts w:asciiTheme="majorBidi" w:eastAsia="MS Mincho" w:hAnsiTheme="majorBidi"/>
          <w:bCs/>
          <w:i/>
          <w:iCs/>
          <w:noProof/>
        </w:rPr>
        <w:t>ake note of the progess achieved</w:t>
      </w:r>
      <w:r w:rsidRPr="00501A80">
        <w:rPr>
          <w:rFonts w:asciiTheme="majorBidi" w:eastAsia="MS Mincho" w:hAnsiTheme="majorBidi"/>
          <w:i/>
          <w:iCs/>
          <w:noProof/>
        </w:rPr>
        <w:t xml:space="preserve"> and provide guidance for further work in RG-DT.</w:t>
      </w:r>
    </w:p>
    <w:p w14:paraId="1958FBB3" w14:textId="77777777" w:rsidR="00501A80" w:rsidRPr="00501A80" w:rsidRDefault="00501A80" w:rsidP="00501A80">
      <w:r w:rsidRPr="00501A80">
        <w:rPr>
          <w:rFonts w:asciiTheme="majorBidi" w:hAnsiTheme="majorBidi"/>
          <w:b/>
          <w:bCs/>
          <w:i/>
          <w:iCs/>
          <w:noProof/>
        </w:rPr>
        <w:t>Action TSAG RG-DT-2-1:</w:t>
      </w:r>
      <w:r w:rsidRPr="00501A80">
        <w:rPr>
          <w:rFonts w:asciiTheme="majorBidi" w:hAnsiTheme="majorBidi"/>
          <w:i/>
          <w:iCs/>
          <w:noProof/>
        </w:rPr>
        <w:t xml:space="preserve"> TSAG is invited to note the consensus achieved on development of draft new Resolution on Digital Transformation (the current text is based on </w:t>
      </w:r>
      <w:hyperlink r:id="rId17" w:history="1">
        <w:r w:rsidRPr="00501A80">
          <w:rPr>
            <w:color w:val="0000FF"/>
            <w:u w:val="single"/>
          </w:rPr>
          <w:t>RGDT-DOC1 (240701)</w:t>
        </w:r>
      </w:hyperlink>
      <w:r w:rsidRPr="00501A80">
        <w:rPr>
          <w:rFonts w:asciiTheme="majorBidi" w:hAnsiTheme="majorBidi"/>
          <w:i/>
          <w:iCs/>
          <w:noProof/>
        </w:rPr>
        <w:t xml:space="preserve"> </w:t>
      </w:r>
      <w:r w:rsidRPr="00501A80">
        <w:t xml:space="preserve"> </w:t>
      </w:r>
      <w:r w:rsidRPr="00501A80">
        <w:rPr>
          <w:rFonts w:asciiTheme="majorBidi" w:hAnsiTheme="majorBidi"/>
          <w:i/>
          <w:iCs/>
          <w:noProof/>
        </w:rPr>
        <w:t>and it is available in the Annex 1 below).</w:t>
      </w:r>
    </w:p>
    <w:p w14:paraId="05BCBD60" w14:textId="77777777" w:rsidR="00501A80" w:rsidRPr="00501A80" w:rsidRDefault="00501A80" w:rsidP="00501A80">
      <w:pPr>
        <w:pageBreakBefore/>
        <w:rPr>
          <w:rFonts w:asciiTheme="majorBidi" w:hAnsiTheme="majorBidi"/>
          <w:noProof/>
        </w:rPr>
        <w:sectPr w:rsidR="00501A80" w:rsidRPr="00501A80" w:rsidSect="00501A80">
          <w:headerReference w:type="default" r:id="rId18"/>
          <w:pgSz w:w="11907" w:h="16840" w:code="9"/>
          <w:pgMar w:top="1134" w:right="1134" w:bottom="1134" w:left="1134" w:header="720" w:footer="720" w:gutter="0"/>
          <w:cols w:space="720"/>
          <w:titlePg/>
          <w:docGrid w:linePitch="360"/>
        </w:sectPr>
      </w:pPr>
    </w:p>
    <w:p w14:paraId="34B9B9F5" w14:textId="77777777" w:rsidR="00501A80" w:rsidRPr="00501A80" w:rsidRDefault="00501A80" w:rsidP="00501A80">
      <w:pPr>
        <w:pageBreakBefore/>
        <w:rPr>
          <w:rFonts w:asciiTheme="majorBidi" w:hAnsiTheme="majorBidi"/>
          <w:b/>
          <w:bCs/>
          <w:noProof/>
        </w:rPr>
      </w:pPr>
      <w:r w:rsidRPr="00501A80">
        <w:rPr>
          <w:rFonts w:asciiTheme="majorBidi" w:hAnsiTheme="majorBidi"/>
          <w:b/>
          <w:bCs/>
          <w:noProof/>
        </w:rPr>
        <w:lastRenderedPageBreak/>
        <w:t>Annex 1</w:t>
      </w:r>
    </w:p>
    <w:p w14:paraId="541FBAAD" w14:textId="77777777" w:rsidR="00501A80" w:rsidRPr="00501A80" w:rsidRDefault="00501A80" w:rsidP="00501A80">
      <w:pPr>
        <w:autoSpaceDE w:val="0"/>
        <w:autoSpaceDN w:val="0"/>
        <w:adjustRightInd w:val="0"/>
        <w:spacing w:before="0"/>
        <w:jc w:val="center"/>
      </w:pPr>
      <w:r w:rsidRPr="00501A80">
        <w:t>RESOLUTION XXX (New Delhi, 2024)</w:t>
      </w:r>
    </w:p>
    <w:p w14:paraId="60497469" w14:textId="77777777" w:rsidR="00501A80" w:rsidRPr="00501A80" w:rsidRDefault="00501A80" w:rsidP="00501A80">
      <w:pPr>
        <w:autoSpaceDE w:val="0"/>
        <w:autoSpaceDN w:val="0"/>
        <w:adjustRightInd w:val="0"/>
        <w:spacing w:before="0"/>
        <w:jc w:val="center"/>
      </w:pPr>
    </w:p>
    <w:p w14:paraId="7D03B9C1" w14:textId="77777777" w:rsidR="00501A80" w:rsidRPr="00501A80" w:rsidRDefault="00501A80" w:rsidP="00501A80">
      <w:pPr>
        <w:autoSpaceDE w:val="0"/>
        <w:autoSpaceDN w:val="0"/>
        <w:adjustRightInd w:val="0"/>
        <w:spacing w:before="0"/>
        <w:jc w:val="center"/>
      </w:pPr>
    </w:p>
    <w:p w14:paraId="12FA2A9C" w14:textId="77777777" w:rsidR="00501A80" w:rsidRPr="00501A80" w:rsidRDefault="00501A80" w:rsidP="00501A80">
      <w:pPr>
        <w:autoSpaceDE w:val="0"/>
        <w:autoSpaceDN w:val="0"/>
        <w:adjustRightInd w:val="0"/>
        <w:spacing w:before="0"/>
        <w:jc w:val="center"/>
        <w:rPr>
          <w:b/>
          <w:bCs/>
        </w:rPr>
      </w:pPr>
      <w:r w:rsidRPr="00501A80">
        <w:rPr>
          <w:b/>
          <w:bCs/>
        </w:rPr>
        <w:t>Enhancing the standardization activities on Sustainable Digital Transformation</w:t>
      </w:r>
    </w:p>
    <w:p w14:paraId="22416223" w14:textId="77777777" w:rsidR="00501A80" w:rsidRPr="00501A80" w:rsidRDefault="00501A80" w:rsidP="00501A80">
      <w:pPr>
        <w:autoSpaceDE w:val="0"/>
        <w:autoSpaceDN w:val="0"/>
        <w:adjustRightInd w:val="0"/>
        <w:spacing w:before="0"/>
        <w:jc w:val="center"/>
        <w:rPr>
          <w:b/>
          <w:bCs/>
        </w:rPr>
      </w:pPr>
    </w:p>
    <w:p w14:paraId="415EACC9" w14:textId="77777777" w:rsidR="00501A80" w:rsidRPr="00501A80" w:rsidRDefault="00501A80" w:rsidP="00501A80">
      <w:pPr>
        <w:autoSpaceDE w:val="0"/>
        <w:autoSpaceDN w:val="0"/>
        <w:adjustRightInd w:val="0"/>
        <w:spacing w:before="0"/>
        <w:rPr>
          <w:rFonts w:eastAsia="Calibri-Light"/>
        </w:rPr>
      </w:pPr>
      <w:r w:rsidRPr="00501A80">
        <w:rPr>
          <w:rFonts w:eastAsia="Calibri-Light"/>
        </w:rPr>
        <w:t>The World Telecommunication Standardization Assembly (New Delhi, 2024),</w:t>
      </w:r>
    </w:p>
    <w:p w14:paraId="68176D37" w14:textId="77777777" w:rsidR="00501A80" w:rsidRPr="00501A80" w:rsidRDefault="00501A80" w:rsidP="00501A80">
      <w:pPr>
        <w:autoSpaceDE w:val="0"/>
        <w:autoSpaceDN w:val="0"/>
        <w:adjustRightInd w:val="0"/>
        <w:spacing w:before="240" w:after="120"/>
        <w:rPr>
          <w:i/>
          <w:iCs/>
        </w:rPr>
      </w:pPr>
      <w:r w:rsidRPr="00501A80">
        <w:rPr>
          <w:i/>
          <w:iCs/>
        </w:rPr>
        <w:t>Recalling</w:t>
      </w:r>
    </w:p>
    <w:p w14:paraId="65C5BAC8" w14:textId="6285D14D" w:rsidR="00501A80" w:rsidRPr="00501A80" w:rsidRDefault="00501A80" w:rsidP="00501A80">
      <w:pPr>
        <w:tabs>
          <w:tab w:val="left" w:pos="720"/>
        </w:tabs>
        <w:autoSpaceDE w:val="0"/>
        <w:autoSpaceDN w:val="0"/>
        <w:adjustRightInd w:val="0"/>
        <w:jc w:val="both"/>
        <w:rPr>
          <w:rFonts w:eastAsia="Calibri-Light"/>
        </w:rPr>
      </w:pPr>
      <w:r w:rsidRPr="00501A80">
        <w:t>a)</w:t>
      </w:r>
      <w:r w:rsidRPr="00501A80">
        <w:tab/>
      </w:r>
      <w:r w:rsidRPr="00501A80">
        <w:rPr>
          <w:rFonts w:eastAsia="Calibri-Light"/>
        </w:rPr>
        <w:t xml:space="preserve">No. 13 of Article 1 of the ITU Constitution, which establishes that the Union shall </w:t>
      </w:r>
      <w:proofErr w:type="gramStart"/>
      <w:r w:rsidRPr="00501A80">
        <w:rPr>
          <w:rFonts w:eastAsia="Calibri-Light"/>
        </w:rPr>
        <w:t>in particular facilitate</w:t>
      </w:r>
      <w:proofErr w:type="gramEnd"/>
      <w:r w:rsidRPr="00501A80">
        <w:rPr>
          <w:rFonts w:eastAsia="Calibri-Light"/>
        </w:rPr>
        <w:t xml:space="preserve"> the worldwide standardization of telecommunications, with a satisfactory quality of service</w:t>
      </w:r>
      <w:r w:rsidR="00575E62">
        <w:rPr>
          <w:rFonts w:eastAsia="Calibri-Light"/>
        </w:rPr>
        <w:t>,</w:t>
      </w:r>
    </w:p>
    <w:p w14:paraId="6D9B88C2" w14:textId="2C45319E" w:rsidR="00501A80" w:rsidRPr="00501A80" w:rsidRDefault="00501A80" w:rsidP="00501A80">
      <w:pPr>
        <w:tabs>
          <w:tab w:val="left" w:pos="720"/>
        </w:tabs>
        <w:autoSpaceDE w:val="0"/>
        <w:autoSpaceDN w:val="0"/>
        <w:adjustRightInd w:val="0"/>
        <w:jc w:val="both"/>
        <w:rPr>
          <w:rFonts w:eastAsia="Calibri-Light"/>
        </w:rPr>
      </w:pPr>
      <w:r w:rsidRPr="00501A80">
        <w:rPr>
          <w:rFonts w:eastAsia="Calibri-Light"/>
        </w:rPr>
        <w:t>b)</w:t>
      </w:r>
      <w:r w:rsidRPr="00501A80">
        <w:rPr>
          <w:rFonts w:eastAsia="Calibri-Light"/>
        </w:rPr>
        <w:tab/>
        <w:t xml:space="preserve">that, in Article 17, the Constitution indicates that the functions of the ITU Telecommunication Standardization Sector (ITU-T) shall be, bearing in mind the </w:t>
      </w:r>
      <w:proofErr w:type="gramStart"/>
      <w:r w:rsidRPr="00501A80">
        <w:rPr>
          <w:rFonts w:eastAsia="Calibri-Light"/>
        </w:rPr>
        <w:t>particular concerns</w:t>
      </w:r>
      <w:proofErr w:type="gramEnd"/>
      <w:r w:rsidRPr="00501A80">
        <w:rPr>
          <w:rFonts w:eastAsia="Calibri-Light"/>
        </w:rPr>
        <w:t xml:space="preserve"> of the developing countries1, to fulfil the purposes of the Union</w:t>
      </w:r>
      <w:r w:rsidR="00575E62">
        <w:rPr>
          <w:rFonts w:eastAsia="Calibri-Light"/>
        </w:rPr>
        <w:t>,</w:t>
      </w:r>
    </w:p>
    <w:p w14:paraId="02DA6F38" w14:textId="46D4BD23" w:rsidR="00501A80" w:rsidRPr="00501A80" w:rsidRDefault="00501A80" w:rsidP="00501A80">
      <w:pPr>
        <w:tabs>
          <w:tab w:val="left" w:pos="720"/>
        </w:tabs>
        <w:autoSpaceDE w:val="0"/>
        <w:autoSpaceDN w:val="0"/>
        <w:adjustRightInd w:val="0"/>
        <w:jc w:val="both"/>
        <w:rPr>
          <w:rFonts w:eastAsia="Calibri-Light"/>
        </w:rPr>
      </w:pPr>
      <w:r w:rsidRPr="00501A80">
        <w:rPr>
          <w:rFonts w:eastAsia="Calibri-Light"/>
        </w:rPr>
        <w:t>c)</w:t>
      </w:r>
      <w:r w:rsidRPr="00501A80">
        <w:rPr>
          <w:rFonts w:eastAsia="Calibri-Light"/>
        </w:rPr>
        <w:tab/>
        <w:t>that the ITU strategic plan for 2024-2027, approved by means of Resolution 71 (Rev. Bucharest, 2022) of the Plenipotentiary Conference, establishes that Sustainable Digital Transformation is a strategic goal of the Union in facilitating progress towards the implementation of the World Summit on the Information Society (WSIS) action lines and the 2030 Agenda for Sustainable Development</w:t>
      </w:r>
      <w:r w:rsidR="00575E62">
        <w:rPr>
          <w:rFonts w:eastAsia="Calibri-Light"/>
        </w:rPr>
        <w:t>,</w:t>
      </w:r>
      <w:r w:rsidRPr="00501A80">
        <w:rPr>
          <w:rFonts w:eastAsia="Calibri-Light"/>
        </w:rPr>
        <w:t xml:space="preserve"> </w:t>
      </w:r>
    </w:p>
    <w:p w14:paraId="10E96AD3" w14:textId="77777777" w:rsidR="00501A80" w:rsidRPr="00501A80" w:rsidRDefault="00501A80" w:rsidP="00501A80">
      <w:pPr>
        <w:tabs>
          <w:tab w:val="left" w:pos="720"/>
        </w:tabs>
        <w:autoSpaceDE w:val="0"/>
        <w:autoSpaceDN w:val="0"/>
        <w:adjustRightInd w:val="0"/>
        <w:jc w:val="both"/>
        <w:rPr>
          <w:rFonts w:eastAsia="Calibri-Light"/>
        </w:rPr>
      </w:pPr>
      <w:r w:rsidRPr="00501A80">
        <w:rPr>
          <w:rFonts w:eastAsia="Calibri-Light"/>
        </w:rPr>
        <w:t>d)</w:t>
      </w:r>
      <w:r w:rsidRPr="00501A80">
        <w:rPr>
          <w:rFonts w:eastAsia="Calibri-Light"/>
        </w:rPr>
        <w:tab/>
        <w:t xml:space="preserve">that the Geneva Plan of Action and Tunis Agenda for the Information Society of the World Summit on the Information Society (WSIS) emphasize efforts to overcome the digital divide and development </w:t>
      </w:r>
      <w:proofErr w:type="gramStart"/>
      <w:r w:rsidRPr="00501A80">
        <w:rPr>
          <w:rFonts w:eastAsia="Calibri-Light"/>
        </w:rPr>
        <w:t>divides;</w:t>
      </w:r>
      <w:proofErr w:type="gramEnd"/>
    </w:p>
    <w:p w14:paraId="65B3CBF6" w14:textId="77777777" w:rsidR="00501A80" w:rsidRPr="00501A80" w:rsidRDefault="00501A80" w:rsidP="00501A80">
      <w:pPr>
        <w:autoSpaceDE w:val="0"/>
        <w:autoSpaceDN w:val="0"/>
        <w:adjustRightInd w:val="0"/>
        <w:spacing w:before="240" w:after="120"/>
        <w:rPr>
          <w:i/>
          <w:iCs/>
        </w:rPr>
      </w:pPr>
      <w:r w:rsidRPr="00501A80">
        <w:rPr>
          <w:i/>
          <w:iCs/>
        </w:rPr>
        <w:t>considering</w:t>
      </w:r>
    </w:p>
    <w:p w14:paraId="3DA48CC3" w14:textId="77777777" w:rsidR="00501A80" w:rsidRPr="00501A80" w:rsidRDefault="00501A80" w:rsidP="00501A80">
      <w:pPr>
        <w:tabs>
          <w:tab w:val="left" w:pos="720"/>
        </w:tabs>
        <w:autoSpaceDE w:val="0"/>
        <w:autoSpaceDN w:val="0"/>
        <w:adjustRightInd w:val="0"/>
        <w:jc w:val="both"/>
        <w:rPr>
          <w:rFonts w:eastAsia="Calibri-Light"/>
        </w:rPr>
      </w:pPr>
      <w:r w:rsidRPr="00501A80">
        <w:rPr>
          <w:rFonts w:eastAsia="Calibri-Light"/>
        </w:rPr>
        <w:t>a)</w:t>
      </w:r>
      <w:r w:rsidRPr="00501A80">
        <w:rPr>
          <w:rFonts w:eastAsia="Calibri-Light"/>
        </w:rPr>
        <w:tab/>
        <w:t xml:space="preserve">that digital transformation through the emergence of key technologies, enabling new services and applications, and promoting the building of the information society is the key enabler for making progress towards sustainable development, which shall be </w:t>
      </w:r>
      <w:proofErr w:type="gramStart"/>
      <w:r w:rsidRPr="00501A80">
        <w:rPr>
          <w:rFonts w:eastAsia="Calibri-Light"/>
        </w:rPr>
        <w:t>taken into account</w:t>
      </w:r>
      <w:proofErr w:type="gramEnd"/>
      <w:r w:rsidRPr="00501A80">
        <w:rPr>
          <w:rFonts w:eastAsia="Calibri-Light"/>
        </w:rPr>
        <w:t xml:space="preserve"> in the work of ITU‑T,</w:t>
      </w:r>
    </w:p>
    <w:p w14:paraId="6CB8D9FF" w14:textId="77777777" w:rsidR="00501A80" w:rsidRPr="00501A80" w:rsidRDefault="00501A80" w:rsidP="00501A80">
      <w:pPr>
        <w:tabs>
          <w:tab w:val="left" w:pos="720"/>
        </w:tabs>
        <w:autoSpaceDE w:val="0"/>
        <w:autoSpaceDN w:val="0"/>
        <w:adjustRightInd w:val="0"/>
        <w:jc w:val="both"/>
        <w:rPr>
          <w:rFonts w:eastAsia="Calibri-Light"/>
        </w:rPr>
      </w:pPr>
      <w:r w:rsidRPr="00501A80">
        <w:rPr>
          <w:rFonts w:eastAsia="Calibri-Light"/>
        </w:rPr>
        <w:t>b)</w:t>
      </w:r>
      <w:r w:rsidRPr="00501A80">
        <w:rPr>
          <w:rFonts w:eastAsia="Calibri-Light"/>
        </w:rPr>
        <w:tab/>
        <w:t>that, for the developing countries at the initial stage of introducing digital transformation, it is important to have technical standards and guidelines, which would make it possible to introduce digital transformation in a timely manner,</w:t>
      </w:r>
    </w:p>
    <w:p w14:paraId="0A8FFE95" w14:textId="77777777" w:rsidR="00501A80" w:rsidRPr="00501A80" w:rsidRDefault="00501A80" w:rsidP="00501A80">
      <w:pPr>
        <w:tabs>
          <w:tab w:val="left" w:pos="720"/>
        </w:tabs>
        <w:autoSpaceDE w:val="0"/>
        <w:autoSpaceDN w:val="0"/>
        <w:adjustRightInd w:val="0"/>
        <w:jc w:val="both"/>
        <w:rPr>
          <w:rFonts w:eastAsia="Calibri-Light"/>
        </w:rPr>
      </w:pPr>
      <w:r w:rsidRPr="00501A80">
        <w:rPr>
          <w:rFonts w:eastAsia="Calibri-Light"/>
        </w:rPr>
        <w:t>c)</w:t>
      </w:r>
      <w:r w:rsidRPr="00501A80">
        <w:rPr>
          <w:rFonts w:eastAsia="Calibri-Light"/>
        </w:rPr>
        <w:tab/>
        <w:t>that there is a need to rapidly develop high-quality, demand-driven, interoperable, and non-discriminatory international standards (ITU‑T recommendations) to support and facilitate activities on sustainable digital transformation in line with the principles of global connectivity, openness, affordability, reliability, interoperability and security, which are critical for generating confidence for further investments on sustainable digital transformation,</w:t>
      </w:r>
    </w:p>
    <w:p w14:paraId="51263FD1" w14:textId="77777777" w:rsidR="00501A80" w:rsidRPr="00501A80" w:rsidRDefault="00501A80" w:rsidP="00501A80">
      <w:pPr>
        <w:tabs>
          <w:tab w:val="left" w:pos="720"/>
        </w:tabs>
        <w:autoSpaceDE w:val="0"/>
        <w:autoSpaceDN w:val="0"/>
        <w:adjustRightInd w:val="0"/>
        <w:jc w:val="both"/>
        <w:rPr>
          <w:rFonts w:eastAsia="Calibri-Light"/>
        </w:rPr>
      </w:pPr>
      <w:r w:rsidRPr="00501A80">
        <w:rPr>
          <w:rFonts w:eastAsia="Calibri-Light"/>
        </w:rPr>
        <w:t>d)</w:t>
      </w:r>
      <w:r w:rsidRPr="00501A80">
        <w:rPr>
          <w:rFonts w:eastAsia="Calibri-Light"/>
        </w:rPr>
        <w:tab/>
        <w:t xml:space="preserve">that there is also a need to extend and facilitate international cooperation on sustainable digital transformation among international and regional standardization bodies, with a view to avoiding duplication of work and achieving efficient use of </w:t>
      </w:r>
      <w:proofErr w:type="gramStart"/>
      <w:r w:rsidRPr="00501A80">
        <w:rPr>
          <w:rFonts w:eastAsia="Calibri-Light"/>
        </w:rPr>
        <w:t>resources;</w:t>
      </w:r>
      <w:proofErr w:type="gramEnd"/>
    </w:p>
    <w:p w14:paraId="436B1CC7" w14:textId="77777777" w:rsidR="00501A80" w:rsidRPr="00501A80" w:rsidRDefault="00501A80" w:rsidP="00501A80">
      <w:pPr>
        <w:autoSpaceDE w:val="0"/>
        <w:autoSpaceDN w:val="0"/>
        <w:adjustRightInd w:val="0"/>
        <w:spacing w:before="240" w:after="120"/>
        <w:rPr>
          <w:i/>
          <w:iCs/>
        </w:rPr>
      </w:pPr>
      <w:r w:rsidRPr="00501A80">
        <w:rPr>
          <w:i/>
          <w:iCs/>
        </w:rPr>
        <w:t>considering further</w:t>
      </w:r>
    </w:p>
    <w:p w14:paraId="7F3BCEB0" w14:textId="77777777" w:rsidR="00501A80" w:rsidRPr="00501A80" w:rsidRDefault="00501A80" w:rsidP="00501A80">
      <w:pPr>
        <w:autoSpaceDE w:val="0"/>
        <w:autoSpaceDN w:val="0"/>
        <w:adjustRightInd w:val="0"/>
        <w:spacing w:before="240" w:after="120"/>
        <w:rPr>
          <w:rFonts w:eastAsia="Calibri-Light"/>
        </w:rPr>
      </w:pPr>
      <w:r w:rsidRPr="00501A80">
        <w:rPr>
          <w:rFonts w:eastAsia="Calibri-Light"/>
        </w:rPr>
        <w:t xml:space="preserve">that ITU‑T technical standards and recommendations to support and facilitate digital transformation will contribute towards achievement of the 2030 Agenda for Sustainable Development, </w:t>
      </w:r>
      <w:r w:rsidRPr="00501A80">
        <w:t xml:space="preserve">taking into account </w:t>
      </w:r>
      <w:r w:rsidRPr="00501A80">
        <w:rPr>
          <w:rFonts w:eastAsia="Calibri-Light"/>
        </w:rPr>
        <w:t xml:space="preserve">that developing countries could benefit immensely from the application and development of technical standards and guidelines that facilitate digital transformation </w:t>
      </w:r>
      <w:proofErr w:type="gramStart"/>
      <w:r w:rsidRPr="00501A80">
        <w:rPr>
          <w:rFonts w:eastAsia="Calibri-Light"/>
        </w:rPr>
        <w:t>activities;</w:t>
      </w:r>
      <w:proofErr w:type="gramEnd"/>
    </w:p>
    <w:p w14:paraId="34753252" w14:textId="77777777" w:rsidR="00501A80" w:rsidRPr="00501A80" w:rsidRDefault="00501A80" w:rsidP="00501A80">
      <w:pPr>
        <w:autoSpaceDE w:val="0"/>
        <w:autoSpaceDN w:val="0"/>
        <w:adjustRightInd w:val="0"/>
        <w:spacing w:before="240" w:after="120"/>
        <w:rPr>
          <w:i/>
          <w:iCs/>
        </w:rPr>
      </w:pPr>
      <w:r w:rsidRPr="00501A80">
        <w:rPr>
          <w:i/>
          <w:iCs/>
        </w:rPr>
        <w:t>noting</w:t>
      </w:r>
    </w:p>
    <w:p w14:paraId="0F183B59" w14:textId="77777777" w:rsidR="00501A80" w:rsidRPr="00501A80" w:rsidRDefault="00501A80" w:rsidP="00501A80">
      <w:pPr>
        <w:tabs>
          <w:tab w:val="left" w:pos="720"/>
        </w:tabs>
        <w:autoSpaceDE w:val="0"/>
        <w:autoSpaceDN w:val="0"/>
        <w:adjustRightInd w:val="0"/>
        <w:jc w:val="both"/>
      </w:pPr>
      <w:r w:rsidRPr="00501A80">
        <w:rPr>
          <w:rFonts w:eastAsia="Calibri-Light"/>
        </w:rPr>
        <w:t xml:space="preserve">that the Telecommunication Standardization Advisory Group (TSAG) created a Rapporteur Group on Sustainable Digital Transformation (RG-DT) in June </w:t>
      </w:r>
      <w:proofErr w:type="gramStart"/>
      <w:r w:rsidRPr="00501A80">
        <w:rPr>
          <w:rFonts w:eastAsia="Calibri-Light"/>
        </w:rPr>
        <w:t>2023</w:t>
      </w:r>
      <w:r w:rsidRPr="00501A80">
        <w:t>;</w:t>
      </w:r>
      <w:proofErr w:type="gramEnd"/>
    </w:p>
    <w:p w14:paraId="2FA98AB8" w14:textId="77777777" w:rsidR="00501A80" w:rsidRPr="00501A80" w:rsidRDefault="00501A80" w:rsidP="00501A80">
      <w:pPr>
        <w:autoSpaceDE w:val="0"/>
        <w:autoSpaceDN w:val="0"/>
        <w:adjustRightInd w:val="0"/>
        <w:spacing w:before="240" w:after="120"/>
        <w:rPr>
          <w:i/>
          <w:iCs/>
        </w:rPr>
      </w:pPr>
      <w:r w:rsidRPr="00501A80">
        <w:rPr>
          <w:i/>
          <w:iCs/>
        </w:rPr>
        <w:lastRenderedPageBreak/>
        <w:t>resolves to instruct</w:t>
      </w:r>
    </w:p>
    <w:p w14:paraId="163B6FF7" w14:textId="77777777" w:rsidR="00501A80" w:rsidRPr="00501A80" w:rsidRDefault="00501A80" w:rsidP="00501A80">
      <w:pPr>
        <w:autoSpaceDE w:val="0"/>
        <w:autoSpaceDN w:val="0"/>
        <w:adjustRightInd w:val="0"/>
        <w:spacing w:before="240" w:after="120"/>
        <w:rPr>
          <w:rFonts w:eastAsia="Calibri-Light"/>
        </w:rPr>
      </w:pPr>
      <w:r w:rsidRPr="00501A80">
        <w:t>1.</w:t>
      </w:r>
      <w:r w:rsidRPr="00501A80">
        <w:tab/>
        <w:t xml:space="preserve">Telecommunication Standardization Advisory Group (TSAG) to take all necessary steps to promote and enhance standardization activities that support and facilitate digital transformation, which may include establishing a TSAG Focus Group on Digital Transformation </w:t>
      </w:r>
      <w:r w:rsidRPr="00501A80">
        <w:rPr>
          <w:rFonts w:eastAsia="Calibri-Light"/>
        </w:rPr>
        <w:t>with a view to,</w:t>
      </w:r>
    </w:p>
    <w:p w14:paraId="01431646" w14:textId="77777777" w:rsidR="00501A80" w:rsidRPr="00501A80" w:rsidRDefault="00501A80" w:rsidP="00501A80">
      <w:pPr>
        <w:tabs>
          <w:tab w:val="left" w:pos="360"/>
          <w:tab w:val="left" w:pos="720"/>
        </w:tabs>
        <w:autoSpaceDE w:val="0"/>
        <w:autoSpaceDN w:val="0"/>
        <w:adjustRightInd w:val="0"/>
        <w:jc w:val="both"/>
        <w:rPr>
          <w:rFonts w:eastAsia="Calibri-Light"/>
        </w:rPr>
      </w:pPr>
      <w:r w:rsidRPr="00501A80">
        <w:rPr>
          <w:rFonts w:eastAsia="Calibri-Light"/>
        </w:rPr>
        <w:t xml:space="preserve">a) </w:t>
      </w:r>
      <w:r w:rsidRPr="00501A80">
        <w:rPr>
          <w:rFonts w:eastAsia="Calibri-Light"/>
        </w:rPr>
        <w:tab/>
        <w:t xml:space="preserve">effectively consolidating all guidelines, recommendations, technical reports, best practices and use cases developed by ITU-T on sustainable digital transformation, </w:t>
      </w:r>
      <w:proofErr w:type="gramStart"/>
      <w:r w:rsidRPr="00501A80">
        <w:rPr>
          <w:rFonts w:eastAsia="Calibri-Light"/>
        </w:rPr>
        <w:t>through the use of</w:t>
      </w:r>
      <w:proofErr w:type="gramEnd"/>
      <w:r w:rsidRPr="00501A80">
        <w:rPr>
          <w:rFonts w:eastAsia="Calibri-Light"/>
        </w:rPr>
        <w:t xml:space="preserve"> ITU web-based tools, and to identify strategies and mechanisms to facilitate and allow Member States to </w:t>
      </w:r>
      <w:r w:rsidRPr="00575E62">
        <w:rPr>
          <w:rFonts w:eastAsia="Calibri-Light"/>
        </w:rPr>
        <w:t>proactively</w:t>
      </w:r>
      <w:r w:rsidRPr="00501A80">
        <w:rPr>
          <w:rFonts w:eastAsia="Calibri-Light"/>
        </w:rPr>
        <w:t xml:space="preserve"> use these tools to hasten the transfer of knowledge,</w:t>
      </w:r>
    </w:p>
    <w:p w14:paraId="05BA301C" w14:textId="77777777" w:rsidR="00501A80" w:rsidRPr="00501A80" w:rsidRDefault="00501A80" w:rsidP="00501A80">
      <w:pPr>
        <w:tabs>
          <w:tab w:val="left" w:pos="360"/>
          <w:tab w:val="left" w:pos="720"/>
        </w:tabs>
        <w:autoSpaceDE w:val="0"/>
        <w:autoSpaceDN w:val="0"/>
        <w:adjustRightInd w:val="0"/>
        <w:jc w:val="both"/>
        <w:rPr>
          <w:rFonts w:eastAsia="Calibri-Light"/>
        </w:rPr>
      </w:pPr>
      <w:r w:rsidRPr="00501A80">
        <w:rPr>
          <w:rFonts w:eastAsia="Calibri-Light"/>
        </w:rPr>
        <w:t xml:space="preserve">b) </w:t>
      </w:r>
      <w:r w:rsidRPr="00501A80">
        <w:rPr>
          <w:rFonts w:eastAsia="Calibri-Light"/>
        </w:rPr>
        <w:tab/>
        <w:t xml:space="preserve">promoting the timely development of guidelines for developing countries on the basis ITU‑T recommendations, </w:t>
      </w:r>
      <w:r w:rsidRPr="00575E62">
        <w:rPr>
          <w:rFonts w:eastAsia="Calibri-Light"/>
        </w:rPr>
        <w:t>particularly those</w:t>
      </w:r>
      <w:r w:rsidRPr="00501A80">
        <w:rPr>
          <w:rFonts w:eastAsia="Calibri-Light"/>
        </w:rPr>
        <w:t xml:space="preserve"> related to sustainable digital transformation,</w:t>
      </w:r>
    </w:p>
    <w:p w14:paraId="52D449E2" w14:textId="6A470C7A" w:rsidR="00501A80" w:rsidRPr="00501A80" w:rsidRDefault="00501A80" w:rsidP="00501A80">
      <w:pPr>
        <w:tabs>
          <w:tab w:val="left" w:pos="360"/>
          <w:tab w:val="left" w:pos="720"/>
        </w:tabs>
        <w:autoSpaceDE w:val="0"/>
        <w:autoSpaceDN w:val="0"/>
        <w:adjustRightInd w:val="0"/>
        <w:jc w:val="both"/>
        <w:rPr>
          <w:rFonts w:eastAsia="Calibri-Light"/>
        </w:rPr>
      </w:pPr>
      <w:r w:rsidRPr="00501A80">
        <w:rPr>
          <w:rFonts w:eastAsia="Calibri-Light"/>
        </w:rPr>
        <w:t>c)</w:t>
      </w:r>
      <w:r w:rsidRPr="00501A80">
        <w:rPr>
          <w:rFonts w:eastAsia="Calibri-Light"/>
        </w:rPr>
        <w:tab/>
        <w:t xml:space="preserve">encouraging the participation of </w:t>
      </w:r>
      <w:r w:rsidRPr="00501A80">
        <w:rPr>
          <w:rFonts w:eastAsia="Calibri-Light"/>
          <w:i/>
          <w:iCs/>
        </w:rPr>
        <w:t>Member States, Sector Members, and Academia</w:t>
      </w:r>
      <w:r w:rsidRPr="00501A80">
        <w:rPr>
          <w:rFonts w:eastAsia="Calibri-Light"/>
        </w:rPr>
        <w:t>, particularly from developing countries in ITU’s activities on sustainable digital transformation, including through, whenever possible, holding workshops, study group</w:t>
      </w:r>
      <w:r w:rsidR="00575E62">
        <w:rPr>
          <w:rFonts w:eastAsia="Calibri-Light"/>
        </w:rPr>
        <w:t xml:space="preserve"> meeting</w:t>
      </w:r>
      <w:r w:rsidRPr="00501A80">
        <w:rPr>
          <w:rFonts w:eastAsia="Calibri-Light"/>
        </w:rPr>
        <w:t>s, and other meetings in the regions,</w:t>
      </w:r>
    </w:p>
    <w:p w14:paraId="352352C7" w14:textId="4CB14A4D" w:rsidR="00501A80" w:rsidRPr="00501A80" w:rsidRDefault="00501A80" w:rsidP="00501A80">
      <w:pPr>
        <w:tabs>
          <w:tab w:val="left" w:pos="360"/>
          <w:tab w:val="left" w:pos="720"/>
        </w:tabs>
        <w:autoSpaceDE w:val="0"/>
        <w:autoSpaceDN w:val="0"/>
        <w:adjustRightInd w:val="0"/>
        <w:jc w:val="both"/>
        <w:rPr>
          <w:rFonts w:eastAsia="Calibri-Light"/>
        </w:rPr>
      </w:pPr>
      <w:r w:rsidRPr="00501A80">
        <w:rPr>
          <w:rFonts w:eastAsia="Calibri-Light"/>
        </w:rPr>
        <w:t xml:space="preserve">d) </w:t>
      </w:r>
      <w:r w:rsidRPr="00501A80">
        <w:rPr>
          <w:rFonts w:eastAsia="Calibri-Light"/>
        </w:rPr>
        <w:tab/>
        <w:t xml:space="preserve">recommending measures to foster cooperation and collaboration with other </w:t>
      </w:r>
      <w:r w:rsidRPr="00575E62">
        <w:rPr>
          <w:rFonts w:eastAsia="Calibri-Light"/>
        </w:rPr>
        <w:t xml:space="preserve">relevant </w:t>
      </w:r>
      <w:r w:rsidR="00575E62" w:rsidRPr="00501A80">
        <w:rPr>
          <w:rFonts w:eastAsia="Calibri-Light"/>
        </w:rPr>
        <w:t>standards development organizations (SDOs)</w:t>
      </w:r>
      <w:r w:rsidRPr="00501A80">
        <w:rPr>
          <w:rFonts w:eastAsia="Calibri-Light"/>
        </w:rPr>
        <w:t xml:space="preserve">, </w:t>
      </w:r>
      <w:r w:rsidR="00575E62">
        <w:rPr>
          <w:rFonts w:eastAsia="Calibri-Light"/>
        </w:rPr>
        <w:t xml:space="preserve">and </w:t>
      </w:r>
      <w:r w:rsidRPr="00501A80">
        <w:rPr>
          <w:rFonts w:eastAsia="Calibri-Light"/>
        </w:rPr>
        <w:t>with the Radiocommunication Sector, the Telecommunication Development Sector and the General Secretariat</w:t>
      </w:r>
      <w:r w:rsidR="00575E62">
        <w:rPr>
          <w:rFonts w:eastAsia="Calibri-Light"/>
        </w:rPr>
        <w:t>,</w:t>
      </w:r>
      <w:r w:rsidRPr="00501A80">
        <w:rPr>
          <w:rFonts w:eastAsia="Calibri-Light"/>
        </w:rPr>
        <w:t xml:space="preserve"> </w:t>
      </w:r>
    </w:p>
    <w:p w14:paraId="272B778F" w14:textId="487C3806" w:rsidR="00501A80" w:rsidRPr="00501A80" w:rsidRDefault="00501A80" w:rsidP="00501A80">
      <w:pPr>
        <w:tabs>
          <w:tab w:val="left" w:pos="360"/>
          <w:tab w:val="left" w:pos="720"/>
        </w:tabs>
        <w:autoSpaceDE w:val="0"/>
        <w:autoSpaceDN w:val="0"/>
        <w:adjustRightInd w:val="0"/>
        <w:jc w:val="both"/>
        <w:rPr>
          <w:rFonts w:eastAsia="Calibri-Light"/>
        </w:rPr>
      </w:pPr>
      <w:r w:rsidRPr="00501A80">
        <w:rPr>
          <w:rFonts w:eastAsia="Calibri-Light"/>
        </w:rPr>
        <w:t xml:space="preserve">e)  recommending measures to foster cooperation and collaboration with other relevant </w:t>
      </w:r>
      <w:r w:rsidR="00575E62" w:rsidRPr="00501A80">
        <w:t xml:space="preserve">standards development organizations (SDOs) </w:t>
      </w:r>
      <w:r w:rsidRPr="00501A80">
        <w:rPr>
          <w:rFonts w:eastAsia="Calibri-Light"/>
        </w:rPr>
        <w:t xml:space="preserve">and </w:t>
      </w:r>
      <w:proofErr w:type="gramStart"/>
      <w:r w:rsidRPr="00501A80">
        <w:rPr>
          <w:rFonts w:eastAsia="Calibri-Light"/>
        </w:rPr>
        <w:t>institutions</w:t>
      </w:r>
      <w:r w:rsidR="00575E62">
        <w:rPr>
          <w:rFonts w:eastAsia="Calibri-Light"/>
        </w:rPr>
        <w:t>;</w:t>
      </w:r>
      <w:proofErr w:type="gramEnd"/>
    </w:p>
    <w:p w14:paraId="49966591" w14:textId="77777777" w:rsidR="00501A80" w:rsidRPr="00501A80" w:rsidRDefault="00501A80" w:rsidP="00501A80">
      <w:pPr>
        <w:autoSpaceDE w:val="0"/>
        <w:autoSpaceDN w:val="0"/>
        <w:adjustRightInd w:val="0"/>
        <w:spacing w:before="240" w:after="120"/>
      </w:pPr>
      <w:r w:rsidRPr="00501A80">
        <w:t xml:space="preserve">2. </w:t>
      </w:r>
      <w:r w:rsidRPr="00501A80">
        <w:tab/>
        <w:t>ITU-T Study Groups</w:t>
      </w:r>
    </w:p>
    <w:p w14:paraId="29C3437E" w14:textId="77777777" w:rsidR="00501A80" w:rsidRPr="00501A80" w:rsidRDefault="00501A80" w:rsidP="00501A80">
      <w:pPr>
        <w:tabs>
          <w:tab w:val="left" w:pos="360"/>
        </w:tabs>
        <w:autoSpaceDE w:val="0"/>
        <w:autoSpaceDN w:val="0"/>
        <w:adjustRightInd w:val="0"/>
        <w:spacing w:before="240" w:after="120"/>
      </w:pPr>
      <w:r w:rsidRPr="00501A80">
        <w:t xml:space="preserve">a) </w:t>
      </w:r>
      <w:r w:rsidRPr="00501A80">
        <w:tab/>
        <w:t xml:space="preserve">to organize the necessary work and studies </w:t>
      </w:r>
      <w:proofErr w:type="gramStart"/>
      <w:r w:rsidRPr="00501A80">
        <w:t>in order to</w:t>
      </w:r>
      <w:proofErr w:type="gramEnd"/>
      <w:r w:rsidRPr="00501A80">
        <w:t xml:space="preserve"> accelerate the work on digital transformation,</w:t>
      </w:r>
    </w:p>
    <w:p w14:paraId="43010E1E" w14:textId="77777777" w:rsidR="00501A80" w:rsidRPr="00501A80" w:rsidRDefault="00501A80" w:rsidP="00501A80">
      <w:pPr>
        <w:tabs>
          <w:tab w:val="left" w:pos="360"/>
        </w:tabs>
        <w:autoSpaceDE w:val="0"/>
        <w:autoSpaceDN w:val="0"/>
        <w:adjustRightInd w:val="0"/>
        <w:spacing w:before="240" w:after="120"/>
        <w:rPr>
          <w:lang w:val="en-US"/>
        </w:rPr>
      </w:pPr>
      <w:r w:rsidRPr="00501A80">
        <w:t xml:space="preserve">b) </w:t>
      </w:r>
      <w:r w:rsidRPr="00501A80">
        <w:tab/>
        <w:t xml:space="preserve">to facilitate the development of ITU-T Recommendations that can </w:t>
      </w:r>
      <w:r w:rsidRPr="00501A80">
        <w:rPr>
          <w:lang w:val="en-US"/>
        </w:rPr>
        <w:t>lead to the sustainable digital transformation across different sectors and technologies,</w:t>
      </w:r>
    </w:p>
    <w:p w14:paraId="1A876A78" w14:textId="77777777" w:rsidR="00501A80" w:rsidRPr="00501A80" w:rsidRDefault="00501A80" w:rsidP="00501A80">
      <w:pPr>
        <w:tabs>
          <w:tab w:val="left" w:pos="360"/>
        </w:tabs>
        <w:autoSpaceDE w:val="0"/>
        <w:autoSpaceDN w:val="0"/>
        <w:adjustRightInd w:val="0"/>
        <w:spacing w:before="240" w:after="120"/>
      </w:pPr>
      <w:r w:rsidRPr="00501A80">
        <w:rPr>
          <w:lang w:val="en-US"/>
        </w:rPr>
        <w:t xml:space="preserve">c) </w:t>
      </w:r>
      <w:r w:rsidRPr="00501A80">
        <w:rPr>
          <w:lang w:val="en-US"/>
        </w:rPr>
        <w:tab/>
      </w:r>
      <w:r w:rsidRPr="00501A80">
        <w:t>to coordinate and collaborate with other relevant standards development organizations (SDOs) and institutions with primary responsibility for standards development and capacity building in the area of digital transformation, and with other groups within ITU,</w:t>
      </w:r>
    </w:p>
    <w:p w14:paraId="580C41B4" w14:textId="77777777" w:rsidR="00501A80" w:rsidRPr="00501A80" w:rsidRDefault="00501A80" w:rsidP="00501A80">
      <w:pPr>
        <w:tabs>
          <w:tab w:val="left" w:pos="360"/>
        </w:tabs>
        <w:autoSpaceDE w:val="0"/>
        <w:autoSpaceDN w:val="0"/>
        <w:adjustRightInd w:val="0"/>
        <w:spacing w:before="240" w:after="120"/>
        <w:rPr>
          <w:lang w:val="en-US"/>
        </w:rPr>
      </w:pPr>
      <w:r w:rsidRPr="00501A80">
        <w:t xml:space="preserve">d) </w:t>
      </w:r>
      <w:r w:rsidRPr="00501A80">
        <w:tab/>
        <w:t>to develop technical standards that will help developing countries take advantage of emerging ICT-centric technologies related to digital transformation,</w:t>
      </w:r>
    </w:p>
    <w:p w14:paraId="69417480" w14:textId="77777777" w:rsidR="00501A80" w:rsidRPr="00501A80" w:rsidRDefault="00501A80" w:rsidP="00501A80">
      <w:pPr>
        <w:tabs>
          <w:tab w:val="left" w:pos="360"/>
        </w:tabs>
        <w:autoSpaceDE w:val="0"/>
        <w:autoSpaceDN w:val="0"/>
        <w:adjustRightInd w:val="0"/>
        <w:spacing w:before="240" w:after="120"/>
        <w:rPr>
          <w:rFonts w:eastAsia="Calibri-Light"/>
        </w:rPr>
      </w:pPr>
      <w:r w:rsidRPr="00501A80">
        <w:rPr>
          <w:lang w:val="en-US"/>
        </w:rPr>
        <w:t>e)</w:t>
      </w:r>
      <w:r w:rsidRPr="00501A80">
        <w:rPr>
          <w:rFonts w:eastAsia="Calibri-Light"/>
        </w:rPr>
        <w:t xml:space="preserve"> </w:t>
      </w:r>
      <w:r w:rsidRPr="00501A80">
        <w:rPr>
          <w:rFonts w:eastAsia="Calibri-Light"/>
        </w:rPr>
        <w:tab/>
        <w:t>to promote the timely development of guidelines for developing countries on the basis ITU‑T recommendations, related to sustainable digital transformation,</w:t>
      </w:r>
    </w:p>
    <w:p w14:paraId="0F1F31BD" w14:textId="77777777" w:rsidR="00501A80" w:rsidRPr="00501A80" w:rsidRDefault="00501A80" w:rsidP="00501A80">
      <w:pPr>
        <w:tabs>
          <w:tab w:val="left" w:pos="360"/>
        </w:tabs>
        <w:autoSpaceDE w:val="0"/>
        <w:autoSpaceDN w:val="0"/>
        <w:adjustRightInd w:val="0"/>
        <w:spacing w:before="240" w:after="120"/>
        <w:rPr>
          <w:rFonts w:eastAsia="Calibri-Light"/>
        </w:rPr>
      </w:pPr>
      <w:r w:rsidRPr="00501A80">
        <w:rPr>
          <w:rFonts w:eastAsia="Calibri-Light"/>
        </w:rPr>
        <w:t>f)</w:t>
      </w:r>
      <w:r w:rsidRPr="00501A80">
        <w:rPr>
          <w:rFonts w:eastAsia="Calibri-Light"/>
        </w:rPr>
        <w:tab/>
        <w:t xml:space="preserve">to encourage Member States, Sector members, and Academia to contribute to studies and development of standards/guidelines related to digital </w:t>
      </w:r>
      <w:proofErr w:type="gramStart"/>
      <w:r w:rsidRPr="00501A80">
        <w:rPr>
          <w:rFonts w:eastAsia="Calibri-Light"/>
        </w:rPr>
        <w:t>transformation;</w:t>
      </w:r>
      <w:proofErr w:type="gramEnd"/>
    </w:p>
    <w:p w14:paraId="3AC3CDF7" w14:textId="77777777" w:rsidR="00501A80" w:rsidRPr="00501A80" w:rsidRDefault="00501A80" w:rsidP="00501A80">
      <w:pPr>
        <w:autoSpaceDE w:val="0"/>
        <w:autoSpaceDN w:val="0"/>
        <w:adjustRightInd w:val="0"/>
        <w:spacing w:before="240" w:after="120"/>
        <w:rPr>
          <w:i/>
          <w:iCs/>
        </w:rPr>
      </w:pPr>
      <w:r w:rsidRPr="00501A80">
        <w:rPr>
          <w:i/>
          <w:iCs/>
        </w:rPr>
        <w:t>invites Member States, Sector Members, and Academia</w:t>
      </w:r>
    </w:p>
    <w:p w14:paraId="04C16050" w14:textId="77777777" w:rsidR="00501A80" w:rsidRPr="00501A80" w:rsidRDefault="00501A80" w:rsidP="00501A80">
      <w:pPr>
        <w:numPr>
          <w:ilvl w:val="0"/>
          <w:numId w:val="40"/>
        </w:numPr>
        <w:autoSpaceDE w:val="0"/>
        <w:autoSpaceDN w:val="0"/>
        <w:adjustRightInd w:val="0"/>
        <w:ind w:hanging="540"/>
        <w:contextualSpacing/>
        <w:jc w:val="both"/>
        <w:rPr>
          <w:rFonts w:eastAsia="Calibri-Light"/>
        </w:rPr>
      </w:pPr>
      <w:r w:rsidRPr="00501A80">
        <w:rPr>
          <w:rFonts w:eastAsia="Calibri-Light"/>
        </w:rPr>
        <w:t>to provide contributions and actively participate in the ITU-T activities related to sustainable digital transformation,</w:t>
      </w:r>
    </w:p>
    <w:p w14:paraId="09989FE7" w14:textId="77777777" w:rsidR="00501A80" w:rsidRPr="00501A80" w:rsidRDefault="00501A80" w:rsidP="00501A80">
      <w:pPr>
        <w:numPr>
          <w:ilvl w:val="0"/>
          <w:numId w:val="40"/>
        </w:numPr>
        <w:ind w:hanging="540"/>
        <w:contextualSpacing/>
        <w:rPr>
          <w:rFonts w:eastAsia="Calibri-Light"/>
        </w:rPr>
      </w:pPr>
      <w:r w:rsidRPr="00501A80">
        <w:t xml:space="preserve">to </w:t>
      </w:r>
      <w:r w:rsidRPr="00501A80">
        <w:rPr>
          <w:rFonts w:eastAsia="Calibri-Light"/>
        </w:rPr>
        <w:t>encourage</w:t>
      </w:r>
      <w:r w:rsidRPr="00501A80">
        <w:t xml:space="preserve"> the use of innovative digital tools and technologies, as appropriate, to advance digital transformation.</w:t>
      </w:r>
    </w:p>
    <w:p w14:paraId="3F3B154B" w14:textId="77777777" w:rsidR="00501A80" w:rsidRPr="00501A80" w:rsidRDefault="00501A80" w:rsidP="00501A80"/>
    <w:p w14:paraId="58ACB6CF" w14:textId="77777777" w:rsidR="00501A80" w:rsidRPr="00501A80" w:rsidRDefault="00501A80" w:rsidP="00501A80"/>
    <w:p w14:paraId="74EE17DC" w14:textId="77777777" w:rsidR="00501A80" w:rsidRPr="00501A80" w:rsidRDefault="00501A80" w:rsidP="00501A80">
      <w:pPr>
        <w:pageBreakBefore/>
        <w:tabs>
          <w:tab w:val="left" w:pos="720"/>
        </w:tabs>
        <w:autoSpaceDE w:val="0"/>
        <w:autoSpaceDN w:val="0"/>
        <w:adjustRightInd w:val="0"/>
        <w:jc w:val="both"/>
        <w:rPr>
          <w:rFonts w:eastAsia="Calibri-Light"/>
          <w:b/>
          <w:bCs/>
        </w:rPr>
        <w:sectPr w:rsidR="00501A80" w:rsidRPr="00501A80" w:rsidSect="00501A80">
          <w:pgSz w:w="11907" w:h="16840" w:code="9"/>
          <w:pgMar w:top="1138" w:right="1138" w:bottom="1138" w:left="1138" w:header="720" w:footer="720" w:gutter="0"/>
          <w:cols w:space="720"/>
          <w:titlePg/>
          <w:docGrid w:linePitch="360"/>
        </w:sectPr>
      </w:pPr>
    </w:p>
    <w:p w14:paraId="6D164C01" w14:textId="77777777" w:rsidR="00501A80" w:rsidRPr="00501A80" w:rsidRDefault="00501A80" w:rsidP="00501A80">
      <w:pPr>
        <w:pageBreakBefore/>
        <w:tabs>
          <w:tab w:val="left" w:pos="720"/>
        </w:tabs>
        <w:autoSpaceDE w:val="0"/>
        <w:autoSpaceDN w:val="0"/>
        <w:adjustRightInd w:val="0"/>
        <w:jc w:val="both"/>
        <w:rPr>
          <w:rFonts w:eastAsia="Calibri-Light"/>
          <w:b/>
          <w:bCs/>
        </w:rPr>
      </w:pPr>
      <w:r w:rsidRPr="00501A80">
        <w:rPr>
          <w:rFonts w:eastAsia="Calibri-Light"/>
          <w:b/>
          <w:bCs/>
        </w:rPr>
        <w:lastRenderedPageBreak/>
        <w:t>Annex 2</w:t>
      </w:r>
    </w:p>
    <w:p w14:paraId="0B6EB096" w14:textId="77777777" w:rsidR="00501A80" w:rsidRPr="00501A80" w:rsidRDefault="00501A80" w:rsidP="00501A80">
      <w:pPr>
        <w:spacing w:before="240" w:after="240"/>
        <w:jc w:val="center"/>
        <w:rPr>
          <w:rFonts w:cstheme="minorHAnsi"/>
          <w:b/>
          <w:bCs/>
        </w:rPr>
      </w:pPr>
      <w:r w:rsidRPr="00501A80">
        <w:rPr>
          <w:rFonts w:cstheme="minorHAnsi"/>
          <w:b/>
          <w:bCs/>
        </w:rPr>
        <w:t>Activities and studies related to sustainable digital transformation</w:t>
      </w:r>
    </w:p>
    <w:p w14:paraId="30792576" w14:textId="77777777" w:rsidR="00501A80" w:rsidRPr="00501A80" w:rsidRDefault="00501A80" w:rsidP="00501A80">
      <w:pPr>
        <w:spacing w:after="120"/>
        <w:rPr>
          <w:rFonts w:cstheme="minorHAnsi"/>
          <w:b/>
          <w:bCs/>
          <w:sz w:val="22"/>
          <w:szCs w:val="22"/>
        </w:rPr>
      </w:pPr>
      <w:r w:rsidRPr="00501A80">
        <w:rPr>
          <w:rFonts w:cstheme="minorHAnsi"/>
          <w:b/>
          <w:bCs/>
          <w:sz w:val="22"/>
          <w:szCs w:val="22"/>
        </w:rPr>
        <w:t>Template</w:t>
      </w: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1258"/>
        <w:gridCol w:w="2931"/>
        <w:gridCol w:w="3600"/>
        <w:gridCol w:w="1866"/>
        <w:gridCol w:w="2801"/>
      </w:tblGrid>
      <w:tr w:rsidR="00501A80" w:rsidRPr="00501A80" w14:paraId="150CC9A4" w14:textId="77777777" w:rsidTr="00BF3648">
        <w:trPr>
          <w:tblHeader/>
        </w:trPr>
        <w:tc>
          <w:tcPr>
            <w:tcW w:w="2106" w:type="dxa"/>
            <w:shd w:val="clear" w:color="auto" w:fill="D5DCE4" w:themeFill="text2" w:themeFillTint="33"/>
          </w:tcPr>
          <w:p w14:paraId="329EF7D6" w14:textId="77777777" w:rsidR="00501A80" w:rsidRPr="00501A80" w:rsidRDefault="00501A80" w:rsidP="00501A80">
            <w:pPr>
              <w:jc w:val="center"/>
              <w:rPr>
                <w:b/>
                <w:sz w:val="22"/>
                <w:szCs w:val="22"/>
              </w:rPr>
            </w:pPr>
            <w:r w:rsidRPr="00501A80">
              <w:rPr>
                <w:b/>
                <w:sz w:val="22"/>
                <w:szCs w:val="22"/>
              </w:rPr>
              <w:t>Sector/Domain</w:t>
            </w:r>
          </w:p>
        </w:tc>
        <w:tc>
          <w:tcPr>
            <w:tcW w:w="1258" w:type="dxa"/>
            <w:shd w:val="clear" w:color="auto" w:fill="D5DCE4" w:themeFill="text2" w:themeFillTint="33"/>
          </w:tcPr>
          <w:p w14:paraId="179689A9" w14:textId="77777777" w:rsidR="00501A80" w:rsidRPr="00501A80" w:rsidRDefault="00501A80" w:rsidP="00501A80">
            <w:pPr>
              <w:jc w:val="center"/>
              <w:rPr>
                <w:b/>
                <w:sz w:val="22"/>
                <w:szCs w:val="22"/>
              </w:rPr>
            </w:pPr>
            <w:r w:rsidRPr="00501A80">
              <w:rPr>
                <w:b/>
                <w:sz w:val="22"/>
                <w:szCs w:val="22"/>
              </w:rPr>
              <w:t>Study group or</w:t>
            </w:r>
          </w:p>
          <w:p w14:paraId="052BE5B9" w14:textId="77777777" w:rsidR="00501A80" w:rsidRPr="00501A80" w:rsidRDefault="00501A80" w:rsidP="00501A80">
            <w:pPr>
              <w:jc w:val="center"/>
              <w:rPr>
                <w:b/>
                <w:sz w:val="22"/>
                <w:szCs w:val="22"/>
              </w:rPr>
            </w:pPr>
            <w:r w:rsidRPr="00501A80">
              <w:rPr>
                <w:b/>
                <w:sz w:val="22"/>
                <w:szCs w:val="22"/>
              </w:rPr>
              <w:t>SDO</w:t>
            </w:r>
          </w:p>
        </w:tc>
        <w:tc>
          <w:tcPr>
            <w:tcW w:w="2931" w:type="dxa"/>
            <w:shd w:val="clear" w:color="auto" w:fill="D5DCE4" w:themeFill="text2" w:themeFillTint="33"/>
          </w:tcPr>
          <w:p w14:paraId="0018AF12" w14:textId="77777777" w:rsidR="00501A80" w:rsidRPr="00501A80" w:rsidRDefault="00501A80" w:rsidP="00501A80">
            <w:pPr>
              <w:jc w:val="center"/>
              <w:rPr>
                <w:b/>
                <w:sz w:val="22"/>
                <w:szCs w:val="22"/>
              </w:rPr>
            </w:pPr>
            <w:r w:rsidRPr="00501A80">
              <w:rPr>
                <w:b/>
                <w:sz w:val="22"/>
                <w:szCs w:val="22"/>
              </w:rPr>
              <w:t>Title of deliverable</w:t>
            </w:r>
          </w:p>
        </w:tc>
        <w:tc>
          <w:tcPr>
            <w:tcW w:w="3600" w:type="dxa"/>
            <w:shd w:val="clear" w:color="auto" w:fill="D5DCE4" w:themeFill="text2" w:themeFillTint="33"/>
          </w:tcPr>
          <w:p w14:paraId="4E00F63E" w14:textId="77777777" w:rsidR="00501A80" w:rsidRPr="00501A80" w:rsidRDefault="00501A80" w:rsidP="00501A80">
            <w:pPr>
              <w:jc w:val="center"/>
              <w:rPr>
                <w:b/>
                <w:sz w:val="22"/>
                <w:szCs w:val="22"/>
              </w:rPr>
            </w:pPr>
            <w:r w:rsidRPr="00501A80">
              <w:rPr>
                <w:b/>
                <w:sz w:val="22"/>
                <w:szCs w:val="22"/>
              </w:rPr>
              <w:t>Scope of deliverable</w:t>
            </w:r>
          </w:p>
        </w:tc>
        <w:tc>
          <w:tcPr>
            <w:tcW w:w="1866" w:type="dxa"/>
            <w:shd w:val="clear" w:color="auto" w:fill="D5DCE4" w:themeFill="text2" w:themeFillTint="33"/>
          </w:tcPr>
          <w:p w14:paraId="15F384EA" w14:textId="77777777" w:rsidR="00501A80" w:rsidRPr="00501A80" w:rsidRDefault="00501A80" w:rsidP="00501A80">
            <w:pPr>
              <w:jc w:val="center"/>
              <w:rPr>
                <w:b/>
                <w:sz w:val="22"/>
                <w:szCs w:val="22"/>
              </w:rPr>
            </w:pPr>
            <w:proofErr w:type="gramStart"/>
            <w:r w:rsidRPr="00501A80">
              <w:rPr>
                <w:b/>
                <w:sz w:val="22"/>
                <w:szCs w:val="22"/>
              </w:rPr>
              <w:t>Current status</w:t>
            </w:r>
            <w:proofErr w:type="gramEnd"/>
          </w:p>
        </w:tc>
        <w:tc>
          <w:tcPr>
            <w:tcW w:w="2801" w:type="dxa"/>
            <w:shd w:val="clear" w:color="auto" w:fill="D5DCE4" w:themeFill="text2" w:themeFillTint="33"/>
          </w:tcPr>
          <w:p w14:paraId="3A3EC4B3" w14:textId="77777777" w:rsidR="00501A80" w:rsidRPr="00501A80" w:rsidRDefault="00501A80" w:rsidP="00501A80">
            <w:pPr>
              <w:jc w:val="center"/>
              <w:rPr>
                <w:b/>
                <w:sz w:val="22"/>
                <w:szCs w:val="22"/>
              </w:rPr>
            </w:pPr>
            <w:r w:rsidRPr="00501A80">
              <w:rPr>
                <w:b/>
                <w:sz w:val="22"/>
                <w:szCs w:val="22"/>
              </w:rPr>
              <w:t>Reference/URI</w:t>
            </w:r>
          </w:p>
        </w:tc>
      </w:tr>
      <w:tr w:rsidR="00501A80" w:rsidRPr="00501A80" w14:paraId="24D0E974" w14:textId="77777777" w:rsidTr="00BF3648">
        <w:trPr>
          <w:trHeight w:val="2681"/>
        </w:trPr>
        <w:tc>
          <w:tcPr>
            <w:tcW w:w="2106" w:type="dxa"/>
          </w:tcPr>
          <w:p w14:paraId="26A05E6A" w14:textId="77777777" w:rsidR="00501A80" w:rsidRPr="00501A80" w:rsidRDefault="00501A80" w:rsidP="00501A80">
            <w:pPr>
              <w:jc w:val="center"/>
              <w:rPr>
                <w:i/>
                <w:iCs/>
                <w:sz w:val="22"/>
                <w:szCs w:val="22"/>
                <w:lang w:val="en-US"/>
              </w:rPr>
            </w:pPr>
            <w:r w:rsidRPr="00501A80">
              <w:rPr>
                <w:i/>
                <w:iCs/>
                <w:sz w:val="22"/>
                <w:szCs w:val="22"/>
                <w:lang w:val="en-US"/>
              </w:rPr>
              <w:t>Please indicate the sector/domain for which digital transformation is applied</w:t>
            </w:r>
          </w:p>
          <w:p w14:paraId="7152C712" w14:textId="77777777" w:rsidR="00501A80" w:rsidRPr="00501A80" w:rsidRDefault="00501A80" w:rsidP="00501A80">
            <w:pPr>
              <w:jc w:val="center"/>
              <w:rPr>
                <w:i/>
                <w:iCs/>
                <w:sz w:val="22"/>
                <w:szCs w:val="22"/>
                <w:lang w:val="en-US"/>
              </w:rPr>
            </w:pPr>
            <w:r w:rsidRPr="00501A80">
              <w:rPr>
                <w:i/>
                <w:iCs/>
                <w:sz w:val="22"/>
                <w:szCs w:val="22"/>
                <w:lang w:val="en-US"/>
              </w:rPr>
              <w:t>(e.g. health, education, transportation, standardization, etc.)</w:t>
            </w:r>
          </w:p>
        </w:tc>
        <w:tc>
          <w:tcPr>
            <w:tcW w:w="1258" w:type="dxa"/>
          </w:tcPr>
          <w:p w14:paraId="0FABF115" w14:textId="77777777" w:rsidR="00501A80" w:rsidRPr="00501A80" w:rsidRDefault="00501A80" w:rsidP="00501A80">
            <w:pPr>
              <w:jc w:val="center"/>
              <w:rPr>
                <w:i/>
                <w:iCs/>
                <w:sz w:val="22"/>
                <w:szCs w:val="22"/>
                <w:lang w:val="en-US"/>
              </w:rPr>
            </w:pPr>
            <w:r w:rsidRPr="00501A80">
              <w:rPr>
                <w:i/>
                <w:iCs/>
                <w:sz w:val="22"/>
                <w:szCs w:val="22"/>
                <w:lang w:val="en-US"/>
              </w:rPr>
              <w:t>Please highlight the ITU-T, ITU-D, ITU-R SG or other SDO which is in charge</w:t>
            </w:r>
          </w:p>
        </w:tc>
        <w:tc>
          <w:tcPr>
            <w:tcW w:w="2931" w:type="dxa"/>
          </w:tcPr>
          <w:p w14:paraId="524C69B3" w14:textId="77777777" w:rsidR="00501A80" w:rsidRPr="00501A80" w:rsidRDefault="00501A80" w:rsidP="00501A80">
            <w:pPr>
              <w:jc w:val="center"/>
              <w:rPr>
                <w:i/>
                <w:iCs/>
                <w:sz w:val="22"/>
                <w:szCs w:val="22"/>
                <w:lang w:val="en-US" w:eastAsia="zh-CN"/>
              </w:rPr>
            </w:pPr>
            <w:r w:rsidRPr="00501A80">
              <w:rPr>
                <w:i/>
                <w:iCs/>
                <w:sz w:val="22"/>
                <w:szCs w:val="22"/>
                <w:lang w:val="en-US" w:eastAsia="zh-CN"/>
              </w:rPr>
              <w:t>Please indicate the title of the deliverable</w:t>
            </w:r>
          </w:p>
        </w:tc>
        <w:tc>
          <w:tcPr>
            <w:tcW w:w="3600" w:type="dxa"/>
          </w:tcPr>
          <w:p w14:paraId="587FE546" w14:textId="77777777" w:rsidR="00501A80" w:rsidRPr="00501A80" w:rsidRDefault="00501A80" w:rsidP="00501A80">
            <w:pPr>
              <w:rPr>
                <w:i/>
                <w:iCs/>
                <w:sz w:val="22"/>
                <w:szCs w:val="22"/>
                <w:lang w:val="en-US"/>
              </w:rPr>
            </w:pPr>
            <w:r w:rsidRPr="00501A80">
              <w:rPr>
                <w:i/>
                <w:iCs/>
                <w:sz w:val="22"/>
                <w:szCs w:val="22"/>
                <w:lang w:val="en-US"/>
              </w:rPr>
              <w:t>Please provide the short description summarizing the scope of the deliverable highlighting its relevance to digital transformation</w:t>
            </w:r>
          </w:p>
        </w:tc>
        <w:tc>
          <w:tcPr>
            <w:tcW w:w="1866" w:type="dxa"/>
          </w:tcPr>
          <w:p w14:paraId="3D8B81D3" w14:textId="77777777" w:rsidR="00501A80" w:rsidRPr="00501A80" w:rsidRDefault="00501A80" w:rsidP="00501A80">
            <w:pPr>
              <w:jc w:val="center"/>
              <w:rPr>
                <w:i/>
                <w:iCs/>
                <w:sz w:val="22"/>
                <w:szCs w:val="22"/>
                <w:lang w:val="en-US"/>
              </w:rPr>
            </w:pPr>
            <w:r w:rsidRPr="00501A80">
              <w:rPr>
                <w:i/>
                <w:iCs/>
                <w:sz w:val="22"/>
                <w:szCs w:val="22"/>
                <w:lang w:val="en-US"/>
              </w:rPr>
              <w:t>Please indicate status of the deliverable (e.g. approved, ongoing)</w:t>
            </w:r>
          </w:p>
        </w:tc>
        <w:tc>
          <w:tcPr>
            <w:tcW w:w="2801" w:type="dxa"/>
          </w:tcPr>
          <w:p w14:paraId="2C005BDD" w14:textId="77777777" w:rsidR="00501A80" w:rsidRPr="00501A80" w:rsidRDefault="00501A80" w:rsidP="00501A80">
            <w:pPr>
              <w:jc w:val="center"/>
              <w:rPr>
                <w:i/>
                <w:iCs/>
                <w:sz w:val="22"/>
                <w:szCs w:val="22"/>
                <w:lang w:val="en-US"/>
              </w:rPr>
            </w:pPr>
            <w:r w:rsidRPr="00501A80">
              <w:rPr>
                <w:i/>
                <w:iCs/>
                <w:sz w:val="22"/>
                <w:szCs w:val="22"/>
                <w:lang w:val="en-US"/>
              </w:rPr>
              <w:t>Please provide reference to the latest document, including a hyperlink</w:t>
            </w:r>
          </w:p>
        </w:tc>
      </w:tr>
    </w:tbl>
    <w:p w14:paraId="7D98DB82" w14:textId="77777777" w:rsidR="00501A80" w:rsidRPr="00501A80" w:rsidRDefault="00501A80" w:rsidP="00501A80">
      <w:pPr>
        <w:tabs>
          <w:tab w:val="left" w:pos="720"/>
        </w:tabs>
        <w:autoSpaceDE w:val="0"/>
        <w:autoSpaceDN w:val="0"/>
        <w:adjustRightInd w:val="0"/>
        <w:jc w:val="both"/>
        <w:rPr>
          <w:rFonts w:eastAsia="Calibri-Light"/>
        </w:rPr>
      </w:pPr>
      <w:bookmarkStart w:id="3" w:name="Proposal"/>
      <w:bookmarkEnd w:id="3"/>
    </w:p>
    <w:p w14:paraId="6C29F84B" w14:textId="77777777" w:rsidR="00501A80" w:rsidRPr="00501A80" w:rsidRDefault="00501A80" w:rsidP="00501A80">
      <w:pPr>
        <w:tabs>
          <w:tab w:val="left" w:pos="720"/>
        </w:tabs>
        <w:autoSpaceDE w:val="0"/>
        <w:autoSpaceDN w:val="0"/>
        <w:adjustRightInd w:val="0"/>
        <w:jc w:val="both"/>
        <w:rPr>
          <w:rFonts w:eastAsia="Calibri-Light"/>
        </w:rPr>
      </w:pP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1258"/>
        <w:gridCol w:w="2931"/>
        <w:gridCol w:w="3600"/>
        <w:gridCol w:w="1866"/>
        <w:gridCol w:w="6"/>
        <w:gridCol w:w="2795"/>
      </w:tblGrid>
      <w:tr w:rsidR="00501A80" w:rsidRPr="00501A80" w14:paraId="1DDC358E" w14:textId="77777777" w:rsidTr="00BF3648">
        <w:trPr>
          <w:tblHeader/>
        </w:trPr>
        <w:tc>
          <w:tcPr>
            <w:tcW w:w="2106" w:type="dxa"/>
            <w:shd w:val="clear" w:color="auto" w:fill="D5DCE4" w:themeFill="text2" w:themeFillTint="33"/>
          </w:tcPr>
          <w:p w14:paraId="21274F02" w14:textId="77777777" w:rsidR="00501A80" w:rsidRPr="00501A80" w:rsidRDefault="00501A80" w:rsidP="00501A80">
            <w:pPr>
              <w:jc w:val="center"/>
              <w:rPr>
                <w:b/>
                <w:sz w:val="22"/>
                <w:szCs w:val="22"/>
              </w:rPr>
            </w:pPr>
            <w:r w:rsidRPr="00501A80">
              <w:rPr>
                <w:b/>
                <w:sz w:val="22"/>
                <w:szCs w:val="22"/>
              </w:rPr>
              <w:lastRenderedPageBreak/>
              <w:t>Sector/Domain</w:t>
            </w:r>
          </w:p>
        </w:tc>
        <w:tc>
          <w:tcPr>
            <w:tcW w:w="1258" w:type="dxa"/>
            <w:shd w:val="clear" w:color="auto" w:fill="D5DCE4" w:themeFill="text2" w:themeFillTint="33"/>
          </w:tcPr>
          <w:p w14:paraId="7C0EB9A5" w14:textId="77777777" w:rsidR="00501A80" w:rsidRPr="00501A80" w:rsidRDefault="00501A80" w:rsidP="00501A80">
            <w:pPr>
              <w:jc w:val="center"/>
              <w:rPr>
                <w:b/>
                <w:sz w:val="22"/>
                <w:szCs w:val="22"/>
              </w:rPr>
            </w:pPr>
            <w:r w:rsidRPr="00501A80">
              <w:rPr>
                <w:b/>
                <w:sz w:val="22"/>
                <w:szCs w:val="22"/>
              </w:rPr>
              <w:t>Study group or</w:t>
            </w:r>
          </w:p>
          <w:p w14:paraId="5BF4D870" w14:textId="77777777" w:rsidR="00501A80" w:rsidRPr="00501A80" w:rsidRDefault="00501A80" w:rsidP="00501A80">
            <w:pPr>
              <w:jc w:val="center"/>
              <w:rPr>
                <w:b/>
                <w:sz w:val="22"/>
                <w:szCs w:val="22"/>
              </w:rPr>
            </w:pPr>
            <w:r w:rsidRPr="00501A80">
              <w:rPr>
                <w:b/>
                <w:sz w:val="22"/>
                <w:szCs w:val="22"/>
              </w:rPr>
              <w:t>SDO</w:t>
            </w:r>
          </w:p>
        </w:tc>
        <w:tc>
          <w:tcPr>
            <w:tcW w:w="2931" w:type="dxa"/>
            <w:shd w:val="clear" w:color="auto" w:fill="D5DCE4" w:themeFill="text2" w:themeFillTint="33"/>
          </w:tcPr>
          <w:p w14:paraId="5B20374C" w14:textId="77777777" w:rsidR="00501A80" w:rsidRPr="00501A80" w:rsidRDefault="00501A80" w:rsidP="00501A80">
            <w:pPr>
              <w:jc w:val="center"/>
              <w:rPr>
                <w:b/>
                <w:sz w:val="22"/>
                <w:szCs w:val="22"/>
              </w:rPr>
            </w:pPr>
            <w:r w:rsidRPr="00501A80">
              <w:rPr>
                <w:b/>
                <w:sz w:val="22"/>
                <w:szCs w:val="22"/>
              </w:rPr>
              <w:t>Title of deliverable</w:t>
            </w:r>
          </w:p>
        </w:tc>
        <w:tc>
          <w:tcPr>
            <w:tcW w:w="3600" w:type="dxa"/>
            <w:shd w:val="clear" w:color="auto" w:fill="D5DCE4" w:themeFill="text2" w:themeFillTint="33"/>
          </w:tcPr>
          <w:p w14:paraId="7DF64D0D" w14:textId="77777777" w:rsidR="00501A80" w:rsidRPr="00501A80" w:rsidRDefault="00501A80" w:rsidP="00501A80">
            <w:pPr>
              <w:jc w:val="center"/>
              <w:rPr>
                <w:b/>
                <w:sz w:val="22"/>
                <w:szCs w:val="22"/>
              </w:rPr>
            </w:pPr>
            <w:r w:rsidRPr="00501A80">
              <w:rPr>
                <w:b/>
                <w:sz w:val="22"/>
                <w:szCs w:val="22"/>
              </w:rPr>
              <w:t>Scope of deliverable</w:t>
            </w:r>
          </w:p>
        </w:tc>
        <w:tc>
          <w:tcPr>
            <w:tcW w:w="1866" w:type="dxa"/>
            <w:shd w:val="clear" w:color="auto" w:fill="D5DCE4" w:themeFill="text2" w:themeFillTint="33"/>
          </w:tcPr>
          <w:p w14:paraId="6CF6E1E2" w14:textId="77777777" w:rsidR="00501A80" w:rsidRPr="00501A80" w:rsidRDefault="00501A80" w:rsidP="00501A80">
            <w:pPr>
              <w:jc w:val="center"/>
              <w:rPr>
                <w:b/>
                <w:sz w:val="22"/>
                <w:szCs w:val="22"/>
              </w:rPr>
            </w:pPr>
            <w:proofErr w:type="gramStart"/>
            <w:r w:rsidRPr="00501A80">
              <w:rPr>
                <w:b/>
                <w:sz w:val="22"/>
                <w:szCs w:val="22"/>
              </w:rPr>
              <w:t>Current status</w:t>
            </w:r>
            <w:proofErr w:type="gramEnd"/>
          </w:p>
        </w:tc>
        <w:tc>
          <w:tcPr>
            <w:tcW w:w="2801" w:type="dxa"/>
            <w:gridSpan w:val="2"/>
            <w:shd w:val="clear" w:color="auto" w:fill="D5DCE4" w:themeFill="text2" w:themeFillTint="33"/>
          </w:tcPr>
          <w:p w14:paraId="5644862C" w14:textId="77777777" w:rsidR="00501A80" w:rsidRPr="00501A80" w:rsidRDefault="00501A80" w:rsidP="00501A80">
            <w:pPr>
              <w:jc w:val="center"/>
              <w:rPr>
                <w:b/>
                <w:sz w:val="22"/>
                <w:szCs w:val="22"/>
              </w:rPr>
            </w:pPr>
            <w:r w:rsidRPr="00501A80">
              <w:rPr>
                <w:b/>
                <w:sz w:val="22"/>
                <w:szCs w:val="22"/>
              </w:rPr>
              <w:t>Reference/URI</w:t>
            </w:r>
          </w:p>
        </w:tc>
      </w:tr>
      <w:tr w:rsidR="00501A80" w:rsidRPr="00501A80" w14:paraId="38A5EDBF" w14:textId="77777777" w:rsidTr="00BF3648">
        <w:trPr>
          <w:trHeight w:val="5831"/>
        </w:trPr>
        <w:tc>
          <w:tcPr>
            <w:tcW w:w="2106" w:type="dxa"/>
          </w:tcPr>
          <w:p w14:paraId="23FF4DD2" w14:textId="77777777" w:rsidR="00501A80" w:rsidRPr="00501A80" w:rsidRDefault="00501A80" w:rsidP="00501A80">
            <w:pPr>
              <w:jc w:val="center"/>
              <w:rPr>
                <w:sz w:val="22"/>
                <w:szCs w:val="22"/>
                <w:lang w:val="en-US" w:eastAsia="zh-CN"/>
              </w:rPr>
            </w:pPr>
            <w:r w:rsidRPr="00501A80">
              <w:rPr>
                <w:sz w:val="22"/>
                <w:szCs w:val="22"/>
                <w:lang w:val="en-US"/>
              </w:rPr>
              <w:t>Network</w:t>
            </w:r>
            <w:r w:rsidRPr="00501A80">
              <w:rPr>
                <w:sz w:val="22"/>
                <w:szCs w:val="22"/>
                <w:lang w:val="en-US" w:eastAsia="zh-CN"/>
              </w:rPr>
              <w:t xml:space="preserve"> management</w:t>
            </w:r>
          </w:p>
          <w:p w14:paraId="145944D6" w14:textId="77777777" w:rsidR="00501A80" w:rsidRPr="00501A80" w:rsidRDefault="00501A80" w:rsidP="00501A80">
            <w:pPr>
              <w:jc w:val="center"/>
              <w:rPr>
                <w:sz w:val="22"/>
                <w:szCs w:val="22"/>
                <w:lang w:val="en-US" w:eastAsia="zh-CN"/>
              </w:rPr>
            </w:pPr>
            <w:r w:rsidRPr="00501A80">
              <w:rPr>
                <w:sz w:val="22"/>
                <w:szCs w:val="22"/>
                <w:lang w:val="en-US" w:eastAsia="zh-CN"/>
              </w:rPr>
              <w:t xml:space="preserve">And </w:t>
            </w:r>
          </w:p>
          <w:p w14:paraId="3FB28D86" w14:textId="77777777" w:rsidR="00501A80" w:rsidRPr="00501A80" w:rsidRDefault="00501A80" w:rsidP="00501A80">
            <w:pPr>
              <w:jc w:val="center"/>
              <w:rPr>
                <w:sz w:val="22"/>
                <w:szCs w:val="22"/>
                <w:lang w:val="en-US" w:eastAsia="zh-CN"/>
              </w:rPr>
            </w:pPr>
            <w:r w:rsidRPr="00501A80">
              <w:rPr>
                <w:sz w:val="22"/>
                <w:szCs w:val="22"/>
                <w:lang w:val="en-US" w:eastAsia="zh-CN"/>
              </w:rPr>
              <w:t>maintenance</w:t>
            </w:r>
          </w:p>
        </w:tc>
        <w:tc>
          <w:tcPr>
            <w:tcW w:w="1258" w:type="dxa"/>
          </w:tcPr>
          <w:p w14:paraId="3FEC27F8" w14:textId="77777777" w:rsidR="00501A80" w:rsidRPr="00501A80" w:rsidRDefault="00501A80" w:rsidP="00501A80">
            <w:pPr>
              <w:jc w:val="center"/>
              <w:rPr>
                <w:sz w:val="22"/>
                <w:szCs w:val="22"/>
                <w:lang w:val="en-US"/>
              </w:rPr>
            </w:pPr>
            <w:r w:rsidRPr="00501A80">
              <w:rPr>
                <w:sz w:val="22"/>
                <w:szCs w:val="22"/>
                <w:lang w:val="en-US"/>
              </w:rPr>
              <w:t>ITU-T SG9</w:t>
            </w:r>
          </w:p>
        </w:tc>
        <w:tc>
          <w:tcPr>
            <w:tcW w:w="2931" w:type="dxa"/>
          </w:tcPr>
          <w:p w14:paraId="61C62A36" w14:textId="77777777" w:rsidR="00501A80" w:rsidRPr="00501A80" w:rsidRDefault="00501A80" w:rsidP="00501A80">
            <w:pPr>
              <w:jc w:val="center"/>
              <w:rPr>
                <w:sz w:val="22"/>
                <w:szCs w:val="22"/>
                <w:lang w:val="en-US" w:eastAsia="zh-CN"/>
              </w:rPr>
            </w:pPr>
            <w:r w:rsidRPr="00501A80">
              <w:rPr>
                <w:sz w:val="22"/>
                <w:szCs w:val="22"/>
                <w:lang w:val="en-US" w:eastAsia="zh-CN"/>
              </w:rPr>
              <w:t>Artificial intelligence (AI) assisted cable networks – General requirements for the AI-assisted cable network platform</w:t>
            </w:r>
          </w:p>
        </w:tc>
        <w:tc>
          <w:tcPr>
            <w:tcW w:w="3600" w:type="dxa"/>
          </w:tcPr>
          <w:p w14:paraId="0A4E40A6" w14:textId="77777777" w:rsidR="00501A80" w:rsidRPr="00501A80" w:rsidRDefault="00501A80" w:rsidP="00501A80">
            <w:pPr>
              <w:rPr>
                <w:sz w:val="22"/>
                <w:szCs w:val="22"/>
                <w:lang w:val="en-US"/>
              </w:rPr>
            </w:pPr>
            <w:r w:rsidRPr="00501A80">
              <w:rPr>
                <w:sz w:val="22"/>
                <w:szCs w:val="22"/>
                <w:lang w:val="en-US"/>
              </w:rPr>
              <w:t xml:space="preserve">This Recommendation supports the automation of the operation and maintenance for cable TV and broadband networks, typically the hybrid </w:t>
            </w:r>
            <w:proofErr w:type="spellStart"/>
            <w:r w:rsidRPr="00501A80">
              <w:rPr>
                <w:sz w:val="22"/>
                <w:szCs w:val="22"/>
                <w:lang w:val="en-US"/>
              </w:rPr>
              <w:t>fibre</w:t>
            </w:r>
            <w:proofErr w:type="spellEnd"/>
            <w:r w:rsidRPr="00501A80">
              <w:rPr>
                <w:sz w:val="22"/>
                <w:szCs w:val="22"/>
                <w:lang w:val="en-US"/>
              </w:rPr>
              <w:t xml:space="preserve"> coaxial (HFC), through the premium cable network platform (PCNP) embedded with intelligent </w:t>
            </w:r>
            <w:proofErr w:type="spellStart"/>
            <w:r w:rsidRPr="00501A80">
              <w:rPr>
                <w:sz w:val="22"/>
                <w:szCs w:val="22"/>
                <w:lang w:val="en-US"/>
              </w:rPr>
              <w:t>analyser</w:t>
            </w:r>
            <w:proofErr w:type="spellEnd"/>
            <w:r w:rsidRPr="00501A80">
              <w:rPr>
                <w:sz w:val="22"/>
                <w:szCs w:val="22"/>
                <w:lang w:val="en-US"/>
              </w:rPr>
              <w:t xml:space="preserve"> and controller (IAC).</w:t>
            </w:r>
          </w:p>
          <w:p w14:paraId="7712CA69" w14:textId="77777777" w:rsidR="00501A80" w:rsidRPr="00501A80" w:rsidRDefault="00501A80" w:rsidP="00501A80">
            <w:pPr>
              <w:rPr>
                <w:sz w:val="22"/>
                <w:szCs w:val="22"/>
                <w:lang w:val="en-US"/>
              </w:rPr>
            </w:pPr>
            <w:r w:rsidRPr="00501A80">
              <w:rPr>
                <w:sz w:val="22"/>
                <w:szCs w:val="22"/>
                <w:lang w:val="en-US"/>
              </w:rPr>
              <w:t>It specifies the framework of the PCNP that exploits the cloud based artificial intelligence and network data to optimize network and television (TV) services, thus enabling the high satisfaction of user's experience of perceptual aspects of services.</w:t>
            </w:r>
          </w:p>
          <w:p w14:paraId="26EC217F" w14:textId="77777777" w:rsidR="00501A80" w:rsidRPr="00501A80" w:rsidRDefault="00501A80" w:rsidP="00501A80">
            <w:pPr>
              <w:rPr>
                <w:sz w:val="22"/>
                <w:szCs w:val="22"/>
                <w:lang w:val="en-US"/>
              </w:rPr>
            </w:pPr>
            <w:r w:rsidRPr="00501A80">
              <w:rPr>
                <w:sz w:val="22"/>
                <w:szCs w:val="22"/>
                <w:lang w:val="en-US"/>
              </w:rPr>
              <w:t>This Recommendation also defines a number of functions and interfaces that may be supported by the platform to facilitate intelligent network operation and maintenance.</w:t>
            </w:r>
          </w:p>
        </w:tc>
        <w:tc>
          <w:tcPr>
            <w:tcW w:w="1866" w:type="dxa"/>
          </w:tcPr>
          <w:p w14:paraId="4BCDC8A6" w14:textId="77777777" w:rsidR="00501A80" w:rsidRPr="00501A80" w:rsidRDefault="00501A80" w:rsidP="00501A80">
            <w:pPr>
              <w:jc w:val="center"/>
              <w:rPr>
                <w:sz w:val="22"/>
                <w:szCs w:val="22"/>
                <w:lang w:val="en-US"/>
              </w:rPr>
            </w:pPr>
            <w:r w:rsidRPr="00501A80">
              <w:rPr>
                <w:sz w:val="22"/>
                <w:szCs w:val="22"/>
                <w:lang w:val="en-US"/>
              </w:rPr>
              <w:t>Approved</w:t>
            </w:r>
          </w:p>
        </w:tc>
        <w:tc>
          <w:tcPr>
            <w:tcW w:w="2801" w:type="dxa"/>
            <w:gridSpan w:val="2"/>
          </w:tcPr>
          <w:p w14:paraId="30975508" w14:textId="77777777" w:rsidR="00501A80" w:rsidRPr="00501A80" w:rsidRDefault="005C25E3" w:rsidP="00501A80">
            <w:pPr>
              <w:jc w:val="center"/>
              <w:rPr>
                <w:sz w:val="22"/>
                <w:szCs w:val="22"/>
                <w:lang w:val="en-US"/>
              </w:rPr>
            </w:pPr>
            <w:hyperlink r:id="rId19" w:tgtFrame="_blank" w:history="1">
              <w:r w:rsidR="00501A80" w:rsidRPr="00501A80">
                <w:rPr>
                  <w:color w:val="03A9F4"/>
                  <w:sz w:val="22"/>
                  <w:szCs w:val="22"/>
                  <w:u w:val="single"/>
                  <w:shd w:val="clear" w:color="auto" w:fill="FFFFFF"/>
                </w:rPr>
                <w:t>https://www.itu.int/ITU-T/recommendations/rec.aspx?rec=13977&amp;lang=en</w:t>
              </w:r>
            </w:hyperlink>
          </w:p>
        </w:tc>
      </w:tr>
      <w:tr w:rsidR="00501A80" w:rsidRPr="00501A80" w14:paraId="05222D44" w14:textId="77777777" w:rsidTr="00BF3648">
        <w:tc>
          <w:tcPr>
            <w:tcW w:w="2106" w:type="dxa"/>
          </w:tcPr>
          <w:p w14:paraId="509E8A0F" w14:textId="77777777" w:rsidR="00501A80" w:rsidRPr="00501A80" w:rsidRDefault="00501A80" w:rsidP="00501A80">
            <w:pPr>
              <w:spacing w:before="60" w:after="60"/>
              <w:jc w:val="center"/>
              <w:rPr>
                <w:sz w:val="22"/>
                <w:szCs w:val="22"/>
              </w:rPr>
            </w:pPr>
            <w:r w:rsidRPr="00501A80">
              <w:rPr>
                <w:sz w:val="22"/>
                <w:szCs w:val="22"/>
              </w:rPr>
              <w:t>Smart cities and communities</w:t>
            </w:r>
          </w:p>
        </w:tc>
        <w:tc>
          <w:tcPr>
            <w:tcW w:w="1258" w:type="dxa"/>
          </w:tcPr>
          <w:p w14:paraId="6D233AD6" w14:textId="77777777" w:rsidR="00501A80" w:rsidRPr="00501A80" w:rsidRDefault="00501A80" w:rsidP="00501A80">
            <w:pPr>
              <w:spacing w:before="60" w:after="60"/>
              <w:jc w:val="center"/>
              <w:rPr>
                <w:sz w:val="22"/>
                <w:szCs w:val="22"/>
              </w:rPr>
            </w:pPr>
            <w:r w:rsidRPr="00501A80">
              <w:rPr>
                <w:sz w:val="22"/>
                <w:szCs w:val="22"/>
              </w:rPr>
              <w:t>ITU-D, SG2</w:t>
            </w:r>
          </w:p>
        </w:tc>
        <w:tc>
          <w:tcPr>
            <w:tcW w:w="2931" w:type="dxa"/>
          </w:tcPr>
          <w:p w14:paraId="7B951854" w14:textId="77777777" w:rsidR="00501A80" w:rsidRPr="00501A80" w:rsidRDefault="00501A80" w:rsidP="00501A80">
            <w:pPr>
              <w:spacing w:before="60" w:after="60"/>
              <w:jc w:val="center"/>
              <w:rPr>
                <w:sz w:val="22"/>
                <w:szCs w:val="22"/>
                <w:lang w:eastAsia="zh-CN"/>
              </w:rPr>
            </w:pPr>
            <w:r w:rsidRPr="00501A80">
              <w:rPr>
                <w:sz w:val="22"/>
                <w:szCs w:val="22"/>
              </w:rPr>
              <w:t>Smart sustainable cities and communities (Q1/2)</w:t>
            </w:r>
          </w:p>
        </w:tc>
        <w:tc>
          <w:tcPr>
            <w:tcW w:w="3600" w:type="dxa"/>
          </w:tcPr>
          <w:p w14:paraId="21D340A2" w14:textId="77777777" w:rsidR="00501A80" w:rsidRPr="00501A80" w:rsidRDefault="00501A80" w:rsidP="00501A80">
            <w:pPr>
              <w:spacing w:before="60" w:after="60"/>
              <w:rPr>
                <w:sz w:val="22"/>
                <w:szCs w:val="22"/>
              </w:rPr>
            </w:pPr>
            <w:r w:rsidRPr="00501A80">
              <w:rPr>
                <w:sz w:val="22"/>
                <w:szCs w:val="22"/>
              </w:rPr>
              <w:t xml:space="preserve">It covers smart city planning, architecture/software/data management, smart services as well as concept design for connectivity and infrastructure, policies and business models. </w:t>
            </w:r>
          </w:p>
        </w:tc>
        <w:tc>
          <w:tcPr>
            <w:tcW w:w="1872" w:type="dxa"/>
            <w:gridSpan w:val="2"/>
          </w:tcPr>
          <w:p w14:paraId="406352E7" w14:textId="77777777" w:rsidR="00501A80" w:rsidRPr="00501A80" w:rsidRDefault="00501A80" w:rsidP="00501A80">
            <w:pPr>
              <w:spacing w:before="60" w:after="60"/>
              <w:jc w:val="center"/>
              <w:rPr>
                <w:sz w:val="22"/>
                <w:szCs w:val="22"/>
              </w:rPr>
            </w:pPr>
            <w:r w:rsidRPr="00501A80">
              <w:rPr>
                <w:sz w:val="22"/>
                <w:szCs w:val="22"/>
              </w:rPr>
              <w:t>Ongoing</w:t>
            </w:r>
          </w:p>
        </w:tc>
        <w:tc>
          <w:tcPr>
            <w:tcW w:w="2795" w:type="dxa"/>
          </w:tcPr>
          <w:p w14:paraId="3D704FC5" w14:textId="77777777" w:rsidR="00501A80" w:rsidRPr="00501A80" w:rsidRDefault="00501A80" w:rsidP="00501A80">
            <w:pPr>
              <w:spacing w:before="60" w:after="60"/>
              <w:jc w:val="center"/>
              <w:rPr>
                <w:color w:val="0000FF"/>
                <w:sz w:val="22"/>
                <w:szCs w:val="22"/>
                <w:u w:val="single"/>
              </w:rPr>
            </w:pPr>
            <w:r w:rsidRPr="00501A80">
              <w:rPr>
                <w:sz w:val="22"/>
                <w:szCs w:val="22"/>
                <w:lang w:eastAsia="zh-CN"/>
              </w:rPr>
              <w:t>Final report of the previous study period for additional information:</w:t>
            </w:r>
          </w:p>
          <w:p w14:paraId="18B108F8" w14:textId="77777777" w:rsidR="00501A80" w:rsidRPr="00501A80" w:rsidRDefault="005C25E3" w:rsidP="00501A80">
            <w:pPr>
              <w:spacing w:before="60" w:after="60"/>
              <w:jc w:val="center"/>
              <w:rPr>
                <w:color w:val="0000FF"/>
                <w:sz w:val="22"/>
                <w:szCs w:val="22"/>
                <w:u w:val="single"/>
                <w:lang w:eastAsia="zh-CN"/>
              </w:rPr>
            </w:pPr>
            <w:hyperlink r:id="rId20" w:history="1">
              <w:r w:rsidR="00501A80" w:rsidRPr="00501A80">
                <w:rPr>
                  <w:color w:val="0000FF"/>
                  <w:sz w:val="22"/>
                  <w:szCs w:val="22"/>
                  <w:u w:val="single"/>
                  <w:lang w:eastAsia="zh-CN"/>
                </w:rPr>
                <w:t>link</w:t>
              </w:r>
            </w:hyperlink>
          </w:p>
          <w:p w14:paraId="5AB1C1BF" w14:textId="77777777" w:rsidR="00501A80" w:rsidRPr="00501A80" w:rsidRDefault="00501A80" w:rsidP="00501A80">
            <w:pPr>
              <w:spacing w:after="60"/>
              <w:jc w:val="center"/>
              <w:rPr>
                <w:sz w:val="22"/>
                <w:szCs w:val="22"/>
              </w:rPr>
            </w:pPr>
          </w:p>
          <w:p w14:paraId="7062AA4E" w14:textId="77777777" w:rsidR="00501A80" w:rsidRPr="00501A80" w:rsidRDefault="00501A80" w:rsidP="00501A80">
            <w:pPr>
              <w:spacing w:after="60"/>
              <w:jc w:val="center"/>
              <w:rPr>
                <w:sz w:val="22"/>
                <w:szCs w:val="22"/>
              </w:rPr>
            </w:pPr>
            <w:r w:rsidRPr="00501A80">
              <w:rPr>
                <w:sz w:val="22"/>
                <w:szCs w:val="22"/>
              </w:rPr>
              <w:t xml:space="preserve">Related BDT activities: </w:t>
            </w:r>
          </w:p>
          <w:p w14:paraId="142C5E16" w14:textId="77777777" w:rsidR="00501A80" w:rsidRPr="00501A80" w:rsidRDefault="005C25E3" w:rsidP="00501A80">
            <w:pPr>
              <w:spacing w:before="60" w:after="60"/>
              <w:jc w:val="center"/>
              <w:rPr>
                <w:sz w:val="22"/>
                <w:szCs w:val="22"/>
              </w:rPr>
            </w:pPr>
            <w:hyperlink r:id="rId21" w:history="1">
              <w:r w:rsidR="00501A80" w:rsidRPr="00501A80">
                <w:rPr>
                  <w:color w:val="0000FF"/>
                  <w:sz w:val="22"/>
                  <w:szCs w:val="22"/>
                  <w:u w:val="single"/>
                </w:rPr>
                <w:t>link</w:t>
              </w:r>
            </w:hyperlink>
          </w:p>
        </w:tc>
      </w:tr>
      <w:tr w:rsidR="00501A80" w:rsidRPr="00501A80" w14:paraId="4A571A79" w14:textId="77777777" w:rsidTr="00BF3648">
        <w:tc>
          <w:tcPr>
            <w:tcW w:w="2106" w:type="dxa"/>
          </w:tcPr>
          <w:p w14:paraId="0B2F30D2" w14:textId="77777777" w:rsidR="00501A80" w:rsidRPr="00501A80" w:rsidRDefault="00501A80" w:rsidP="00501A80">
            <w:pPr>
              <w:spacing w:before="60" w:after="60"/>
              <w:jc w:val="center"/>
              <w:rPr>
                <w:sz w:val="22"/>
                <w:szCs w:val="22"/>
              </w:rPr>
            </w:pPr>
            <w:r w:rsidRPr="00501A80">
              <w:rPr>
                <w:sz w:val="22"/>
                <w:szCs w:val="22"/>
              </w:rPr>
              <w:lastRenderedPageBreak/>
              <w:t>Education, health</w:t>
            </w:r>
          </w:p>
        </w:tc>
        <w:tc>
          <w:tcPr>
            <w:tcW w:w="1258" w:type="dxa"/>
          </w:tcPr>
          <w:p w14:paraId="2C7094B9" w14:textId="77777777" w:rsidR="00501A80" w:rsidRPr="00501A80" w:rsidRDefault="00501A80" w:rsidP="00501A80">
            <w:pPr>
              <w:spacing w:before="60" w:after="60"/>
              <w:jc w:val="center"/>
              <w:rPr>
                <w:sz w:val="22"/>
                <w:szCs w:val="22"/>
              </w:rPr>
            </w:pPr>
            <w:r w:rsidRPr="00501A80">
              <w:rPr>
                <w:sz w:val="22"/>
                <w:szCs w:val="22"/>
              </w:rPr>
              <w:t>ITU-D, SG2</w:t>
            </w:r>
          </w:p>
        </w:tc>
        <w:tc>
          <w:tcPr>
            <w:tcW w:w="2931" w:type="dxa"/>
          </w:tcPr>
          <w:p w14:paraId="76064C07" w14:textId="77777777" w:rsidR="00501A80" w:rsidRPr="00501A80" w:rsidRDefault="00501A80" w:rsidP="00501A80">
            <w:pPr>
              <w:spacing w:before="60" w:after="60"/>
              <w:jc w:val="center"/>
              <w:rPr>
                <w:sz w:val="22"/>
                <w:szCs w:val="22"/>
                <w:lang w:eastAsia="zh-CN"/>
              </w:rPr>
            </w:pPr>
            <w:r w:rsidRPr="00501A80">
              <w:rPr>
                <w:sz w:val="22"/>
                <w:szCs w:val="22"/>
                <w:shd w:val="clear" w:color="auto" w:fill="FFFFFF"/>
              </w:rPr>
              <w:t>Enabling technologies for e-services and applications, including e-health and e-education</w:t>
            </w:r>
            <w:r w:rsidRPr="00501A80">
              <w:rPr>
                <w:rFonts w:eastAsia="Calibri"/>
                <w:sz w:val="22"/>
                <w:szCs w:val="22"/>
              </w:rPr>
              <w:t xml:space="preserve"> (Q2/2)</w:t>
            </w:r>
          </w:p>
        </w:tc>
        <w:tc>
          <w:tcPr>
            <w:tcW w:w="3600" w:type="dxa"/>
          </w:tcPr>
          <w:p w14:paraId="6A9FAC0A" w14:textId="77777777" w:rsidR="00501A80" w:rsidRPr="00501A80" w:rsidRDefault="00501A80" w:rsidP="00501A80">
            <w:pPr>
              <w:spacing w:before="40" w:after="40"/>
              <w:rPr>
                <w:rFonts w:eastAsia="SimSun"/>
                <w:sz w:val="22"/>
                <w:szCs w:val="22"/>
              </w:rPr>
            </w:pPr>
            <w:r w:rsidRPr="00501A80">
              <w:rPr>
                <w:sz w:val="22"/>
                <w:szCs w:val="22"/>
              </w:rPr>
              <w:t>It investigates the best practice, potential technologies and capacity preparedness models of e-applications in developing countries: e-health including AI/ML, mobile hospital and rural e</w:t>
            </w:r>
            <w:r w:rsidRPr="00501A80">
              <w:rPr>
                <w:sz w:val="22"/>
                <w:szCs w:val="22"/>
              </w:rPr>
              <w:noBreakHyphen/>
              <w:t>healthcare, e-education and other applications (agriculture, fisheries, science, art, etc.) which impact business and social life in developing countries.</w:t>
            </w:r>
          </w:p>
        </w:tc>
        <w:tc>
          <w:tcPr>
            <w:tcW w:w="1872" w:type="dxa"/>
            <w:gridSpan w:val="2"/>
          </w:tcPr>
          <w:p w14:paraId="0A97F372" w14:textId="77777777" w:rsidR="00501A80" w:rsidRPr="00501A80" w:rsidRDefault="00501A80" w:rsidP="00501A80">
            <w:pPr>
              <w:spacing w:before="60" w:after="60"/>
              <w:jc w:val="center"/>
              <w:rPr>
                <w:sz w:val="22"/>
                <w:szCs w:val="22"/>
              </w:rPr>
            </w:pPr>
            <w:r w:rsidRPr="00501A80">
              <w:rPr>
                <w:sz w:val="22"/>
                <w:szCs w:val="22"/>
              </w:rPr>
              <w:t>Ongoing</w:t>
            </w:r>
          </w:p>
        </w:tc>
        <w:tc>
          <w:tcPr>
            <w:tcW w:w="2795" w:type="dxa"/>
          </w:tcPr>
          <w:p w14:paraId="026320E7" w14:textId="77777777" w:rsidR="00501A80" w:rsidRPr="00501A80" w:rsidRDefault="00501A80" w:rsidP="00501A80">
            <w:pPr>
              <w:spacing w:before="60" w:after="60"/>
              <w:jc w:val="center"/>
              <w:rPr>
                <w:color w:val="0000FF"/>
                <w:sz w:val="22"/>
                <w:szCs w:val="22"/>
                <w:u w:val="single"/>
              </w:rPr>
            </w:pPr>
            <w:r w:rsidRPr="00501A80">
              <w:rPr>
                <w:sz w:val="22"/>
                <w:szCs w:val="22"/>
                <w:lang w:eastAsia="zh-CN"/>
              </w:rPr>
              <w:t>Final reports of the previous study period for additional information:</w:t>
            </w:r>
          </w:p>
          <w:p w14:paraId="2FF1F225" w14:textId="77777777" w:rsidR="00501A80" w:rsidRPr="00501A80" w:rsidRDefault="005C25E3" w:rsidP="00501A80">
            <w:pPr>
              <w:spacing w:before="60" w:after="60"/>
              <w:jc w:val="center"/>
              <w:rPr>
                <w:sz w:val="22"/>
                <w:szCs w:val="22"/>
                <w:lang w:eastAsia="zh-CN"/>
              </w:rPr>
            </w:pPr>
            <w:hyperlink r:id="rId22" w:history="1">
              <w:r w:rsidR="00501A80" w:rsidRPr="00501A80">
                <w:rPr>
                  <w:color w:val="0000FF"/>
                  <w:sz w:val="22"/>
                  <w:szCs w:val="22"/>
                  <w:u w:val="single"/>
                  <w:lang w:eastAsia="zh-CN"/>
                </w:rPr>
                <w:t>link</w:t>
              </w:r>
            </w:hyperlink>
            <w:r w:rsidR="00501A80" w:rsidRPr="00501A80">
              <w:rPr>
                <w:sz w:val="22"/>
                <w:szCs w:val="22"/>
                <w:lang w:eastAsia="zh-CN"/>
              </w:rPr>
              <w:t xml:space="preserve"> (Q2/2)</w:t>
            </w:r>
          </w:p>
          <w:p w14:paraId="6FE34012" w14:textId="77777777" w:rsidR="00501A80" w:rsidRPr="00501A80" w:rsidRDefault="005C25E3" w:rsidP="00501A80">
            <w:pPr>
              <w:spacing w:before="60" w:after="60"/>
              <w:jc w:val="center"/>
              <w:rPr>
                <w:sz w:val="22"/>
                <w:szCs w:val="22"/>
                <w:lang w:eastAsia="zh-CN"/>
              </w:rPr>
            </w:pPr>
            <w:hyperlink r:id="rId23" w:history="1">
              <w:r w:rsidR="00501A80" w:rsidRPr="00501A80">
                <w:rPr>
                  <w:color w:val="0000FF"/>
                  <w:sz w:val="22"/>
                  <w:szCs w:val="22"/>
                  <w:u w:val="single"/>
                  <w:lang w:eastAsia="zh-CN"/>
                </w:rPr>
                <w:t>link</w:t>
              </w:r>
            </w:hyperlink>
            <w:r w:rsidR="00501A80" w:rsidRPr="00501A80">
              <w:rPr>
                <w:sz w:val="22"/>
                <w:szCs w:val="22"/>
                <w:lang w:eastAsia="zh-CN"/>
              </w:rPr>
              <w:t xml:space="preserve"> (Q3/1)</w:t>
            </w:r>
          </w:p>
          <w:p w14:paraId="7C1DE015" w14:textId="77777777" w:rsidR="00501A80" w:rsidRPr="00501A80" w:rsidRDefault="00501A80" w:rsidP="00501A80">
            <w:pPr>
              <w:spacing w:after="60"/>
              <w:jc w:val="center"/>
              <w:rPr>
                <w:sz w:val="22"/>
                <w:szCs w:val="22"/>
              </w:rPr>
            </w:pPr>
          </w:p>
          <w:p w14:paraId="212A750D" w14:textId="77777777" w:rsidR="00501A80" w:rsidRPr="00501A80" w:rsidRDefault="00501A80" w:rsidP="00501A80">
            <w:pPr>
              <w:spacing w:after="60"/>
              <w:jc w:val="center"/>
              <w:rPr>
                <w:sz w:val="22"/>
                <w:szCs w:val="22"/>
              </w:rPr>
            </w:pPr>
            <w:r w:rsidRPr="00501A80">
              <w:rPr>
                <w:sz w:val="22"/>
                <w:szCs w:val="22"/>
              </w:rPr>
              <w:t xml:space="preserve">Related BDT activities: </w:t>
            </w:r>
          </w:p>
          <w:p w14:paraId="74D92B17" w14:textId="77777777" w:rsidR="00501A80" w:rsidRPr="00501A80" w:rsidRDefault="005C25E3" w:rsidP="00501A80">
            <w:pPr>
              <w:spacing w:before="60" w:after="60"/>
              <w:jc w:val="center"/>
              <w:rPr>
                <w:sz w:val="22"/>
                <w:szCs w:val="22"/>
              </w:rPr>
            </w:pPr>
            <w:hyperlink r:id="rId24" w:history="1">
              <w:r w:rsidR="00501A80" w:rsidRPr="00501A80">
                <w:rPr>
                  <w:color w:val="0000FF"/>
                  <w:sz w:val="22"/>
                  <w:szCs w:val="22"/>
                  <w:u w:val="single"/>
                </w:rPr>
                <w:t>link</w:t>
              </w:r>
            </w:hyperlink>
          </w:p>
        </w:tc>
      </w:tr>
      <w:tr w:rsidR="00501A80" w:rsidRPr="00501A80" w14:paraId="074C7716" w14:textId="77777777" w:rsidTr="00BF3648">
        <w:tc>
          <w:tcPr>
            <w:tcW w:w="2106" w:type="dxa"/>
          </w:tcPr>
          <w:p w14:paraId="0A9F7D62" w14:textId="77777777" w:rsidR="00501A80" w:rsidRPr="00501A80" w:rsidRDefault="00501A80" w:rsidP="00501A80">
            <w:pPr>
              <w:keepNext/>
              <w:keepLines/>
              <w:spacing w:before="60" w:after="60"/>
              <w:jc w:val="center"/>
              <w:rPr>
                <w:sz w:val="22"/>
                <w:szCs w:val="22"/>
                <w:lang w:val="fr-FR"/>
              </w:rPr>
            </w:pPr>
            <w:r w:rsidRPr="00501A80">
              <w:rPr>
                <w:sz w:val="22"/>
                <w:szCs w:val="22"/>
                <w:lang w:val="fr-FR"/>
              </w:rPr>
              <w:lastRenderedPageBreak/>
              <w:t>Cybersecurity</w:t>
            </w:r>
          </w:p>
        </w:tc>
        <w:tc>
          <w:tcPr>
            <w:tcW w:w="1258" w:type="dxa"/>
          </w:tcPr>
          <w:p w14:paraId="2399E1E2" w14:textId="77777777" w:rsidR="00501A80" w:rsidRPr="00501A80" w:rsidRDefault="00501A80" w:rsidP="00501A80">
            <w:pPr>
              <w:keepNext/>
              <w:keepLines/>
              <w:spacing w:before="60" w:after="60"/>
              <w:jc w:val="center"/>
              <w:rPr>
                <w:sz w:val="22"/>
                <w:szCs w:val="22"/>
                <w:lang w:val="fr-FR"/>
              </w:rPr>
            </w:pPr>
            <w:r w:rsidRPr="00501A80">
              <w:rPr>
                <w:sz w:val="22"/>
                <w:szCs w:val="22"/>
                <w:lang w:val="fr-FR"/>
              </w:rPr>
              <w:t>ITU-D, SG2</w:t>
            </w:r>
          </w:p>
        </w:tc>
        <w:tc>
          <w:tcPr>
            <w:tcW w:w="2931" w:type="dxa"/>
          </w:tcPr>
          <w:p w14:paraId="617B674D" w14:textId="77777777" w:rsidR="00501A80" w:rsidRPr="00501A80" w:rsidRDefault="00501A80" w:rsidP="00501A80">
            <w:pPr>
              <w:keepNext/>
              <w:keepLines/>
              <w:spacing w:before="60" w:after="60"/>
              <w:jc w:val="center"/>
              <w:rPr>
                <w:sz w:val="22"/>
                <w:szCs w:val="22"/>
                <w:lang w:eastAsia="zh-CN"/>
              </w:rPr>
            </w:pPr>
            <w:r w:rsidRPr="00501A80">
              <w:rPr>
                <w:sz w:val="22"/>
                <w:szCs w:val="22"/>
                <w:shd w:val="clear" w:color="auto" w:fill="FFFFFF"/>
              </w:rPr>
              <w:t xml:space="preserve">Securing information and communication networks: Best practices for developing a culture of cybersecurity </w:t>
            </w:r>
            <w:r w:rsidRPr="00501A80">
              <w:rPr>
                <w:sz w:val="22"/>
                <w:szCs w:val="22"/>
                <w:shd w:val="clear" w:color="auto" w:fill="FFFFFF"/>
              </w:rPr>
              <w:br/>
              <w:t>(Q3/2)</w:t>
            </w:r>
          </w:p>
        </w:tc>
        <w:tc>
          <w:tcPr>
            <w:tcW w:w="3600" w:type="dxa"/>
          </w:tcPr>
          <w:p w14:paraId="5636EAC2" w14:textId="77777777" w:rsidR="00501A80" w:rsidRPr="00501A80" w:rsidRDefault="00501A80" w:rsidP="00501A80">
            <w:pPr>
              <w:keepNext/>
              <w:keepLines/>
              <w:spacing w:before="60" w:after="60"/>
              <w:rPr>
                <w:sz w:val="22"/>
                <w:szCs w:val="22"/>
              </w:rPr>
            </w:pPr>
            <w:r w:rsidRPr="00501A80">
              <w:rPr>
                <w:sz w:val="22"/>
                <w:szCs w:val="22"/>
              </w:rPr>
              <w:t>This addresses, among other things:</w:t>
            </w:r>
          </w:p>
          <w:p w14:paraId="13D90300" w14:textId="77777777" w:rsidR="00501A80" w:rsidRPr="00501A80" w:rsidRDefault="00501A80" w:rsidP="00501A80">
            <w:pPr>
              <w:keepNext/>
              <w:keepLines/>
              <w:numPr>
                <w:ilvl w:val="0"/>
                <w:numId w:val="37"/>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 xml:space="preserve">User awareness and capacity building regarding cybersecurity </w:t>
            </w:r>
            <w:proofErr w:type="gramStart"/>
            <w:r w:rsidRPr="00501A80">
              <w:rPr>
                <w:sz w:val="22"/>
                <w:szCs w:val="22"/>
              </w:rPr>
              <w:t>requirements;</w:t>
            </w:r>
            <w:proofErr w:type="gramEnd"/>
          </w:p>
          <w:p w14:paraId="0754C768" w14:textId="77777777" w:rsidR="00501A80" w:rsidRPr="00501A80" w:rsidRDefault="00501A80" w:rsidP="00501A80">
            <w:pPr>
              <w:keepNext/>
              <w:keepLines/>
              <w:numPr>
                <w:ilvl w:val="0"/>
                <w:numId w:val="37"/>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 xml:space="preserve">Experiences with cybersecurity assurance </w:t>
            </w:r>
            <w:proofErr w:type="gramStart"/>
            <w:r w:rsidRPr="00501A80">
              <w:rPr>
                <w:sz w:val="22"/>
                <w:szCs w:val="22"/>
              </w:rPr>
              <w:t>practices;</w:t>
            </w:r>
            <w:proofErr w:type="gramEnd"/>
          </w:p>
          <w:p w14:paraId="5A72A14B" w14:textId="77777777" w:rsidR="00501A80" w:rsidRPr="00501A80" w:rsidRDefault="00501A80" w:rsidP="00501A80">
            <w:pPr>
              <w:keepNext/>
              <w:keepLines/>
              <w:numPr>
                <w:ilvl w:val="0"/>
                <w:numId w:val="37"/>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 xml:space="preserve">Approaches and best practices in responding to cybersecurity </w:t>
            </w:r>
            <w:proofErr w:type="gramStart"/>
            <w:r w:rsidRPr="00501A80">
              <w:rPr>
                <w:sz w:val="22"/>
                <w:szCs w:val="22"/>
              </w:rPr>
              <w:t>incidents;</w:t>
            </w:r>
            <w:proofErr w:type="gramEnd"/>
          </w:p>
          <w:p w14:paraId="7AA2A324" w14:textId="77777777" w:rsidR="00501A80" w:rsidRPr="00501A80" w:rsidRDefault="00501A80" w:rsidP="00501A80">
            <w:pPr>
              <w:keepNext/>
              <w:keepLines/>
              <w:numPr>
                <w:ilvl w:val="0"/>
                <w:numId w:val="37"/>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 xml:space="preserve">Approaches and experience sharing in national CSIRT/CIRT coordination for critical infrastructure </w:t>
            </w:r>
            <w:proofErr w:type="gramStart"/>
            <w:r w:rsidRPr="00501A80">
              <w:rPr>
                <w:sz w:val="22"/>
                <w:szCs w:val="22"/>
              </w:rPr>
              <w:t>resilience;</w:t>
            </w:r>
            <w:proofErr w:type="gramEnd"/>
          </w:p>
          <w:p w14:paraId="4C59A7AB" w14:textId="77777777" w:rsidR="00501A80" w:rsidRPr="00501A80" w:rsidRDefault="00501A80" w:rsidP="00501A80">
            <w:pPr>
              <w:keepNext/>
              <w:keepLines/>
              <w:numPr>
                <w:ilvl w:val="0"/>
                <w:numId w:val="37"/>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 xml:space="preserve">Approaches and best practices, and collection of experiences on the implementation of national cybersecurity strategies and </w:t>
            </w:r>
            <w:proofErr w:type="gramStart"/>
            <w:r w:rsidRPr="00501A80">
              <w:rPr>
                <w:sz w:val="22"/>
                <w:szCs w:val="22"/>
              </w:rPr>
              <w:t>policies;</w:t>
            </w:r>
            <w:proofErr w:type="gramEnd"/>
          </w:p>
          <w:p w14:paraId="2682343F" w14:textId="77777777" w:rsidR="00501A80" w:rsidRPr="00501A80" w:rsidRDefault="00501A80" w:rsidP="00501A80">
            <w:pPr>
              <w:keepNext/>
              <w:keepLines/>
              <w:numPr>
                <w:ilvl w:val="0"/>
                <w:numId w:val="37"/>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Challenges and approaches to 5G cybersecurity.</w:t>
            </w:r>
          </w:p>
        </w:tc>
        <w:tc>
          <w:tcPr>
            <w:tcW w:w="1872" w:type="dxa"/>
            <w:gridSpan w:val="2"/>
          </w:tcPr>
          <w:p w14:paraId="6C1B28A7" w14:textId="77777777" w:rsidR="00501A80" w:rsidRPr="00501A80" w:rsidRDefault="00501A80" w:rsidP="00501A80">
            <w:pPr>
              <w:keepNext/>
              <w:keepLines/>
              <w:spacing w:before="60" w:after="60"/>
              <w:jc w:val="center"/>
              <w:rPr>
                <w:sz w:val="22"/>
                <w:szCs w:val="22"/>
              </w:rPr>
            </w:pPr>
            <w:r w:rsidRPr="00501A80">
              <w:rPr>
                <w:sz w:val="22"/>
                <w:szCs w:val="22"/>
              </w:rPr>
              <w:t>Ongoing</w:t>
            </w:r>
          </w:p>
        </w:tc>
        <w:tc>
          <w:tcPr>
            <w:tcW w:w="2795" w:type="dxa"/>
          </w:tcPr>
          <w:p w14:paraId="68F391B7" w14:textId="77777777" w:rsidR="00501A80" w:rsidRPr="00501A80" w:rsidRDefault="00501A80" w:rsidP="00501A80">
            <w:pPr>
              <w:keepNext/>
              <w:keepLines/>
              <w:spacing w:before="60" w:after="60"/>
              <w:jc w:val="center"/>
              <w:rPr>
                <w:color w:val="0000FF"/>
                <w:sz w:val="22"/>
                <w:szCs w:val="22"/>
                <w:u w:val="single"/>
              </w:rPr>
            </w:pPr>
            <w:r w:rsidRPr="00501A80">
              <w:rPr>
                <w:sz w:val="22"/>
                <w:szCs w:val="22"/>
                <w:lang w:eastAsia="zh-CN"/>
              </w:rPr>
              <w:t>Final report of the previous study period for additional information:</w:t>
            </w:r>
          </w:p>
          <w:p w14:paraId="632A0DD8" w14:textId="77777777" w:rsidR="00501A80" w:rsidRPr="00501A80" w:rsidRDefault="005C25E3" w:rsidP="00501A80">
            <w:pPr>
              <w:keepNext/>
              <w:keepLines/>
              <w:spacing w:before="60" w:after="60"/>
              <w:jc w:val="center"/>
              <w:rPr>
                <w:color w:val="0000FF"/>
                <w:sz w:val="22"/>
                <w:szCs w:val="22"/>
                <w:u w:val="single"/>
                <w:lang w:eastAsia="zh-CN"/>
              </w:rPr>
            </w:pPr>
            <w:hyperlink r:id="rId25" w:history="1">
              <w:r w:rsidR="00501A80" w:rsidRPr="00501A80">
                <w:rPr>
                  <w:color w:val="0000FF"/>
                  <w:sz w:val="22"/>
                  <w:szCs w:val="22"/>
                  <w:u w:val="single"/>
                  <w:lang w:eastAsia="zh-CN"/>
                </w:rPr>
                <w:t>link</w:t>
              </w:r>
            </w:hyperlink>
          </w:p>
          <w:p w14:paraId="5F61F4AE" w14:textId="77777777" w:rsidR="00501A80" w:rsidRPr="00501A80" w:rsidRDefault="00501A80" w:rsidP="00501A80">
            <w:pPr>
              <w:keepNext/>
              <w:keepLines/>
              <w:spacing w:before="60" w:after="60"/>
              <w:jc w:val="center"/>
              <w:rPr>
                <w:color w:val="0000FF"/>
                <w:sz w:val="22"/>
                <w:szCs w:val="22"/>
                <w:u w:val="single"/>
                <w:lang w:eastAsia="zh-CN"/>
              </w:rPr>
            </w:pPr>
          </w:p>
          <w:p w14:paraId="4BF48F8D" w14:textId="77777777" w:rsidR="00501A80" w:rsidRPr="00501A80" w:rsidRDefault="00501A80" w:rsidP="00501A80">
            <w:pPr>
              <w:keepNext/>
              <w:keepLines/>
              <w:spacing w:before="60" w:after="60"/>
              <w:jc w:val="center"/>
              <w:rPr>
                <w:color w:val="0000FF"/>
                <w:sz w:val="22"/>
                <w:szCs w:val="22"/>
                <w:u w:val="single"/>
              </w:rPr>
            </w:pPr>
            <w:r w:rsidRPr="00501A80">
              <w:rPr>
                <w:sz w:val="22"/>
                <w:szCs w:val="22"/>
                <w:lang w:eastAsia="zh-CN"/>
              </w:rPr>
              <w:t>Interim deliverable on cybersecurity assurance practices:</w:t>
            </w:r>
          </w:p>
          <w:p w14:paraId="0033F3FC" w14:textId="77777777" w:rsidR="00501A80" w:rsidRPr="00501A80" w:rsidRDefault="005C25E3" w:rsidP="00501A80">
            <w:pPr>
              <w:keepNext/>
              <w:keepLines/>
              <w:spacing w:before="60" w:after="60"/>
              <w:jc w:val="center"/>
              <w:rPr>
                <w:color w:val="0000FF"/>
                <w:sz w:val="22"/>
                <w:szCs w:val="22"/>
                <w:u w:val="single"/>
                <w:lang w:eastAsia="zh-CN"/>
              </w:rPr>
            </w:pPr>
            <w:hyperlink r:id="rId26" w:history="1">
              <w:r w:rsidR="00501A80" w:rsidRPr="00501A80">
                <w:rPr>
                  <w:color w:val="0000FF"/>
                  <w:sz w:val="22"/>
                  <w:szCs w:val="22"/>
                  <w:u w:val="single"/>
                  <w:lang w:eastAsia="zh-CN"/>
                </w:rPr>
                <w:t>link</w:t>
              </w:r>
            </w:hyperlink>
          </w:p>
          <w:p w14:paraId="6423C344" w14:textId="77777777" w:rsidR="00501A80" w:rsidRPr="00501A80" w:rsidRDefault="00501A80" w:rsidP="00501A80">
            <w:pPr>
              <w:keepNext/>
              <w:keepLines/>
              <w:spacing w:before="60" w:after="60"/>
              <w:jc w:val="center"/>
              <w:rPr>
                <w:sz w:val="22"/>
                <w:szCs w:val="22"/>
              </w:rPr>
            </w:pPr>
          </w:p>
          <w:p w14:paraId="4B06F4CD" w14:textId="77777777" w:rsidR="00501A80" w:rsidRPr="00501A80" w:rsidRDefault="00501A80" w:rsidP="00501A80">
            <w:pPr>
              <w:keepNext/>
              <w:keepLines/>
              <w:spacing w:before="60" w:after="60"/>
              <w:jc w:val="center"/>
              <w:rPr>
                <w:sz w:val="22"/>
                <w:szCs w:val="22"/>
              </w:rPr>
            </w:pPr>
            <w:r w:rsidRPr="00501A80">
              <w:rPr>
                <w:sz w:val="22"/>
                <w:szCs w:val="22"/>
              </w:rPr>
              <w:t xml:space="preserve">Related BDT activities: </w:t>
            </w:r>
          </w:p>
          <w:p w14:paraId="64EA3051" w14:textId="77777777" w:rsidR="00501A80" w:rsidRPr="00501A80" w:rsidRDefault="005C25E3" w:rsidP="00501A80">
            <w:pPr>
              <w:keepNext/>
              <w:keepLines/>
              <w:spacing w:before="60" w:after="60"/>
              <w:jc w:val="center"/>
              <w:rPr>
                <w:sz w:val="22"/>
                <w:szCs w:val="22"/>
                <w:lang w:val="en-US"/>
              </w:rPr>
            </w:pPr>
            <w:hyperlink r:id="rId27" w:history="1">
              <w:r w:rsidR="00501A80" w:rsidRPr="00501A80">
                <w:rPr>
                  <w:color w:val="0000FF"/>
                  <w:sz w:val="22"/>
                  <w:szCs w:val="22"/>
                  <w:u w:val="single"/>
                </w:rPr>
                <w:t>link</w:t>
              </w:r>
            </w:hyperlink>
          </w:p>
        </w:tc>
      </w:tr>
      <w:tr w:rsidR="00501A80" w:rsidRPr="00501A80" w14:paraId="3588DAEC" w14:textId="77777777" w:rsidTr="00BF3648">
        <w:tc>
          <w:tcPr>
            <w:tcW w:w="2106" w:type="dxa"/>
          </w:tcPr>
          <w:p w14:paraId="1B812A70" w14:textId="77777777" w:rsidR="00501A80" w:rsidRPr="00501A80" w:rsidRDefault="00501A80" w:rsidP="00501A80">
            <w:pPr>
              <w:spacing w:before="60" w:after="60"/>
              <w:jc w:val="center"/>
              <w:rPr>
                <w:sz w:val="22"/>
                <w:szCs w:val="22"/>
              </w:rPr>
            </w:pPr>
            <w:r w:rsidRPr="00501A80">
              <w:rPr>
                <w:sz w:val="22"/>
                <w:szCs w:val="22"/>
              </w:rPr>
              <w:t>Conformance, interoperability, counterfeiting, theft of mobile devices</w:t>
            </w:r>
          </w:p>
        </w:tc>
        <w:tc>
          <w:tcPr>
            <w:tcW w:w="1258" w:type="dxa"/>
          </w:tcPr>
          <w:p w14:paraId="4545BAF1" w14:textId="77777777" w:rsidR="00501A80" w:rsidRPr="00501A80" w:rsidRDefault="00501A80" w:rsidP="00501A80">
            <w:pPr>
              <w:spacing w:before="60" w:after="60"/>
              <w:jc w:val="center"/>
              <w:rPr>
                <w:sz w:val="22"/>
                <w:szCs w:val="22"/>
              </w:rPr>
            </w:pPr>
            <w:r w:rsidRPr="00501A80">
              <w:rPr>
                <w:sz w:val="22"/>
                <w:szCs w:val="22"/>
              </w:rPr>
              <w:t>ITU-D, SG2</w:t>
            </w:r>
          </w:p>
        </w:tc>
        <w:tc>
          <w:tcPr>
            <w:tcW w:w="2931" w:type="dxa"/>
          </w:tcPr>
          <w:p w14:paraId="1F21887E" w14:textId="77777777" w:rsidR="00501A80" w:rsidRPr="00501A80" w:rsidRDefault="00501A80" w:rsidP="00501A80">
            <w:pPr>
              <w:spacing w:before="60" w:after="60"/>
              <w:jc w:val="center"/>
              <w:rPr>
                <w:sz w:val="22"/>
                <w:szCs w:val="22"/>
                <w:lang w:eastAsia="zh-CN"/>
              </w:rPr>
            </w:pPr>
            <w:r w:rsidRPr="00501A80">
              <w:rPr>
                <w:sz w:val="22"/>
                <w:szCs w:val="22"/>
                <w:shd w:val="clear" w:color="auto" w:fill="FFFFFF"/>
              </w:rPr>
              <w:t>Telecommunication/ICT equipment: Conformance and interoperability, combating counterfeiting and theft of mobile devices (Q4/2)</w:t>
            </w:r>
          </w:p>
        </w:tc>
        <w:tc>
          <w:tcPr>
            <w:tcW w:w="3600" w:type="dxa"/>
          </w:tcPr>
          <w:p w14:paraId="647E148D" w14:textId="77777777" w:rsidR="00501A80" w:rsidRPr="00501A80" w:rsidRDefault="00501A80" w:rsidP="00501A80">
            <w:pPr>
              <w:spacing w:before="60" w:after="60"/>
              <w:rPr>
                <w:sz w:val="22"/>
                <w:szCs w:val="22"/>
              </w:rPr>
            </w:pPr>
            <w:r w:rsidRPr="00501A80">
              <w:rPr>
                <w:rFonts w:eastAsia="SimSun"/>
                <w:sz w:val="22"/>
                <w:szCs w:val="22"/>
              </w:rPr>
              <w:t>It covers devices-related issues such as:</w:t>
            </w:r>
          </w:p>
          <w:p w14:paraId="53E749B3" w14:textId="77777777" w:rsidR="00501A80" w:rsidRPr="00501A80" w:rsidRDefault="00501A80" w:rsidP="00501A80">
            <w:pPr>
              <w:numPr>
                <w:ilvl w:val="0"/>
                <w:numId w:val="38"/>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 xml:space="preserve">ICT products enabling the </w:t>
            </w:r>
            <w:proofErr w:type="gramStart"/>
            <w:r w:rsidRPr="00501A80">
              <w:rPr>
                <w:sz w:val="22"/>
                <w:szCs w:val="22"/>
              </w:rPr>
              <w:t>SDGs;</w:t>
            </w:r>
            <w:proofErr w:type="gramEnd"/>
          </w:p>
          <w:p w14:paraId="6B03481E" w14:textId="77777777" w:rsidR="00501A80" w:rsidRPr="00501A80" w:rsidRDefault="00501A80" w:rsidP="00501A80">
            <w:pPr>
              <w:numPr>
                <w:ilvl w:val="0"/>
                <w:numId w:val="38"/>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 xml:space="preserve">Conformance and </w:t>
            </w:r>
            <w:proofErr w:type="gramStart"/>
            <w:r w:rsidRPr="00501A80">
              <w:rPr>
                <w:sz w:val="22"/>
                <w:szCs w:val="22"/>
              </w:rPr>
              <w:t>interoperability;</w:t>
            </w:r>
            <w:proofErr w:type="gramEnd"/>
          </w:p>
          <w:p w14:paraId="77F29CE8" w14:textId="77777777" w:rsidR="00501A80" w:rsidRPr="00501A80" w:rsidRDefault="00501A80" w:rsidP="00501A80">
            <w:pPr>
              <w:numPr>
                <w:ilvl w:val="0"/>
                <w:numId w:val="38"/>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 xml:space="preserve">Fight against the proliferation of counterfeit devices, poor quality devices and tampered </w:t>
            </w:r>
            <w:proofErr w:type="gramStart"/>
            <w:r w:rsidRPr="00501A80">
              <w:rPr>
                <w:sz w:val="22"/>
                <w:szCs w:val="22"/>
              </w:rPr>
              <w:t>devices;</w:t>
            </w:r>
            <w:proofErr w:type="gramEnd"/>
          </w:p>
          <w:p w14:paraId="317A73C8" w14:textId="77777777" w:rsidR="00501A80" w:rsidRPr="00501A80" w:rsidRDefault="00501A80" w:rsidP="00501A80">
            <w:pPr>
              <w:numPr>
                <w:ilvl w:val="0"/>
                <w:numId w:val="38"/>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 xml:space="preserve">Mobile device </w:t>
            </w:r>
            <w:proofErr w:type="gramStart"/>
            <w:r w:rsidRPr="00501A80">
              <w:rPr>
                <w:sz w:val="22"/>
                <w:szCs w:val="22"/>
              </w:rPr>
              <w:t>theft;</w:t>
            </w:r>
            <w:proofErr w:type="gramEnd"/>
          </w:p>
          <w:p w14:paraId="41B8911B" w14:textId="77777777" w:rsidR="00501A80" w:rsidRPr="00501A80" w:rsidRDefault="00501A80" w:rsidP="00501A80">
            <w:pPr>
              <w:numPr>
                <w:ilvl w:val="0"/>
                <w:numId w:val="38"/>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Internet of Things and C&amp;</w:t>
            </w:r>
            <w:proofErr w:type="gramStart"/>
            <w:r w:rsidRPr="00501A80">
              <w:rPr>
                <w:sz w:val="22"/>
                <w:szCs w:val="22"/>
              </w:rPr>
              <w:t>I;</w:t>
            </w:r>
            <w:proofErr w:type="gramEnd"/>
          </w:p>
          <w:p w14:paraId="60A37D4B" w14:textId="77777777" w:rsidR="00501A80" w:rsidRPr="00501A80" w:rsidRDefault="00501A80" w:rsidP="00501A80">
            <w:pPr>
              <w:numPr>
                <w:ilvl w:val="0"/>
                <w:numId w:val="38"/>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 xml:space="preserve">Examination of information transfer, know-how and </w:t>
            </w:r>
            <w:proofErr w:type="gramStart"/>
            <w:r w:rsidRPr="00501A80">
              <w:rPr>
                <w:sz w:val="22"/>
                <w:szCs w:val="22"/>
              </w:rPr>
              <w:t>training;</w:t>
            </w:r>
            <w:proofErr w:type="gramEnd"/>
          </w:p>
          <w:p w14:paraId="7B0A80D5" w14:textId="77777777" w:rsidR="00501A80" w:rsidRPr="00501A80" w:rsidRDefault="00501A80" w:rsidP="00501A80">
            <w:pPr>
              <w:numPr>
                <w:ilvl w:val="0"/>
                <w:numId w:val="38"/>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Challenges for C&amp;I.</w:t>
            </w:r>
          </w:p>
        </w:tc>
        <w:tc>
          <w:tcPr>
            <w:tcW w:w="1872" w:type="dxa"/>
            <w:gridSpan w:val="2"/>
          </w:tcPr>
          <w:p w14:paraId="5CFD5C5F" w14:textId="77777777" w:rsidR="00501A80" w:rsidRPr="00501A80" w:rsidRDefault="00501A80" w:rsidP="00501A80">
            <w:pPr>
              <w:spacing w:before="60" w:after="60"/>
              <w:jc w:val="center"/>
              <w:rPr>
                <w:sz w:val="22"/>
                <w:szCs w:val="22"/>
              </w:rPr>
            </w:pPr>
            <w:r w:rsidRPr="00501A80">
              <w:rPr>
                <w:sz w:val="22"/>
                <w:szCs w:val="22"/>
              </w:rPr>
              <w:t>Ongoing</w:t>
            </w:r>
          </w:p>
        </w:tc>
        <w:tc>
          <w:tcPr>
            <w:tcW w:w="2795" w:type="dxa"/>
          </w:tcPr>
          <w:p w14:paraId="7ECD7F0D" w14:textId="77777777" w:rsidR="00501A80" w:rsidRPr="00501A80" w:rsidRDefault="00501A80" w:rsidP="00501A80">
            <w:pPr>
              <w:spacing w:before="60" w:after="60"/>
              <w:jc w:val="center"/>
              <w:rPr>
                <w:color w:val="0000FF"/>
                <w:sz w:val="22"/>
                <w:szCs w:val="22"/>
                <w:u w:val="single"/>
              </w:rPr>
            </w:pPr>
            <w:r w:rsidRPr="00501A80">
              <w:rPr>
                <w:sz w:val="22"/>
                <w:szCs w:val="22"/>
                <w:lang w:eastAsia="zh-CN"/>
              </w:rPr>
              <w:t>Final report of the previous study period for additional information:</w:t>
            </w:r>
          </w:p>
          <w:p w14:paraId="2C900E0F" w14:textId="77777777" w:rsidR="00501A80" w:rsidRPr="00501A80" w:rsidRDefault="005C25E3" w:rsidP="00501A80">
            <w:pPr>
              <w:spacing w:before="60" w:after="60"/>
              <w:jc w:val="center"/>
              <w:rPr>
                <w:color w:val="0000FF"/>
                <w:sz w:val="22"/>
                <w:szCs w:val="22"/>
                <w:u w:val="single"/>
                <w:lang w:eastAsia="zh-CN"/>
              </w:rPr>
            </w:pPr>
            <w:hyperlink r:id="rId28" w:history="1">
              <w:r w:rsidR="00501A80" w:rsidRPr="00501A80">
                <w:rPr>
                  <w:color w:val="0000FF"/>
                  <w:sz w:val="22"/>
                  <w:szCs w:val="22"/>
                  <w:u w:val="single"/>
                  <w:lang w:eastAsia="zh-CN"/>
                </w:rPr>
                <w:t>link</w:t>
              </w:r>
            </w:hyperlink>
          </w:p>
          <w:p w14:paraId="2D782480" w14:textId="77777777" w:rsidR="00501A80" w:rsidRPr="00501A80" w:rsidRDefault="00501A80" w:rsidP="00501A80">
            <w:pPr>
              <w:spacing w:before="60" w:after="60"/>
              <w:jc w:val="center"/>
              <w:rPr>
                <w:color w:val="0000FF"/>
                <w:sz w:val="22"/>
                <w:szCs w:val="22"/>
                <w:u w:val="single"/>
                <w:lang w:eastAsia="zh-CN"/>
              </w:rPr>
            </w:pPr>
          </w:p>
          <w:p w14:paraId="751D0E2D" w14:textId="77777777" w:rsidR="00501A80" w:rsidRPr="00501A80" w:rsidRDefault="00501A80" w:rsidP="00501A80">
            <w:pPr>
              <w:spacing w:before="60" w:after="60"/>
              <w:jc w:val="center"/>
              <w:rPr>
                <w:sz w:val="22"/>
                <w:szCs w:val="22"/>
              </w:rPr>
            </w:pPr>
            <w:r w:rsidRPr="00501A80">
              <w:rPr>
                <w:sz w:val="22"/>
                <w:szCs w:val="22"/>
              </w:rPr>
              <w:t xml:space="preserve">Related BDT activities: </w:t>
            </w:r>
          </w:p>
          <w:p w14:paraId="76B5BFB8" w14:textId="77777777" w:rsidR="00501A80" w:rsidRPr="00501A80" w:rsidRDefault="005C25E3" w:rsidP="00501A80">
            <w:pPr>
              <w:spacing w:before="60" w:after="60"/>
              <w:jc w:val="center"/>
              <w:rPr>
                <w:sz w:val="22"/>
                <w:szCs w:val="22"/>
                <w:lang w:eastAsia="ko-KR"/>
              </w:rPr>
            </w:pPr>
            <w:hyperlink r:id="rId29" w:history="1">
              <w:r w:rsidR="00501A80" w:rsidRPr="00501A80">
                <w:rPr>
                  <w:color w:val="0000FF"/>
                  <w:sz w:val="22"/>
                  <w:szCs w:val="22"/>
                  <w:u w:val="single"/>
                </w:rPr>
                <w:t>link</w:t>
              </w:r>
            </w:hyperlink>
          </w:p>
        </w:tc>
      </w:tr>
      <w:tr w:rsidR="00501A80" w:rsidRPr="00501A80" w14:paraId="111FF459" w14:textId="77777777" w:rsidTr="00BF3648">
        <w:tc>
          <w:tcPr>
            <w:tcW w:w="2106" w:type="dxa"/>
          </w:tcPr>
          <w:p w14:paraId="5E436AEC" w14:textId="77777777" w:rsidR="00501A80" w:rsidRPr="00501A80" w:rsidRDefault="00501A80" w:rsidP="00501A80">
            <w:pPr>
              <w:spacing w:before="60" w:after="60"/>
              <w:jc w:val="center"/>
              <w:rPr>
                <w:sz w:val="22"/>
                <w:szCs w:val="22"/>
              </w:rPr>
            </w:pPr>
            <w:r w:rsidRPr="00501A80">
              <w:rPr>
                <w:sz w:val="22"/>
                <w:szCs w:val="22"/>
              </w:rPr>
              <w:lastRenderedPageBreak/>
              <w:t>Digital skills</w:t>
            </w:r>
          </w:p>
        </w:tc>
        <w:tc>
          <w:tcPr>
            <w:tcW w:w="1258" w:type="dxa"/>
          </w:tcPr>
          <w:p w14:paraId="5B69BBBF" w14:textId="77777777" w:rsidR="00501A80" w:rsidRPr="00501A80" w:rsidRDefault="00501A80" w:rsidP="00501A80">
            <w:pPr>
              <w:spacing w:before="60" w:after="60"/>
              <w:jc w:val="center"/>
              <w:rPr>
                <w:sz w:val="22"/>
                <w:szCs w:val="22"/>
              </w:rPr>
            </w:pPr>
            <w:r w:rsidRPr="00501A80">
              <w:rPr>
                <w:sz w:val="22"/>
                <w:szCs w:val="22"/>
              </w:rPr>
              <w:t>ITU-D, SG2</w:t>
            </w:r>
          </w:p>
        </w:tc>
        <w:tc>
          <w:tcPr>
            <w:tcW w:w="2931" w:type="dxa"/>
          </w:tcPr>
          <w:p w14:paraId="02546A54" w14:textId="77777777" w:rsidR="00501A80" w:rsidRPr="00501A80" w:rsidRDefault="00501A80" w:rsidP="00501A80">
            <w:pPr>
              <w:spacing w:before="60" w:after="60"/>
              <w:jc w:val="center"/>
              <w:rPr>
                <w:sz w:val="22"/>
                <w:szCs w:val="22"/>
                <w:shd w:val="clear" w:color="auto" w:fill="FFFFFF"/>
              </w:rPr>
            </w:pPr>
            <w:r w:rsidRPr="00501A80">
              <w:rPr>
                <w:sz w:val="22"/>
                <w:szCs w:val="22"/>
                <w:shd w:val="clear" w:color="auto" w:fill="FFFFFF"/>
              </w:rPr>
              <w:t>Adoption of telecommunications/ICTs and improving digital skills (Q5/2)</w:t>
            </w:r>
          </w:p>
        </w:tc>
        <w:tc>
          <w:tcPr>
            <w:tcW w:w="3600" w:type="dxa"/>
          </w:tcPr>
          <w:p w14:paraId="7B7FC71E" w14:textId="77777777" w:rsidR="00501A80" w:rsidRPr="00501A80" w:rsidRDefault="00501A80" w:rsidP="00501A80">
            <w:pPr>
              <w:spacing w:before="60" w:after="60"/>
              <w:rPr>
                <w:sz w:val="22"/>
                <w:szCs w:val="22"/>
              </w:rPr>
            </w:pPr>
            <w:r w:rsidRPr="00501A80">
              <w:rPr>
                <w:sz w:val="22"/>
                <w:szCs w:val="22"/>
              </w:rPr>
              <w:t>A new Question added this cycle to assist in the following regards:</w:t>
            </w:r>
          </w:p>
          <w:p w14:paraId="7006C95A" w14:textId="77777777" w:rsidR="00501A80" w:rsidRPr="00501A80" w:rsidRDefault="00501A80" w:rsidP="00501A80">
            <w:pPr>
              <w:numPr>
                <w:ilvl w:val="0"/>
                <w:numId w:val="38"/>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 xml:space="preserve">Adoption of </w:t>
            </w:r>
            <w:proofErr w:type="gramStart"/>
            <w:r w:rsidRPr="00501A80">
              <w:rPr>
                <w:sz w:val="22"/>
                <w:szCs w:val="22"/>
              </w:rPr>
              <w:t>ICTs;</w:t>
            </w:r>
            <w:proofErr w:type="gramEnd"/>
          </w:p>
          <w:p w14:paraId="4F67716A" w14:textId="77777777" w:rsidR="00501A80" w:rsidRPr="00501A80" w:rsidRDefault="00501A80" w:rsidP="00501A80">
            <w:pPr>
              <w:numPr>
                <w:ilvl w:val="0"/>
                <w:numId w:val="38"/>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 xml:space="preserve">Digital Skills </w:t>
            </w:r>
            <w:proofErr w:type="gramStart"/>
            <w:r w:rsidRPr="00501A80">
              <w:rPr>
                <w:sz w:val="22"/>
                <w:szCs w:val="22"/>
              </w:rPr>
              <w:t>Deployment;</w:t>
            </w:r>
            <w:proofErr w:type="gramEnd"/>
          </w:p>
          <w:p w14:paraId="4E76C2C1" w14:textId="77777777" w:rsidR="00501A80" w:rsidRPr="00501A80" w:rsidRDefault="00501A80" w:rsidP="00501A80">
            <w:pPr>
              <w:numPr>
                <w:ilvl w:val="0"/>
                <w:numId w:val="38"/>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Framework for Digital Skills Adoption at different levels.</w:t>
            </w:r>
          </w:p>
        </w:tc>
        <w:tc>
          <w:tcPr>
            <w:tcW w:w="1872" w:type="dxa"/>
            <w:gridSpan w:val="2"/>
          </w:tcPr>
          <w:p w14:paraId="3D1A3863" w14:textId="77777777" w:rsidR="00501A80" w:rsidRPr="00501A80" w:rsidRDefault="00501A80" w:rsidP="00501A80">
            <w:pPr>
              <w:spacing w:before="60" w:after="60"/>
              <w:jc w:val="center"/>
              <w:rPr>
                <w:sz w:val="22"/>
                <w:szCs w:val="22"/>
              </w:rPr>
            </w:pPr>
            <w:r w:rsidRPr="00501A80">
              <w:rPr>
                <w:sz w:val="22"/>
                <w:szCs w:val="22"/>
              </w:rPr>
              <w:t>Ongoing</w:t>
            </w:r>
          </w:p>
        </w:tc>
        <w:tc>
          <w:tcPr>
            <w:tcW w:w="2795" w:type="dxa"/>
          </w:tcPr>
          <w:p w14:paraId="31F1F260" w14:textId="77777777" w:rsidR="00501A80" w:rsidRPr="00501A80" w:rsidRDefault="00501A80" w:rsidP="00501A80">
            <w:pPr>
              <w:spacing w:before="60" w:after="60"/>
              <w:jc w:val="center"/>
              <w:rPr>
                <w:color w:val="0000FF"/>
                <w:sz w:val="22"/>
                <w:szCs w:val="22"/>
                <w:u w:val="single"/>
                <w:lang w:eastAsia="zh-CN"/>
              </w:rPr>
            </w:pPr>
            <w:r w:rsidRPr="00501A80">
              <w:rPr>
                <w:sz w:val="22"/>
                <w:szCs w:val="22"/>
              </w:rPr>
              <w:t>(This is a new study Question)</w:t>
            </w:r>
          </w:p>
          <w:p w14:paraId="29EC207F" w14:textId="77777777" w:rsidR="00501A80" w:rsidRPr="00501A80" w:rsidRDefault="00501A80" w:rsidP="00501A80">
            <w:pPr>
              <w:spacing w:before="60" w:after="60"/>
              <w:jc w:val="center"/>
              <w:rPr>
                <w:sz w:val="22"/>
                <w:szCs w:val="22"/>
              </w:rPr>
            </w:pPr>
          </w:p>
          <w:p w14:paraId="62A776E2" w14:textId="77777777" w:rsidR="00501A80" w:rsidRPr="00501A80" w:rsidRDefault="00501A80" w:rsidP="00501A80">
            <w:pPr>
              <w:spacing w:before="60" w:after="60"/>
              <w:jc w:val="center"/>
              <w:rPr>
                <w:sz w:val="22"/>
                <w:szCs w:val="22"/>
              </w:rPr>
            </w:pPr>
            <w:r w:rsidRPr="00501A80">
              <w:rPr>
                <w:sz w:val="22"/>
                <w:szCs w:val="22"/>
              </w:rPr>
              <w:t xml:space="preserve">Related BDT activities: </w:t>
            </w:r>
          </w:p>
          <w:p w14:paraId="4D88B8A2" w14:textId="77777777" w:rsidR="00501A80" w:rsidRPr="00501A80" w:rsidRDefault="005C25E3" w:rsidP="00501A80">
            <w:pPr>
              <w:spacing w:before="60" w:after="60"/>
              <w:jc w:val="center"/>
              <w:rPr>
                <w:sz w:val="22"/>
                <w:szCs w:val="22"/>
              </w:rPr>
            </w:pPr>
            <w:hyperlink r:id="rId30" w:history="1">
              <w:r w:rsidR="00501A80" w:rsidRPr="00501A80">
                <w:rPr>
                  <w:color w:val="0000FF"/>
                  <w:sz w:val="22"/>
                  <w:szCs w:val="22"/>
                  <w:u w:val="single"/>
                </w:rPr>
                <w:t>link</w:t>
              </w:r>
            </w:hyperlink>
          </w:p>
        </w:tc>
      </w:tr>
      <w:tr w:rsidR="00501A80" w:rsidRPr="00501A80" w14:paraId="63F55CA3" w14:textId="77777777" w:rsidTr="00BF3648">
        <w:tc>
          <w:tcPr>
            <w:tcW w:w="2106" w:type="dxa"/>
          </w:tcPr>
          <w:p w14:paraId="11EDB77A" w14:textId="77777777" w:rsidR="00501A80" w:rsidRPr="00501A80" w:rsidRDefault="00501A80" w:rsidP="00501A80">
            <w:pPr>
              <w:spacing w:before="60" w:after="60"/>
              <w:jc w:val="center"/>
              <w:rPr>
                <w:sz w:val="22"/>
                <w:szCs w:val="22"/>
              </w:rPr>
            </w:pPr>
            <w:r w:rsidRPr="00501A80">
              <w:rPr>
                <w:sz w:val="22"/>
                <w:szCs w:val="22"/>
              </w:rPr>
              <w:t>Environment</w:t>
            </w:r>
          </w:p>
        </w:tc>
        <w:tc>
          <w:tcPr>
            <w:tcW w:w="1258" w:type="dxa"/>
          </w:tcPr>
          <w:p w14:paraId="67A47F30" w14:textId="77777777" w:rsidR="00501A80" w:rsidRPr="00501A80" w:rsidRDefault="00501A80" w:rsidP="00501A80">
            <w:pPr>
              <w:spacing w:before="60" w:after="60"/>
              <w:jc w:val="center"/>
              <w:rPr>
                <w:sz w:val="22"/>
                <w:szCs w:val="22"/>
              </w:rPr>
            </w:pPr>
            <w:r w:rsidRPr="00501A80">
              <w:rPr>
                <w:sz w:val="22"/>
                <w:szCs w:val="22"/>
              </w:rPr>
              <w:t>ITU-D, SG2</w:t>
            </w:r>
          </w:p>
        </w:tc>
        <w:tc>
          <w:tcPr>
            <w:tcW w:w="2931" w:type="dxa"/>
          </w:tcPr>
          <w:p w14:paraId="2CB0334C" w14:textId="77777777" w:rsidR="00501A80" w:rsidRPr="00501A80" w:rsidRDefault="00501A80" w:rsidP="00501A80">
            <w:pPr>
              <w:spacing w:before="60" w:after="60"/>
              <w:jc w:val="center"/>
              <w:rPr>
                <w:sz w:val="22"/>
                <w:szCs w:val="22"/>
                <w:shd w:val="clear" w:color="auto" w:fill="FFFFFF"/>
              </w:rPr>
            </w:pPr>
            <w:r w:rsidRPr="00501A80">
              <w:rPr>
                <w:sz w:val="22"/>
                <w:szCs w:val="22"/>
                <w:shd w:val="clear" w:color="auto" w:fill="FFFFFF"/>
              </w:rPr>
              <w:t>ICTs for the environment (Q6/2)</w:t>
            </w:r>
          </w:p>
        </w:tc>
        <w:tc>
          <w:tcPr>
            <w:tcW w:w="3600" w:type="dxa"/>
          </w:tcPr>
          <w:p w14:paraId="7EACC2CC" w14:textId="77777777" w:rsidR="00501A80" w:rsidRPr="00501A80" w:rsidRDefault="00501A80" w:rsidP="00501A80">
            <w:pPr>
              <w:spacing w:before="60" w:after="60"/>
              <w:rPr>
                <w:sz w:val="22"/>
                <w:szCs w:val="22"/>
              </w:rPr>
            </w:pPr>
            <w:r w:rsidRPr="00501A80">
              <w:rPr>
                <w:sz w:val="22"/>
                <w:szCs w:val="22"/>
              </w:rPr>
              <w:t>It covers environmental-related issues pertinent to use of ICT to protect and monitor environment: and climate change:</w:t>
            </w:r>
          </w:p>
          <w:p w14:paraId="44BA044B" w14:textId="77777777" w:rsidR="00501A80" w:rsidRPr="00501A80" w:rsidRDefault="00501A80" w:rsidP="00501A80">
            <w:pPr>
              <w:numPr>
                <w:ilvl w:val="0"/>
                <w:numId w:val="38"/>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 xml:space="preserve">New technologies for climate </w:t>
            </w:r>
            <w:proofErr w:type="gramStart"/>
            <w:r w:rsidRPr="00501A80">
              <w:rPr>
                <w:sz w:val="22"/>
                <w:szCs w:val="22"/>
              </w:rPr>
              <w:t>change;</w:t>
            </w:r>
            <w:proofErr w:type="gramEnd"/>
          </w:p>
          <w:p w14:paraId="2F439893" w14:textId="77777777" w:rsidR="00501A80" w:rsidRPr="00501A80" w:rsidRDefault="00501A80" w:rsidP="00501A80">
            <w:pPr>
              <w:numPr>
                <w:ilvl w:val="0"/>
                <w:numId w:val="38"/>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 xml:space="preserve">Challenges and case studies on climate </w:t>
            </w:r>
            <w:proofErr w:type="gramStart"/>
            <w:r w:rsidRPr="00501A80">
              <w:rPr>
                <w:sz w:val="22"/>
                <w:szCs w:val="22"/>
              </w:rPr>
              <w:t>change;</w:t>
            </w:r>
            <w:proofErr w:type="gramEnd"/>
          </w:p>
          <w:p w14:paraId="4F410562" w14:textId="77777777" w:rsidR="00501A80" w:rsidRPr="00501A80" w:rsidRDefault="00501A80" w:rsidP="00501A80">
            <w:pPr>
              <w:numPr>
                <w:ilvl w:val="0"/>
                <w:numId w:val="38"/>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 xml:space="preserve">Comparative Guidelines to mitigate the impacts of climate </w:t>
            </w:r>
            <w:proofErr w:type="gramStart"/>
            <w:r w:rsidRPr="00501A80">
              <w:rPr>
                <w:sz w:val="22"/>
                <w:szCs w:val="22"/>
              </w:rPr>
              <w:t>change;</w:t>
            </w:r>
            <w:proofErr w:type="gramEnd"/>
          </w:p>
          <w:p w14:paraId="0C787378" w14:textId="77777777" w:rsidR="00501A80" w:rsidRPr="00501A80" w:rsidRDefault="00501A80" w:rsidP="00501A80">
            <w:pPr>
              <w:numPr>
                <w:ilvl w:val="0"/>
                <w:numId w:val="38"/>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 xml:space="preserve">Challenges of </w:t>
            </w:r>
            <w:proofErr w:type="gramStart"/>
            <w:r w:rsidRPr="00501A80">
              <w:rPr>
                <w:sz w:val="22"/>
                <w:szCs w:val="22"/>
              </w:rPr>
              <w:t>e-waste;</w:t>
            </w:r>
            <w:proofErr w:type="gramEnd"/>
          </w:p>
          <w:p w14:paraId="03F28788" w14:textId="77777777" w:rsidR="00501A80" w:rsidRPr="00501A80" w:rsidRDefault="00501A80" w:rsidP="00501A80">
            <w:pPr>
              <w:numPr>
                <w:ilvl w:val="0"/>
                <w:numId w:val="38"/>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Actions taken to address the challenges of e-waste processes and procedures.</w:t>
            </w:r>
          </w:p>
        </w:tc>
        <w:tc>
          <w:tcPr>
            <w:tcW w:w="1872" w:type="dxa"/>
            <w:gridSpan w:val="2"/>
          </w:tcPr>
          <w:p w14:paraId="0A462415" w14:textId="77777777" w:rsidR="00501A80" w:rsidRPr="00501A80" w:rsidRDefault="00501A80" w:rsidP="00501A80">
            <w:pPr>
              <w:spacing w:before="60" w:after="60"/>
              <w:jc w:val="center"/>
              <w:rPr>
                <w:sz w:val="22"/>
                <w:szCs w:val="22"/>
              </w:rPr>
            </w:pPr>
            <w:r w:rsidRPr="00501A80">
              <w:rPr>
                <w:sz w:val="22"/>
                <w:szCs w:val="22"/>
              </w:rPr>
              <w:t>Ongoing</w:t>
            </w:r>
          </w:p>
        </w:tc>
        <w:tc>
          <w:tcPr>
            <w:tcW w:w="2795" w:type="dxa"/>
          </w:tcPr>
          <w:p w14:paraId="3FE2EB88" w14:textId="77777777" w:rsidR="00501A80" w:rsidRPr="00501A80" w:rsidRDefault="00501A80" w:rsidP="00501A80">
            <w:pPr>
              <w:spacing w:before="60" w:after="60"/>
              <w:jc w:val="center"/>
              <w:rPr>
                <w:color w:val="0000FF"/>
                <w:sz w:val="22"/>
                <w:szCs w:val="22"/>
                <w:u w:val="single"/>
              </w:rPr>
            </w:pPr>
            <w:r w:rsidRPr="00501A80">
              <w:rPr>
                <w:sz w:val="22"/>
                <w:szCs w:val="22"/>
                <w:lang w:eastAsia="zh-CN"/>
              </w:rPr>
              <w:t>Final report of the previous study period for additional information:</w:t>
            </w:r>
          </w:p>
          <w:p w14:paraId="7F729931" w14:textId="77777777" w:rsidR="00501A80" w:rsidRPr="00501A80" w:rsidRDefault="005C25E3" w:rsidP="00501A80">
            <w:pPr>
              <w:spacing w:before="60" w:after="60"/>
              <w:jc w:val="center"/>
              <w:rPr>
                <w:color w:val="0000FF"/>
                <w:sz w:val="22"/>
                <w:szCs w:val="22"/>
                <w:u w:val="single"/>
                <w:lang w:eastAsia="zh-CN"/>
              </w:rPr>
            </w:pPr>
            <w:hyperlink r:id="rId31" w:history="1">
              <w:r w:rsidR="00501A80" w:rsidRPr="00501A80">
                <w:rPr>
                  <w:color w:val="0000FF"/>
                  <w:sz w:val="22"/>
                  <w:szCs w:val="22"/>
                  <w:u w:val="single"/>
                  <w:lang w:eastAsia="zh-CN"/>
                </w:rPr>
                <w:t>link</w:t>
              </w:r>
            </w:hyperlink>
          </w:p>
          <w:p w14:paraId="6A6BF65E" w14:textId="77777777" w:rsidR="00501A80" w:rsidRPr="00501A80" w:rsidRDefault="00501A80" w:rsidP="00501A80">
            <w:pPr>
              <w:spacing w:before="60" w:after="60"/>
              <w:jc w:val="center"/>
              <w:rPr>
                <w:sz w:val="22"/>
                <w:szCs w:val="22"/>
              </w:rPr>
            </w:pPr>
          </w:p>
          <w:p w14:paraId="4AD760DE" w14:textId="77777777" w:rsidR="00501A80" w:rsidRPr="00501A80" w:rsidRDefault="00501A80" w:rsidP="00501A80">
            <w:pPr>
              <w:spacing w:before="60" w:after="60"/>
              <w:jc w:val="center"/>
              <w:rPr>
                <w:sz w:val="22"/>
                <w:szCs w:val="22"/>
              </w:rPr>
            </w:pPr>
            <w:r w:rsidRPr="00501A80">
              <w:rPr>
                <w:sz w:val="22"/>
                <w:szCs w:val="22"/>
              </w:rPr>
              <w:t xml:space="preserve">Related BDT activities: </w:t>
            </w:r>
          </w:p>
          <w:p w14:paraId="43AC13FE" w14:textId="77777777" w:rsidR="00501A80" w:rsidRPr="00501A80" w:rsidRDefault="005C25E3" w:rsidP="00501A80">
            <w:pPr>
              <w:spacing w:before="60" w:after="60"/>
              <w:jc w:val="center"/>
              <w:rPr>
                <w:color w:val="0000FF"/>
                <w:sz w:val="22"/>
                <w:szCs w:val="22"/>
                <w:u w:val="single"/>
                <w:lang w:eastAsia="zh-CN"/>
              </w:rPr>
            </w:pPr>
            <w:hyperlink r:id="rId32" w:history="1">
              <w:r w:rsidR="00501A80" w:rsidRPr="00501A80">
                <w:rPr>
                  <w:color w:val="0000FF"/>
                  <w:sz w:val="22"/>
                  <w:szCs w:val="22"/>
                  <w:u w:val="single"/>
                </w:rPr>
                <w:t>link</w:t>
              </w:r>
            </w:hyperlink>
          </w:p>
          <w:p w14:paraId="3B87CDF7" w14:textId="77777777" w:rsidR="00501A80" w:rsidRPr="00501A80" w:rsidRDefault="00501A80" w:rsidP="00501A80">
            <w:pPr>
              <w:spacing w:before="60" w:after="60"/>
              <w:jc w:val="center"/>
              <w:rPr>
                <w:sz w:val="22"/>
                <w:szCs w:val="22"/>
              </w:rPr>
            </w:pPr>
          </w:p>
        </w:tc>
      </w:tr>
      <w:tr w:rsidR="00501A80" w:rsidRPr="00501A80" w14:paraId="5ABFE858" w14:textId="77777777" w:rsidTr="00BF3648">
        <w:tc>
          <w:tcPr>
            <w:tcW w:w="2106" w:type="dxa"/>
          </w:tcPr>
          <w:p w14:paraId="56EFC63C" w14:textId="77777777" w:rsidR="00501A80" w:rsidRPr="00501A80" w:rsidRDefault="00501A80" w:rsidP="00501A80">
            <w:pPr>
              <w:spacing w:before="60" w:after="60"/>
              <w:jc w:val="center"/>
              <w:rPr>
                <w:sz w:val="22"/>
                <w:szCs w:val="22"/>
              </w:rPr>
            </w:pPr>
            <w:r w:rsidRPr="00501A80">
              <w:rPr>
                <w:sz w:val="22"/>
                <w:szCs w:val="22"/>
              </w:rPr>
              <w:t>Human exposure to electromagnetic fields</w:t>
            </w:r>
          </w:p>
        </w:tc>
        <w:tc>
          <w:tcPr>
            <w:tcW w:w="1258" w:type="dxa"/>
          </w:tcPr>
          <w:p w14:paraId="4794D0A6" w14:textId="77777777" w:rsidR="00501A80" w:rsidRPr="00501A80" w:rsidRDefault="00501A80" w:rsidP="00501A80">
            <w:pPr>
              <w:spacing w:before="60" w:after="60"/>
              <w:jc w:val="center"/>
              <w:rPr>
                <w:sz w:val="22"/>
                <w:szCs w:val="22"/>
              </w:rPr>
            </w:pPr>
            <w:r w:rsidRPr="00501A80">
              <w:rPr>
                <w:sz w:val="22"/>
                <w:szCs w:val="22"/>
              </w:rPr>
              <w:t>ITU-D, SG2</w:t>
            </w:r>
          </w:p>
        </w:tc>
        <w:tc>
          <w:tcPr>
            <w:tcW w:w="2931" w:type="dxa"/>
          </w:tcPr>
          <w:p w14:paraId="33155CE0" w14:textId="77777777" w:rsidR="00501A80" w:rsidRPr="00501A80" w:rsidRDefault="00501A80" w:rsidP="00501A80">
            <w:pPr>
              <w:spacing w:before="60" w:after="60"/>
              <w:jc w:val="center"/>
              <w:rPr>
                <w:sz w:val="22"/>
                <w:szCs w:val="22"/>
                <w:shd w:val="clear" w:color="auto" w:fill="FFFFFF"/>
              </w:rPr>
            </w:pPr>
            <w:r w:rsidRPr="00501A80">
              <w:rPr>
                <w:sz w:val="22"/>
                <w:szCs w:val="22"/>
                <w:shd w:val="clear" w:color="auto" w:fill="FFFFFF"/>
              </w:rPr>
              <w:t>Strategies and policies concerning human exposure to electromagnetic fields (Q7/2)</w:t>
            </w:r>
          </w:p>
        </w:tc>
        <w:tc>
          <w:tcPr>
            <w:tcW w:w="3600" w:type="dxa"/>
          </w:tcPr>
          <w:p w14:paraId="5598DEC8" w14:textId="77777777" w:rsidR="00501A80" w:rsidRPr="00501A80" w:rsidRDefault="00501A80" w:rsidP="00501A80">
            <w:pPr>
              <w:spacing w:before="60" w:after="60"/>
              <w:rPr>
                <w:sz w:val="22"/>
                <w:szCs w:val="22"/>
              </w:rPr>
            </w:pPr>
            <w:r w:rsidRPr="00501A80">
              <w:rPr>
                <w:sz w:val="22"/>
                <w:szCs w:val="22"/>
              </w:rPr>
              <w:t>It covers health and EMF exposure issues related to spread adoption of digital services and devices:</w:t>
            </w:r>
          </w:p>
          <w:p w14:paraId="64A77D97" w14:textId="77777777" w:rsidR="00501A80" w:rsidRPr="00501A80" w:rsidRDefault="00501A80" w:rsidP="00501A80">
            <w:pPr>
              <w:numPr>
                <w:ilvl w:val="0"/>
                <w:numId w:val="38"/>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 xml:space="preserve">ITU and international </w:t>
            </w:r>
            <w:proofErr w:type="gramStart"/>
            <w:r w:rsidRPr="00501A80">
              <w:rPr>
                <w:sz w:val="22"/>
                <w:szCs w:val="22"/>
              </w:rPr>
              <w:t>activities;</w:t>
            </w:r>
            <w:proofErr w:type="gramEnd"/>
          </w:p>
          <w:p w14:paraId="0889E905" w14:textId="77777777" w:rsidR="00501A80" w:rsidRPr="00501A80" w:rsidRDefault="00501A80" w:rsidP="00501A80">
            <w:pPr>
              <w:numPr>
                <w:ilvl w:val="0"/>
                <w:numId w:val="38"/>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 xml:space="preserve">Updates and the adoptions of international and regional RF-EMF exposure </w:t>
            </w:r>
            <w:proofErr w:type="gramStart"/>
            <w:r w:rsidRPr="00501A80">
              <w:rPr>
                <w:sz w:val="22"/>
                <w:szCs w:val="22"/>
              </w:rPr>
              <w:t>limits;</w:t>
            </w:r>
            <w:proofErr w:type="gramEnd"/>
          </w:p>
          <w:p w14:paraId="2DBD0C28" w14:textId="77777777" w:rsidR="00501A80" w:rsidRPr="00501A80" w:rsidRDefault="00501A80" w:rsidP="00501A80">
            <w:pPr>
              <w:numPr>
                <w:ilvl w:val="0"/>
                <w:numId w:val="38"/>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 xml:space="preserve">Policies to limit exposure to radiofrequency </w:t>
            </w:r>
            <w:proofErr w:type="gramStart"/>
            <w:r w:rsidRPr="00501A80">
              <w:rPr>
                <w:sz w:val="22"/>
                <w:szCs w:val="22"/>
              </w:rPr>
              <w:t>fields;</w:t>
            </w:r>
            <w:proofErr w:type="gramEnd"/>
          </w:p>
          <w:p w14:paraId="48881BDE" w14:textId="77777777" w:rsidR="00501A80" w:rsidRPr="00501A80" w:rsidRDefault="00501A80" w:rsidP="00501A80">
            <w:pPr>
              <w:numPr>
                <w:ilvl w:val="0"/>
                <w:numId w:val="38"/>
              </w:numPr>
              <w:tabs>
                <w:tab w:val="left" w:pos="794"/>
                <w:tab w:val="left" w:pos="1191"/>
                <w:tab w:val="left" w:pos="1588"/>
                <w:tab w:val="left" w:pos="1985"/>
              </w:tabs>
              <w:overflowPunct w:val="0"/>
              <w:autoSpaceDE w:val="0"/>
              <w:autoSpaceDN w:val="0"/>
              <w:adjustRightInd w:val="0"/>
              <w:spacing w:before="60" w:after="60"/>
              <w:ind w:left="229" w:hanging="229"/>
              <w:contextualSpacing/>
              <w:textAlignment w:val="baseline"/>
              <w:rPr>
                <w:sz w:val="22"/>
                <w:szCs w:val="22"/>
              </w:rPr>
            </w:pPr>
            <w:r w:rsidRPr="00501A80">
              <w:rPr>
                <w:sz w:val="22"/>
                <w:szCs w:val="22"/>
              </w:rPr>
              <w:t>Formulating national EMF policies on exposure limits.</w:t>
            </w:r>
          </w:p>
        </w:tc>
        <w:tc>
          <w:tcPr>
            <w:tcW w:w="1872" w:type="dxa"/>
            <w:gridSpan w:val="2"/>
          </w:tcPr>
          <w:p w14:paraId="28A1FC7A" w14:textId="77777777" w:rsidR="00501A80" w:rsidRPr="00501A80" w:rsidRDefault="00501A80" w:rsidP="00501A80">
            <w:pPr>
              <w:spacing w:before="60" w:after="60"/>
              <w:jc w:val="center"/>
              <w:rPr>
                <w:sz w:val="22"/>
                <w:szCs w:val="22"/>
              </w:rPr>
            </w:pPr>
            <w:r w:rsidRPr="00501A80">
              <w:rPr>
                <w:sz w:val="22"/>
                <w:szCs w:val="22"/>
              </w:rPr>
              <w:t>Ongoing</w:t>
            </w:r>
          </w:p>
        </w:tc>
        <w:tc>
          <w:tcPr>
            <w:tcW w:w="2795" w:type="dxa"/>
          </w:tcPr>
          <w:p w14:paraId="695F8C37" w14:textId="77777777" w:rsidR="00501A80" w:rsidRPr="00501A80" w:rsidRDefault="00501A80" w:rsidP="00501A80">
            <w:pPr>
              <w:spacing w:before="60" w:after="60"/>
              <w:jc w:val="center"/>
              <w:rPr>
                <w:color w:val="0000FF"/>
                <w:sz w:val="22"/>
                <w:szCs w:val="22"/>
                <w:u w:val="single"/>
              </w:rPr>
            </w:pPr>
            <w:r w:rsidRPr="00501A80">
              <w:rPr>
                <w:sz w:val="22"/>
                <w:szCs w:val="22"/>
                <w:lang w:eastAsia="zh-CN"/>
              </w:rPr>
              <w:t>Final report of the previous study period for additional information:</w:t>
            </w:r>
          </w:p>
          <w:p w14:paraId="11930727" w14:textId="77777777" w:rsidR="00501A80" w:rsidRPr="00501A80" w:rsidRDefault="005C25E3" w:rsidP="00501A80">
            <w:pPr>
              <w:spacing w:before="60" w:after="60"/>
              <w:jc w:val="center"/>
              <w:rPr>
                <w:color w:val="0000FF"/>
                <w:sz w:val="22"/>
                <w:szCs w:val="22"/>
                <w:u w:val="single"/>
                <w:lang w:eastAsia="zh-CN"/>
              </w:rPr>
            </w:pPr>
            <w:hyperlink r:id="rId33" w:history="1">
              <w:r w:rsidR="00501A80" w:rsidRPr="00501A80">
                <w:rPr>
                  <w:color w:val="0000FF"/>
                  <w:sz w:val="22"/>
                  <w:szCs w:val="22"/>
                  <w:u w:val="single"/>
                  <w:lang w:eastAsia="zh-CN"/>
                </w:rPr>
                <w:t>link</w:t>
              </w:r>
            </w:hyperlink>
          </w:p>
          <w:p w14:paraId="50862F98" w14:textId="77777777" w:rsidR="00501A80" w:rsidRPr="00501A80" w:rsidRDefault="00501A80" w:rsidP="00501A80">
            <w:pPr>
              <w:spacing w:before="60" w:after="60"/>
              <w:jc w:val="center"/>
              <w:rPr>
                <w:sz w:val="22"/>
                <w:szCs w:val="22"/>
              </w:rPr>
            </w:pPr>
          </w:p>
          <w:p w14:paraId="46DCBE8C" w14:textId="77777777" w:rsidR="00501A80" w:rsidRPr="00501A80" w:rsidRDefault="00501A80" w:rsidP="00501A80">
            <w:pPr>
              <w:spacing w:before="60" w:after="60"/>
              <w:jc w:val="center"/>
              <w:rPr>
                <w:sz w:val="22"/>
                <w:szCs w:val="22"/>
              </w:rPr>
            </w:pPr>
            <w:r w:rsidRPr="00501A80">
              <w:rPr>
                <w:sz w:val="22"/>
                <w:szCs w:val="22"/>
              </w:rPr>
              <w:t xml:space="preserve">Related BDT activities: </w:t>
            </w:r>
          </w:p>
          <w:p w14:paraId="1D86E305" w14:textId="77777777" w:rsidR="00501A80" w:rsidRPr="00501A80" w:rsidRDefault="005C25E3" w:rsidP="00501A80">
            <w:pPr>
              <w:spacing w:before="60" w:after="60"/>
              <w:jc w:val="center"/>
              <w:rPr>
                <w:color w:val="0000FF"/>
                <w:sz w:val="22"/>
                <w:szCs w:val="22"/>
                <w:u w:val="single"/>
                <w:lang w:eastAsia="zh-CN"/>
              </w:rPr>
            </w:pPr>
            <w:hyperlink r:id="rId34" w:history="1">
              <w:r w:rsidR="00501A80" w:rsidRPr="00501A80">
                <w:rPr>
                  <w:color w:val="0000FF"/>
                  <w:sz w:val="22"/>
                  <w:szCs w:val="22"/>
                  <w:u w:val="single"/>
                </w:rPr>
                <w:t>link</w:t>
              </w:r>
            </w:hyperlink>
          </w:p>
        </w:tc>
      </w:tr>
      <w:tr w:rsidR="00501A80" w:rsidRPr="00501A80" w14:paraId="22F531B3" w14:textId="77777777" w:rsidTr="00BF3648">
        <w:trPr>
          <w:trHeight w:val="2780"/>
        </w:trPr>
        <w:tc>
          <w:tcPr>
            <w:tcW w:w="2106" w:type="dxa"/>
          </w:tcPr>
          <w:p w14:paraId="0F415449" w14:textId="77777777" w:rsidR="00501A80" w:rsidRPr="00501A80" w:rsidRDefault="00501A80" w:rsidP="00501A80">
            <w:pPr>
              <w:jc w:val="center"/>
              <w:rPr>
                <w:sz w:val="22"/>
                <w:szCs w:val="22"/>
              </w:rPr>
            </w:pPr>
            <w:r w:rsidRPr="00501A80">
              <w:rPr>
                <w:sz w:val="22"/>
                <w:szCs w:val="22"/>
              </w:rPr>
              <w:lastRenderedPageBreak/>
              <w:t>Strategies, policies, regulations and methods of migration to and adoption of digital technologies for broadcasting, including to provide new services for various environments</w:t>
            </w:r>
          </w:p>
        </w:tc>
        <w:tc>
          <w:tcPr>
            <w:tcW w:w="1258" w:type="dxa"/>
          </w:tcPr>
          <w:p w14:paraId="584B1F9A" w14:textId="77777777" w:rsidR="00501A80" w:rsidRPr="00501A80" w:rsidRDefault="00501A80" w:rsidP="00501A80">
            <w:pPr>
              <w:spacing w:before="60" w:after="60"/>
              <w:jc w:val="center"/>
              <w:rPr>
                <w:sz w:val="22"/>
                <w:szCs w:val="22"/>
              </w:rPr>
            </w:pPr>
            <w:r w:rsidRPr="00501A80">
              <w:rPr>
                <w:sz w:val="22"/>
                <w:szCs w:val="22"/>
              </w:rPr>
              <w:t>ITU-D, SG1</w:t>
            </w:r>
          </w:p>
          <w:p w14:paraId="550841CB" w14:textId="77777777" w:rsidR="00501A80" w:rsidRPr="00501A80" w:rsidRDefault="00501A80" w:rsidP="00501A80">
            <w:pPr>
              <w:jc w:val="center"/>
              <w:rPr>
                <w:sz w:val="22"/>
                <w:szCs w:val="22"/>
                <w:lang w:val="en-US"/>
              </w:rPr>
            </w:pPr>
            <w:r w:rsidRPr="00501A80">
              <w:rPr>
                <w:sz w:val="22"/>
                <w:szCs w:val="22"/>
              </w:rPr>
              <w:t>Q2/1</w:t>
            </w:r>
          </w:p>
        </w:tc>
        <w:tc>
          <w:tcPr>
            <w:tcW w:w="2931" w:type="dxa"/>
          </w:tcPr>
          <w:p w14:paraId="38D0E356" w14:textId="77777777" w:rsidR="00501A80" w:rsidRPr="00501A80" w:rsidRDefault="00501A80" w:rsidP="00501A80">
            <w:pPr>
              <w:jc w:val="center"/>
              <w:rPr>
                <w:sz w:val="22"/>
                <w:szCs w:val="22"/>
                <w:lang w:val="en-US" w:eastAsia="zh-CN"/>
              </w:rPr>
            </w:pPr>
            <w:r w:rsidRPr="00501A80">
              <w:rPr>
                <w:sz w:val="22"/>
                <w:szCs w:val="22"/>
              </w:rPr>
              <w:t>Final Report of Question 2/1 for the ITU-D Study period 2022-2025</w:t>
            </w:r>
          </w:p>
        </w:tc>
        <w:tc>
          <w:tcPr>
            <w:tcW w:w="3600" w:type="dxa"/>
          </w:tcPr>
          <w:p w14:paraId="40AE24DF" w14:textId="77777777" w:rsidR="00501A80" w:rsidRPr="00501A80" w:rsidRDefault="00501A80" w:rsidP="00501A80">
            <w:pPr>
              <w:shd w:val="clear" w:color="auto" w:fill="FFFFFF"/>
              <w:spacing w:before="0"/>
              <w:rPr>
                <w:sz w:val="22"/>
                <w:szCs w:val="22"/>
              </w:rPr>
            </w:pPr>
            <w:r w:rsidRPr="00501A80">
              <w:rPr>
                <w:sz w:val="22"/>
                <w:szCs w:val="22"/>
                <w:bdr w:val="none" w:sz="0" w:space="0" w:color="auto" w:frame="1"/>
                <w:lang w:val="en-US"/>
              </w:rPr>
              <w:t>M</w:t>
            </w:r>
            <w:r w:rsidRPr="00501A80">
              <w:rPr>
                <w:sz w:val="22"/>
                <w:szCs w:val="22"/>
                <w:bdr w:val="none" w:sz="0" w:space="0" w:color="auto" w:frame="1"/>
              </w:rPr>
              <w:t>ain trends related to digital transformation in broadcasting:</w:t>
            </w:r>
          </w:p>
          <w:p w14:paraId="73C9558D" w14:textId="77777777" w:rsidR="00501A80" w:rsidRPr="00501A80" w:rsidRDefault="00501A80" w:rsidP="00501A80">
            <w:pPr>
              <w:shd w:val="clear" w:color="auto" w:fill="FFFFFF"/>
              <w:spacing w:before="0"/>
              <w:rPr>
                <w:sz w:val="22"/>
                <w:szCs w:val="22"/>
              </w:rPr>
            </w:pPr>
          </w:p>
          <w:p w14:paraId="0DE3FA90" w14:textId="77777777" w:rsidR="00501A80" w:rsidRPr="00501A80" w:rsidRDefault="00501A80" w:rsidP="00501A80">
            <w:pPr>
              <w:numPr>
                <w:ilvl w:val="0"/>
                <w:numId w:val="39"/>
              </w:numPr>
              <w:shd w:val="clear" w:color="auto" w:fill="FFFFFF"/>
              <w:tabs>
                <w:tab w:val="num" w:pos="321"/>
              </w:tabs>
              <w:spacing w:before="0"/>
              <w:ind w:left="321" w:hanging="284"/>
              <w:rPr>
                <w:sz w:val="22"/>
                <w:szCs w:val="22"/>
              </w:rPr>
            </w:pPr>
            <w:r w:rsidRPr="00501A80">
              <w:rPr>
                <w:sz w:val="22"/>
                <w:szCs w:val="22"/>
                <w:bdr w:val="none" w:sz="0" w:space="0" w:color="auto" w:frame="1"/>
              </w:rPr>
              <w:t>Changing of competition landscape. - There is a rising competition by new media platforms. The traditional broadcasting industry is challenged by the TV and radio streaming services provided over the open internet. Radio and TV broadcasters face competition from big players such as Apple, Amazon, Spotify, Google, Meta etc.</w:t>
            </w:r>
          </w:p>
          <w:p w14:paraId="7E100EFF" w14:textId="77777777" w:rsidR="00501A80" w:rsidRPr="00501A80" w:rsidRDefault="00501A80" w:rsidP="00501A80">
            <w:pPr>
              <w:numPr>
                <w:ilvl w:val="0"/>
                <w:numId w:val="39"/>
              </w:numPr>
              <w:shd w:val="clear" w:color="auto" w:fill="FFFFFF"/>
              <w:tabs>
                <w:tab w:val="num" w:pos="321"/>
              </w:tabs>
              <w:spacing w:before="0"/>
              <w:ind w:left="321" w:hanging="284"/>
              <w:rPr>
                <w:sz w:val="22"/>
                <w:szCs w:val="22"/>
              </w:rPr>
            </w:pPr>
            <w:r w:rsidRPr="00501A80">
              <w:rPr>
                <w:sz w:val="22"/>
                <w:szCs w:val="22"/>
                <w:bdr w:val="none" w:sz="0" w:space="0" w:color="auto" w:frame="1"/>
              </w:rPr>
              <w:t>Changing of viewing habits. - The consumers nowadays ask for more personalised content, accessible anytime and anywhere. Multi-screening habits, multitasking and demand for a la carte program schedule, have become the reality. This trend is especially growing with the younger viewers.</w:t>
            </w:r>
          </w:p>
          <w:p w14:paraId="491C3EAD" w14:textId="77777777" w:rsidR="00501A80" w:rsidRPr="00501A80" w:rsidRDefault="00501A80" w:rsidP="00501A80">
            <w:pPr>
              <w:numPr>
                <w:ilvl w:val="0"/>
                <w:numId w:val="39"/>
              </w:numPr>
              <w:shd w:val="clear" w:color="auto" w:fill="FFFFFF"/>
              <w:tabs>
                <w:tab w:val="num" w:pos="321"/>
              </w:tabs>
              <w:spacing w:before="0"/>
              <w:ind w:left="321" w:hanging="284"/>
              <w:rPr>
                <w:sz w:val="22"/>
                <w:szCs w:val="22"/>
              </w:rPr>
            </w:pPr>
            <w:r w:rsidRPr="00501A80">
              <w:rPr>
                <w:sz w:val="22"/>
                <w:szCs w:val="22"/>
                <w:bdr w:val="none" w:sz="0" w:space="0" w:color="auto" w:frame="1"/>
              </w:rPr>
              <w:t>Emergence of new technologies.  - The offer of the state-of-the-art devices which provide enriched experience which includes also new feature such as augmented and virtual reality, gaming, interactivity and mobility.</w:t>
            </w:r>
          </w:p>
          <w:p w14:paraId="5B9D5E5E" w14:textId="77777777" w:rsidR="00501A80" w:rsidRPr="00501A80" w:rsidRDefault="00501A80" w:rsidP="00501A80">
            <w:pPr>
              <w:rPr>
                <w:sz w:val="22"/>
                <w:szCs w:val="22"/>
                <w:lang w:val="en-US"/>
              </w:rPr>
            </w:pPr>
            <w:r w:rsidRPr="00501A80">
              <w:rPr>
                <w:sz w:val="22"/>
                <w:szCs w:val="22"/>
                <w:bdr w:val="none" w:sz="0" w:space="0" w:color="auto" w:frame="1"/>
              </w:rPr>
              <w:t xml:space="preserve">Consolidation/convergence of service offers - with the digitalization of </w:t>
            </w:r>
            <w:r w:rsidRPr="00501A80">
              <w:rPr>
                <w:sz w:val="22"/>
                <w:szCs w:val="22"/>
                <w:bdr w:val="none" w:sz="0" w:space="0" w:color="auto" w:frame="1"/>
              </w:rPr>
              <w:lastRenderedPageBreak/>
              <w:t xml:space="preserve">broadcasting and other content distribution platforms, converged service offers, with video at the </w:t>
            </w:r>
            <w:proofErr w:type="spellStart"/>
            <w:r w:rsidRPr="00501A80">
              <w:rPr>
                <w:sz w:val="22"/>
                <w:szCs w:val="22"/>
                <w:bdr w:val="none" w:sz="0" w:space="0" w:color="auto" w:frame="1"/>
              </w:rPr>
              <w:t>center</w:t>
            </w:r>
            <w:proofErr w:type="spellEnd"/>
            <w:r w:rsidRPr="00501A80">
              <w:rPr>
                <w:sz w:val="22"/>
                <w:szCs w:val="22"/>
                <w:bdr w:val="none" w:sz="0" w:space="0" w:color="auto" w:frame="1"/>
              </w:rPr>
              <w:t>, being implemented alongside with new services and applications and using innovative business models.</w:t>
            </w:r>
          </w:p>
        </w:tc>
        <w:tc>
          <w:tcPr>
            <w:tcW w:w="1866" w:type="dxa"/>
          </w:tcPr>
          <w:p w14:paraId="3F3A2F17" w14:textId="77777777" w:rsidR="00501A80" w:rsidRPr="00501A80" w:rsidRDefault="00501A80" w:rsidP="00501A80">
            <w:pPr>
              <w:jc w:val="center"/>
              <w:rPr>
                <w:sz w:val="22"/>
                <w:szCs w:val="22"/>
                <w:lang w:val="en-US"/>
              </w:rPr>
            </w:pPr>
            <w:r w:rsidRPr="00501A80">
              <w:rPr>
                <w:sz w:val="22"/>
                <w:szCs w:val="22"/>
              </w:rPr>
              <w:lastRenderedPageBreak/>
              <w:t>Ongoing</w:t>
            </w:r>
          </w:p>
        </w:tc>
        <w:tc>
          <w:tcPr>
            <w:tcW w:w="2801" w:type="dxa"/>
            <w:gridSpan w:val="2"/>
          </w:tcPr>
          <w:p w14:paraId="362D5142" w14:textId="77777777" w:rsidR="00501A80" w:rsidRPr="00501A80" w:rsidRDefault="00501A80" w:rsidP="00501A80">
            <w:pPr>
              <w:spacing w:before="60" w:after="60"/>
              <w:jc w:val="center"/>
              <w:rPr>
                <w:sz w:val="22"/>
                <w:szCs w:val="22"/>
                <w:lang w:eastAsia="zh-CN"/>
              </w:rPr>
            </w:pPr>
            <w:r w:rsidRPr="00501A80">
              <w:rPr>
                <w:sz w:val="22"/>
                <w:szCs w:val="22"/>
                <w:lang w:eastAsia="zh-CN"/>
              </w:rPr>
              <w:t>Final reports of the previous study period for additional information:</w:t>
            </w:r>
            <w:r w:rsidRPr="00501A80">
              <w:rPr>
                <w:sz w:val="22"/>
                <w:szCs w:val="22"/>
              </w:rPr>
              <w:t xml:space="preserve"> </w:t>
            </w:r>
            <w:hyperlink r:id="rId35" w:history="1">
              <w:r w:rsidRPr="00501A80">
                <w:rPr>
                  <w:color w:val="0000FF"/>
                  <w:sz w:val="22"/>
                  <w:szCs w:val="22"/>
                  <w:u w:val="single"/>
                </w:rPr>
                <w:t>link</w:t>
              </w:r>
            </w:hyperlink>
          </w:p>
          <w:p w14:paraId="03932AE5" w14:textId="77777777" w:rsidR="00501A80" w:rsidRPr="00501A80" w:rsidRDefault="00501A80" w:rsidP="00501A80">
            <w:pPr>
              <w:spacing w:before="60" w:after="60"/>
              <w:jc w:val="center"/>
              <w:rPr>
                <w:sz w:val="22"/>
                <w:szCs w:val="22"/>
              </w:rPr>
            </w:pPr>
            <w:r w:rsidRPr="00501A80">
              <w:rPr>
                <w:sz w:val="22"/>
                <w:szCs w:val="22"/>
                <w:lang w:eastAsia="zh-CN"/>
              </w:rPr>
              <w:t>Annual progress report for Question 2/1</w:t>
            </w:r>
            <w:r w:rsidRPr="00501A80">
              <w:rPr>
                <w:sz w:val="22"/>
                <w:szCs w:val="22"/>
              </w:rPr>
              <w:t>:</w:t>
            </w:r>
          </w:p>
          <w:p w14:paraId="3FE14578" w14:textId="77777777" w:rsidR="00501A80" w:rsidRPr="00501A80" w:rsidRDefault="005C25E3" w:rsidP="00501A80">
            <w:pPr>
              <w:spacing w:before="60" w:after="60"/>
              <w:jc w:val="center"/>
              <w:rPr>
                <w:sz w:val="22"/>
                <w:szCs w:val="22"/>
              </w:rPr>
            </w:pPr>
            <w:hyperlink r:id="rId36" w:history="1">
              <w:r w:rsidR="00501A80" w:rsidRPr="00501A80">
                <w:rPr>
                  <w:color w:val="0000FF"/>
                  <w:sz w:val="22"/>
                  <w:szCs w:val="22"/>
                  <w:u w:val="single"/>
                  <w:lang w:eastAsia="zh-CN"/>
                </w:rPr>
                <w:t>link</w:t>
              </w:r>
            </w:hyperlink>
          </w:p>
          <w:p w14:paraId="4032E1DD" w14:textId="77777777" w:rsidR="00501A80" w:rsidRPr="00501A80" w:rsidRDefault="00501A80" w:rsidP="00501A80">
            <w:pPr>
              <w:spacing w:before="60" w:after="60"/>
              <w:jc w:val="center"/>
              <w:rPr>
                <w:sz w:val="22"/>
                <w:szCs w:val="22"/>
                <w:lang w:eastAsia="zh-CN"/>
              </w:rPr>
            </w:pPr>
            <w:r w:rsidRPr="00501A80">
              <w:rPr>
                <w:sz w:val="22"/>
                <w:szCs w:val="22"/>
                <w:lang w:eastAsia="zh-CN"/>
              </w:rPr>
              <w:t xml:space="preserve">Report of the last meeting with updated workplan: </w:t>
            </w:r>
          </w:p>
          <w:p w14:paraId="7B0FA9E2" w14:textId="77777777" w:rsidR="00501A80" w:rsidRPr="00501A80" w:rsidRDefault="005C25E3" w:rsidP="00501A80">
            <w:pPr>
              <w:jc w:val="center"/>
              <w:rPr>
                <w:sz w:val="22"/>
                <w:szCs w:val="22"/>
              </w:rPr>
            </w:pPr>
            <w:hyperlink r:id="rId37" w:history="1">
              <w:r w:rsidR="00501A80" w:rsidRPr="00501A80">
                <w:rPr>
                  <w:color w:val="0000FF"/>
                  <w:sz w:val="22"/>
                  <w:szCs w:val="22"/>
                  <w:u w:val="single"/>
                </w:rPr>
                <w:t>link</w:t>
              </w:r>
            </w:hyperlink>
          </w:p>
        </w:tc>
      </w:tr>
      <w:tr w:rsidR="00501A80" w:rsidRPr="00501A80" w14:paraId="2A71446C" w14:textId="77777777" w:rsidTr="00BF3648">
        <w:trPr>
          <w:trHeight w:val="2483"/>
        </w:trPr>
        <w:tc>
          <w:tcPr>
            <w:tcW w:w="2106" w:type="dxa"/>
          </w:tcPr>
          <w:p w14:paraId="33805767" w14:textId="77777777" w:rsidR="00501A80" w:rsidRPr="00501A80" w:rsidRDefault="00501A80" w:rsidP="00501A80">
            <w:pPr>
              <w:spacing w:before="60" w:after="60"/>
              <w:jc w:val="center"/>
              <w:rPr>
                <w:sz w:val="22"/>
                <w:szCs w:val="22"/>
              </w:rPr>
            </w:pPr>
            <w:r w:rsidRPr="00501A80">
              <w:rPr>
                <w:sz w:val="22"/>
                <w:szCs w:val="22"/>
              </w:rPr>
              <w:t>Economic aspects of national telecommunications/</w:t>
            </w:r>
          </w:p>
          <w:p w14:paraId="5DA5C6CF" w14:textId="77777777" w:rsidR="00501A80" w:rsidRPr="00501A80" w:rsidRDefault="00501A80" w:rsidP="00501A80">
            <w:pPr>
              <w:jc w:val="center"/>
              <w:rPr>
                <w:sz w:val="22"/>
                <w:szCs w:val="22"/>
                <w:lang w:val="en-US"/>
              </w:rPr>
            </w:pPr>
            <w:r w:rsidRPr="00501A80">
              <w:rPr>
                <w:sz w:val="22"/>
                <w:szCs w:val="22"/>
              </w:rPr>
              <w:t>ICTs</w:t>
            </w:r>
          </w:p>
        </w:tc>
        <w:tc>
          <w:tcPr>
            <w:tcW w:w="1258" w:type="dxa"/>
          </w:tcPr>
          <w:p w14:paraId="3BC8DC79" w14:textId="77777777" w:rsidR="00501A80" w:rsidRPr="00501A80" w:rsidRDefault="00501A80" w:rsidP="00501A80">
            <w:pPr>
              <w:spacing w:before="60" w:after="60"/>
              <w:jc w:val="center"/>
              <w:rPr>
                <w:sz w:val="22"/>
                <w:szCs w:val="22"/>
              </w:rPr>
            </w:pPr>
            <w:r w:rsidRPr="00501A80">
              <w:rPr>
                <w:sz w:val="22"/>
                <w:szCs w:val="22"/>
              </w:rPr>
              <w:t>ITU-D, SG1</w:t>
            </w:r>
          </w:p>
          <w:p w14:paraId="23BEEFAA" w14:textId="77777777" w:rsidR="00501A80" w:rsidRPr="00501A80" w:rsidRDefault="00501A80" w:rsidP="00501A80">
            <w:pPr>
              <w:jc w:val="center"/>
              <w:rPr>
                <w:sz w:val="22"/>
                <w:szCs w:val="22"/>
                <w:lang w:val="en-US"/>
              </w:rPr>
            </w:pPr>
            <w:r w:rsidRPr="00501A80">
              <w:rPr>
                <w:sz w:val="22"/>
                <w:szCs w:val="22"/>
              </w:rPr>
              <w:t>Q4/1</w:t>
            </w:r>
          </w:p>
        </w:tc>
        <w:tc>
          <w:tcPr>
            <w:tcW w:w="2931" w:type="dxa"/>
          </w:tcPr>
          <w:p w14:paraId="6EFD2133" w14:textId="77777777" w:rsidR="00501A80" w:rsidRPr="00501A80" w:rsidRDefault="00501A80" w:rsidP="00501A80">
            <w:pPr>
              <w:jc w:val="center"/>
              <w:rPr>
                <w:sz w:val="22"/>
                <w:szCs w:val="22"/>
                <w:lang w:val="en-US" w:eastAsia="zh-CN"/>
              </w:rPr>
            </w:pPr>
            <w:r w:rsidRPr="00501A80">
              <w:rPr>
                <w:sz w:val="22"/>
                <w:szCs w:val="22"/>
              </w:rPr>
              <w:t>Final Report of Question 4/1 for the ITU-D Study period 2022-2025</w:t>
            </w:r>
          </w:p>
        </w:tc>
        <w:tc>
          <w:tcPr>
            <w:tcW w:w="3600" w:type="dxa"/>
          </w:tcPr>
          <w:p w14:paraId="7FEF9690" w14:textId="77777777" w:rsidR="00501A80" w:rsidRPr="00501A80" w:rsidRDefault="00501A80" w:rsidP="00501A80">
            <w:pPr>
              <w:rPr>
                <w:sz w:val="22"/>
                <w:szCs w:val="22"/>
                <w:lang w:val="en-US"/>
              </w:rPr>
            </w:pPr>
            <w:r w:rsidRPr="00501A80">
              <w:rPr>
                <w:sz w:val="22"/>
                <w:szCs w:val="22"/>
              </w:rPr>
              <w:t>The Report is expected to cover the various topics related to the economic aspects of national telecommunications/ICTs including Economic aspects/implications of digital transformation.</w:t>
            </w:r>
          </w:p>
        </w:tc>
        <w:tc>
          <w:tcPr>
            <w:tcW w:w="1866" w:type="dxa"/>
          </w:tcPr>
          <w:p w14:paraId="25700807" w14:textId="77777777" w:rsidR="00501A80" w:rsidRPr="00501A80" w:rsidRDefault="00501A80" w:rsidP="00501A80">
            <w:pPr>
              <w:jc w:val="center"/>
              <w:rPr>
                <w:sz w:val="22"/>
                <w:szCs w:val="22"/>
                <w:lang w:val="en-US"/>
              </w:rPr>
            </w:pPr>
            <w:r w:rsidRPr="00501A80">
              <w:rPr>
                <w:sz w:val="22"/>
                <w:szCs w:val="22"/>
              </w:rPr>
              <w:t>Ongoing</w:t>
            </w:r>
          </w:p>
        </w:tc>
        <w:tc>
          <w:tcPr>
            <w:tcW w:w="2801" w:type="dxa"/>
            <w:gridSpan w:val="2"/>
          </w:tcPr>
          <w:p w14:paraId="55F0B5CE" w14:textId="77777777" w:rsidR="00501A80" w:rsidRPr="00501A80" w:rsidRDefault="00501A80" w:rsidP="00501A80">
            <w:pPr>
              <w:spacing w:before="60" w:after="60"/>
              <w:jc w:val="center"/>
              <w:rPr>
                <w:sz w:val="22"/>
                <w:szCs w:val="22"/>
                <w:lang w:eastAsia="zh-CN"/>
              </w:rPr>
            </w:pPr>
            <w:r w:rsidRPr="00501A80">
              <w:rPr>
                <w:sz w:val="22"/>
                <w:szCs w:val="22"/>
                <w:lang w:eastAsia="zh-CN"/>
              </w:rPr>
              <w:t>Final reports of the previous study period for additional information:</w:t>
            </w:r>
            <w:r w:rsidRPr="00501A80">
              <w:rPr>
                <w:sz w:val="22"/>
                <w:szCs w:val="22"/>
              </w:rPr>
              <w:t xml:space="preserve"> </w:t>
            </w:r>
            <w:hyperlink r:id="rId38" w:history="1">
              <w:r w:rsidRPr="00501A80">
                <w:rPr>
                  <w:color w:val="0000FF"/>
                  <w:sz w:val="22"/>
                  <w:szCs w:val="22"/>
                  <w:u w:val="single"/>
                  <w:lang w:eastAsia="zh-CN"/>
                </w:rPr>
                <w:t>link</w:t>
              </w:r>
            </w:hyperlink>
          </w:p>
          <w:p w14:paraId="0E7B81B2" w14:textId="77777777" w:rsidR="00501A80" w:rsidRPr="00501A80" w:rsidRDefault="00501A80" w:rsidP="00501A80">
            <w:pPr>
              <w:spacing w:before="60" w:after="60"/>
              <w:jc w:val="center"/>
              <w:rPr>
                <w:sz w:val="22"/>
                <w:szCs w:val="22"/>
                <w:lang w:eastAsia="zh-CN"/>
              </w:rPr>
            </w:pPr>
            <w:r w:rsidRPr="00501A80">
              <w:rPr>
                <w:sz w:val="22"/>
                <w:szCs w:val="22"/>
                <w:lang w:eastAsia="zh-CN"/>
              </w:rPr>
              <w:t xml:space="preserve">Annual progress report for Question 4/1 and updated workplan: </w:t>
            </w:r>
          </w:p>
          <w:p w14:paraId="332B45AF" w14:textId="77777777" w:rsidR="00501A80" w:rsidRPr="00501A80" w:rsidRDefault="00501A80" w:rsidP="00501A80">
            <w:pPr>
              <w:spacing w:before="60" w:after="60"/>
              <w:jc w:val="center"/>
              <w:rPr>
                <w:color w:val="0000FF"/>
                <w:sz w:val="22"/>
                <w:szCs w:val="22"/>
                <w:u w:val="single"/>
                <w:lang w:eastAsia="zh-CN"/>
              </w:rPr>
            </w:pPr>
            <w:r w:rsidRPr="00501A80">
              <w:rPr>
                <w:sz w:val="22"/>
                <w:szCs w:val="22"/>
                <w:lang w:eastAsia="zh-CN"/>
              </w:rPr>
              <w:fldChar w:fldCharType="begin"/>
            </w:r>
            <w:r w:rsidRPr="00501A80">
              <w:rPr>
                <w:sz w:val="22"/>
                <w:szCs w:val="22"/>
                <w:lang w:eastAsia="zh-CN"/>
              </w:rPr>
              <w:instrText>HYPERLINK "https://www.itu.int/md/D22-SG01-C-0162/en"</w:instrText>
            </w:r>
            <w:r w:rsidRPr="00501A80">
              <w:rPr>
                <w:sz w:val="22"/>
                <w:szCs w:val="22"/>
                <w:lang w:eastAsia="zh-CN"/>
              </w:rPr>
            </w:r>
            <w:r w:rsidRPr="00501A80">
              <w:rPr>
                <w:sz w:val="22"/>
                <w:szCs w:val="22"/>
                <w:lang w:eastAsia="zh-CN"/>
              </w:rPr>
              <w:fldChar w:fldCharType="separate"/>
            </w:r>
            <w:r w:rsidRPr="00501A80">
              <w:rPr>
                <w:color w:val="0000FF"/>
                <w:sz w:val="22"/>
                <w:szCs w:val="22"/>
                <w:u w:val="single"/>
                <w:lang w:eastAsia="zh-CN"/>
              </w:rPr>
              <w:t>link</w:t>
            </w:r>
          </w:p>
          <w:p w14:paraId="1E1D1102" w14:textId="77777777" w:rsidR="00501A80" w:rsidRPr="00501A80" w:rsidRDefault="00501A80" w:rsidP="00501A80">
            <w:pPr>
              <w:spacing w:before="60" w:after="60"/>
              <w:jc w:val="center"/>
              <w:rPr>
                <w:sz w:val="22"/>
                <w:szCs w:val="22"/>
                <w:lang w:eastAsia="zh-CN"/>
              </w:rPr>
            </w:pPr>
            <w:r w:rsidRPr="00501A80">
              <w:rPr>
                <w:sz w:val="22"/>
                <w:szCs w:val="22"/>
                <w:lang w:eastAsia="zh-CN"/>
              </w:rPr>
              <w:fldChar w:fldCharType="end"/>
            </w:r>
            <w:r w:rsidRPr="00501A80">
              <w:rPr>
                <w:sz w:val="22"/>
                <w:szCs w:val="22"/>
                <w:lang w:eastAsia="zh-CN"/>
              </w:rPr>
              <w:t xml:space="preserve">Report of the last meeting with updated workplan: </w:t>
            </w:r>
          </w:p>
          <w:p w14:paraId="5C2249AC" w14:textId="77777777" w:rsidR="00501A80" w:rsidRPr="00501A80" w:rsidRDefault="005C25E3" w:rsidP="00501A80">
            <w:pPr>
              <w:jc w:val="center"/>
              <w:rPr>
                <w:sz w:val="22"/>
                <w:szCs w:val="22"/>
              </w:rPr>
            </w:pPr>
            <w:hyperlink r:id="rId39" w:history="1">
              <w:r w:rsidR="00501A80" w:rsidRPr="00501A80">
                <w:rPr>
                  <w:color w:val="0000FF"/>
                  <w:sz w:val="22"/>
                  <w:szCs w:val="22"/>
                  <w:u w:val="single"/>
                </w:rPr>
                <w:t>link</w:t>
              </w:r>
            </w:hyperlink>
          </w:p>
        </w:tc>
      </w:tr>
      <w:tr w:rsidR="00501A80" w:rsidRPr="00501A80" w14:paraId="65F27D81" w14:textId="77777777" w:rsidTr="00BF3648">
        <w:trPr>
          <w:trHeight w:val="620"/>
        </w:trPr>
        <w:tc>
          <w:tcPr>
            <w:tcW w:w="2106" w:type="dxa"/>
          </w:tcPr>
          <w:p w14:paraId="565A9D27" w14:textId="77777777" w:rsidR="00501A80" w:rsidRPr="00501A80" w:rsidRDefault="00501A80" w:rsidP="00501A80">
            <w:pPr>
              <w:jc w:val="center"/>
              <w:rPr>
                <w:sz w:val="22"/>
                <w:szCs w:val="22"/>
                <w:lang w:val="en-US"/>
              </w:rPr>
            </w:pPr>
            <w:r w:rsidRPr="00501A80">
              <w:rPr>
                <w:sz w:val="22"/>
                <w:szCs w:val="22"/>
                <w:lang w:val="en-US" w:eastAsia="zh-CN"/>
              </w:rPr>
              <w:t>Data center</w:t>
            </w:r>
          </w:p>
        </w:tc>
        <w:tc>
          <w:tcPr>
            <w:tcW w:w="1258" w:type="dxa"/>
          </w:tcPr>
          <w:p w14:paraId="6D4BCAAA" w14:textId="77777777" w:rsidR="00501A80" w:rsidRPr="00501A80" w:rsidRDefault="00501A80" w:rsidP="00501A80">
            <w:pPr>
              <w:jc w:val="center"/>
              <w:rPr>
                <w:sz w:val="22"/>
                <w:szCs w:val="22"/>
                <w:lang w:val="en-US"/>
              </w:rPr>
            </w:pPr>
            <w:r w:rsidRPr="00501A80">
              <w:rPr>
                <w:sz w:val="22"/>
                <w:szCs w:val="22"/>
                <w:lang w:val="en-US" w:eastAsia="zh-CN"/>
              </w:rPr>
              <w:t>ITU-T SG11</w:t>
            </w:r>
          </w:p>
        </w:tc>
        <w:tc>
          <w:tcPr>
            <w:tcW w:w="2931" w:type="dxa"/>
          </w:tcPr>
          <w:p w14:paraId="0FAAD25F" w14:textId="77777777" w:rsidR="00501A80" w:rsidRPr="00501A80" w:rsidRDefault="00501A80" w:rsidP="00501A80">
            <w:pPr>
              <w:jc w:val="center"/>
              <w:rPr>
                <w:sz w:val="22"/>
                <w:szCs w:val="22"/>
                <w:lang w:val="en-US" w:eastAsia="zh-CN"/>
              </w:rPr>
            </w:pPr>
            <w:r w:rsidRPr="00501A80">
              <w:rPr>
                <w:sz w:val="22"/>
                <w:szCs w:val="22"/>
                <w:lang w:val="en-US" w:eastAsia="zh-CN"/>
              </w:rPr>
              <w:t xml:space="preserve">Testing requirements and procedures for Internet of Things based green data </w:t>
            </w:r>
            <w:proofErr w:type="spellStart"/>
            <w:r w:rsidRPr="00501A80">
              <w:rPr>
                <w:sz w:val="22"/>
                <w:szCs w:val="22"/>
                <w:lang w:val="en-US" w:eastAsia="zh-CN"/>
              </w:rPr>
              <w:t>centres</w:t>
            </w:r>
            <w:proofErr w:type="spellEnd"/>
            <w:r w:rsidRPr="00501A80">
              <w:rPr>
                <w:sz w:val="22"/>
                <w:szCs w:val="22"/>
                <w:lang w:val="en-US" w:eastAsia="zh-CN"/>
              </w:rPr>
              <w:t xml:space="preserve"> (ITU-T Q.4069)</w:t>
            </w:r>
          </w:p>
        </w:tc>
        <w:tc>
          <w:tcPr>
            <w:tcW w:w="3600" w:type="dxa"/>
          </w:tcPr>
          <w:p w14:paraId="27554EAB" w14:textId="77777777" w:rsidR="00501A80" w:rsidRPr="00501A80" w:rsidRDefault="00501A80" w:rsidP="00501A80">
            <w:pPr>
              <w:rPr>
                <w:sz w:val="22"/>
                <w:szCs w:val="22"/>
                <w:lang w:val="en-US"/>
              </w:rPr>
            </w:pPr>
            <w:r w:rsidRPr="00501A80">
              <w:rPr>
                <w:sz w:val="22"/>
                <w:szCs w:val="22"/>
                <w:lang w:val="en-US" w:eastAsia="zh-CN"/>
              </w:rPr>
              <w:t xml:space="preserve">This Recommendation describes green data </w:t>
            </w:r>
            <w:proofErr w:type="spellStart"/>
            <w:r w:rsidRPr="00501A80">
              <w:rPr>
                <w:sz w:val="22"/>
                <w:szCs w:val="22"/>
                <w:lang w:val="en-US" w:eastAsia="zh-CN"/>
              </w:rPr>
              <w:t>centres</w:t>
            </w:r>
            <w:proofErr w:type="spellEnd"/>
            <w:r w:rsidRPr="00501A80">
              <w:rPr>
                <w:sz w:val="22"/>
                <w:szCs w:val="22"/>
                <w:lang w:val="en-US" w:eastAsia="zh-CN"/>
              </w:rPr>
              <w:t xml:space="preserve"> (GDCs) based on the Internet of things (IoT), which includes multiple IoT devices, monitoring systems and the energy management platform, to save energy. This Recommendation specifies testing requirements for: interoperability; functions; and self-optimization, as well as the related </w:t>
            </w:r>
            <w:r w:rsidRPr="00501A80">
              <w:rPr>
                <w:sz w:val="22"/>
                <w:szCs w:val="22"/>
                <w:lang w:val="en-US" w:eastAsia="zh-CN"/>
              </w:rPr>
              <w:lastRenderedPageBreak/>
              <w:t>testing procedures for IoT-based GDCs</w:t>
            </w:r>
          </w:p>
        </w:tc>
        <w:tc>
          <w:tcPr>
            <w:tcW w:w="1866" w:type="dxa"/>
          </w:tcPr>
          <w:p w14:paraId="0EB7CCE4" w14:textId="77777777" w:rsidR="00501A80" w:rsidRPr="00501A80" w:rsidRDefault="00501A80" w:rsidP="00501A80">
            <w:pPr>
              <w:jc w:val="center"/>
              <w:rPr>
                <w:sz w:val="22"/>
                <w:szCs w:val="22"/>
                <w:lang w:val="en-US"/>
              </w:rPr>
            </w:pPr>
            <w:r w:rsidRPr="00501A80">
              <w:rPr>
                <w:sz w:val="22"/>
                <w:szCs w:val="22"/>
                <w:lang w:val="en-US" w:eastAsia="zh-CN"/>
              </w:rPr>
              <w:lastRenderedPageBreak/>
              <w:t>In force</w:t>
            </w:r>
          </w:p>
        </w:tc>
        <w:tc>
          <w:tcPr>
            <w:tcW w:w="2801" w:type="dxa"/>
            <w:gridSpan w:val="2"/>
          </w:tcPr>
          <w:p w14:paraId="3C3C0758" w14:textId="77777777" w:rsidR="00501A80" w:rsidRPr="00501A80" w:rsidRDefault="005C25E3" w:rsidP="00501A80">
            <w:pPr>
              <w:jc w:val="center"/>
              <w:rPr>
                <w:sz w:val="22"/>
                <w:szCs w:val="22"/>
              </w:rPr>
            </w:pPr>
            <w:hyperlink r:id="rId40" w:history="1">
              <w:r w:rsidR="00501A80" w:rsidRPr="00501A80">
                <w:rPr>
                  <w:color w:val="0000FF"/>
                  <w:sz w:val="22"/>
                  <w:szCs w:val="22"/>
                  <w:u w:val="single"/>
                  <w:lang w:val="en-US" w:eastAsia="zh-CN"/>
                </w:rPr>
                <w:t>https://www.itu.int/ITU-T/recommendations/rec.aspx?rec=15046</w:t>
              </w:r>
            </w:hyperlink>
          </w:p>
        </w:tc>
      </w:tr>
      <w:tr w:rsidR="00501A80" w:rsidRPr="00501A80" w14:paraId="6D44D78E" w14:textId="77777777" w:rsidTr="00BF3648">
        <w:trPr>
          <w:trHeight w:val="2483"/>
        </w:trPr>
        <w:tc>
          <w:tcPr>
            <w:tcW w:w="2106" w:type="dxa"/>
          </w:tcPr>
          <w:p w14:paraId="22C5A318" w14:textId="77777777" w:rsidR="00501A80" w:rsidRPr="00501A80" w:rsidRDefault="00501A80" w:rsidP="00501A80">
            <w:pPr>
              <w:jc w:val="center"/>
              <w:rPr>
                <w:sz w:val="22"/>
                <w:szCs w:val="22"/>
                <w:lang w:val="en-US"/>
              </w:rPr>
            </w:pPr>
            <w:r w:rsidRPr="00501A80">
              <w:rPr>
                <w:sz w:val="22"/>
                <w:szCs w:val="22"/>
                <w:lang w:val="en-US"/>
              </w:rPr>
              <w:t>Agriculture</w:t>
            </w:r>
          </w:p>
        </w:tc>
        <w:tc>
          <w:tcPr>
            <w:tcW w:w="1258" w:type="dxa"/>
          </w:tcPr>
          <w:p w14:paraId="130E9268" w14:textId="77777777" w:rsidR="00501A80" w:rsidRPr="00501A80" w:rsidRDefault="00501A80" w:rsidP="00501A80">
            <w:pPr>
              <w:jc w:val="center"/>
              <w:rPr>
                <w:sz w:val="22"/>
                <w:szCs w:val="22"/>
                <w:lang w:val="en-US"/>
              </w:rPr>
            </w:pPr>
            <w:r w:rsidRPr="00501A80">
              <w:rPr>
                <w:sz w:val="22"/>
                <w:szCs w:val="22"/>
                <w:lang w:val="en-US"/>
              </w:rPr>
              <w:t>ITU-T SG11</w:t>
            </w:r>
          </w:p>
        </w:tc>
        <w:tc>
          <w:tcPr>
            <w:tcW w:w="2931" w:type="dxa"/>
          </w:tcPr>
          <w:p w14:paraId="31136C96" w14:textId="77777777" w:rsidR="00501A80" w:rsidRPr="00501A80" w:rsidRDefault="00501A80" w:rsidP="00501A80">
            <w:pPr>
              <w:jc w:val="center"/>
              <w:rPr>
                <w:sz w:val="22"/>
                <w:szCs w:val="22"/>
                <w:lang w:val="en-US" w:eastAsia="zh-CN"/>
              </w:rPr>
            </w:pPr>
            <w:r w:rsidRPr="00501A80">
              <w:rPr>
                <w:sz w:val="22"/>
                <w:szCs w:val="22"/>
                <w:lang w:val="en-US" w:eastAsia="zh-CN"/>
              </w:rPr>
              <w:t>Data management interfaces for intelligent edge computing-based smart agriculture service (ITU-T Q.5028)</w:t>
            </w:r>
          </w:p>
        </w:tc>
        <w:tc>
          <w:tcPr>
            <w:tcW w:w="3600" w:type="dxa"/>
          </w:tcPr>
          <w:p w14:paraId="513970EF" w14:textId="77777777" w:rsidR="00501A80" w:rsidRPr="00501A80" w:rsidRDefault="00501A80" w:rsidP="00501A80">
            <w:pPr>
              <w:rPr>
                <w:sz w:val="22"/>
                <w:szCs w:val="22"/>
                <w:lang w:val="en-US"/>
              </w:rPr>
            </w:pPr>
            <w:r w:rsidRPr="00501A80">
              <w:rPr>
                <w:sz w:val="22"/>
                <w:szCs w:val="22"/>
                <w:lang w:val="en-US"/>
              </w:rPr>
              <w:t xml:space="preserve">As data and artificial intelligence (AI) technologies have emerged, smart agriculture can be aided by edge-cloud platform service which provides low delay service from edge server and powerful performance service from cloud server. As an edge cloud infrastructure realizing the edge cloud-aided smart agriculture system, intelligent edge computing (IEC) is a well-defined foundation. Among the reference points defined for IEC, reference points between terminal entity (TE) and edge networking entity (ENE) can be used for the interaction between agricultural entities, such as sensors and actuators used for smart agriculture, and an edge server. By use of the reference points, agricultural entities can report the crop-growth related data including configuration and measurement data to an edge server. Then the edge server can analyze and generate the optimal operation model for the smart greenhouse and the optimal growth model for crops on the basis of the analysis result. For deep analysis requiring high computation power, the analysis and generation can be performed by the cloud. The edge </w:t>
            </w:r>
            <w:r w:rsidRPr="00501A80">
              <w:rPr>
                <w:sz w:val="22"/>
                <w:szCs w:val="22"/>
                <w:lang w:val="en-US"/>
              </w:rPr>
              <w:lastRenderedPageBreak/>
              <w:t xml:space="preserve">server, then, sends the generated optimal models to terminal entities. To support the above operations, a method to interact on the defined reference points. Rec. ITU-T Q.5001 defines </w:t>
            </w:r>
            <w:proofErr w:type="spellStart"/>
            <w:r w:rsidRPr="00501A80">
              <w:rPr>
                <w:sz w:val="22"/>
                <w:szCs w:val="22"/>
                <w:lang w:val="en-US"/>
              </w:rPr>
              <w:t>signalling</w:t>
            </w:r>
            <w:proofErr w:type="spellEnd"/>
            <w:r w:rsidRPr="00501A80">
              <w:rPr>
                <w:sz w:val="22"/>
                <w:szCs w:val="22"/>
                <w:lang w:val="en-US"/>
              </w:rPr>
              <w:t xml:space="preserve"> messages for network functions and intelligent data processing. However, in addition to the defined </w:t>
            </w:r>
            <w:proofErr w:type="spellStart"/>
            <w:r w:rsidRPr="00501A80">
              <w:rPr>
                <w:sz w:val="22"/>
                <w:szCs w:val="22"/>
                <w:lang w:val="en-US"/>
              </w:rPr>
              <w:t>signalling</w:t>
            </w:r>
            <w:proofErr w:type="spellEnd"/>
            <w:r w:rsidRPr="00501A80">
              <w:rPr>
                <w:sz w:val="22"/>
                <w:szCs w:val="22"/>
                <w:lang w:val="en-US"/>
              </w:rPr>
              <w:t xml:space="preserve"> messages, it is needed to support an API such as Web API in order to accommodate legacy devices which only support Web-based communications. In addition, service-specific API will be helpful to support service-specific functions.</w:t>
            </w:r>
          </w:p>
          <w:p w14:paraId="23AE74BE" w14:textId="77777777" w:rsidR="00501A80" w:rsidRPr="00501A80" w:rsidRDefault="00501A80" w:rsidP="00501A80">
            <w:pPr>
              <w:rPr>
                <w:sz w:val="22"/>
                <w:szCs w:val="22"/>
                <w:lang w:val="en-US"/>
              </w:rPr>
            </w:pPr>
            <w:r w:rsidRPr="00501A80">
              <w:rPr>
                <w:sz w:val="22"/>
                <w:szCs w:val="22"/>
                <w:lang w:val="en-US"/>
              </w:rPr>
              <w:t>This draft Recommendation defines data management interfaces for intelligent edge computing-based smart agriculture service.</w:t>
            </w:r>
          </w:p>
        </w:tc>
        <w:tc>
          <w:tcPr>
            <w:tcW w:w="1866" w:type="dxa"/>
          </w:tcPr>
          <w:p w14:paraId="76C1506C" w14:textId="77777777" w:rsidR="00501A80" w:rsidRPr="00501A80" w:rsidRDefault="00501A80" w:rsidP="00501A80">
            <w:pPr>
              <w:jc w:val="center"/>
              <w:rPr>
                <w:sz w:val="22"/>
                <w:szCs w:val="22"/>
                <w:lang w:val="en-US"/>
              </w:rPr>
            </w:pPr>
            <w:r w:rsidRPr="00501A80">
              <w:rPr>
                <w:sz w:val="22"/>
                <w:szCs w:val="22"/>
                <w:lang w:val="en-US"/>
              </w:rPr>
              <w:lastRenderedPageBreak/>
              <w:t>Consented</w:t>
            </w:r>
          </w:p>
        </w:tc>
        <w:tc>
          <w:tcPr>
            <w:tcW w:w="2801" w:type="dxa"/>
            <w:gridSpan w:val="2"/>
          </w:tcPr>
          <w:p w14:paraId="7137304C" w14:textId="77777777" w:rsidR="00501A80" w:rsidRPr="00501A80" w:rsidRDefault="005C25E3" w:rsidP="00501A80">
            <w:pPr>
              <w:jc w:val="center"/>
              <w:rPr>
                <w:sz w:val="22"/>
                <w:szCs w:val="22"/>
              </w:rPr>
            </w:pPr>
            <w:hyperlink r:id="rId41" w:history="1">
              <w:r w:rsidR="00501A80" w:rsidRPr="00501A80">
                <w:rPr>
                  <w:color w:val="0000FF"/>
                  <w:sz w:val="22"/>
                  <w:szCs w:val="22"/>
                  <w:u w:val="single"/>
                  <w:lang w:val="en-US"/>
                </w:rPr>
                <w:t>https://www.itu.int/ITU-T/workprog/wp_item.aspx?isn=18481</w:t>
              </w:r>
            </w:hyperlink>
          </w:p>
        </w:tc>
      </w:tr>
      <w:tr w:rsidR="00501A80" w:rsidRPr="00501A80" w14:paraId="14A4C935" w14:textId="77777777" w:rsidTr="00BF3648">
        <w:trPr>
          <w:trHeight w:val="2483"/>
        </w:trPr>
        <w:tc>
          <w:tcPr>
            <w:tcW w:w="2106" w:type="dxa"/>
          </w:tcPr>
          <w:p w14:paraId="050E5DD9" w14:textId="77777777" w:rsidR="00501A80" w:rsidRPr="00501A80" w:rsidRDefault="00501A80" w:rsidP="00501A80">
            <w:pPr>
              <w:jc w:val="center"/>
              <w:rPr>
                <w:sz w:val="22"/>
                <w:szCs w:val="22"/>
                <w:lang w:val="en-US"/>
              </w:rPr>
            </w:pPr>
            <w:r w:rsidRPr="00501A80">
              <w:rPr>
                <w:sz w:val="22"/>
                <w:szCs w:val="22"/>
                <w:lang w:val="en-US" w:eastAsia="zh-CN"/>
              </w:rPr>
              <w:t>Edge computing</w:t>
            </w:r>
          </w:p>
        </w:tc>
        <w:tc>
          <w:tcPr>
            <w:tcW w:w="1258" w:type="dxa"/>
          </w:tcPr>
          <w:p w14:paraId="1332F9AB" w14:textId="77777777" w:rsidR="00501A80" w:rsidRPr="00501A80" w:rsidRDefault="00501A80" w:rsidP="00501A80">
            <w:pPr>
              <w:jc w:val="center"/>
              <w:rPr>
                <w:sz w:val="22"/>
                <w:szCs w:val="22"/>
                <w:lang w:val="en-US"/>
              </w:rPr>
            </w:pPr>
            <w:r w:rsidRPr="00501A80">
              <w:rPr>
                <w:sz w:val="22"/>
                <w:szCs w:val="22"/>
                <w:lang w:val="en-US"/>
              </w:rPr>
              <w:t>ITU-T SG11</w:t>
            </w:r>
          </w:p>
        </w:tc>
        <w:tc>
          <w:tcPr>
            <w:tcW w:w="2931" w:type="dxa"/>
          </w:tcPr>
          <w:p w14:paraId="25A0D290" w14:textId="77777777" w:rsidR="00501A80" w:rsidRPr="00501A80" w:rsidRDefault="00501A80" w:rsidP="00501A80">
            <w:pPr>
              <w:jc w:val="center"/>
              <w:rPr>
                <w:sz w:val="22"/>
                <w:szCs w:val="22"/>
                <w:lang w:val="en-US" w:eastAsia="zh-CN"/>
              </w:rPr>
            </w:pPr>
            <w:r w:rsidRPr="00501A80">
              <w:rPr>
                <w:sz w:val="22"/>
                <w:szCs w:val="22"/>
                <w:lang w:val="en-US" w:eastAsia="zh-CN"/>
              </w:rPr>
              <w:t>Signalling architecture for microservices based intelligent edge computing (Q.5007)</w:t>
            </w:r>
          </w:p>
        </w:tc>
        <w:tc>
          <w:tcPr>
            <w:tcW w:w="3600" w:type="dxa"/>
          </w:tcPr>
          <w:p w14:paraId="25BAB60E" w14:textId="77777777" w:rsidR="00501A80" w:rsidRPr="00501A80" w:rsidRDefault="00501A80" w:rsidP="00501A80">
            <w:pPr>
              <w:rPr>
                <w:sz w:val="22"/>
                <w:szCs w:val="22"/>
                <w:lang w:val="en-US"/>
              </w:rPr>
            </w:pPr>
            <w:r w:rsidRPr="00501A80">
              <w:rPr>
                <w:sz w:val="22"/>
                <w:szCs w:val="22"/>
                <w:lang w:val="en-US"/>
              </w:rPr>
              <w:t xml:space="preserve">For development of the IEC architecture, there are couple of software-oriented architectural ways to build flexible protocol architecture achieved by deploying and operating the architecture, for instance, </w:t>
            </w:r>
            <w:proofErr w:type="gramStart"/>
            <w:r w:rsidRPr="00501A80">
              <w:rPr>
                <w:sz w:val="22"/>
                <w:szCs w:val="22"/>
                <w:lang w:val="en-US"/>
              </w:rPr>
              <w:t>an</w:t>
            </w:r>
            <w:proofErr w:type="gramEnd"/>
            <w:r w:rsidRPr="00501A80">
              <w:rPr>
                <w:sz w:val="22"/>
                <w:szCs w:val="22"/>
                <w:lang w:val="en-US"/>
              </w:rPr>
              <w:t xml:space="preserve"> unified software oriented architecture, which is composing logically modular functions to tightly coupled way as a monolithic architecture and microservice architecture which is loosely composing logically or </w:t>
            </w:r>
            <w:r w:rsidRPr="00501A80">
              <w:rPr>
                <w:sz w:val="22"/>
                <w:szCs w:val="22"/>
                <w:lang w:val="en-US"/>
              </w:rPr>
              <w:lastRenderedPageBreak/>
              <w:t>physically separated own processing functions as microservices.</w:t>
            </w:r>
          </w:p>
          <w:p w14:paraId="06E70577" w14:textId="77777777" w:rsidR="00501A80" w:rsidRPr="00501A80" w:rsidRDefault="00501A80" w:rsidP="00501A80">
            <w:pPr>
              <w:rPr>
                <w:sz w:val="22"/>
                <w:szCs w:val="22"/>
                <w:lang w:val="en-US"/>
              </w:rPr>
            </w:pPr>
            <w:r w:rsidRPr="00501A80">
              <w:rPr>
                <w:sz w:val="22"/>
                <w:szCs w:val="22"/>
                <w:lang w:val="en-US"/>
              </w:rPr>
              <w:t xml:space="preserve">Because IEC has developed on different hardware specifications and various functionalities that each business wants, it is standardized based on microservices and used as a reference standard for implementation. As a result of microservices based IEC architecture, it can be continuously developed and operated by updating microservices. This Recommendation specifies </w:t>
            </w:r>
            <w:proofErr w:type="spellStart"/>
            <w:r w:rsidRPr="00501A80">
              <w:rPr>
                <w:sz w:val="22"/>
                <w:szCs w:val="22"/>
                <w:lang w:val="en-US"/>
              </w:rPr>
              <w:t>signalling</w:t>
            </w:r>
            <w:proofErr w:type="spellEnd"/>
            <w:r w:rsidRPr="00501A80">
              <w:rPr>
                <w:sz w:val="22"/>
                <w:szCs w:val="22"/>
                <w:lang w:val="en-US"/>
              </w:rPr>
              <w:t xml:space="preserve"> architecture, protocol interfaces and protocol procedures for microservices based intelligent edge computing.</w:t>
            </w:r>
          </w:p>
        </w:tc>
        <w:tc>
          <w:tcPr>
            <w:tcW w:w="1866" w:type="dxa"/>
          </w:tcPr>
          <w:p w14:paraId="67C9598E" w14:textId="77777777" w:rsidR="00501A80" w:rsidRPr="00501A80" w:rsidRDefault="00501A80" w:rsidP="00501A80">
            <w:pPr>
              <w:jc w:val="center"/>
              <w:rPr>
                <w:sz w:val="22"/>
                <w:szCs w:val="22"/>
                <w:lang w:val="en-US"/>
              </w:rPr>
            </w:pPr>
            <w:r w:rsidRPr="00501A80">
              <w:rPr>
                <w:sz w:val="22"/>
                <w:szCs w:val="22"/>
                <w:lang w:val="en-US"/>
              </w:rPr>
              <w:lastRenderedPageBreak/>
              <w:t>Consented</w:t>
            </w:r>
          </w:p>
        </w:tc>
        <w:tc>
          <w:tcPr>
            <w:tcW w:w="2801" w:type="dxa"/>
            <w:gridSpan w:val="2"/>
          </w:tcPr>
          <w:p w14:paraId="327D86B0" w14:textId="77777777" w:rsidR="00501A80" w:rsidRPr="00501A80" w:rsidRDefault="005C25E3" w:rsidP="00501A80">
            <w:pPr>
              <w:jc w:val="center"/>
              <w:rPr>
                <w:sz w:val="22"/>
                <w:szCs w:val="22"/>
              </w:rPr>
            </w:pPr>
            <w:hyperlink r:id="rId42" w:history="1">
              <w:r w:rsidR="00501A80" w:rsidRPr="00501A80">
                <w:rPr>
                  <w:color w:val="0000FF"/>
                  <w:sz w:val="22"/>
                  <w:szCs w:val="22"/>
                  <w:u w:val="single"/>
                  <w:lang w:val="en-US"/>
                </w:rPr>
                <w:t>https://www.itu.int/ITU-T/workprog/wp_item.aspx?isn=18481</w:t>
              </w:r>
            </w:hyperlink>
          </w:p>
        </w:tc>
      </w:tr>
      <w:tr w:rsidR="00501A80" w:rsidRPr="00501A80" w14:paraId="66713310" w14:textId="77777777" w:rsidTr="00BF3648">
        <w:trPr>
          <w:trHeight w:val="710"/>
        </w:trPr>
        <w:tc>
          <w:tcPr>
            <w:tcW w:w="2106" w:type="dxa"/>
          </w:tcPr>
          <w:p w14:paraId="10C7C3BC" w14:textId="77777777" w:rsidR="00501A80" w:rsidRPr="00501A80" w:rsidRDefault="00501A80" w:rsidP="00501A80">
            <w:pPr>
              <w:jc w:val="center"/>
              <w:rPr>
                <w:sz w:val="22"/>
                <w:szCs w:val="22"/>
                <w:lang w:val="en-US"/>
              </w:rPr>
            </w:pPr>
            <w:r w:rsidRPr="00501A80">
              <w:rPr>
                <w:sz w:val="22"/>
                <w:szCs w:val="22"/>
                <w:lang w:val="en-US" w:eastAsia="zh-CN"/>
              </w:rPr>
              <w:t>Aquaculture</w:t>
            </w:r>
          </w:p>
        </w:tc>
        <w:tc>
          <w:tcPr>
            <w:tcW w:w="1258" w:type="dxa"/>
          </w:tcPr>
          <w:p w14:paraId="5AACAFBA" w14:textId="77777777" w:rsidR="00501A80" w:rsidRPr="00501A80" w:rsidRDefault="00501A80" w:rsidP="00501A80">
            <w:pPr>
              <w:jc w:val="center"/>
              <w:rPr>
                <w:sz w:val="22"/>
                <w:szCs w:val="22"/>
                <w:lang w:val="en-US"/>
              </w:rPr>
            </w:pPr>
            <w:r w:rsidRPr="00501A80">
              <w:rPr>
                <w:sz w:val="22"/>
                <w:szCs w:val="22"/>
                <w:lang w:val="en-US"/>
              </w:rPr>
              <w:t>ITU-T SG11</w:t>
            </w:r>
          </w:p>
        </w:tc>
        <w:tc>
          <w:tcPr>
            <w:tcW w:w="2931" w:type="dxa"/>
          </w:tcPr>
          <w:p w14:paraId="2DDE67C2" w14:textId="77777777" w:rsidR="00501A80" w:rsidRPr="00501A80" w:rsidRDefault="00501A80" w:rsidP="00501A80">
            <w:pPr>
              <w:jc w:val="center"/>
              <w:rPr>
                <w:sz w:val="22"/>
                <w:szCs w:val="22"/>
                <w:lang w:val="en-US" w:eastAsia="zh-CN"/>
              </w:rPr>
            </w:pPr>
            <w:r w:rsidRPr="00501A80">
              <w:rPr>
                <w:sz w:val="22"/>
                <w:szCs w:val="22"/>
                <w:lang w:val="en-US" w:eastAsia="zh-CN"/>
              </w:rPr>
              <w:t>Data management interfaces for intelligent edge computing-based flowing-water smart aquaculture system (Q.IEC-FWINF)</w:t>
            </w:r>
          </w:p>
        </w:tc>
        <w:tc>
          <w:tcPr>
            <w:tcW w:w="3600" w:type="dxa"/>
          </w:tcPr>
          <w:p w14:paraId="483F5A9D" w14:textId="77777777" w:rsidR="00501A80" w:rsidRPr="00501A80" w:rsidRDefault="00501A80" w:rsidP="00501A80">
            <w:pPr>
              <w:rPr>
                <w:sz w:val="22"/>
                <w:szCs w:val="22"/>
                <w:lang w:val="en-US"/>
              </w:rPr>
            </w:pPr>
            <w:r w:rsidRPr="00501A80">
              <w:rPr>
                <w:sz w:val="22"/>
                <w:szCs w:val="22"/>
                <w:lang w:val="en-US"/>
              </w:rPr>
              <w:t xml:space="preserve">The smart aquaculture system aims to increase the productivity of aquaculture and promote eco-friendly aquaculture technology by applying IoT, ICT, big data, and AI technologies to traditional aquaculture systems. With the emergence of big data, AI, and cloud technologies, intelligent edge cloud platform services provide powerful performance and resources for managing and analyzing vast amounts of data, enabling support for smart aquaculture technology. The intelligent edge cloud-supported flowing-water smart aquaculture </w:t>
            </w:r>
            <w:r w:rsidRPr="00501A80">
              <w:rPr>
                <w:sz w:val="22"/>
                <w:szCs w:val="22"/>
                <w:lang w:val="en-US"/>
              </w:rPr>
              <w:lastRenderedPageBreak/>
              <w:t>system can be realized using the Rec. ITU-T Q.5001 intelligent edge computing (IEC). The TE of IEC can be used in the sensor and actuator parts of the flowing-water smart aquaculture system, and the reference points in IEC can be used for interaction with the edge server. By using these reference points, water quality, growth, energy, and environmental data collected in the aquaculture field can be transmitted to the edge server. Additionally, the edge server can generate essential settings and control values necessary for the growth of fish and the operation of aquaculture facilities using the collected data. For in-depth analysis that requires high computational power, such as fish disease diagnosis or productivity enhancement, cloud-based analysis and generation can be performed. Then, the edge server transmits the generated optimal model to the driving part.</w:t>
            </w:r>
          </w:p>
          <w:p w14:paraId="41840A68" w14:textId="77777777" w:rsidR="00501A80" w:rsidRPr="00501A80" w:rsidRDefault="00501A80" w:rsidP="00501A80">
            <w:pPr>
              <w:rPr>
                <w:sz w:val="22"/>
                <w:szCs w:val="22"/>
                <w:lang w:val="en-US"/>
              </w:rPr>
            </w:pPr>
            <w:r w:rsidRPr="00501A80">
              <w:rPr>
                <w:sz w:val="22"/>
                <w:szCs w:val="22"/>
                <w:lang w:val="en-US"/>
              </w:rPr>
              <w:t>This draft recommendation defines the data management interfaces for intelligent edge computing-based flowing-water smart aquaculture systems.</w:t>
            </w:r>
          </w:p>
        </w:tc>
        <w:tc>
          <w:tcPr>
            <w:tcW w:w="1866" w:type="dxa"/>
          </w:tcPr>
          <w:p w14:paraId="01901BAA" w14:textId="77777777" w:rsidR="00501A80" w:rsidRPr="00501A80" w:rsidRDefault="00501A80" w:rsidP="00501A80">
            <w:pPr>
              <w:jc w:val="center"/>
              <w:rPr>
                <w:sz w:val="22"/>
                <w:szCs w:val="22"/>
                <w:lang w:val="en-US"/>
              </w:rPr>
            </w:pPr>
            <w:r w:rsidRPr="00501A80">
              <w:rPr>
                <w:sz w:val="22"/>
                <w:szCs w:val="22"/>
                <w:lang w:val="en-US"/>
              </w:rPr>
              <w:lastRenderedPageBreak/>
              <w:t>Under study</w:t>
            </w:r>
          </w:p>
        </w:tc>
        <w:tc>
          <w:tcPr>
            <w:tcW w:w="2801" w:type="dxa"/>
            <w:gridSpan w:val="2"/>
          </w:tcPr>
          <w:p w14:paraId="1082011B" w14:textId="77777777" w:rsidR="00501A80" w:rsidRPr="00501A80" w:rsidRDefault="005C25E3" w:rsidP="00501A80">
            <w:pPr>
              <w:jc w:val="center"/>
              <w:rPr>
                <w:sz w:val="22"/>
                <w:szCs w:val="22"/>
              </w:rPr>
            </w:pPr>
            <w:hyperlink r:id="rId43" w:history="1">
              <w:r w:rsidR="00501A80" w:rsidRPr="00501A80">
                <w:rPr>
                  <w:color w:val="0000FF"/>
                  <w:sz w:val="22"/>
                  <w:szCs w:val="22"/>
                  <w:u w:val="single"/>
                  <w:lang w:val="en-US"/>
                </w:rPr>
                <w:t>https://www.itu.int/ITU-T/workprog/wp_item.aspx?isn=18918</w:t>
              </w:r>
            </w:hyperlink>
          </w:p>
        </w:tc>
      </w:tr>
      <w:tr w:rsidR="00501A80" w:rsidRPr="00501A80" w14:paraId="265A490F" w14:textId="77777777" w:rsidTr="00BF3648">
        <w:trPr>
          <w:trHeight w:val="2483"/>
        </w:trPr>
        <w:tc>
          <w:tcPr>
            <w:tcW w:w="2106" w:type="dxa"/>
          </w:tcPr>
          <w:p w14:paraId="1FC0D261" w14:textId="77777777" w:rsidR="00501A80" w:rsidRPr="00501A80" w:rsidRDefault="00501A80" w:rsidP="00501A80">
            <w:pPr>
              <w:jc w:val="center"/>
              <w:rPr>
                <w:sz w:val="22"/>
                <w:szCs w:val="22"/>
                <w:lang w:val="en-US"/>
              </w:rPr>
            </w:pPr>
            <w:r w:rsidRPr="00501A80">
              <w:rPr>
                <w:sz w:val="22"/>
                <w:szCs w:val="22"/>
                <w:lang w:val="en-US"/>
              </w:rPr>
              <w:lastRenderedPageBreak/>
              <w:t>Home</w:t>
            </w:r>
          </w:p>
        </w:tc>
        <w:tc>
          <w:tcPr>
            <w:tcW w:w="1258" w:type="dxa"/>
          </w:tcPr>
          <w:p w14:paraId="4353A210" w14:textId="77777777" w:rsidR="00501A80" w:rsidRPr="00501A80" w:rsidRDefault="00501A80" w:rsidP="00501A80">
            <w:pPr>
              <w:jc w:val="center"/>
              <w:rPr>
                <w:sz w:val="22"/>
                <w:szCs w:val="22"/>
                <w:lang w:val="en-US"/>
              </w:rPr>
            </w:pPr>
            <w:r w:rsidRPr="00501A80">
              <w:rPr>
                <w:sz w:val="22"/>
                <w:szCs w:val="22"/>
                <w:lang w:val="en-US"/>
              </w:rPr>
              <w:t>ITU-T SG11</w:t>
            </w:r>
          </w:p>
        </w:tc>
        <w:tc>
          <w:tcPr>
            <w:tcW w:w="2931" w:type="dxa"/>
          </w:tcPr>
          <w:p w14:paraId="7A7D1CF2" w14:textId="77777777" w:rsidR="00501A80" w:rsidRPr="00501A80" w:rsidRDefault="00501A80" w:rsidP="00501A80">
            <w:pPr>
              <w:jc w:val="center"/>
              <w:rPr>
                <w:sz w:val="22"/>
                <w:szCs w:val="22"/>
                <w:lang w:val="en-US" w:eastAsia="zh-CN"/>
              </w:rPr>
            </w:pPr>
            <w:r w:rsidRPr="00501A80">
              <w:rPr>
                <w:sz w:val="22"/>
                <w:szCs w:val="22"/>
                <w:lang w:val="en-US" w:eastAsia="zh-CN"/>
              </w:rPr>
              <w:t>Signalling requirements and interfaces of edge-aided energy management agent at intelligent edge computing (Q.IEC-EEMA)</w:t>
            </w:r>
          </w:p>
        </w:tc>
        <w:tc>
          <w:tcPr>
            <w:tcW w:w="3600" w:type="dxa"/>
          </w:tcPr>
          <w:p w14:paraId="2CCC67A7" w14:textId="77777777" w:rsidR="00501A80" w:rsidRPr="00501A80" w:rsidRDefault="00501A80" w:rsidP="00501A80">
            <w:pPr>
              <w:rPr>
                <w:sz w:val="22"/>
                <w:szCs w:val="22"/>
                <w:lang w:val="en-US"/>
              </w:rPr>
            </w:pPr>
            <w:r w:rsidRPr="00501A80">
              <w:rPr>
                <w:sz w:val="22"/>
                <w:szCs w:val="22"/>
                <w:lang w:val="en-US"/>
              </w:rPr>
              <w:t xml:space="preserve">This Recommendation describes the Signalling requirements and interfaces of edge-aided energy management agent at intelligent edge computing. This Recommendation focuses on the </w:t>
            </w:r>
            <w:proofErr w:type="spellStart"/>
            <w:r w:rsidRPr="00501A80">
              <w:rPr>
                <w:sz w:val="22"/>
                <w:szCs w:val="22"/>
                <w:lang w:val="en-US"/>
              </w:rPr>
              <w:t>signalling</w:t>
            </w:r>
            <w:proofErr w:type="spellEnd"/>
            <w:r w:rsidRPr="00501A80">
              <w:rPr>
                <w:sz w:val="22"/>
                <w:szCs w:val="22"/>
                <w:lang w:val="en-US"/>
              </w:rPr>
              <w:t xml:space="preserve"> functionality of the edge-aided energy management agent (EEMA) and interfaces among EEMAs.</w:t>
            </w:r>
          </w:p>
        </w:tc>
        <w:tc>
          <w:tcPr>
            <w:tcW w:w="1866" w:type="dxa"/>
          </w:tcPr>
          <w:p w14:paraId="38B12F56" w14:textId="77777777" w:rsidR="00501A80" w:rsidRPr="00501A80" w:rsidRDefault="00501A80" w:rsidP="00501A80">
            <w:pPr>
              <w:jc w:val="center"/>
              <w:rPr>
                <w:sz w:val="22"/>
                <w:szCs w:val="22"/>
                <w:lang w:val="en-US"/>
              </w:rPr>
            </w:pPr>
            <w:r w:rsidRPr="00501A80">
              <w:rPr>
                <w:sz w:val="22"/>
                <w:szCs w:val="22"/>
                <w:lang w:val="en-US"/>
              </w:rPr>
              <w:t>Under study</w:t>
            </w:r>
          </w:p>
        </w:tc>
        <w:tc>
          <w:tcPr>
            <w:tcW w:w="2801" w:type="dxa"/>
            <w:gridSpan w:val="2"/>
          </w:tcPr>
          <w:p w14:paraId="0071BC87" w14:textId="77777777" w:rsidR="00501A80" w:rsidRPr="00501A80" w:rsidRDefault="005C25E3" w:rsidP="00501A80">
            <w:pPr>
              <w:jc w:val="center"/>
              <w:rPr>
                <w:sz w:val="22"/>
                <w:szCs w:val="22"/>
              </w:rPr>
            </w:pPr>
            <w:hyperlink r:id="rId44" w:history="1">
              <w:r w:rsidR="00501A80" w:rsidRPr="00501A80">
                <w:rPr>
                  <w:color w:val="0000FF"/>
                  <w:sz w:val="22"/>
                  <w:szCs w:val="22"/>
                  <w:u w:val="single"/>
                  <w:lang w:val="en-US"/>
                </w:rPr>
                <w:t>https://www.itu.int/ITU-T/workprog/wp_item.aspx?isn=18482</w:t>
              </w:r>
            </w:hyperlink>
          </w:p>
        </w:tc>
      </w:tr>
      <w:tr w:rsidR="00501A80" w:rsidRPr="00501A80" w14:paraId="3C0C5176" w14:textId="77777777" w:rsidTr="00BF3648">
        <w:trPr>
          <w:trHeight w:val="1250"/>
        </w:trPr>
        <w:tc>
          <w:tcPr>
            <w:tcW w:w="2106" w:type="dxa"/>
          </w:tcPr>
          <w:p w14:paraId="70B178E6" w14:textId="77777777" w:rsidR="00501A80" w:rsidRPr="00501A80" w:rsidRDefault="00501A80" w:rsidP="00501A80">
            <w:pPr>
              <w:jc w:val="center"/>
              <w:rPr>
                <w:sz w:val="22"/>
                <w:szCs w:val="22"/>
                <w:lang w:val="en-US"/>
              </w:rPr>
            </w:pPr>
            <w:r w:rsidRPr="00501A80">
              <w:rPr>
                <w:sz w:val="22"/>
                <w:szCs w:val="22"/>
                <w:lang w:val="en-US" w:eastAsia="zh-CN"/>
              </w:rPr>
              <w:t>Smart city and communities</w:t>
            </w:r>
          </w:p>
        </w:tc>
        <w:tc>
          <w:tcPr>
            <w:tcW w:w="1258" w:type="dxa"/>
          </w:tcPr>
          <w:p w14:paraId="6377FA97" w14:textId="77777777" w:rsidR="00501A80" w:rsidRPr="00501A80" w:rsidRDefault="00501A80" w:rsidP="00501A80">
            <w:pPr>
              <w:jc w:val="center"/>
              <w:rPr>
                <w:sz w:val="22"/>
                <w:szCs w:val="22"/>
                <w:lang w:val="en-US"/>
              </w:rPr>
            </w:pPr>
            <w:r w:rsidRPr="00501A80">
              <w:rPr>
                <w:sz w:val="22"/>
                <w:szCs w:val="22"/>
                <w:lang w:val="en-US" w:eastAsia="zh-CN"/>
              </w:rPr>
              <w:t>ITU-T SG20</w:t>
            </w:r>
          </w:p>
        </w:tc>
        <w:tc>
          <w:tcPr>
            <w:tcW w:w="2931" w:type="dxa"/>
          </w:tcPr>
          <w:p w14:paraId="0CD54BCC" w14:textId="77777777" w:rsidR="00501A80" w:rsidRPr="00501A80" w:rsidRDefault="00501A80" w:rsidP="00501A80">
            <w:pPr>
              <w:jc w:val="center"/>
              <w:rPr>
                <w:sz w:val="22"/>
                <w:szCs w:val="22"/>
                <w:lang w:val="en-US" w:eastAsia="zh-CN"/>
              </w:rPr>
            </w:pPr>
            <w:r w:rsidRPr="00501A80">
              <w:rPr>
                <w:sz w:val="22"/>
                <w:szCs w:val="22"/>
                <w:lang w:val="en-US" w:eastAsia="zh-CN"/>
              </w:rPr>
              <w:t>Digital transformation for people-</w:t>
            </w:r>
            <w:proofErr w:type="spellStart"/>
            <w:r w:rsidRPr="00501A80">
              <w:rPr>
                <w:sz w:val="22"/>
                <w:szCs w:val="22"/>
                <w:lang w:val="en-US" w:eastAsia="zh-CN"/>
              </w:rPr>
              <w:t>centred</w:t>
            </w:r>
            <w:proofErr w:type="spellEnd"/>
            <w:r w:rsidRPr="00501A80">
              <w:rPr>
                <w:sz w:val="22"/>
                <w:szCs w:val="22"/>
                <w:lang w:val="en-US" w:eastAsia="zh-CN"/>
              </w:rPr>
              <w:t xml:space="preserve"> smart cities and communities: an analysis of definitions (Y.Suppl.77 (ex </w:t>
            </w:r>
            <w:proofErr w:type="spellStart"/>
            <w:proofErr w:type="gramStart"/>
            <w:r w:rsidRPr="00501A80">
              <w:rPr>
                <w:sz w:val="22"/>
                <w:szCs w:val="22"/>
                <w:lang w:val="en-US" w:eastAsia="zh-CN"/>
              </w:rPr>
              <w:t>Y.Sup.DT</w:t>
            </w:r>
            <w:proofErr w:type="spellEnd"/>
            <w:proofErr w:type="gramEnd"/>
            <w:r w:rsidRPr="00501A80">
              <w:rPr>
                <w:sz w:val="22"/>
                <w:szCs w:val="22"/>
                <w:lang w:val="en-US" w:eastAsia="zh-CN"/>
              </w:rPr>
              <w:t>-definition))</w:t>
            </w:r>
          </w:p>
        </w:tc>
        <w:tc>
          <w:tcPr>
            <w:tcW w:w="3600" w:type="dxa"/>
          </w:tcPr>
          <w:p w14:paraId="6DC99BE3" w14:textId="77777777" w:rsidR="00501A80" w:rsidRPr="00501A80" w:rsidRDefault="00501A80" w:rsidP="00501A80">
            <w:pPr>
              <w:rPr>
                <w:sz w:val="22"/>
                <w:szCs w:val="22"/>
                <w:lang w:val="en-US"/>
              </w:rPr>
            </w:pPr>
            <w:bookmarkStart w:id="4" w:name="_Toc13277"/>
            <w:bookmarkStart w:id="5" w:name="_Toc13245"/>
            <w:bookmarkStart w:id="6" w:name="_Toc24941"/>
            <w:bookmarkStart w:id="7" w:name="_Toc18990"/>
            <w:bookmarkStart w:id="8" w:name="_Toc18048"/>
            <w:r w:rsidRPr="00501A80">
              <w:rPr>
                <w:sz w:val="22"/>
                <w:szCs w:val="22"/>
              </w:rPr>
              <w:t>This supplement will start from four components of digital transformation for people-centred cities and communities: data, people, digital technologies and their interrelationship. It will analyse different terminologies, concepts, keywords and attributes around the concept of “people-centred”. Such a definition analysis is helpful not only for understanding the tasks of digital transformation, but also for carrying out concrete work in the aspects of ICT infrastructure, KPIs, stakeholders and strategies for what ITU considers smart sustainable cities.</w:t>
            </w:r>
            <w:bookmarkEnd w:id="4"/>
            <w:bookmarkEnd w:id="5"/>
            <w:bookmarkEnd w:id="6"/>
            <w:bookmarkEnd w:id="7"/>
            <w:bookmarkEnd w:id="8"/>
          </w:p>
        </w:tc>
        <w:tc>
          <w:tcPr>
            <w:tcW w:w="1866" w:type="dxa"/>
          </w:tcPr>
          <w:p w14:paraId="6A6E37F1" w14:textId="77777777" w:rsidR="00501A80" w:rsidRPr="00501A80" w:rsidRDefault="00501A80" w:rsidP="00501A80">
            <w:pPr>
              <w:jc w:val="center"/>
              <w:rPr>
                <w:sz w:val="22"/>
                <w:szCs w:val="22"/>
                <w:lang w:val="en-US"/>
              </w:rPr>
            </w:pPr>
            <w:r w:rsidRPr="00501A80">
              <w:rPr>
                <w:sz w:val="22"/>
                <w:szCs w:val="22"/>
                <w:lang w:val="en-US" w:eastAsia="zh-CN"/>
              </w:rPr>
              <w:t>Agreed</w:t>
            </w:r>
          </w:p>
        </w:tc>
        <w:tc>
          <w:tcPr>
            <w:tcW w:w="2801" w:type="dxa"/>
            <w:gridSpan w:val="2"/>
          </w:tcPr>
          <w:p w14:paraId="216508B8" w14:textId="77777777" w:rsidR="00501A80" w:rsidRPr="00501A80" w:rsidRDefault="005C25E3" w:rsidP="00501A80">
            <w:pPr>
              <w:jc w:val="center"/>
              <w:rPr>
                <w:sz w:val="22"/>
                <w:szCs w:val="22"/>
              </w:rPr>
            </w:pPr>
            <w:hyperlink r:id="rId45" w:history="1">
              <w:r w:rsidR="00501A80" w:rsidRPr="00501A80">
                <w:rPr>
                  <w:color w:val="0000FF"/>
                  <w:sz w:val="22"/>
                  <w:szCs w:val="22"/>
                  <w:u w:val="single"/>
                  <w:lang w:val="en-US"/>
                </w:rPr>
                <w:t>https://www.itu.int/itu-t/workprog/wp_item.aspx?isn=18472</w:t>
              </w:r>
            </w:hyperlink>
            <w:r w:rsidR="00501A80" w:rsidRPr="00501A80">
              <w:rPr>
                <w:sz w:val="22"/>
                <w:szCs w:val="22"/>
                <w:lang w:val="en-US"/>
              </w:rPr>
              <w:t xml:space="preserve"> </w:t>
            </w:r>
          </w:p>
        </w:tc>
      </w:tr>
    </w:tbl>
    <w:p w14:paraId="3F9DF4CF" w14:textId="77777777" w:rsidR="00501A80" w:rsidRPr="00501A80" w:rsidRDefault="00501A80" w:rsidP="00501A80">
      <w:pPr>
        <w:jc w:val="center"/>
      </w:pPr>
    </w:p>
    <w:p w14:paraId="63393B70" w14:textId="77777777" w:rsidR="00ED3358" w:rsidRPr="00F42C81" w:rsidRDefault="00ED3358" w:rsidP="00501A80">
      <w:pPr>
        <w:rPr>
          <w:rFonts w:eastAsia="MS Mincho"/>
        </w:rPr>
      </w:pPr>
    </w:p>
    <w:p w14:paraId="198C0226" w14:textId="77777777" w:rsidR="00394DBF" w:rsidRDefault="00394DBF" w:rsidP="00394DBF">
      <w:pPr>
        <w:jc w:val="center"/>
      </w:pPr>
      <w:r>
        <w:t>_______________________</w:t>
      </w:r>
    </w:p>
    <w:p w14:paraId="595BAEDD" w14:textId="77777777" w:rsidR="007F1869" w:rsidRDefault="007F1869" w:rsidP="007F1869"/>
    <w:sectPr w:rsidR="007F1869" w:rsidSect="00501A80">
      <w:headerReference w:type="default" r:id="rId46"/>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796B4" w14:textId="77777777" w:rsidR="00440F87" w:rsidRDefault="00440F87" w:rsidP="00C42125">
      <w:pPr>
        <w:spacing w:before="0"/>
      </w:pPr>
      <w:r>
        <w:separator/>
      </w:r>
    </w:p>
  </w:endnote>
  <w:endnote w:type="continuationSeparator" w:id="0">
    <w:p w14:paraId="3C6A1862" w14:textId="77777777" w:rsidR="00440F87" w:rsidRDefault="00440F8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Light">
    <w:altName w:val="Klee On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D8CB6" w14:textId="77777777" w:rsidR="00440F87" w:rsidRDefault="00440F87" w:rsidP="00C42125">
      <w:pPr>
        <w:spacing w:before="0"/>
      </w:pPr>
      <w:r>
        <w:separator/>
      </w:r>
    </w:p>
  </w:footnote>
  <w:footnote w:type="continuationSeparator" w:id="0">
    <w:p w14:paraId="006848CF" w14:textId="77777777" w:rsidR="00440F87" w:rsidRDefault="00440F87"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573FB" w14:textId="5AD3BC3E" w:rsidR="00501A80" w:rsidRPr="00247045" w:rsidRDefault="00501A80" w:rsidP="00247045">
    <w:pPr>
      <w:pStyle w:val="Header"/>
    </w:pPr>
    <w:r w:rsidRPr="00247045">
      <w:t xml:space="preserve">- </w:t>
    </w:r>
    <w:r w:rsidRPr="00247045">
      <w:fldChar w:fldCharType="begin"/>
    </w:r>
    <w:r w:rsidRPr="00247045">
      <w:instrText xml:space="preserve"> PAGE  \* MERGEFORMAT </w:instrText>
    </w:r>
    <w:r w:rsidRPr="00247045">
      <w:fldChar w:fldCharType="separate"/>
    </w:r>
    <w:r w:rsidRPr="00247045">
      <w:rPr>
        <w:noProof/>
      </w:rPr>
      <w:t>1</w:t>
    </w:r>
    <w:r w:rsidRPr="00247045">
      <w:fldChar w:fldCharType="end"/>
    </w:r>
    <w:r w:rsidRPr="00247045">
      <w:t xml:space="preserve"> -</w:t>
    </w:r>
    <w:r w:rsidR="00D000A0">
      <w:br/>
      <w:t>TSAG-TD531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33738" w14:textId="0ECAC889" w:rsidR="00E54072" w:rsidRPr="00B11596" w:rsidRDefault="00E54072" w:rsidP="00B1159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E0FFC"/>
    <w:multiLevelType w:val="hybridMultilevel"/>
    <w:tmpl w:val="CF347F4A"/>
    <w:lvl w:ilvl="0" w:tplc="BF3C0EBE">
      <w:start w:val="1"/>
      <w:numFmt w:val="lowerLetter"/>
      <w:lvlText w:val="%1)"/>
      <w:lvlJc w:val="left"/>
      <w:pPr>
        <w:ind w:left="363" w:hanging="363"/>
      </w:pPr>
      <w:rPr>
        <w:rFonts w:ascii="Times New Roman" w:eastAsiaTheme="minorHAnsi" w:hAnsi="Times New Roman" w:cs="Times New Roman"/>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1" w15:restartNumberingAfterBreak="0">
    <w:nsid w:val="04573281"/>
    <w:multiLevelType w:val="hybridMultilevel"/>
    <w:tmpl w:val="BA0021D8"/>
    <w:lvl w:ilvl="0" w:tplc="6A42D8DA">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87647A"/>
    <w:multiLevelType w:val="hybridMultilevel"/>
    <w:tmpl w:val="F3D8507C"/>
    <w:lvl w:ilvl="0" w:tplc="3740F9F4">
      <w:start w:val="1"/>
      <w:numFmt w:val="bullet"/>
      <w:lvlText w:val=""/>
      <w:lvlJc w:val="left"/>
      <w:pPr>
        <w:tabs>
          <w:tab w:val="num" w:pos="720"/>
        </w:tabs>
        <w:ind w:left="720" w:hanging="360"/>
      </w:pPr>
      <w:rPr>
        <w:rFonts w:ascii="Wingdings" w:hAnsi="Wingdings" w:hint="default"/>
      </w:rPr>
    </w:lvl>
    <w:lvl w:ilvl="1" w:tplc="9ABA6816">
      <w:start w:val="1"/>
      <w:numFmt w:val="bullet"/>
      <w:lvlText w:val=""/>
      <w:lvlJc w:val="left"/>
      <w:pPr>
        <w:tabs>
          <w:tab w:val="num" w:pos="1440"/>
        </w:tabs>
        <w:ind w:left="1440" w:hanging="360"/>
      </w:pPr>
      <w:rPr>
        <w:rFonts w:ascii="Wingdings" w:hAnsi="Wingdings" w:hint="default"/>
      </w:rPr>
    </w:lvl>
    <w:lvl w:ilvl="2" w:tplc="9A1EF7E2">
      <w:start w:val="270"/>
      <w:numFmt w:val="bullet"/>
      <w:lvlText w:val=""/>
      <w:lvlJc w:val="left"/>
      <w:pPr>
        <w:tabs>
          <w:tab w:val="num" w:pos="2160"/>
        </w:tabs>
        <w:ind w:left="2160" w:hanging="360"/>
      </w:pPr>
      <w:rPr>
        <w:rFonts w:ascii="Wingdings" w:hAnsi="Wingdings" w:hint="default"/>
      </w:rPr>
    </w:lvl>
    <w:lvl w:ilvl="3" w:tplc="5928C576" w:tentative="1">
      <w:start w:val="1"/>
      <w:numFmt w:val="bullet"/>
      <w:lvlText w:val=""/>
      <w:lvlJc w:val="left"/>
      <w:pPr>
        <w:tabs>
          <w:tab w:val="num" w:pos="2880"/>
        </w:tabs>
        <w:ind w:left="2880" w:hanging="360"/>
      </w:pPr>
      <w:rPr>
        <w:rFonts w:ascii="Wingdings" w:hAnsi="Wingdings" w:hint="default"/>
      </w:rPr>
    </w:lvl>
    <w:lvl w:ilvl="4" w:tplc="FD881196" w:tentative="1">
      <w:start w:val="1"/>
      <w:numFmt w:val="bullet"/>
      <w:lvlText w:val=""/>
      <w:lvlJc w:val="left"/>
      <w:pPr>
        <w:tabs>
          <w:tab w:val="num" w:pos="3600"/>
        </w:tabs>
        <w:ind w:left="3600" w:hanging="360"/>
      </w:pPr>
      <w:rPr>
        <w:rFonts w:ascii="Wingdings" w:hAnsi="Wingdings" w:hint="default"/>
      </w:rPr>
    </w:lvl>
    <w:lvl w:ilvl="5" w:tplc="043848D6" w:tentative="1">
      <w:start w:val="1"/>
      <w:numFmt w:val="bullet"/>
      <w:lvlText w:val=""/>
      <w:lvlJc w:val="left"/>
      <w:pPr>
        <w:tabs>
          <w:tab w:val="num" w:pos="4320"/>
        </w:tabs>
        <w:ind w:left="4320" w:hanging="360"/>
      </w:pPr>
      <w:rPr>
        <w:rFonts w:ascii="Wingdings" w:hAnsi="Wingdings" w:hint="default"/>
      </w:rPr>
    </w:lvl>
    <w:lvl w:ilvl="6" w:tplc="CE146D7C" w:tentative="1">
      <w:start w:val="1"/>
      <w:numFmt w:val="bullet"/>
      <w:lvlText w:val=""/>
      <w:lvlJc w:val="left"/>
      <w:pPr>
        <w:tabs>
          <w:tab w:val="num" w:pos="5040"/>
        </w:tabs>
        <w:ind w:left="5040" w:hanging="360"/>
      </w:pPr>
      <w:rPr>
        <w:rFonts w:ascii="Wingdings" w:hAnsi="Wingdings" w:hint="default"/>
      </w:rPr>
    </w:lvl>
    <w:lvl w:ilvl="7" w:tplc="8D92A8CE" w:tentative="1">
      <w:start w:val="1"/>
      <w:numFmt w:val="bullet"/>
      <w:lvlText w:val=""/>
      <w:lvlJc w:val="left"/>
      <w:pPr>
        <w:tabs>
          <w:tab w:val="num" w:pos="5760"/>
        </w:tabs>
        <w:ind w:left="5760" w:hanging="360"/>
      </w:pPr>
      <w:rPr>
        <w:rFonts w:ascii="Wingdings" w:hAnsi="Wingdings" w:hint="default"/>
      </w:rPr>
    </w:lvl>
    <w:lvl w:ilvl="8" w:tplc="7E10B6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155CE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113AF5"/>
    <w:multiLevelType w:val="hybridMultilevel"/>
    <w:tmpl w:val="0B76EEF6"/>
    <w:lvl w:ilvl="0" w:tplc="F628DE78">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2BE376C"/>
    <w:multiLevelType w:val="hybridMultilevel"/>
    <w:tmpl w:val="890ABE06"/>
    <w:lvl w:ilvl="0" w:tplc="21BA23E8">
      <w:start w:val="42"/>
      <w:numFmt w:val="bullet"/>
      <w:lvlText w:val=""/>
      <w:lvlJc w:val="left"/>
      <w:pPr>
        <w:ind w:left="360" w:hanging="360"/>
      </w:pPr>
      <w:rPr>
        <w:rFonts w:ascii="Wingdings" w:eastAsia="SimSu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6957A86"/>
    <w:multiLevelType w:val="multilevel"/>
    <w:tmpl w:val="88D8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FD3F5C"/>
    <w:multiLevelType w:val="multilevel"/>
    <w:tmpl w:val="D25829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5578C"/>
    <w:multiLevelType w:val="hybridMultilevel"/>
    <w:tmpl w:val="FCA2583C"/>
    <w:lvl w:ilvl="0" w:tplc="1018D97C">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542A71"/>
    <w:multiLevelType w:val="hybridMultilevel"/>
    <w:tmpl w:val="FDBE1BA6"/>
    <w:lvl w:ilvl="0" w:tplc="F93E8C7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C30C6"/>
    <w:multiLevelType w:val="hybridMultilevel"/>
    <w:tmpl w:val="C7BE3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334FCD"/>
    <w:multiLevelType w:val="hybridMultilevel"/>
    <w:tmpl w:val="5AD62968"/>
    <w:lvl w:ilvl="0" w:tplc="A1CC97F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317300"/>
    <w:multiLevelType w:val="hybridMultilevel"/>
    <w:tmpl w:val="0E925F9A"/>
    <w:lvl w:ilvl="0" w:tplc="A1CC97F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F02E03"/>
    <w:multiLevelType w:val="hybridMultilevel"/>
    <w:tmpl w:val="FB0A3A0A"/>
    <w:lvl w:ilvl="0" w:tplc="7D9A14F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CF4DFD"/>
    <w:multiLevelType w:val="hybridMultilevel"/>
    <w:tmpl w:val="6E424C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A9F685B"/>
    <w:multiLevelType w:val="hybridMultilevel"/>
    <w:tmpl w:val="BA8AC556"/>
    <w:lvl w:ilvl="0" w:tplc="4D0A0972">
      <w:start w:val="1"/>
      <w:numFmt w:val="bullet"/>
      <w:lvlText w:val=""/>
      <w:lvlJc w:val="left"/>
      <w:pPr>
        <w:tabs>
          <w:tab w:val="num" w:pos="720"/>
        </w:tabs>
        <w:ind w:left="720" w:hanging="360"/>
      </w:pPr>
      <w:rPr>
        <w:rFonts w:ascii="Wingdings" w:hAnsi="Wingdings" w:hint="default"/>
      </w:rPr>
    </w:lvl>
    <w:lvl w:ilvl="1" w:tplc="A98CEDA6">
      <w:start w:val="1"/>
      <w:numFmt w:val="bullet"/>
      <w:lvlText w:val=""/>
      <w:lvlJc w:val="left"/>
      <w:pPr>
        <w:tabs>
          <w:tab w:val="num" w:pos="1440"/>
        </w:tabs>
        <w:ind w:left="1440" w:hanging="360"/>
      </w:pPr>
      <w:rPr>
        <w:rFonts w:ascii="Wingdings" w:hAnsi="Wingdings" w:hint="default"/>
      </w:rPr>
    </w:lvl>
    <w:lvl w:ilvl="2" w:tplc="933AA7FE">
      <w:start w:val="270"/>
      <w:numFmt w:val="bullet"/>
      <w:lvlText w:val=""/>
      <w:lvlJc w:val="left"/>
      <w:pPr>
        <w:tabs>
          <w:tab w:val="num" w:pos="2160"/>
        </w:tabs>
        <w:ind w:left="2160" w:hanging="360"/>
      </w:pPr>
      <w:rPr>
        <w:rFonts w:ascii="Wingdings" w:hAnsi="Wingdings" w:hint="default"/>
      </w:rPr>
    </w:lvl>
    <w:lvl w:ilvl="3" w:tplc="21BA23E8">
      <w:start w:val="42"/>
      <w:numFmt w:val="bullet"/>
      <w:lvlText w:val=""/>
      <w:lvlJc w:val="left"/>
      <w:pPr>
        <w:ind w:left="2880" w:hanging="360"/>
      </w:pPr>
      <w:rPr>
        <w:rFonts w:ascii="Wingdings" w:eastAsia="SimSun" w:hAnsi="Wingdings" w:cs="Times New Roman" w:hint="default"/>
      </w:rPr>
    </w:lvl>
    <w:lvl w:ilvl="4" w:tplc="1AA0B0FC" w:tentative="1">
      <w:start w:val="1"/>
      <w:numFmt w:val="bullet"/>
      <w:lvlText w:val=""/>
      <w:lvlJc w:val="left"/>
      <w:pPr>
        <w:tabs>
          <w:tab w:val="num" w:pos="3600"/>
        </w:tabs>
        <w:ind w:left="3600" w:hanging="360"/>
      </w:pPr>
      <w:rPr>
        <w:rFonts w:ascii="Wingdings" w:hAnsi="Wingdings" w:hint="default"/>
      </w:rPr>
    </w:lvl>
    <w:lvl w:ilvl="5" w:tplc="20A24112" w:tentative="1">
      <w:start w:val="1"/>
      <w:numFmt w:val="bullet"/>
      <w:lvlText w:val=""/>
      <w:lvlJc w:val="left"/>
      <w:pPr>
        <w:tabs>
          <w:tab w:val="num" w:pos="4320"/>
        </w:tabs>
        <w:ind w:left="4320" w:hanging="360"/>
      </w:pPr>
      <w:rPr>
        <w:rFonts w:ascii="Wingdings" w:hAnsi="Wingdings" w:hint="default"/>
      </w:rPr>
    </w:lvl>
    <w:lvl w:ilvl="6" w:tplc="A20C2524" w:tentative="1">
      <w:start w:val="1"/>
      <w:numFmt w:val="bullet"/>
      <w:lvlText w:val=""/>
      <w:lvlJc w:val="left"/>
      <w:pPr>
        <w:tabs>
          <w:tab w:val="num" w:pos="5040"/>
        </w:tabs>
        <w:ind w:left="5040" w:hanging="360"/>
      </w:pPr>
      <w:rPr>
        <w:rFonts w:ascii="Wingdings" w:hAnsi="Wingdings" w:hint="default"/>
      </w:rPr>
    </w:lvl>
    <w:lvl w:ilvl="7" w:tplc="632AAFB8" w:tentative="1">
      <w:start w:val="1"/>
      <w:numFmt w:val="bullet"/>
      <w:lvlText w:val=""/>
      <w:lvlJc w:val="left"/>
      <w:pPr>
        <w:tabs>
          <w:tab w:val="num" w:pos="5760"/>
        </w:tabs>
        <w:ind w:left="5760" w:hanging="360"/>
      </w:pPr>
      <w:rPr>
        <w:rFonts w:ascii="Wingdings" w:hAnsi="Wingdings" w:hint="default"/>
      </w:rPr>
    </w:lvl>
    <w:lvl w:ilvl="8" w:tplc="964C496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687E76"/>
    <w:multiLevelType w:val="hybridMultilevel"/>
    <w:tmpl w:val="E248AA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C91F9F"/>
    <w:multiLevelType w:val="hybridMultilevel"/>
    <w:tmpl w:val="B406C232"/>
    <w:lvl w:ilvl="0" w:tplc="7DD6F212">
      <w:start w:val="1"/>
      <w:numFmt w:val="bullet"/>
      <w:lvlText w:val=""/>
      <w:lvlJc w:val="left"/>
      <w:pPr>
        <w:tabs>
          <w:tab w:val="num" w:pos="720"/>
        </w:tabs>
        <w:ind w:left="720" w:hanging="360"/>
      </w:pPr>
      <w:rPr>
        <w:rFonts w:ascii="Wingdings" w:hAnsi="Wingdings" w:hint="default"/>
      </w:rPr>
    </w:lvl>
    <w:lvl w:ilvl="1" w:tplc="5984B278" w:tentative="1">
      <w:start w:val="1"/>
      <w:numFmt w:val="bullet"/>
      <w:lvlText w:val=""/>
      <w:lvlJc w:val="left"/>
      <w:pPr>
        <w:tabs>
          <w:tab w:val="num" w:pos="1440"/>
        </w:tabs>
        <w:ind w:left="1440" w:hanging="360"/>
      </w:pPr>
      <w:rPr>
        <w:rFonts w:ascii="Wingdings" w:hAnsi="Wingdings" w:hint="default"/>
      </w:rPr>
    </w:lvl>
    <w:lvl w:ilvl="2" w:tplc="4F7245B8" w:tentative="1">
      <w:start w:val="1"/>
      <w:numFmt w:val="bullet"/>
      <w:lvlText w:val=""/>
      <w:lvlJc w:val="left"/>
      <w:pPr>
        <w:tabs>
          <w:tab w:val="num" w:pos="2160"/>
        </w:tabs>
        <w:ind w:left="2160" w:hanging="360"/>
      </w:pPr>
      <w:rPr>
        <w:rFonts w:ascii="Wingdings" w:hAnsi="Wingdings" w:hint="default"/>
      </w:rPr>
    </w:lvl>
    <w:lvl w:ilvl="3" w:tplc="1682EB18" w:tentative="1">
      <w:start w:val="1"/>
      <w:numFmt w:val="bullet"/>
      <w:lvlText w:val=""/>
      <w:lvlJc w:val="left"/>
      <w:pPr>
        <w:tabs>
          <w:tab w:val="num" w:pos="2880"/>
        </w:tabs>
        <w:ind w:left="2880" w:hanging="360"/>
      </w:pPr>
      <w:rPr>
        <w:rFonts w:ascii="Wingdings" w:hAnsi="Wingdings" w:hint="default"/>
      </w:rPr>
    </w:lvl>
    <w:lvl w:ilvl="4" w:tplc="8C004270" w:tentative="1">
      <w:start w:val="1"/>
      <w:numFmt w:val="bullet"/>
      <w:lvlText w:val=""/>
      <w:lvlJc w:val="left"/>
      <w:pPr>
        <w:tabs>
          <w:tab w:val="num" w:pos="3600"/>
        </w:tabs>
        <w:ind w:left="3600" w:hanging="360"/>
      </w:pPr>
      <w:rPr>
        <w:rFonts w:ascii="Wingdings" w:hAnsi="Wingdings" w:hint="default"/>
      </w:rPr>
    </w:lvl>
    <w:lvl w:ilvl="5" w:tplc="0E14907A" w:tentative="1">
      <w:start w:val="1"/>
      <w:numFmt w:val="bullet"/>
      <w:lvlText w:val=""/>
      <w:lvlJc w:val="left"/>
      <w:pPr>
        <w:tabs>
          <w:tab w:val="num" w:pos="4320"/>
        </w:tabs>
        <w:ind w:left="4320" w:hanging="360"/>
      </w:pPr>
      <w:rPr>
        <w:rFonts w:ascii="Wingdings" w:hAnsi="Wingdings" w:hint="default"/>
      </w:rPr>
    </w:lvl>
    <w:lvl w:ilvl="6" w:tplc="0F5205F2" w:tentative="1">
      <w:start w:val="1"/>
      <w:numFmt w:val="bullet"/>
      <w:lvlText w:val=""/>
      <w:lvlJc w:val="left"/>
      <w:pPr>
        <w:tabs>
          <w:tab w:val="num" w:pos="5040"/>
        </w:tabs>
        <w:ind w:left="5040" w:hanging="360"/>
      </w:pPr>
      <w:rPr>
        <w:rFonts w:ascii="Wingdings" w:hAnsi="Wingdings" w:hint="default"/>
      </w:rPr>
    </w:lvl>
    <w:lvl w:ilvl="7" w:tplc="5B98358A" w:tentative="1">
      <w:start w:val="1"/>
      <w:numFmt w:val="bullet"/>
      <w:lvlText w:val=""/>
      <w:lvlJc w:val="left"/>
      <w:pPr>
        <w:tabs>
          <w:tab w:val="num" w:pos="5760"/>
        </w:tabs>
        <w:ind w:left="5760" w:hanging="360"/>
      </w:pPr>
      <w:rPr>
        <w:rFonts w:ascii="Wingdings" w:hAnsi="Wingdings" w:hint="default"/>
      </w:rPr>
    </w:lvl>
    <w:lvl w:ilvl="8" w:tplc="5EA8C73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8CC"/>
    <w:multiLevelType w:val="hybridMultilevel"/>
    <w:tmpl w:val="B0B209A0"/>
    <w:lvl w:ilvl="0" w:tplc="1158E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174DB9"/>
    <w:multiLevelType w:val="hybridMultilevel"/>
    <w:tmpl w:val="D49E4E14"/>
    <w:lvl w:ilvl="0" w:tplc="A488A67E">
      <w:start w:val="1"/>
      <w:numFmt w:val="bullet"/>
      <w:lvlText w:val=""/>
      <w:lvlJc w:val="left"/>
      <w:pPr>
        <w:tabs>
          <w:tab w:val="num" w:pos="720"/>
        </w:tabs>
        <w:ind w:left="720" w:hanging="360"/>
      </w:pPr>
      <w:rPr>
        <w:rFonts w:ascii="Wingdings" w:hAnsi="Wingdings" w:hint="default"/>
      </w:rPr>
    </w:lvl>
    <w:lvl w:ilvl="1" w:tplc="D272EFD2">
      <w:start w:val="1"/>
      <w:numFmt w:val="bullet"/>
      <w:lvlText w:val=""/>
      <w:lvlJc w:val="left"/>
      <w:pPr>
        <w:tabs>
          <w:tab w:val="num" w:pos="1440"/>
        </w:tabs>
        <w:ind w:left="1440" w:hanging="360"/>
      </w:pPr>
      <w:rPr>
        <w:rFonts w:ascii="Wingdings" w:hAnsi="Wingdings" w:hint="default"/>
      </w:rPr>
    </w:lvl>
    <w:lvl w:ilvl="2" w:tplc="DB7CB4C4">
      <w:start w:val="270"/>
      <w:numFmt w:val="bullet"/>
      <w:lvlText w:val=""/>
      <w:lvlJc w:val="left"/>
      <w:pPr>
        <w:tabs>
          <w:tab w:val="num" w:pos="2160"/>
        </w:tabs>
        <w:ind w:left="2160" w:hanging="360"/>
      </w:pPr>
      <w:rPr>
        <w:rFonts w:ascii="Wingdings" w:hAnsi="Wingdings" w:hint="default"/>
      </w:rPr>
    </w:lvl>
    <w:lvl w:ilvl="3" w:tplc="3E1867B0" w:tentative="1">
      <w:start w:val="1"/>
      <w:numFmt w:val="bullet"/>
      <w:lvlText w:val=""/>
      <w:lvlJc w:val="left"/>
      <w:pPr>
        <w:tabs>
          <w:tab w:val="num" w:pos="2880"/>
        </w:tabs>
        <w:ind w:left="2880" w:hanging="360"/>
      </w:pPr>
      <w:rPr>
        <w:rFonts w:ascii="Wingdings" w:hAnsi="Wingdings" w:hint="default"/>
      </w:rPr>
    </w:lvl>
    <w:lvl w:ilvl="4" w:tplc="64BC13B8" w:tentative="1">
      <w:start w:val="1"/>
      <w:numFmt w:val="bullet"/>
      <w:lvlText w:val=""/>
      <w:lvlJc w:val="left"/>
      <w:pPr>
        <w:tabs>
          <w:tab w:val="num" w:pos="3600"/>
        </w:tabs>
        <w:ind w:left="3600" w:hanging="360"/>
      </w:pPr>
      <w:rPr>
        <w:rFonts w:ascii="Wingdings" w:hAnsi="Wingdings" w:hint="default"/>
      </w:rPr>
    </w:lvl>
    <w:lvl w:ilvl="5" w:tplc="C9D2F7CA" w:tentative="1">
      <w:start w:val="1"/>
      <w:numFmt w:val="bullet"/>
      <w:lvlText w:val=""/>
      <w:lvlJc w:val="left"/>
      <w:pPr>
        <w:tabs>
          <w:tab w:val="num" w:pos="4320"/>
        </w:tabs>
        <w:ind w:left="4320" w:hanging="360"/>
      </w:pPr>
      <w:rPr>
        <w:rFonts w:ascii="Wingdings" w:hAnsi="Wingdings" w:hint="default"/>
      </w:rPr>
    </w:lvl>
    <w:lvl w:ilvl="6" w:tplc="AF82B1BE" w:tentative="1">
      <w:start w:val="1"/>
      <w:numFmt w:val="bullet"/>
      <w:lvlText w:val=""/>
      <w:lvlJc w:val="left"/>
      <w:pPr>
        <w:tabs>
          <w:tab w:val="num" w:pos="5040"/>
        </w:tabs>
        <w:ind w:left="5040" w:hanging="360"/>
      </w:pPr>
      <w:rPr>
        <w:rFonts w:ascii="Wingdings" w:hAnsi="Wingdings" w:hint="default"/>
      </w:rPr>
    </w:lvl>
    <w:lvl w:ilvl="7" w:tplc="6FD6D030" w:tentative="1">
      <w:start w:val="1"/>
      <w:numFmt w:val="bullet"/>
      <w:lvlText w:val=""/>
      <w:lvlJc w:val="left"/>
      <w:pPr>
        <w:tabs>
          <w:tab w:val="num" w:pos="5760"/>
        </w:tabs>
        <w:ind w:left="5760" w:hanging="360"/>
      </w:pPr>
      <w:rPr>
        <w:rFonts w:ascii="Wingdings" w:hAnsi="Wingdings" w:hint="default"/>
      </w:rPr>
    </w:lvl>
    <w:lvl w:ilvl="8" w:tplc="7012D66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1C668F"/>
    <w:multiLevelType w:val="multilevel"/>
    <w:tmpl w:val="736A48D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C75F82"/>
    <w:multiLevelType w:val="hybridMultilevel"/>
    <w:tmpl w:val="B0AC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E84F53"/>
    <w:multiLevelType w:val="multilevel"/>
    <w:tmpl w:val="CE5889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7B2451"/>
    <w:multiLevelType w:val="hybridMultilevel"/>
    <w:tmpl w:val="B04CC1A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964C16"/>
    <w:multiLevelType w:val="hybridMultilevel"/>
    <w:tmpl w:val="64DE0598"/>
    <w:lvl w:ilvl="0" w:tplc="04090019">
      <w:start w:val="1"/>
      <w:numFmt w:val="lowerLetter"/>
      <w:lvlText w:val="%1."/>
      <w:lvlJc w:val="left"/>
      <w:pPr>
        <w:ind w:left="92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6" w15:restartNumberingAfterBreak="0">
    <w:nsid w:val="669666FE"/>
    <w:multiLevelType w:val="hybridMultilevel"/>
    <w:tmpl w:val="E722A1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BC0714"/>
    <w:multiLevelType w:val="hybridMultilevel"/>
    <w:tmpl w:val="5D16808C"/>
    <w:lvl w:ilvl="0" w:tplc="061241DA">
      <w:start w:val="1"/>
      <w:numFmt w:val="decimal"/>
      <w:lvlText w:val="%1."/>
      <w:lvlJc w:val="left"/>
      <w:pPr>
        <w:tabs>
          <w:tab w:val="num" w:pos="720"/>
        </w:tabs>
        <w:ind w:left="720" w:hanging="360"/>
      </w:pPr>
    </w:lvl>
    <w:lvl w:ilvl="1" w:tplc="C32AC83E" w:tentative="1">
      <w:start w:val="1"/>
      <w:numFmt w:val="decimal"/>
      <w:lvlText w:val="%2."/>
      <w:lvlJc w:val="left"/>
      <w:pPr>
        <w:tabs>
          <w:tab w:val="num" w:pos="1440"/>
        </w:tabs>
        <w:ind w:left="1440" w:hanging="360"/>
      </w:pPr>
    </w:lvl>
    <w:lvl w:ilvl="2" w:tplc="9E8AA8B2" w:tentative="1">
      <w:start w:val="1"/>
      <w:numFmt w:val="decimal"/>
      <w:lvlText w:val="%3."/>
      <w:lvlJc w:val="left"/>
      <w:pPr>
        <w:tabs>
          <w:tab w:val="num" w:pos="2160"/>
        </w:tabs>
        <w:ind w:left="2160" w:hanging="360"/>
      </w:pPr>
    </w:lvl>
    <w:lvl w:ilvl="3" w:tplc="3100519E" w:tentative="1">
      <w:start w:val="1"/>
      <w:numFmt w:val="decimal"/>
      <w:lvlText w:val="%4."/>
      <w:lvlJc w:val="left"/>
      <w:pPr>
        <w:tabs>
          <w:tab w:val="num" w:pos="2880"/>
        </w:tabs>
        <w:ind w:left="2880" w:hanging="360"/>
      </w:pPr>
    </w:lvl>
    <w:lvl w:ilvl="4" w:tplc="8BDA9BBA" w:tentative="1">
      <w:start w:val="1"/>
      <w:numFmt w:val="decimal"/>
      <w:lvlText w:val="%5."/>
      <w:lvlJc w:val="left"/>
      <w:pPr>
        <w:tabs>
          <w:tab w:val="num" w:pos="3600"/>
        </w:tabs>
        <w:ind w:left="3600" w:hanging="360"/>
      </w:pPr>
    </w:lvl>
    <w:lvl w:ilvl="5" w:tplc="C5ACF01C" w:tentative="1">
      <w:start w:val="1"/>
      <w:numFmt w:val="decimal"/>
      <w:lvlText w:val="%6."/>
      <w:lvlJc w:val="left"/>
      <w:pPr>
        <w:tabs>
          <w:tab w:val="num" w:pos="4320"/>
        </w:tabs>
        <w:ind w:left="4320" w:hanging="360"/>
      </w:pPr>
    </w:lvl>
    <w:lvl w:ilvl="6" w:tplc="103AE812" w:tentative="1">
      <w:start w:val="1"/>
      <w:numFmt w:val="decimal"/>
      <w:lvlText w:val="%7."/>
      <w:lvlJc w:val="left"/>
      <w:pPr>
        <w:tabs>
          <w:tab w:val="num" w:pos="5040"/>
        </w:tabs>
        <w:ind w:left="5040" w:hanging="360"/>
      </w:pPr>
    </w:lvl>
    <w:lvl w:ilvl="7" w:tplc="A050A73E" w:tentative="1">
      <w:start w:val="1"/>
      <w:numFmt w:val="decimal"/>
      <w:lvlText w:val="%8."/>
      <w:lvlJc w:val="left"/>
      <w:pPr>
        <w:tabs>
          <w:tab w:val="num" w:pos="5760"/>
        </w:tabs>
        <w:ind w:left="5760" w:hanging="360"/>
      </w:pPr>
    </w:lvl>
    <w:lvl w:ilvl="8" w:tplc="7608A900" w:tentative="1">
      <w:start w:val="1"/>
      <w:numFmt w:val="decimal"/>
      <w:lvlText w:val="%9."/>
      <w:lvlJc w:val="left"/>
      <w:pPr>
        <w:tabs>
          <w:tab w:val="num" w:pos="6480"/>
        </w:tabs>
        <w:ind w:left="6480" w:hanging="360"/>
      </w:pPr>
    </w:lvl>
  </w:abstractNum>
  <w:abstractNum w:abstractNumId="38" w15:restartNumberingAfterBreak="0">
    <w:nsid w:val="7B4301FC"/>
    <w:multiLevelType w:val="multilevel"/>
    <w:tmpl w:val="BE0688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D37F20"/>
    <w:multiLevelType w:val="multilevel"/>
    <w:tmpl w:val="72A487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44776102">
    <w:abstractNumId w:val="9"/>
  </w:num>
  <w:num w:numId="2" w16cid:durableId="1898784978">
    <w:abstractNumId w:val="7"/>
  </w:num>
  <w:num w:numId="3" w16cid:durableId="156384703">
    <w:abstractNumId w:val="6"/>
  </w:num>
  <w:num w:numId="4" w16cid:durableId="578491165">
    <w:abstractNumId w:val="5"/>
  </w:num>
  <w:num w:numId="5" w16cid:durableId="1658925056">
    <w:abstractNumId w:val="4"/>
  </w:num>
  <w:num w:numId="6" w16cid:durableId="1567497338">
    <w:abstractNumId w:val="8"/>
  </w:num>
  <w:num w:numId="7" w16cid:durableId="1197697712">
    <w:abstractNumId w:val="3"/>
  </w:num>
  <w:num w:numId="8" w16cid:durableId="2141192336">
    <w:abstractNumId w:val="2"/>
  </w:num>
  <w:num w:numId="9" w16cid:durableId="161507305">
    <w:abstractNumId w:val="1"/>
  </w:num>
  <w:num w:numId="10" w16cid:durableId="734352292">
    <w:abstractNumId w:val="0"/>
  </w:num>
  <w:num w:numId="11" w16cid:durableId="1649166730">
    <w:abstractNumId w:val="20"/>
  </w:num>
  <w:num w:numId="12" w16cid:durableId="832990145">
    <w:abstractNumId w:val="31"/>
  </w:num>
  <w:num w:numId="13" w16cid:durableId="1867330358">
    <w:abstractNumId w:val="37"/>
  </w:num>
  <w:num w:numId="14" w16cid:durableId="823815878">
    <w:abstractNumId w:val="28"/>
  </w:num>
  <w:num w:numId="15" w16cid:durableId="873809400">
    <w:abstractNumId w:val="33"/>
  </w:num>
  <w:num w:numId="16" w16cid:durableId="1092975327">
    <w:abstractNumId w:val="24"/>
  </w:num>
  <w:num w:numId="17" w16cid:durableId="2021201689">
    <w:abstractNumId w:val="36"/>
  </w:num>
  <w:num w:numId="18" w16cid:durableId="238178479">
    <w:abstractNumId w:val="34"/>
  </w:num>
  <w:num w:numId="19" w16cid:durableId="1506021074">
    <w:abstractNumId w:val="18"/>
  </w:num>
  <w:num w:numId="20" w16cid:durableId="1404789802">
    <w:abstractNumId w:val="11"/>
  </w:num>
  <w:num w:numId="21" w16cid:durableId="2055687408">
    <w:abstractNumId w:val="13"/>
  </w:num>
  <w:num w:numId="22" w16cid:durableId="1308437975">
    <w:abstractNumId w:val="10"/>
  </w:num>
  <w:num w:numId="23" w16cid:durableId="978612395">
    <w:abstractNumId w:val="12"/>
  </w:num>
  <w:num w:numId="24" w16cid:durableId="1104108121">
    <w:abstractNumId w:val="29"/>
  </w:num>
  <w:num w:numId="25" w16cid:durableId="763762351">
    <w:abstractNumId w:val="25"/>
  </w:num>
  <w:num w:numId="26" w16cid:durableId="1768889765">
    <w:abstractNumId w:val="27"/>
  </w:num>
  <w:num w:numId="27" w16cid:durableId="1887788516">
    <w:abstractNumId w:val="15"/>
  </w:num>
  <w:num w:numId="28" w16cid:durableId="1162886694">
    <w:abstractNumId w:val="14"/>
  </w:num>
  <w:num w:numId="29" w16cid:durableId="681055002">
    <w:abstractNumId w:val="26"/>
  </w:num>
  <w:num w:numId="30" w16cid:durableId="1809543630">
    <w:abstractNumId w:val="32"/>
  </w:num>
  <w:num w:numId="31" w16cid:durableId="84419489">
    <w:abstractNumId w:val="38"/>
  </w:num>
  <w:num w:numId="32" w16cid:durableId="1884369021">
    <w:abstractNumId w:val="17"/>
  </w:num>
  <w:num w:numId="33" w16cid:durableId="709493184">
    <w:abstractNumId w:val="39"/>
  </w:num>
  <w:num w:numId="34" w16cid:durableId="1282999715">
    <w:abstractNumId w:val="30"/>
  </w:num>
  <w:num w:numId="35" w16cid:durableId="2021854699">
    <w:abstractNumId w:val="35"/>
  </w:num>
  <w:num w:numId="36" w16cid:durableId="1337609075">
    <w:abstractNumId w:val="23"/>
  </w:num>
  <w:num w:numId="37" w16cid:durableId="1778986938">
    <w:abstractNumId w:val="21"/>
  </w:num>
  <w:num w:numId="38" w16cid:durableId="1080106225">
    <w:abstractNumId w:val="22"/>
  </w:num>
  <w:num w:numId="39" w16cid:durableId="171535264">
    <w:abstractNumId w:val="16"/>
  </w:num>
  <w:num w:numId="40" w16cid:durableId="7891294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401C"/>
    <w:rsid w:val="00021593"/>
    <w:rsid w:val="00023D9A"/>
    <w:rsid w:val="00036034"/>
    <w:rsid w:val="00053BF5"/>
    <w:rsid w:val="00057000"/>
    <w:rsid w:val="00057750"/>
    <w:rsid w:val="000640E0"/>
    <w:rsid w:val="0006729A"/>
    <w:rsid w:val="00086EEA"/>
    <w:rsid w:val="000A2C53"/>
    <w:rsid w:val="000A3367"/>
    <w:rsid w:val="000A5CA2"/>
    <w:rsid w:val="000B6F3B"/>
    <w:rsid w:val="000C2F9B"/>
    <w:rsid w:val="000C722F"/>
    <w:rsid w:val="000C7A68"/>
    <w:rsid w:val="000E1338"/>
    <w:rsid w:val="000E6A3A"/>
    <w:rsid w:val="000E7DE0"/>
    <w:rsid w:val="00101257"/>
    <w:rsid w:val="00103EFD"/>
    <w:rsid w:val="00111804"/>
    <w:rsid w:val="00125432"/>
    <w:rsid w:val="001262B3"/>
    <w:rsid w:val="00130600"/>
    <w:rsid w:val="00132713"/>
    <w:rsid w:val="00134024"/>
    <w:rsid w:val="00137606"/>
    <w:rsid w:val="00137F40"/>
    <w:rsid w:val="00160028"/>
    <w:rsid w:val="001871EC"/>
    <w:rsid w:val="00187298"/>
    <w:rsid w:val="001A670F"/>
    <w:rsid w:val="001B1237"/>
    <w:rsid w:val="001B5FB0"/>
    <w:rsid w:val="001C62B8"/>
    <w:rsid w:val="001D57B2"/>
    <w:rsid w:val="001E72E5"/>
    <w:rsid w:val="001E7B0E"/>
    <w:rsid w:val="001F141D"/>
    <w:rsid w:val="00200A06"/>
    <w:rsid w:val="002478AA"/>
    <w:rsid w:val="002559E9"/>
    <w:rsid w:val="002622FA"/>
    <w:rsid w:val="00263518"/>
    <w:rsid w:val="002756A0"/>
    <w:rsid w:val="00277326"/>
    <w:rsid w:val="00291567"/>
    <w:rsid w:val="002A401B"/>
    <w:rsid w:val="002A481B"/>
    <w:rsid w:val="002B3C3D"/>
    <w:rsid w:val="002C2246"/>
    <w:rsid w:val="002C26C0"/>
    <w:rsid w:val="002E79CB"/>
    <w:rsid w:val="002F7879"/>
    <w:rsid w:val="002F7F55"/>
    <w:rsid w:val="0030745F"/>
    <w:rsid w:val="00310DC2"/>
    <w:rsid w:val="00314630"/>
    <w:rsid w:val="0032090A"/>
    <w:rsid w:val="00321CDE"/>
    <w:rsid w:val="0032332D"/>
    <w:rsid w:val="00331136"/>
    <w:rsid w:val="00333E15"/>
    <w:rsid w:val="0033516E"/>
    <w:rsid w:val="00355F56"/>
    <w:rsid w:val="0036651C"/>
    <w:rsid w:val="0037746F"/>
    <w:rsid w:val="0038715D"/>
    <w:rsid w:val="00394DBF"/>
    <w:rsid w:val="003A43EF"/>
    <w:rsid w:val="003D4CD8"/>
    <w:rsid w:val="003F239F"/>
    <w:rsid w:val="003F2BED"/>
    <w:rsid w:val="0040347A"/>
    <w:rsid w:val="00405F88"/>
    <w:rsid w:val="00422DB9"/>
    <w:rsid w:val="00427BE8"/>
    <w:rsid w:val="00440F87"/>
    <w:rsid w:val="00443878"/>
    <w:rsid w:val="00445484"/>
    <w:rsid w:val="004712CA"/>
    <w:rsid w:val="0047422E"/>
    <w:rsid w:val="00481D4C"/>
    <w:rsid w:val="0048565C"/>
    <w:rsid w:val="0049280A"/>
    <w:rsid w:val="004B483D"/>
    <w:rsid w:val="004B6D2A"/>
    <w:rsid w:val="004C0673"/>
    <w:rsid w:val="004C1FA4"/>
    <w:rsid w:val="004C25CF"/>
    <w:rsid w:val="004C4F8C"/>
    <w:rsid w:val="004D693E"/>
    <w:rsid w:val="004F3816"/>
    <w:rsid w:val="00501A80"/>
    <w:rsid w:val="00510920"/>
    <w:rsid w:val="00510C75"/>
    <w:rsid w:val="0051199B"/>
    <w:rsid w:val="00517860"/>
    <w:rsid w:val="00531A50"/>
    <w:rsid w:val="0056481F"/>
    <w:rsid w:val="00566EDA"/>
    <w:rsid w:val="00572654"/>
    <w:rsid w:val="00575E62"/>
    <w:rsid w:val="005822F5"/>
    <w:rsid w:val="005B1E57"/>
    <w:rsid w:val="005B5629"/>
    <w:rsid w:val="005B5A16"/>
    <w:rsid w:val="005C0300"/>
    <w:rsid w:val="005C25E3"/>
    <w:rsid w:val="005D506F"/>
    <w:rsid w:val="005F4B6A"/>
    <w:rsid w:val="00615A0A"/>
    <w:rsid w:val="00621A25"/>
    <w:rsid w:val="006333D4"/>
    <w:rsid w:val="006369B2"/>
    <w:rsid w:val="00644730"/>
    <w:rsid w:val="00650859"/>
    <w:rsid w:val="00652C03"/>
    <w:rsid w:val="0065530C"/>
    <w:rsid w:val="00656F5E"/>
    <w:rsid w:val="006570B0"/>
    <w:rsid w:val="00681FA7"/>
    <w:rsid w:val="0069210B"/>
    <w:rsid w:val="006A4055"/>
    <w:rsid w:val="006C5641"/>
    <w:rsid w:val="006D1089"/>
    <w:rsid w:val="006D11F6"/>
    <w:rsid w:val="006D7355"/>
    <w:rsid w:val="00704DA0"/>
    <w:rsid w:val="007052B7"/>
    <w:rsid w:val="0071504D"/>
    <w:rsid w:val="00731135"/>
    <w:rsid w:val="007324AF"/>
    <w:rsid w:val="007409B4"/>
    <w:rsid w:val="0075525E"/>
    <w:rsid w:val="00756B0A"/>
    <w:rsid w:val="00762556"/>
    <w:rsid w:val="007638AB"/>
    <w:rsid w:val="007903F8"/>
    <w:rsid w:val="007929A3"/>
    <w:rsid w:val="00794F4F"/>
    <w:rsid w:val="007974BE"/>
    <w:rsid w:val="007A0916"/>
    <w:rsid w:val="007A0DFD"/>
    <w:rsid w:val="007A4BA0"/>
    <w:rsid w:val="007C7122"/>
    <w:rsid w:val="007D3F11"/>
    <w:rsid w:val="007F17FB"/>
    <w:rsid w:val="007F1869"/>
    <w:rsid w:val="007F664D"/>
    <w:rsid w:val="008071B7"/>
    <w:rsid w:val="00842137"/>
    <w:rsid w:val="0089088E"/>
    <w:rsid w:val="00892297"/>
    <w:rsid w:val="00893914"/>
    <w:rsid w:val="008A07EE"/>
    <w:rsid w:val="008A4DF6"/>
    <w:rsid w:val="008B3C30"/>
    <w:rsid w:val="008B3ED8"/>
    <w:rsid w:val="008C39F0"/>
    <w:rsid w:val="008C4EB5"/>
    <w:rsid w:val="008D2B69"/>
    <w:rsid w:val="008D489C"/>
    <w:rsid w:val="008D599B"/>
    <w:rsid w:val="008E0172"/>
    <w:rsid w:val="008E02FA"/>
    <w:rsid w:val="008E166A"/>
    <w:rsid w:val="008F5C46"/>
    <w:rsid w:val="00922242"/>
    <w:rsid w:val="00925BF5"/>
    <w:rsid w:val="00930F6B"/>
    <w:rsid w:val="009406B5"/>
    <w:rsid w:val="00943DCF"/>
    <w:rsid w:val="00945D28"/>
    <w:rsid w:val="00946166"/>
    <w:rsid w:val="009549DD"/>
    <w:rsid w:val="00971D47"/>
    <w:rsid w:val="00976615"/>
    <w:rsid w:val="00983164"/>
    <w:rsid w:val="009972EF"/>
    <w:rsid w:val="009974DE"/>
    <w:rsid w:val="009A439E"/>
    <w:rsid w:val="009A713C"/>
    <w:rsid w:val="009C1EF0"/>
    <w:rsid w:val="009D4014"/>
    <w:rsid w:val="009E6045"/>
    <w:rsid w:val="009E766E"/>
    <w:rsid w:val="009F715E"/>
    <w:rsid w:val="00A10DBB"/>
    <w:rsid w:val="00A25503"/>
    <w:rsid w:val="00A377E6"/>
    <w:rsid w:val="00A4013E"/>
    <w:rsid w:val="00A427CD"/>
    <w:rsid w:val="00A4600B"/>
    <w:rsid w:val="00A52193"/>
    <w:rsid w:val="00A5408E"/>
    <w:rsid w:val="00A679D3"/>
    <w:rsid w:val="00A67A81"/>
    <w:rsid w:val="00A728A3"/>
    <w:rsid w:val="00A730A6"/>
    <w:rsid w:val="00A84D6D"/>
    <w:rsid w:val="00A87D67"/>
    <w:rsid w:val="00A971A0"/>
    <w:rsid w:val="00AA1F22"/>
    <w:rsid w:val="00AA50C6"/>
    <w:rsid w:val="00AB06EB"/>
    <w:rsid w:val="00AB0AAF"/>
    <w:rsid w:val="00AC27F0"/>
    <w:rsid w:val="00AE443D"/>
    <w:rsid w:val="00AE6E71"/>
    <w:rsid w:val="00AF01D4"/>
    <w:rsid w:val="00AF2789"/>
    <w:rsid w:val="00B05821"/>
    <w:rsid w:val="00B11596"/>
    <w:rsid w:val="00B26C28"/>
    <w:rsid w:val="00B34358"/>
    <w:rsid w:val="00B41E39"/>
    <w:rsid w:val="00B453F5"/>
    <w:rsid w:val="00B45494"/>
    <w:rsid w:val="00B52165"/>
    <w:rsid w:val="00B53D1B"/>
    <w:rsid w:val="00B718A5"/>
    <w:rsid w:val="00B85886"/>
    <w:rsid w:val="00BA7B1B"/>
    <w:rsid w:val="00BF2B84"/>
    <w:rsid w:val="00C06846"/>
    <w:rsid w:val="00C322E8"/>
    <w:rsid w:val="00C42125"/>
    <w:rsid w:val="00C62814"/>
    <w:rsid w:val="00C707AC"/>
    <w:rsid w:val="00C73498"/>
    <w:rsid w:val="00C74937"/>
    <w:rsid w:val="00C83D70"/>
    <w:rsid w:val="00C855D0"/>
    <w:rsid w:val="00C9460E"/>
    <w:rsid w:val="00CC6148"/>
    <w:rsid w:val="00CD54C5"/>
    <w:rsid w:val="00CE78B5"/>
    <w:rsid w:val="00CF08D8"/>
    <w:rsid w:val="00D000A0"/>
    <w:rsid w:val="00D2467F"/>
    <w:rsid w:val="00D50C42"/>
    <w:rsid w:val="00D56C01"/>
    <w:rsid w:val="00D82094"/>
    <w:rsid w:val="00D873DA"/>
    <w:rsid w:val="00DA3508"/>
    <w:rsid w:val="00DD45BB"/>
    <w:rsid w:val="00DD7E18"/>
    <w:rsid w:val="00DE3062"/>
    <w:rsid w:val="00DF109F"/>
    <w:rsid w:val="00E03D7C"/>
    <w:rsid w:val="00E125BD"/>
    <w:rsid w:val="00E1406C"/>
    <w:rsid w:val="00E154E5"/>
    <w:rsid w:val="00E204DD"/>
    <w:rsid w:val="00E407D1"/>
    <w:rsid w:val="00E53C24"/>
    <w:rsid w:val="00E54072"/>
    <w:rsid w:val="00E85082"/>
    <w:rsid w:val="00EA65F7"/>
    <w:rsid w:val="00EB444D"/>
    <w:rsid w:val="00EB797D"/>
    <w:rsid w:val="00EC10BB"/>
    <w:rsid w:val="00ED3358"/>
    <w:rsid w:val="00ED4627"/>
    <w:rsid w:val="00EE187E"/>
    <w:rsid w:val="00EE7C22"/>
    <w:rsid w:val="00F00EFD"/>
    <w:rsid w:val="00F02294"/>
    <w:rsid w:val="00F075D9"/>
    <w:rsid w:val="00F11CD1"/>
    <w:rsid w:val="00F134ED"/>
    <w:rsid w:val="00F35F57"/>
    <w:rsid w:val="00F405F5"/>
    <w:rsid w:val="00F42C81"/>
    <w:rsid w:val="00F50467"/>
    <w:rsid w:val="00F662C8"/>
    <w:rsid w:val="00F824C2"/>
    <w:rsid w:val="00FC65C7"/>
    <w:rsid w:val="00FF4099"/>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4358"/>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CEO_Hyperlink,超级链接,Style 58,超?级链,超????,하이퍼링크2,超链接1,超?级链?,Style?,S,하이퍼링크21,超??级链Ú,fL????,fL?级,超??级链,超?级链Ú,’´?级链,’´????,’´??级链Ú,’´??级,ECC Hyperlink,超?级链ïÈ,õ±?级链,õ±链ïÈ1,õ±???"/>
    <w:basedOn w:val="DefaultParagraphFont"/>
    <w:uiPriority w:val="99"/>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A25503"/>
    <w:pPr>
      <w:spacing w:before="0" w:after="200"/>
    </w:pPr>
    <w:rPr>
      <w:i/>
      <w:iCs/>
      <w:color w:val="44546A" w:themeColor="text2"/>
      <w:sz w:val="18"/>
      <w:szCs w:val="18"/>
    </w:rPr>
  </w:style>
  <w:style w:type="paragraph" w:styleId="Header">
    <w:name w:val="header"/>
    <w:basedOn w:val="Normal"/>
    <w:link w:val="HeaderChar"/>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semiHidden/>
    <w:unhideWhenUsed/>
    <w:rsid w:val="00510920"/>
    <w:rPr>
      <w:sz w:val="20"/>
      <w:szCs w:val="20"/>
    </w:rPr>
  </w:style>
  <w:style w:type="character" w:customStyle="1" w:styleId="CommentTextChar">
    <w:name w:val="Comment Text Char"/>
    <w:basedOn w:val="DefaultParagraphFont"/>
    <w:link w:val="CommentText"/>
    <w:uiPriority w:val="99"/>
    <w:semiHidden/>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customStyle="1" w:styleId="Hashtag1">
    <w:name w:val="Hashtag1"/>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510920"/>
    <w:rPr>
      <w:u w:val="dotted"/>
    </w:rPr>
  </w:style>
  <w:style w:type="character" w:customStyle="1" w:styleId="SmartLink1">
    <w:name w:val="SmartLink1"/>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qFormat/>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unhideWhenUsed/>
    <w:qFormat/>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510920"/>
    <w:rPr>
      <w:color w:val="605E5C"/>
      <w:shd w:val="clear" w:color="auto" w:fill="E1DFDD"/>
    </w:rPr>
  </w:style>
  <w:style w:type="table" w:styleId="TableGrid">
    <w:name w:val="Table Grid"/>
    <w:basedOn w:val="TableNormal"/>
    <w:uiPriority w:val="39"/>
    <w:rsid w:val="00A5219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56F5E"/>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F2789"/>
    <w:rPr>
      <w:rFonts w:ascii="Times New Roman" w:hAnsi="Times New Roman" w:cs="Times New Roman"/>
      <w:sz w:val="24"/>
      <w:szCs w:val="24"/>
      <w:lang w:val="en-GB" w:eastAsia="ja-JP"/>
    </w:rPr>
  </w:style>
  <w:style w:type="paragraph" w:customStyle="1" w:styleId="toc0">
    <w:name w:val="toc 0"/>
    <w:basedOn w:val="Normal"/>
    <w:next w:val="TOC1"/>
    <w:rsid w:val="003D4CD8"/>
    <w:pPr>
      <w:keepLines/>
      <w:tabs>
        <w:tab w:val="right" w:pos="9639"/>
      </w:tabs>
      <w:overflowPunct w:val="0"/>
      <w:autoSpaceDE w:val="0"/>
      <w:autoSpaceDN w:val="0"/>
      <w:adjustRightInd w:val="0"/>
      <w:textAlignment w:val="baseline"/>
    </w:pPr>
    <w:rPr>
      <w:b/>
      <w:szCs w:val="20"/>
      <w:lang w:eastAsia="en-US"/>
    </w:rPr>
  </w:style>
  <w:style w:type="character" w:customStyle="1" w:styleId="enumlev1Char">
    <w:name w:val="enumlev1 Char"/>
    <w:link w:val="enumlev1"/>
    <w:rsid w:val="003D4CD8"/>
    <w:rPr>
      <w:rFonts w:ascii="Times New Roman" w:eastAsia="Times New Roman" w:hAnsi="Times New Roman" w:cs="Times New Roman"/>
      <w:sz w:val="24"/>
      <w:szCs w:val="20"/>
      <w:lang w:val="en-GB" w:eastAsia="en-US"/>
    </w:rPr>
  </w:style>
  <w:style w:type="paragraph" w:customStyle="1" w:styleId="NormalFR">
    <w:name w:val="NormalFR"/>
    <w:basedOn w:val="Normal"/>
    <w:qFormat/>
    <w:rsid w:val="00F42C81"/>
    <w:pPr>
      <w:tabs>
        <w:tab w:val="left" w:pos="794"/>
        <w:tab w:val="left" w:pos="1191"/>
        <w:tab w:val="left" w:pos="1588"/>
        <w:tab w:val="left" w:pos="1985"/>
      </w:tabs>
      <w:jc w:val="both"/>
    </w:pPr>
    <w:rPr>
      <w:rFonts w:asciiTheme="minorHAnsi" w:hAnsiTheme="minorHAnsi"/>
      <w:sz w:val="22"/>
      <w:lang w:val="en-US"/>
    </w:rPr>
  </w:style>
  <w:style w:type="paragraph" w:styleId="Revision">
    <w:name w:val="Revision"/>
    <w:hidden/>
    <w:uiPriority w:val="99"/>
    <w:semiHidden/>
    <w:rsid w:val="00CF08D8"/>
    <w:pPr>
      <w:spacing w:after="0" w:line="240" w:lineRule="auto"/>
    </w:pPr>
    <w:rPr>
      <w:rFonts w:ascii="Times New Roma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160028"/>
    <w:rPr>
      <w:color w:val="605E5C"/>
      <w:shd w:val="clear" w:color="auto" w:fill="E1DFDD"/>
    </w:rPr>
  </w:style>
  <w:style w:type="character" w:styleId="UnresolvedMention">
    <w:name w:val="Unresolved Mention"/>
    <w:basedOn w:val="DefaultParagraphFont"/>
    <w:uiPriority w:val="99"/>
    <w:semiHidden/>
    <w:unhideWhenUsed/>
    <w:rsid w:val="00925BF5"/>
    <w:rPr>
      <w:color w:val="605E5C"/>
      <w:shd w:val="clear" w:color="auto" w:fill="E1DFDD"/>
    </w:rPr>
  </w:style>
  <w:style w:type="table" w:customStyle="1" w:styleId="TableGrid1">
    <w:name w:val="Table Grid1"/>
    <w:basedOn w:val="TableNormal"/>
    <w:next w:val="TableGrid"/>
    <w:uiPriority w:val="39"/>
    <w:rsid w:val="00501A8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322499">
      <w:bodyDiv w:val="1"/>
      <w:marLeft w:val="0"/>
      <w:marRight w:val="0"/>
      <w:marTop w:val="0"/>
      <w:marBottom w:val="0"/>
      <w:divBdr>
        <w:top w:val="none" w:sz="0" w:space="0" w:color="auto"/>
        <w:left w:val="none" w:sz="0" w:space="0" w:color="auto"/>
        <w:bottom w:val="none" w:sz="0" w:space="0" w:color="auto"/>
        <w:right w:val="none" w:sz="0" w:space="0" w:color="auto"/>
      </w:divBdr>
      <w:divsChild>
        <w:div w:id="156822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tranet.itu.int/meetings/ITU-T/T22-TSAGRGM/RGDT-231117/DOCs/T22-TSAGRGM-RGDT-231117-DOC-0001.docx" TargetMode="External"/><Relationship Id="rId18" Type="http://schemas.openxmlformats.org/officeDocument/2006/relationships/header" Target="header1.xml"/><Relationship Id="rId26" Type="http://schemas.openxmlformats.org/officeDocument/2006/relationships/hyperlink" Target="https://www.itu.int/md/D22-SG02-C-0134/en" TargetMode="External"/><Relationship Id="rId39" Type="http://schemas.openxmlformats.org/officeDocument/2006/relationships/hyperlink" Target="https://www.itu.int/md/D22-SG01-R/" TargetMode="External"/><Relationship Id="rId21" Type="http://schemas.openxmlformats.org/officeDocument/2006/relationships/hyperlink" Target="https://www.itu.int/itu-d/sites/ict-applications/" TargetMode="External"/><Relationship Id="rId34" Type="http://schemas.openxmlformats.org/officeDocument/2006/relationships/hyperlink" Target="https://www.itu.int/itu-d/sites/ict-infrastructure/" TargetMode="External"/><Relationship Id="rId42" Type="http://schemas.openxmlformats.org/officeDocument/2006/relationships/hyperlink" Target="https://www.itu.int/ITU-T/workprog/wp_item.aspx?isn=18481"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xtranet.itu.int/meetings/ITU-T/T22-TSAGRGM/RGDT-240701/DOCs/T22-TSAGRGM-RGDT-240701-DOC-0007.docx" TargetMode="External"/><Relationship Id="rId29" Type="http://schemas.openxmlformats.org/officeDocument/2006/relationships/hyperlink" Target="https://www.itu.int/en/ITU-D/Technology/Pages/ConformanceandInteroperabilit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itu-d/sites/ict-applications/" TargetMode="External"/><Relationship Id="rId32" Type="http://schemas.openxmlformats.org/officeDocument/2006/relationships/hyperlink" Target="https://www.itu.int/itu-d/sites/environment/" TargetMode="External"/><Relationship Id="rId37" Type="http://schemas.openxmlformats.org/officeDocument/2006/relationships/hyperlink" Target="https://www.itu.int/md/D22-SG01-R/" TargetMode="External"/><Relationship Id="rId40" Type="http://schemas.openxmlformats.org/officeDocument/2006/relationships/hyperlink" Target="https://www.itu.int/ITU-T/recommendations/rec.aspx?rec=15046" TargetMode="External"/><Relationship Id="rId45" Type="http://schemas.openxmlformats.org/officeDocument/2006/relationships/hyperlink" Target="https://www.itu.int/itu-t/workprog/wp_item.aspx?isn=18472" TargetMode="External"/><Relationship Id="rId5" Type="http://schemas.openxmlformats.org/officeDocument/2006/relationships/numbering" Target="numbering.xml"/><Relationship Id="rId15" Type="http://schemas.openxmlformats.org/officeDocument/2006/relationships/hyperlink" Target="https://extranet.itu.int/meetings/ITU-T/T22-TSAGRGM/RGDT-240423/DOCs/T22-TSAGRGM-RGDT-240423-DOC-0003.docx" TargetMode="External"/><Relationship Id="rId23" Type="http://schemas.openxmlformats.org/officeDocument/2006/relationships/hyperlink" Target="https://www.itu.int/en/myitu/Publications/2021/07/22/12/07/Emerging-technologies" TargetMode="External"/><Relationship Id="rId28" Type="http://schemas.openxmlformats.org/officeDocument/2006/relationships/hyperlink" Target="https://www.itu.int/en/myitu/Publications/2021/09/28/17/06/Assistance-to-developing-countries-to-implement-conformance-interoperability-anti-counterfeit" TargetMode="External"/><Relationship Id="rId36" Type="http://schemas.openxmlformats.org/officeDocument/2006/relationships/hyperlink" Target="https://www.itu.int/md/D22-SG01-C-0160/en" TargetMode="External"/><Relationship Id="rId10" Type="http://schemas.openxmlformats.org/officeDocument/2006/relationships/endnotes" Target="endnotes.xml"/><Relationship Id="rId19" Type="http://schemas.openxmlformats.org/officeDocument/2006/relationships/hyperlink" Target="https://www.itu.int/ITU-T/recommendations/rec.aspx?rec=13977&amp;lang=en" TargetMode="External"/><Relationship Id="rId31" Type="http://schemas.openxmlformats.org/officeDocument/2006/relationships/hyperlink" Target="https://www.itu.int/en/myitu/Publications/2021/10/01/08/28/Information-and-communication-technologies-and-the-environment" TargetMode="External"/><Relationship Id="rId44" Type="http://schemas.openxmlformats.org/officeDocument/2006/relationships/hyperlink" Target="https://www.itu.int/ITU-T/workprog/wp_item.aspx?isn=1848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meetings/ITU-T/T22-TSAGRGM/RGDT-240305/DOCs/T22-TSAGRGM-RGDT-240305-DOC-0003.docx" TargetMode="External"/><Relationship Id="rId22" Type="http://schemas.openxmlformats.org/officeDocument/2006/relationships/hyperlink" Target="https://www.itu.int/hub/publication/D-STG-SG02.02.3-2021/" TargetMode="External"/><Relationship Id="rId27" Type="http://schemas.openxmlformats.org/officeDocument/2006/relationships/hyperlink" Target="https://www.itu.int/itu-d/sites/cybersecurity/" TargetMode="External"/><Relationship Id="rId30" Type="http://schemas.openxmlformats.org/officeDocument/2006/relationships/hyperlink" Target="https://www.itu.int/itu-d/sites/capacity-development/" TargetMode="External"/><Relationship Id="rId35" Type="http://schemas.openxmlformats.org/officeDocument/2006/relationships/hyperlink" Target="https://www.itu.int/pub/D-STG-SG01.02.2-2021" TargetMode="External"/><Relationship Id="rId43" Type="http://schemas.openxmlformats.org/officeDocument/2006/relationships/hyperlink" Target="https://www.itu.int/ITU-T/workprog/wp_item.aspx?isn=18918"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xtranet.itu.int/meetings/ITU-T/T22-TSAGRGM/RGDT-230927/DOCs/T22-TSAGRGM-RGDT-230927-DOC-0003.docx" TargetMode="External"/><Relationship Id="rId17" Type="http://schemas.openxmlformats.org/officeDocument/2006/relationships/hyperlink" Target="https://extranet.itu.int/meetings/ITU-T/T22-TSAGRGM/RGDT-240701/DOCs/T22-TSAGRGM-RGDT-240701-DOC-0001.docx" TargetMode="External"/><Relationship Id="rId25" Type="http://schemas.openxmlformats.org/officeDocument/2006/relationships/hyperlink" Target="https://www.itu.int/en/myitu/Publications/2021/09/28/13/54/SG2-Q3-2-Final-Report" TargetMode="External"/><Relationship Id="rId33" Type="http://schemas.openxmlformats.org/officeDocument/2006/relationships/hyperlink" Target="https://www.itu.int/en/myitu/Publications/2021/10/01/08/44/Policies-guidelines-of-human-exposure-to-radio-frequency-electromagnetic-fields" TargetMode="External"/><Relationship Id="rId38" Type="http://schemas.openxmlformats.org/officeDocument/2006/relationships/hyperlink" Target="https://www.itu.int/pub/D-STG-SG01.04.2-2021" TargetMode="External"/><Relationship Id="rId46" Type="http://schemas.openxmlformats.org/officeDocument/2006/relationships/header" Target="header2.xml"/><Relationship Id="rId20" Type="http://schemas.openxmlformats.org/officeDocument/2006/relationships/hyperlink" Target="https://www.itu.int/hub/publication/D-STG-SG02.01.2-2021/" TargetMode="External"/><Relationship Id="rId41" Type="http://schemas.openxmlformats.org/officeDocument/2006/relationships/hyperlink" Target="https://www.itu.int/ITU-T/workprog/wp_item.aspx?isn=18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tgdoc" ma:contentTypeID="0x01010072A901B997EC694AA911983CD90730E700DEA2B4E2CBECDB43ABC768DF6810A8D5" ma:contentTypeVersion="0" ma:contentTypeDescription="" ma:contentTypeScope="" ma:versionID="b25b7c87a409073fdd813420230bda29">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hen xmlns="3f6fad35-1f81-480e-a4e5-6e5474dcfb96">2023-05-11</When>
    <Meeting xmlns="3f6fad35-1f81-480e-a4e5-6e5474dcfb96">726</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TD472 is RG-WTSA Rapporteur’s proposal, based on TD261R1, taking into consideration C60R2, for draft A.SupWTSAGL “WTSA preparation guideline on Resolutions” for further discussion and progress by RG-WTSA AHC drafting session at 0830-0930 on 24 Jan 2024. TD472R1 is the result of the RG-WTSA AHC drafting session at 0830-0930 on 24 Jan 2024. TD472R2 is editorial revision from Rapporteur. TD472R3 is the result after second RG-WTSA session. </Abstract>
    <SourceRGM xmlns="3f6fad35-1f81-480e-a4e5-6e5474dcfb96">TSAG RG-WTSA Rapporteurs</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RGWTSA</QuestionText>
    <DocTypeText xmlns="3f6fad35-1f81-480e-a4e5-6e5474dcfb96">DOC</DocTypeText>
    <CategoryDescription xmlns="http://schemas.microsoft.com/sharepoint.v3">TSAG RG-WTSA e-meeting</CategoryDescription>
    <ShortName xmlns="3f6fad35-1f81-480e-a4e5-6e5474dcfb96">RGWTSA-DOC1 Rev.1(230511)</ShortName>
    <Place xmlns="3f6fad35-1f81-480e-a4e5-6e5474dcfb96">E-Meeting</Place>
    <IsTooLateSubmitted xmlns="3f6fad35-1f81-480e-a4e5-6e5474dcfb96">false</IsTooLateSubmitted>
    <Observations xmlns="3f6fad35-1f81-480e-a4e5-6e5474dcfb96" xsi:nil="true"/>
    <DocumentSource xmlns="3f6fad35-1f81-480e-a4e5-6e5474dcfb96">TSAG RG-WTSA Rapporteurs</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RGWTSA</TermName>
          <TermId xmlns="http://schemas.microsoft.com/office/infopath/2007/PartnerControls">1b321bde-1780-4502-8fc4-4718f04990a9</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1237</Value>
    </TaxCatchAll>
    <IsLastVersion xmlns="3f6fad35-1f81-480e-a4e5-6e5474dcfb96">true</IsLastVersion>
    <Area xmlns="3f6fad35-1f81-480e-a4e5-6e5474dcfb96" xsi:nil="true"/>
    <DocStatusText xmlns="3f6fad35-1f81-480e-a4e5-6e5474dcfb96" xsi:nil="true"/>
  </documentManagement>
</p:properties>
</file>

<file path=customXml/itemProps1.xml><?xml version="1.0" encoding="utf-8"?>
<ds:datastoreItem xmlns:ds="http://schemas.openxmlformats.org/officeDocument/2006/customXml" ds:itemID="{42D6CC1E-752D-42CC-925E-6AA201A7E0D9}">
  <ds:schemaRefs>
    <ds:schemaRef ds:uri="http://schemas.openxmlformats.org/officeDocument/2006/bibliography"/>
  </ds:schemaRefs>
</ds:datastoreItem>
</file>

<file path=customXml/itemProps2.xml><?xml version="1.0" encoding="utf-8"?>
<ds:datastoreItem xmlns:ds="http://schemas.openxmlformats.org/officeDocument/2006/customXml" ds:itemID="{7C4A48D4-48BA-4D0E-A2F8-7A716856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3960</Words>
  <Characters>25384</Characters>
  <Application>Microsoft Office Word</Application>
  <DocSecurity>0</DocSecurity>
  <Lines>1015</Lines>
  <Paragraphs>407</Paragraphs>
  <ScaleCrop>false</ScaleCrop>
  <HeadingPairs>
    <vt:vector size="2" baseType="variant">
      <vt:variant>
        <vt:lpstr>Title</vt:lpstr>
      </vt:variant>
      <vt:variant>
        <vt:i4>1</vt:i4>
      </vt:variant>
    </vt:vector>
  </HeadingPairs>
  <TitlesOfParts>
    <vt:vector size="1" baseType="lpstr">
      <vt:lpstr>Draft A.SupWTSAGL “WTSA preparation guideline on Resolutions”</vt:lpstr>
    </vt:vector>
  </TitlesOfParts>
  <Manager>ITU-T</Manager>
  <Company>International Telecommunication Union (ITU)</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A.SupWTSAGL “WTSA preparation guideline on Resolutions”</dc:title>
  <dc:subject/>
  <dc:creator>TSAG RG-WTSA Rapporteurs</dc:creator>
  <cp:keywords>N/A</cp:keywords>
  <dc:description>TSAG-TD261/WP1  For: Geneva, 30 May - 2 June 2023_x000d_Document date: _x000d_Saved by ITU51014832 at 16:43:48 on 5/15/2023</dc:description>
  <cp:lastModifiedBy>Al-Mnini, Lara</cp:lastModifiedBy>
  <cp:revision>3</cp:revision>
  <dcterms:created xsi:type="dcterms:W3CDTF">2024-07-16T10:03:00Z</dcterms:created>
  <dcterms:modified xsi:type="dcterms:W3CDTF">2024-07-16T10:06:00Z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0x01010072A901B997EC694AA911983CD90730E700DEA2B4E2CBECDB43ABC768DF6810A8D5</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1237;#RGWTSA|1b321bde-1780-4502-8fc4-4718f04990a9</vt:lpwstr>
  </property>
  <property fmtid="{D5CDD505-2E9C-101B-9397-08002B2CF9AE}" pid="10" name="Docnum">
    <vt:lpwstr>TSAG-TD261/WP1</vt:lpwstr>
  </property>
  <property fmtid="{D5CDD505-2E9C-101B-9397-08002B2CF9AE}" pid="11" name="Docdate">
    <vt:lpwstr/>
  </property>
  <property fmtid="{D5CDD505-2E9C-101B-9397-08002B2CF9AE}" pid="12" name="Docorlang">
    <vt:lpwstr/>
  </property>
  <property fmtid="{D5CDD505-2E9C-101B-9397-08002B2CF9AE}" pid="13" name="Docbluepink">
    <vt:lpwstr>RGWTSA</vt:lpwstr>
  </property>
  <property fmtid="{D5CDD505-2E9C-101B-9397-08002B2CF9AE}" pid="14" name="Docdest">
    <vt:lpwstr>Geneva, 30 May - 2 June 2023</vt:lpwstr>
  </property>
  <property fmtid="{D5CDD505-2E9C-101B-9397-08002B2CF9AE}" pid="15" name="Docauthor">
    <vt:lpwstr>TSAG RG-WTSA Rapporteurs</vt:lpwstr>
  </property>
</Properties>
</file>