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41A2F0E2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</w:t>
            </w:r>
            <w:r w:rsidR="00A12734">
              <w:t>5</w:t>
            </w:r>
            <w:r w:rsidR="00171B0A">
              <w:t>21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7051B3A5" w:rsidR="005A64A7" w:rsidRPr="0037415F" w:rsidRDefault="00A12734" w:rsidP="0081064E">
            <w:pPr>
              <w:pStyle w:val="VenueDate"/>
            </w:pPr>
            <w:r w:rsidRPr="00B738F8">
              <w:t xml:space="preserve">Geneva, </w:t>
            </w:r>
            <w:r>
              <w:t>29 July – 2 August 2024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876E2A2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</w:t>
            </w:r>
            <w:r w:rsidR="00350298">
              <w:t>IEM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5707844C" w:rsidR="005A64A7" w:rsidRPr="00FA2E6D" w:rsidRDefault="00350298" w:rsidP="00054813">
            <w:pPr>
              <w:pStyle w:val="TSBHeaderTitle"/>
              <w:rPr>
                <w:highlight w:val="yellow"/>
              </w:rPr>
            </w:pPr>
            <w:r w:rsidRPr="00350298">
              <w:t>Industry Engagement, Metrics</w:t>
            </w:r>
            <w:r w:rsidR="008132CC" w:rsidRPr="008132CC">
              <w:t xml:space="preserve"> (TSAG RG-</w:t>
            </w:r>
            <w:r w:rsidR="00973920">
              <w:t>IEM</w:t>
            </w:r>
            <w:r w:rsidR="008132CC" w:rsidRPr="008132CC">
              <w:t xml:space="preserve">) </w:t>
            </w:r>
            <w:r w:rsidR="00E34FC1">
              <w:t>Report</w:t>
            </w:r>
            <w:r w:rsidR="008132CC" w:rsidRPr="008132CC">
              <w:t xml:space="preserve"> </w:t>
            </w:r>
            <w:r w:rsidR="00EA56F2">
              <w:t>(</w:t>
            </w:r>
            <w:r w:rsidR="00A12734" w:rsidRPr="00B738F8">
              <w:t xml:space="preserve">Geneva, </w:t>
            </w:r>
            <w:r w:rsidR="00A12734">
              <w:t>29 July – 2 August 2024</w:t>
            </w:r>
            <w:r w:rsidR="00E87030">
              <w:t>)</w:t>
            </w:r>
          </w:p>
        </w:tc>
      </w:tr>
      <w:bookmarkEnd w:id="2"/>
      <w:bookmarkEnd w:id="7"/>
      <w:tr w:rsidR="006D78DC" w:rsidRPr="00350298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21E0A280" w:rsidR="006D78DC" w:rsidRPr="00350298" w:rsidRDefault="00350298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</w:p>
          <w:p w14:paraId="3C0D730F" w14:textId="7AF75B87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ED5E235" w14:textId="77777777" w:rsidR="00350298" w:rsidRPr="00350298" w:rsidRDefault="00350298" w:rsidP="0035029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</w:p>
          <w:p w14:paraId="6B03EBFA" w14:textId="7B38F120" w:rsidR="006D78DC" w:rsidRPr="00B769A8" w:rsidRDefault="00350298" w:rsidP="00350298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171B0A" w:rsidRPr="00396CFF" w14:paraId="293D3577" w14:textId="77777777" w:rsidTr="00171B0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738F89" w14:textId="77777777" w:rsidR="00171B0A" w:rsidRPr="2149A48D" w:rsidRDefault="00171B0A" w:rsidP="00331DCD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562A0D" w14:textId="77777777" w:rsidR="00171B0A" w:rsidRPr="00171B0A" w:rsidRDefault="00171B0A" w:rsidP="00331DCD">
            <w:pPr>
              <w:rPr>
                <w:rFonts w:asciiTheme="majorBidi" w:hAnsiTheme="majorBidi" w:cstheme="majorBidi"/>
                <w:bCs/>
              </w:rPr>
            </w:pPr>
            <w:r w:rsidRPr="00171B0A">
              <w:rPr>
                <w:rFonts w:asciiTheme="majorBidi" w:hAnsiTheme="majorBidi" w:cstheme="majorBidi"/>
                <w:bCs/>
              </w:rPr>
              <w:t>Martin ADOLPH</w:t>
            </w:r>
            <w:r w:rsidRPr="00171B0A">
              <w:rPr>
                <w:rFonts w:asciiTheme="majorBidi" w:hAnsiTheme="majorBidi" w:cstheme="majorBidi"/>
                <w:bCs/>
              </w:rPr>
              <w:br/>
              <w:t>Counsellor, TSAG RG-IEM</w:t>
            </w:r>
            <w:r w:rsidRPr="00171B0A">
              <w:rPr>
                <w:rFonts w:asciiTheme="majorBidi" w:hAnsiTheme="majorBidi" w:cstheme="majorBidi"/>
                <w:bCs/>
              </w:rPr>
              <w:br/>
              <w:t>ITU/TSB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397FFCC" w14:textId="77777777" w:rsidR="00171B0A" w:rsidRPr="001B0B52" w:rsidRDefault="00171B0A" w:rsidP="00331DCD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>Tel:             +41 79 592 4984</w:t>
            </w:r>
            <w:r w:rsidRPr="001B0B52">
              <w:rPr>
                <w:rFonts w:asciiTheme="majorBidi" w:hAnsiTheme="majorBidi" w:cstheme="majorBidi"/>
                <w:bCs/>
                <w:lang w:val="de-DE"/>
              </w:rPr>
              <w:br/>
              <w:t xml:space="preserve">E-mail:     </w:t>
            </w:r>
            <w:r w:rsidR="00396CFF">
              <w:fldChar w:fldCharType="begin"/>
            </w:r>
            <w:r w:rsidR="00396CFF" w:rsidRPr="00396CFF">
              <w:rPr>
                <w:lang w:val="de-DE"/>
              </w:rPr>
              <w:instrText>HYPERLINK "mailto:martin.adolph@itu.int"</w:instrText>
            </w:r>
            <w:r w:rsidR="00396CFF">
              <w:fldChar w:fldCharType="separate"/>
            </w:r>
            <w:r w:rsidRPr="00171B0A">
              <w:rPr>
                <w:rStyle w:val="Hyperlink"/>
                <w:rFonts w:asciiTheme="majorBidi" w:hAnsiTheme="majorBidi" w:cstheme="majorBidi"/>
                <w:bCs/>
                <w:lang w:val="de-DE"/>
              </w:rPr>
              <w:t>martin.adolph@itu.int</w:t>
            </w:r>
            <w:r w:rsidR="00396CFF">
              <w:rPr>
                <w:rStyle w:val="Hyperlink"/>
                <w:rFonts w:asciiTheme="majorBidi" w:hAnsiTheme="majorBidi" w:cstheme="majorBidi"/>
                <w:bCs/>
                <w:lang w:val="de-DE"/>
              </w:rPr>
              <w:fldChar w:fldCharType="end"/>
            </w: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5C06F0AD" w14:textId="77777777" w:rsidR="005A64A7" w:rsidRPr="00146800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08939C21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</w:t>
            </w:r>
            <w:r w:rsidR="00913071">
              <w:t>report</w:t>
            </w:r>
            <w:r w:rsidRPr="00DE1F2E">
              <w:t xml:space="preserve"> </w:t>
            </w:r>
            <w:r w:rsidR="00C6028E">
              <w:t xml:space="preserve">of </w:t>
            </w:r>
            <w:r w:rsidRPr="00DE1F2E">
              <w:t xml:space="preserve">the session of the TSAG Rapporteur Group on </w:t>
            </w:r>
            <w:r w:rsidR="00350298">
              <w:t>Industry Engagement, Metrics</w:t>
            </w:r>
            <w:r w:rsidRPr="00DE1F2E">
              <w:t xml:space="preserve"> during this TSAG meeting</w:t>
            </w:r>
            <w:r>
              <w:t xml:space="preserve"> (</w:t>
            </w:r>
            <w:r w:rsidR="00A12734" w:rsidRPr="00B738F8">
              <w:t xml:space="preserve">Geneva, </w:t>
            </w:r>
            <w:r w:rsidR="00A12734">
              <w:t>29 July – 2 August 2024</w:t>
            </w:r>
            <w:r>
              <w:t>)</w:t>
            </w:r>
            <w:r w:rsidR="009C50CF">
              <w:t>.</w:t>
            </w:r>
          </w:p>
        </w:tc>
      </w:tr>
    </w:tbl>
    <w:p w14:paraId="09122813" w14:textId="6C55F815" w:rsidR="0045769F" w:rsidRDefault="007A3ED9" w:rsidP="007A3ED9">
      <w:pPr>
        <w:pStyle w:val="Heading1"/>
      </w:pPr>
      <w:r w:rsidRPr="007A3ED9">
        <w:t>0</w:t>
      </w:r>
      <w:r w:rsidRPr="007A3ED9">
        <w:tab/>
      </w:r>
      <w:r w:rsidR="00C14202" w:rsidRPr="00F23D5E">
        <w:t>Action</w:t>
      </w:r>
      <w:r w:rsidR="0063108E">
        <w:t>s</w:t>
      </w:r>
      <w:r w:rsidR="006C5843">
        <w:t xml:space="preserve"> from RG-IEM to WP2</w:t>
      </w:r>
    </w:p>
    <w:p w14:paraId="534260EF" w14:textId="77777777" w:rsidR="0089410A" w:rsidRDefault="0089410A" w:rsidP="0089410A">
      <w:pPr>
        <w:rPr>
          <w:b/>
          <w:bCs/>
        </w:rPr>
      </w:pPr>
    </w:p>
    <w:p w14:paraId="65270B66" w14:textId="77777777" w:rsidR="0063108E" w:rsidRPr="00C54964" w:rsidRDefault="0063108E" w:rsidP="0063108E">
      <w:pPr>
        <w:rPr>
          <w:b/>
          <w:bCs/>
        </w:rPr>
      </w:pPr>
      <w:r w:rsidRPr="00C54964">
        <w:rPr>
          <w:b/>
          <w:bCs/>
        </w:rPr>
        <w:t xml:space="preserve">RG-IEM-1: to request </w:t>
      </w:r>
      <w:r>
        <w:rPr>
          <w:b/>
          <w:bCs/>
        </w:rPr>
        <w:t xml:space="preserve">TSAG through </w:t>
      </w:r>
      <w:r w:rsidRPr="00C54964">
        <w:rPr>
          <w:b/>
          <w:bCs/>
        </w:rPr>
        <w:t xml:space="preserve">WP2 </w:t>
      </w:r>
      <w:r>
        <w:rPr>
          <w:b/>
          <w:bCs/>
        </w:rPr>
        <w:t xml:space="preserve">to agree </w:t>
      </w:r>
      <w:r w:rsidRPr="00C54964">
        <w:rPr>
          <w:b/>
          <w:bCs/>
        </w:rPr>
        <w:t xml:space="preserve">the revised action plan in </w:t>
      </w:r>
      <w:hyperlink r:id="rId12" w:history="1">
        <w:r w:rsidRPr="0063108E">
          <w:rPr>
            <w:rStyle w:val="Hyperlink"/>
            <w:b/>
            <w:bCs/>
          </w:rPr>
          <w:t>TSAG-TD624R2</w:t>
        </w:r>
      </w:hyperlink>
      <w:r w:rsidRPr="00C54964">
        <w:rPr>
          <w:b/>
          <w:bCs/>
        </w:rPr>
        <w:t>.</w:t>
      </w:r>
    </w:p>
    <w:p w14:paraId="25ED475C" w14:textId="77777777" w:rsidR="0063108E" w:rsidRPr="00C54964" w:rsidRDefault="0063108E" w:rsidP="0063108E">
      <w:pPr>
        <w:rPr>
          <w:b/>
          <w:bCs/>
        </w:rPr>
      </w:pPr>
      <w:r w:rsidRPr="00C54964">
        <w:rPr>
          <w:b/>
          <w:bCs/>
        </w:rPr>
        <w:t xml:space="preserve">RG-IEM-2: to request TSAG through WP2 to include </w:t>
      </w:r>
      <w:hyperlink r:id="rId13" w:history="1">
        <w:r w:rsidRPr="0063108E">
          <w:rPr>
            <w:rStyle w:val="Hyperlink"/>
            <w:b/>
            <w:bCs/>
          </w:rPr>
          <w:t>TSAG-TD624R2</w:t>
        </w:r>
      </w:hyperlink>
      <w:r w:rsidRPr="00C54964">
        <w:rPr>
          <w:b/>
          <w:bCs/>
        </w:rPr>
        <w:t xml:space="preserve"> in the TSAG meeting report.</w:t>
      </w:r>
    </w:p>
    <w:p w14:paraId="1AD75F34" w14:textId="77777777" w:rsidR="0063108E" w:rsidRDefault="0063108E" w:rsidP="0063108E">
      <w:pPr>
        <w:rPr>
          <w:b/>
          <w:bCs/>
        </w:rPr>
      </w:pPr>
      <w:r w:rsidRPr="00C54964">
        <w:rPr>
          <w:b/>
          <w:bCs/>
        </w:rPr>
        <w:t xml:space="preserve">RG-IEM-3: to request TSAG through WP2 to include </w:t>
      </w:r>
      <w:hyperlink r:id="rId14" w:history="1">
        <w:r w:rsidRPr="0063108E">
          <w:rPr>
            <w:rStyle w:val="Hyperlink"/>
            <w:b/>
            <w:bCs/>
          </w:rPr>
          <w:t>TSAG-TD624R2</w:t>
        </w:r>
      </w:hyperlink>
      <w:r w:rsidRPr="00C54964">
        <w:rPr>
          <w:b/>
          <w:bCs/>
        </w:rPr>
        <w:t xml:space="preserve"> in the TSAG report (Part I) to WTSA-24.</w:t>
      </w:r>
    </w:p>
    <w:p w14:paraId="536C0C01" w14:textId="77777777" w:rsidR="0063108E" w:rsidRPr="00C54964" w:rsidRDefault="0063108E" w:rsidP="0063108E">
      <w:pPr>
        <w:rPr>
          <w:b/>
          <w:bCs/>
        </w:rPr>
      </w:pPr>
      <w:r>
        <w:rPr>
          <w:b/>
          <w:bCs/>
        </w:rPr>
        <w:t>RG-IEM-4</w:t>
      </w:r>
      <w:r w:rsidRPr="00C54964">
        <w:rPr>
          <w:b/>
          <w:bCs/>
        </w:rPr>
        <w:t>: to request TSAG through WP2 to</w:t>
      </w:r>
      <w:r>
        <w:rPr>
          <w:b/>
          <w:bCs/>
        </w:rPr>
        <w:t xml:space="preserve"> approve the liaison statement in </w:t>
      </w:r>
      <w:hyperlink r:id="rId15" w:history="1">
        <w:r w:rsidRPr="0063108E">
          <w:rPr>
            <w:rStyle w:val="Hyperlink"/>
            <w:b/>
            <w:bCs/>
          </w:rPr>
          <w:t>TSAG-TD671</w:t>
        </w:r>
      </w:hyperlink>
      <w:r w:rsidRPr="00C54964">
        <w:rPr>
          <w:b/>
          <w:bCs/>
        </w:rPr>
        <w:t>.</w:t>
      </w:r>
    </w:p>
    <w:p w14:paraId="66278331" w14:textId="7191E6CD" w:rsidR="00700607" w:rsidRDefault="00700607" w:rsidP="00700607">
      <w:pPr>
        <w:rPr>
          <w:b/>
          <w:bCs/>
        </w:rPr>
      </w:pPr>
      <w:r w:rsidRPr="00C54964">
        <w:rPr>
          <w:b/>
          <w:bCs/>
        </w:rPr>
        <w:t>RG-IEM-</w:t>
      </w:r>
      <w:r>
        <w:rPr>
          <w:b/>
          <w:bCs/>
        </w:rPr>
        <w:t>5</w:t>
      </w:r>
      <w:r w:rsidRPr="00C54964">
        <w:rPr>
          <w:b/>
          <w:bCs/>
        </w:rPr>
        <w:t xml:space="preserve">: to request TSAG through WP2 to include </w:t>
      </w:r>
      <w:hyperlink r:id="rId16" w:history="1">
        <w:r w:rsidRPr="0063108E">
          <w:rPr>
            <w:rStyle w:val="Hyperlink"/>
            <w:b/>
            <w:bCs/>
          </w:rPr>
          <w:t>TSAG-TD6</w:t>
        </w:r>
        <w:r>
          <w:rPr>
            <w:rStyle w:val="Hyperlink"/>
            <w:b/>
            <w:bCs/>
          </w:rPr>
          <w:t>66R4</w:t>
        </w:r>
      </w:hyperlink>
      <w:r w:rsidRPr="00C54964">
        <w:rPr>
          <w:b/>
          <w:bCs/>
        </w:rPr>
        <w:t xml:space="preserve"> in the TSAG report (Part I) to WTSA-24.</w:t>
      </w:r>
    </w:p>
    <w:p w14:paraId="13C23099" w14:textId="77777777" w:rsidR="00700607" w:rsidRDefault="00700607" w:rsidP="0063108E">
      <w:pPr>
        <w:rPr>
          <w:b/>
          <w:bCs/>
        </w:rPr>
      </w:pPr>
    </w:p>
    <w:p w14:paraId="475BB456" w14:textId="6F4A7F7E" w:rsidR="0063108E" w:rsidRDefault="0063108E" w:rsidP="0063108E">
      <w:pPr>
        <w:rPr>
          <w:b/>
          <w:bCs/>
        </w:rPr>
      </w:pPr>
      <w:r>
        <w:rPr>
          <w:b/>
          <w:bCs/>
        </w:rPr>
        <w:t>RG-IEM-</w:t>
      </w:r>
      <w:r w:rsidR="00700607">
        <w:rPr>
          <w:b/>
          <w:bCs/>
        </w:rPr>
        <w:t>6</w:t>
      </w:r>
      <w:r w:rsidRPr="00C54964">
        <w:rPr>
          <w:b/>
          <w:bCs/>
        </w:rPr>
        <w:t>: to request TSAG through WP2 to</w:t>
      </w:r>
      <w:r>
        <w:rPr>
          <w:b/>
          <w:bCs/>
        </w:rPr>
        <w:t xml:space="preserve"> approve the RG-IEM interim activities (11 February 2025 and </w:t>
      </w:r>
      <w:r w:rsidR="00AB6520">
        <w:rPr>
          <w:b/>
          <w:bCs/>
        </w:rPr>
        <w:t>22</w:t>
      </w:r>
      <w:r>
        <w:rPr>
          <w:b/>
          <w:bCs/>
        </w:rPr>
        <w:t xml:space="preserve"> April 2025, 1300-1500 Geneva time)</w:t>
      </w:r>
      <w:r w:rsidRPr="00C54964">
        <w:rPr>
          <w:b/>
          <w:bCs/>
        </w:rPr>
        <w:t>.</w:t>
      </w:r>
    </w:p>
    <w:p w14:paraId="511EA3E9" w14:textId="77777777" w:rsidR="0089410A" w:rsidRPr="0089410A" w:rsidRDefault="0089410A" w:rsidP="0089410A">
      <w:pPr>
        <w:rPr>
          <w:lang w:eastAsia="en-US"/>
        </w:rPr>
      </w:pPr>
    </w:p>
    <w:p w14:paraId="56274DCB" w14:textId="441300D3" w:rsidR="007A4FD8" w:rsidRPr="00463873" w:rsidRDefault="007A3ED9" w:rsidP="00461815">
      <w:pPr>
        <w:pStyle w:val="Heading1"/>
      </w:pPr>
      <w:r>
        <w:t>1</w:t>
      </w:r>
      <w:r w:rsidR="007A4FD8">
        <w:tab/>
      </w:r>
      <w:r w:rsidR="007A4FD8" w:rsidRPr="00463873">
        <w:t>Introduction</w:t>
      </w:r>
    </w:p>
    <w:p w14:paraId="3CE050CB" w14:textId="0D576F69" w:rsidR="007A4FD8" w:rsidRPr="00463873" w:rsidRDefault="007A4FD8" w:rsidP="007A4FD8">
      <w:pPr>
        <w:rPr>
          <w:rFonts w:eastAsia="SimSun"/>
        </w:rPr>
      </w:pPr>
      <w:r w:rsidRPr="00463873">
        <w:rPr>
          <w:rFonts w:eastAsia="SimSun"/>
        </w:rPr>
        <w:t xml:space="preserve">TSAG Rapporteur Group on </w:t>
      </w:r>
      <w:r w:rsidRPr="00350298">
        <w:t>Industry Engagement, Metrics</w:t>
      </w:r>
      <w:r w:rsidRPr="008132CC">
        <w:t xml:space="preserve"> (RG-</w:t>
      </w:r>
      <w:r>
        <w:t>IEM</w:t>
      </w:r>
      <w:r w:rsidRPr="008132CC">
        <w:t xml:space="preserve">) </w:t>
      </w:r>
      <w:r w:rsidR="00A12734">
        <w:t xml:space="preserve">met on </w:t>
      </w:r>
      <w:r w:rsidR="00171B0A">
        <w:rPr>
          <w:rFonts w:eastAsia="SimSun"/>
        </w:rPr>
        <w:t xml:space="preserve">Tuesday, </w:t>
      </w:r>
      <w:r w:rsidR="00A12734">
        <w:rPr>
          <w:rFonts w:eastAsia="SimSun"/>
        </w:rPr>
        <w:t>30 July 2024</w:t>
      </w:r>
      <w:r w:rsidR="00171B0A">
        <w:rPr>
          <w:rFonts w:eastAsia="SimSun"/>
        </w:rPr>
        <w:t xml:space="preserve"> </w:t>
      </w:r>
      <w:r w:rsidR="00787DED">
        <w:rPr>
          <w:rFonts w:eastAsia="SimSun"/>
        </w:rPr>
        <w:t>(</w:t>
      </w:r>
      <w:r w:rsidR="00171B0A">
        <w:rPr>
          <w:rFonts w:eastAsia="SimSun"/>
        </w:rPr>
        <w:t>09</w:t>
      </w:r>
      <w:r w:rsidR="00A12734">
        <w:rPr>
          <w:rFonts w:eastAsia="SimSun"/>
        </w:rPr>
        <w:t>30</w:t>
      </w:r>
      <w:r w:rsidR="00787DED">
        <w:rPr>
          <w:rFonts w:eastAsia="SimSun"/>
        </w:rPr>
        <w:t>-</w:t>
      </w:r>
      <w:r w:rsidR="00171B0A">
        <w:rPr>
          <w:rFonts w:eastAsia="SimSun"/>
        </w:rPr>
        <w:t>1</w:t>
      </w:r>
      <w:r w:rsidR="00A12734">
        <w:rPr>
          <w:rFonts w:eastAsia="SimSun"/>
        </w:rPr>
        <w:t>04</w:t>
      </w:r>
      <w:r w:rsidR="00171B0A">
        <w:rPr>
          <w:rFonts w:eastAsia="SimSun"/>
        </w:rPr>
        <w:t>5</w:t>
      </w:r>
      <w:r w:rsidR="00787DED">
        <w:rPr>
          <w:rFonts w:eastAsia="SimSun"/>
        </w:rPr>
        <w:t xml:space="preserve"> hours)</w:t>
      </w:r>
      <w:r w:rsidR="00A12734">
        <w:rPr>
          <w:rFonts w:eastAsia="SimSun"/>
        </w:rPr>
        <w:t xml:space="preserve"> and on Wednesday, 31 July 2024</w:t>
      </w:r>
      <w:r w:rsidRPr="00463873">
        <w:rPr>
          <w:rFonts w:eastAsia="SimSun"/>
        </w:rPr>
        <w:t xml:space="preserve">. </w:t>
      </w:r>
      <w:r w:rsidR="00A12734">
        <w:rPr>
          <w:rFonts w:eastAsia="SimSun"/>
        </w:rPr>
        <w:t>An additional RG-IEM ad hoc / drafting session was held on 30 July (1800-2000 hours).</w:t>
      </w:r>
    </w:p>
    <w:p w14:paraId="139CAA27" w14:textId="0EC67882" w:rsidR="007A4FD8" w:rsidRDefault="007A4FD8" w:rsidP="00CF5AAC">
      <w:r w:rsidRPr="00463873">
        <w:rPr>
          <w:rFonts w:eastAsia="SimSun"/>
        </w:rPr>
        <w:t>M</w:t>
      </w:r>
      <w:r w:rsidR="001C4EEC">
        <w:rPr>
          <w:rFonts w:eastAsia="SimSun"/>
        </w:rPr>
        <w:t xml:space="preserve">r Glenn PARSONS </w:t>
      </w:r>
      <w:r w:rsidRPr="00463873">
        <w:rPr>
          <w:rFonts w:eastAsia="SimSun"/>
          <w:lang w:val="en-US"/>
        </w:rPr>
        <w:t>(</w:t>
      </w:r>
      <w:r w:rsidR="001C4EEC">
        <w:rPr>
          <w:rFonts w:eastAsia="SimSun"/>
          <w:lang w:val="en-US"/>
        </w:rPr>
        <w:t>Ericsson Canada</w:t>
      </w:r>
      <w:r w:rsidRPr="00463873">
        <w:rPr>
          <w:rFonts w:eastAsia="SimSun"/>
          <w:lang w:val="en-US"/>
        </w:rPr>
        <w:t xml:space="preserve">), </w:t>
      </w:r>
      <w:r w:rsidRPr="00463873">
        <w:rPr>
          <w:rFonts w:eastAsia="SimSun"/>
        </w:rPr>
        <w:t>Rapporteur of TSAG RG-</w:t>
      </w:r>
      <w:r w:rsidR="001C4EEC">
        <w:rPr>
          <w:rFonts w:eastAsia="SimSun"/>
        </w:rPr>
        <w:t>IEM</w:t>
      </w:r>
      <w:r w:rsidRPr="00463873">
        <w:rPr>
          <w:rFonts w:eastAsia="SimSun"/>
        </w:rPr>
        <w:t>,</w:t>
      </w:r>
      <w:r w:rsidRPr="00463873">
        <w:rPr>
          <w:rFonts w:eastAsia="SimSun"/>
          <w:lang w:val="en-US"/>
        </w:rPr>
        <w:t xml:space="preserve"> chaired the meeting</w:t>
      </w:r>
      <w:r w:rsidR="007758AB">
        <w:rPr>
          <w:rFonts w:eastAsia="SimSun"/>
          <w:lang w:val="en-US"/>
        </w:rPr>
        <w:t xml:space="preserve"> of RG-IEM</w:t>
      </w:r>
      <w:r w:rsidR="001C4EEC">
        <w:rPr>
          <w:rFonts w:eastAsia="SimSun"/>
          <w:lang w:val="en-US"/>
        </w:rPr>
        <w:t xml:space="preserve">, supported by </w:t>
      </w:r>
      <w:r>
        <w:rPr>
          <w:rFonts w:eastAsia="SimSun"/>
          <w:lang w:val="en-US"/>
        </w:rPr>
        <w:t xml:space="preserve">Mr </w:t>
      </w:r>
      <w:r w:rsidR="001C4EEC">
        <w:rPr>
          <w:rFonts w:eastAsia="SimSun"/>
          <w:lang w:val="en-US"/>
        </w:rPr>
        <w:t xml:space="preserve">Noah LUO </w:t>
      </w:r>
      <w:r>
        <w:rPr>
          <w:rFonts w:eastAsia="SimSun"/>
          <w:lang w:val="en-US"/>
        </w:rPr>
        <w:t>(</w:t>
      </w:r>
      <w:r w:rsidR="002E035C">
        <w:rPr>
          <w:rFonts w:eastAsia="SimSun"/>
          <w:lang w:val="en-US"/>
        </w:rPr>
        <w:t>Huawei</w:t>
      </w:r>
      <w:r w:rsidR="00540E73">
        <w:rPr>
          <w:rFonts w:eastAsia="SimSun"/>
          <w:lang w:val="en-US"/>
        </w:rPr>
        <w:t xml:space="preserve"> Technologies</w:t>
      </w:r>
      <w:r>
        <w:rPr>
          <w:rFonts w:eastAsia="SimSun"/>
          <w:lang w:val="en-US"/>
        </w:rPr>
        <w:t xml:space="preserve">, </w:t>
      </w:r>
      <w:r w:rsidR="002E035C">
        <w:rPr>
          <w:rFonts w:eastAsia="SimSun"/>
          <w:lang w:val="en-US"/>
        </w:rPr>
        <w:t>China</w:t>
      </w:r>
      <w:r w:rsidR="00171B0A">
        <w:rPr>
          <w:rFonts w:eastAsia="SimSun"/>
          <w:lang w:val="en-US"/>
        </w:rPr>
        <w:t>, participating remotely</w:t>
      </w:r>
      <w:r>
        <w:rPr>
          <w:rFonts w:eastAsia="SimSun"/>
          <w:lang w:val="en-US"/>
        </w:rPr>
        <w:t>)</w:t>
      </w:r>
      <w:r w:rsidR="002E035C">
        <w:rPr>
          <w:rFonts w:eastAsia="SimSun"/>
          <w:lang w:val="en-US"/>
        </w:rPr>
        <w:t xml:space="preserve">, </w:t>
      </w:r>
      <w:r w:rsidR="003B2555">
        <w:rPr>
          <w:rFonts w:eastAsia="SimSun"/>
          <w:lang w:val="en-US"/>
        </w:rPr>
        <w:lastRenderedPageBreak/>
        <w:t xml:space="preserve">Associate </w:t>
      </w:r>
      <w:r w:rsidR="002E035C">
        <w:rPr>
          <w:rFonts w:eastAsia="SimSun"/>
          <w:lang w:val="en-US"/>
        </w:rPr>
        <w:t xml:space="preserve">Rapporteur </w:t>
      </w:r>
      <w:r w:rsidR="00AF7CC3">
        <w:rPr>
          <w:rFonts w:eastAsia="SimSun"/>
          <w:lang w:val="en-US"/>
        </w:rPr>
        <w:t xml:space="preserve">on </w:t>
      </w:r>
      <w:r w:rsidR="00CC6555">
        <w:rPr>
          <w:rFonts w:eastAsia="SimSun"/>
          <w:lang w:val="en-US"/>
        </w:rPr>
        <w:t>m</w:t>
      </w:r>
      <w:r w:rsidR="00AF7CC3">
        <w:rPr>
          <w:rFonts w:eastAsia="SimSun"/>
          <w:lang w:val="en-US"/>
        </w:rPr>
        <w:t>etrics</w:t>
      </w:r>
      <w:r w:rsidR="003B2555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and Mr </w:t>
      </w:r>
      <w:r w:rsidR="003B2555">
        <w:rPr>
          <w:rFonts w:eastAsia="SimSun"/>
          <w:lang w:val="en-US"/>
        </w:rPr>
        <w:t>Arnaud TAD</w:t>
      </w:r>
      <w:r w:rsidR="006C74C8">
        <w:rPr>
          <w:rFonts w:eastAsia="SimSun"/>
          <w:lang w:val="en-US"/>
        </w:rPr>
        <w:t>DEI</w:t>
      </w:r>
      <w:r w:rsidR="007841C7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(</w:t>
      </w:r>
      <w:r w:rsidR="00B86F9E">
        <w:rPr>
          <w:rFonts w:eastAsia="SimSun"/>
          <w:lang w:val="en-US"/>
        </w:rPr>
        <w:t>Broadcom</w:t>
      </w:r>
      <w:r w:rsidR="00171B0A">
        <w:rPr>
          <w:rFonts w:eastAsia="SimSun"/>
          <w:lang w:val="en-US"/>
        </w:rPr>
        <w:t xml:space="preserve"> Europe</w:t>
      </w:r>
      <w:r w:rsidR="0085292E">
        <w:rPr>
          <w:rFonts w:eastAsia="SimSun"/>
          <w:lang w:val="en-US"/>
        </w:rPr>
        <w:t xml:space="preserve">, United </w:t>
      </w:r>
      <w:r w:rsidR="00171B0A">
        <w:rPr>
          <w:rFonts w:eastAsia="SimSun"/>
          <w:lang w:val="en-US"/>
        </w:rPr>
        <w:t>Kingdom</w:t>
      </w:r>
      <w:r>
        <w:rPr>
          <w:rFonts w:eastAsia="SimSun"/>
          <w:lang w:val="en-US"/>
        </w:rPr>
        <w:t>)</w:t>
      </w:r>
      <w:r w:rsidR="007758AB">
        <w:rPr>
          <w:rFonts w:eastAsia="SimSun"/>
          <w:lang w:val="en-US"/>
        </w:rPr>
        <w:t xml:space="preserve">, Associate Rapporteur on </w:t>
      </w:r>
      <w:r w:rsidR="00CC6555">
        <w:rPr>
          <w:rFonts w:eastAsia="SimSun"/>
          <w:lang w:val="en-US"/>
        </w:rPr>
        <w:t>emerging technologies</w:t>
      </w:r>
      <w:r>
        <w:rPr>
          <w:rFonts w:eastAsia="SimSun"/>
          <w:lang w:val="en-US"/>
        </w:rPr>
        <w:t xml:space="preserve">. </w:t>
      </w:r>
    </w:p>
    <w:p w14:paraId="01910960" w14:textId="1DBFA1AA" w:rsidR="00F14CB7" w:rsidRDefault="007A3ED9" w:rsidP="006F6D78">
      <w:pPr>
        <w:pStyle w:val="Heading1"/>
      </w:pPr>
      <w:r>
        <w:t>2</w:t>
      </w:r>
      <w:r w:rsidR="006551EE">
        <w:tab/>
      </w:r>
      <w:r w:rsidR="006551EE" w:rsidRPr="006551EE">
        <w:t>Opening and welcome</w:t>
      </w:r>
    </w:p>
    <w:p w14:paraId="48BC599C" w14:textId="35F85BF5" w:rsidR="009A7D69" w:rsidRDefault="0079460B" w:rsidP="00CF5AAC">
      <w:r>
        <w:t xml:space="preserve">The meeting adopted the draft agenda provided in </w:t>
      </w:r>
      <w:hyperlink r:id="rId17" w:history="1">
        <w:hyperlink r:id="rId18" w:history="1">
          <w:r w:rsidRPr="00A12734">
            <w:rPr>
              <w:rStyle w:val="Hyperlink"/>
            </w:rPr>
            <w:t>TSAG-TD</w:t>
          </w:r>
          <w:r w:rsidR="00A12734" w:rsidRPr="00A12734">
            <w:rPr>
              <w:rStyle w:val="Hyperlink"/>
            </w:rPr>
            <w:t>5</w:t>
          </w:r>
          <w:r w:rsidR="00171B0A" w:rsidRPr="00A12734">
            <w:rPr>
              <w:rStyle w:val="Hyperlink"/>
            </w:rPr>
            <w:t>20</w:t>
          </w:r>
        </w:hyperlink>
        <w:r w:rsidR="00A12734" w:rsidRPr="00A12734">
          <w:rPr>
            <w:rStyle w:val="Hyperlink"/>
          </w:rPr>
          <w:t>R1</w:t>
        </w:r>
      </w:hyperlink>
      <w:r w:rsidR="00903118">
        <w:t>.</w:t>
      </w:r>
      <w:r w:rsidR="002C003A">
        <w:t xml:space="preserve"> </w:t>
      </w:r>
      <w:r w:rsidR="00A12734">
        <w:t xml:space="preserve">The meeting on Wednesday followed Revision 2 of the agenda. </w:t>
      </w:r>
      <w:r w:rsidR="00171B0A">
        <w:t>A</w:t>
      </w:r>
      <w:r w:rsidR="009A7D69">
        <w:t xml:space="preserve"> list of documents </w:t>
      </w:r>
      <w:r w:rsidR="00171B0A">
        <w:t xml:space="preserve">considered </w:t>
      </w:r>
      <w:r w:rsidR="009A7D69">
        <w:t xml:space="preserve">is provided in Annex </w:t>
      </w:r>
      <w:r w:rsidR="000D13F8">
        <w:t>A</w:t>
      </w:r>
      <w:r w:rsidR="009A7D69">
        <w:t xml:space="preserve"> of the same document.</w:t>
      </w:r>
    </w:p>
    <w:p w14:paraId="14849C45" w14:textId="18B2D4D7" w:rsidR="00903118" w:rsidRDefault="00E310D9" w:rsidP="00CF5AAC">
      <w:r>
        <w:t xml:space="preserve">The </w:t>
      </w:r>
      <w:r w:rsidR="00FF695F">
        <w:t xml:space="preserve">meeting noted the RG-IEM terms of reference, as </w:t>
      </w:r>
      <w:r w:rsidR="000D13F8">
        <w:t xml:space="preserve">provided in Annex B of </w:t>
      </w:r>
      <w:r w:rsidR="00003605" w:rsidRPr="001A3EAF">
        <w:t>TSAG-TD</w:t>
      </w:r>
      <w:r w:rsidR="00A12734">
        <w:t>5</w:t>
      </w:r>
      <w:r w:rsidR="00171B0A">
        <w:t>20</w:t>
      </w:r>
      <w:r w:rsidR="005816D2">
        <w:t>, and the p</w:t>
      </w:r>
      <w:r w:rsidR="005816D2" w:rsidRPr="005816D2">
        <w:t xml:space="preserve">rogress report from interim TSAG RG-IEM meetings </w:t>
      </w:r>
      <w:r w:rsidR="00171B0A" w:rsidRPr="00171B0A">
        <w:t>(</w:t>
      </w:r>
      <w:r w:rsidR="00A12734" w:rsidRPr="00A12734">
        <w:t>February 2024 to June 2024</w:t>
      </w:r>
      <w:r w:rsidR="00171B0A" w:rsidRPr="00171B0A">
        <w:t>)</w:t>
      </w:r>
      <w:r w:rsidR="00171B0A">
        <w:t xml:space="preserve"> </w:t>
      </w:r>
      <w:r w:rsidR="005816D2">
        <w:t xml:space="preserve">in </w:t>
      </w:r>
      <w:hyperlink r:id="rId19" w:history="1">
        <w:r w:rsidR="005816D2" w:rsidRPr="005816D2">
          <w:rPr>
            <w:rStyle w:val="Hyperlink"/>
          </w:rPr>
          <w:t>TSAG-TD</w:t>
        </w:r>
        <w:r w:rsidR="00A12734">
          <w:rPr>
            <w:rStyle w:val="Hyperlink"/>
          </w:rPr>
          <w:t>529R1</w:t>
        </w:r>
      </w:hyperlink>
      <w:r w:rsidR="002C7AD6">
        <w:t>.</w:t>
      </w:r>
      <w:r w:rsidR="009A7D69">
        <w:t xml:space="preserve"> </w:t>
      </w:r>
    </w:p>
    <w:p w14:paraId="7FAD5822" w14:textId="41B2E884" w:rsidR="00A12734" w:rsidRDefault="00A12734" w:rsidP="00CF5AAC">
      <w:r>
        <w:t xml:space="preserve">The meeting’s attention was drawn to </w:t>
      </w:r>
      <w:hyperlink r:id="rId20" w:history="1">
        <w:r w:rsidRPr="00A12734">
          <w:rPr>
            <w:rStyle w:val="Hyperlink"/>
          </w:rPr>
          <w:t xml:space="preserve">WTSA Resolution 70, </w:t>
        </w:r>
        <w:r w:rsidRPr="00A12734">
          <w:rPr>
            <w:rStyle w:val="Hyperlink"/>
            <w:i/>
            <w:iCs/>
          </w:rPr>
          <w:t>Telecommunication/information and communication technology accessibility for persons with disabilities</w:t>
        </w:r>
      </w:hyperlink>
      <w:r>
        <w:t>.</w:t>
      </w:r>
    </w:p>
    <w:p w14:paraId="232EF3A8" w14:textId="0CA0AE34" w:rsidR="00BC36EC" w:rsidRDefault="007A3ED9" w:rsidP="00BC36EC">
      <w:pPr>
        <w:pStyle w:val="Heading1"/>
      </w:pPr>
      <w:r>
        <w:t>3</w:t>
      </w:r>
      <w:r w:rsidR="00BC36EC">
        <w:tab/>
        <w:t>Industry engagement</w:t>
      </w:r>
    </w:p>
    <w:p w14:paraId="79AAD54E" w14:textId="20AD3ECA" w:rsidR="00A12734" w:rsidRDefault="00364FB8" w:rsidP="00CF5AAC">
      <w:r w:rsidRPr="0063108E">
        <w:t xml:space="preserve">The meeting </w:t>
      </w:r>
      <w:r w:rsidR="00A12734" w:rsidRPr="0063108E">
        <w:t>was reminded of the report of the report of the industry engagement workshop (</w:t>
      </w:r>
      <w:hyperlink r:id="rId21" w:history="1">
        <w:r w:rsidR="00A12734" w:rsidRPr="0063108E">
          <w:rPr>
            <w:rStyle w:val="Hyperlink"/>
          </w:rPr>
          <w:t>TSAG-TD599</w:t>
        </w:r>
      </w:hyperlink>
      <w:r w:rsidR="00A12734" w:rsidRPr="0063108E">
        <w:t>), which had been presented in the WP2 opening plenary.</w:t>
      </w:r>
    </w:p>
    <w:p w14:paraId="4D0C8742" w14:textId="66EA9135" w:rsidR="00C54964" w:rsidRPr="0063108E" w:rsidRDefault="005623D7" w:rsidP="00CF5AAC">
      <w:r w:rsidRPr="0063108E">
        <w:t xml:space="preserve">The Chair of the </w:t>
      </w:r>
      <w:r w:rsidR="00A12734" w:rsidRPr="0063108E">
        <w:t>Industry Engagement Workshop Steering Committee (IEWSC)</w:t>
      </w:r>
      <w:r w:rsidRPr="0063108E">
        <w:t xml:space="preserve">, Mr. Didier BERTHOUMIEUX, introduced </w:t>
      </w:r>
      <w:hyperlink r:id="rId22" w:history="1">
        <w:r w:rsidRPr="0063108E">
          <w:rPr>
            <w:rStyle w:val="Hyperlink"/>
          </w:rPr>
          <w:t>TSAG-TD</w:t>
        </w:r>
        <w:r w:rsidR="00A12734" w:rsidRPr="0063108E">
          <w:rPr>
            <w:rStyle w:val="Hyperlink"/>
          </w:rPr>
          <w:t>624</w:t>
        </w:r>
      </w:hyperlink>
      <w:r w:rsidRPr="0063108E">
        <w:t xml:space="preserve"> </w:t>
      </w:r>
      <w:r w:rsidR="00C54964" w:rsidRPr="0063108E">
        <w:t>containing updates to the ITU-T action plan for a vibrant engagement of the industry, based on the workshop findings.</w:t>
      </w:r>
    </w:p>
    <w:p w14:paraId="6F379EF0" w14:textId="3B1771A2" w:rsidR="00C54964" w:rsidRPr="0063108E" w:rsidRDefault="00C54964" w:rsidP="00CF5AAC">
      <w:r w:rsidRPr="0063108E">
        <w:t>The meeting agreed to continue working on the action plan during an evening ad hoc / drafting session, to map actions to target entities, introduce elements of prioritization, and to acknowledge the role of RG-SOP in actions related to value propositions.</w:t>
      </w:r>
    </w:p>
    <w:p w14:paraId="5A3118ED" w14:textId="12544BFC" w:rsidR="00C54964" w:rsidRPr="0063108E" w:rsidRDefault="00C54964" w:rsidP="00CF5AAC">
      <w:r w:rsidRPr="0063108E">
        <w:t xml:space="preserve">It was also agreed to inform RAG, TDAG and ICSG by liaison statement about TSAG’s work on industry engagement. </w:t>
      </w:r>
    </w:p>
    <w:p w14:paraId="2F667B9A" w14:textId="2B87E03F" w:rsidR="00C54964" w:rsidRPr="0063108E" w:rsidRDefault="00C54964" w:rsidP="00CF5AAC">
      <w:r w:rsidRPr="0063108E">
        <w:t>The results of the ad hoc were reviewed by RG-IEM and agreed as follows:</w:t>
      </w:r>
    </w:p>
    <w:p w14:paraId="0FF8536F" w14:textId="691A8736" w:rsidR="005F657C" w:rsidRDefault="005F657C" w:rsidP="00CF5AAC">
      <w:r w:rsidRPr="0063108E">
        <w:t xml:space="preserve">RG-IEM agreed </w:t>
      </w:r>
      <w:hyperlink r:id="rId23" w:history="1">
        <w:r w:rsidRPr="0063108E">
          <w:rPr>
            <w:rStyle w:val="Hyperlink"/>
          </w:rPr>
          <w:t>TSAG-TD624R2</w:t>
        </w:r>
      </w:hyperlink>
      <w:r w:rsidRPr="0063108E">
        <w:t xml:space="preserve"> (updated action plan), </w:t>
      </w:r>
      <w:hyperlink r:id="rId24" w:history="1">
        <w:r w:rsidRPr="0063108E">
          <w:rPr>
            <w:rStyle w:val="Hyperlink"/>
          </w:rPr>
          <w:t>TSAG-TD667R1</w:t>
        </w:r>
      </w:hyperlink>
      <w:r w:rsidRPr="0063108E">
        <w:t xml:space="preserve"> (action plan sorted by target entities and priorities), and </w:t>
      </w:r>
      <w:hyperlink r:id="rId25" w:history="1">
        <w:r w:rsidRPr="0063108E">
          <w:rPr>
            <w:rStyle w:val="Hyperlink"/>
          </w:rPr>
          <w:t>TSAG-TD671</w:t>
        </w:r>
      </w:hyperlink>
      <w:r w:rsidRPr="0063108E">
        <w:t xml:space="preserve"> (liaison statement informing RAG, TDAG and ICSG)</w:t>
      </w:r>
      <w:r w:rsidR="002778C9" w:rsidRPr="0063108E">
        <w:t>.</w:t>
      </w:r>
    </w:p>
    <w:p w14:paraId="536B565F" w14:textId="77777777" w:rsidR="002778C9" w:rsidRDefault="002778C9" w:rsidP="00CF5AAC"/>
    <w:p w14:paraId="7C6ADEB4" w14:textId="23A08875" w:rsidR="00C54964" w:rsidRPr="00C54964" w:rsidRDefault="00C54964" w:rsidP="00C54964">
      <w:pPr>
        <w:rPr>
          <w:b/>
          <w:bCs/>
        </w:rPr>
      </w:pPr>
      <w:r w:rsidRPr="00C54964">
        <w:rPr>
          <w:b/>
          <w:bCs/>
        </w:rPr>
        <w:t xml:space="preserve">RG-IEM-1: to request </w:t>
      </w:r>
      <w:r w:rsidR="005F657C">
        <w:rPr>
          <w:b/>
          <w:bCs/>
        </w:rPr>
        <w:t xml:space="preserve">TSAG through </w:t>
      </w:r>
      <w:r w:rsidRPr="00C54964">
        <w:rPr>
          <w:b/>
          <w:bCs/>
        </w:rPr>
        <w:t xml:space="preserve">WP2 </w:t>
      </w:r>
      <w:r w:rsidR="005F657C">
        <w:rPr>
          <w:b/>
          <w:bCs/>
        </w:rPr>
        <w:t xml:space="preserve">to agree </w:t>
      </w:r>
      <w:r w:rsidRPr="00C54964">
        <w:rPr>
          <w:b/>
          <w:bCs/>
        </w:rPr>
        <w:t xml:space="preserve">the revised action plan in </w:t>
      </w:r>
      <w:hyperlink r:id="rId26" w:history="1">
        <w:r w:rsidRPr="0063108E">
          <w:rPr>
            <w:rStyle w:val="Hyperlink"/>
            <w:b/>
            <w:bCs/>
          </w:rPr>
          <w:t>TSAG-TD624R2</w:t>
        </w:r>
      </w:hyperlink>
      <w:r w:rsidRPr="00C54964">
        <w:rPr>
          <w:b/>
          <w:bCs/>
        </w:rPr>
        <w:t>.</w:t>
      </w:r>
    </w:p>
    <w:p w14:paraId="64786BF6" w14:textId="3ED49E97" w:rsidR="00C54964" w:rsidRPr="00C54964" w:rsidRDefault="00C54964" w:rsidP="00C54964">
      <w:pPr>
        <w:rPr>
          <w:b/>
          <w:bCs/>
        </w:rPr>
      </w:pPr>
      <w:r w:rsidRPr="00C54964">
        <w:rPr>
          <w:b/>
          <w:bCs/>
        </w:rPr>
        <w:t xml:space="preserve">RG-IEM-2: to request TSAG through WP2 to include </w:t>
      </w:r>
      <w:hyperlink r:id="rId27" w:history="1">
        <w:r w:rsidRPr="0063108E">
          <w:rPr>
            <w:rStyle w:val="Hyperlink"/>
            <w:b/>
            <w:bCs/>
          </w:rPr>
          <w:t>TSAG-TD624R2</w:t>
        </w:r>
      </w:hyperlink>
      <w:r w:rsidRPr="00C54964">
        <w:rPr>
          <w:b/>
          <w:bCs/>
        </w:rPr>
        <w:t xml:space="preserve"> in the TSAG meeting report.</w:t>
      </w:r>
    </w:p>
    <w:p w14:paraId="4A02C48F" w14:textId="0D627112" w:rsidR="00C54964" w:rsidRDefault="00C54964" w:rsidP="00C54964">
      <w:pPr>
        <w:rPr>
          <w:b/>
          <w:bCs/>
        </w:rPr>
      </w:pPr>
      <w:r w:rsidRPr="00C54964">
        <w:rPr>
          <w:b/>
          <w:bCs/>
        </w:rPr>
        <w:t xml:space="preserve">RG-IEM-3: to request TSAG through WP2 to include </w:t>
      </w:r>
      <w:hyperlink r:id="rId28" w:history="1">
        <w:r w:rsidRPr="0063108E">
          <w:rPr>
            <w:rStyle w:val="Hyperlink"/>
            <w:b/>
            <w:bCs/>
          </w:rPr>
          <w:t>TSAG-TD624R2</w:t>
        </w:r>
      </w:hyperlink>
      <w:r w:rsidRPr="00C54964">
        <w:rPr>
          <w:b/>
          <w:bCs/>
        </w:rPr>
        <w:t xml:space="preserve"> in the TSAG report (Part I) to WTSA-24.</w:t>
      </w:r>
    </w:p>
    <w:p w14:paraId="1526AE17" w14:textId="328CF194" w:rsidR="005F657C" w:rsidRPr="00C54964" w:rsidRDefault="005F657C" w:rsidP="00C54964">
      <w:pPr>
        <w:rPr>
          <w:b/>
          <w:bCs/>
        </w:rPr>
      </w:pPr>
      <w:r>
        <w:rPr>
          <w:b/>
          <w:bCs/>
        </w:rPr>
        <w:t>RG-IEM-4</w:t>
      </w:r>
      <w:r w:rsidRPr="00C54964">
        <w:rPr>
          <w:b/>
          <w:bCs/>
        </w:rPr>
        <w:t>: to request TSAG through WP2 to</w:t>
      </w:r>
      <w:r>
        <w:rPr>
          <w:b/>
          <w:bCs/>
        </w:rPr>
        <w:t xml:space="preserve"> approve the liaison statement in </w:t>
      </w:r>
      <w:hyperlink r:id="rId29" w:history="1">
        <w:r w:rsidRPr="0063108E">
          <w:rPr>
            <w:rStyle w:val="Hyperlink"/>
            <w:b/>
            <w:bCs/>
          </w:rPr>
          <w:t>TSAG-TD671</w:t>
        </w:r>
      </w:hyperlink>
      <w:r w:rsidRPr="00C54964">
        <w:rPr>
          <w:b/>
          <w:bCs/>
        </w:rPr>
        <w:t>.</w:t>
      </w:r>
    </w:p>
    <w:p w14:paraId="7F203B85" w14:textId="77777777" w:rsidR="005F657C" w:rsidRDefault="005F657C" w:rsidP="00C54964"/>
    <w:p w14:paraId="12F5D20D" w14:textId="53CD3628" w:rsidR="005F657C" w:rsidRPr="005F657C" w:rsidRDefault="005F657C" w:rsidP="00C54964">
      <w:pPr>
        <w:rPr>
          <w:rFonts w:asciiTheme="majorBidi" w:hAnsiTheme="majorBidi" w:cstheme="majorBidi"/>
          <w:bCs/>
          <w:szCs w:val="22"/>
        </w:rPr>
      </w:pPr>
      <w:r w:rsidRPr="0063108E">
        <w:t xml:space="preserve">The meeting noted </w:t>
      </w:r>
      <w:hyperlink r:id="rId30" w:history="1">
        <w:r w:rsidRPr="0063108E">
          <w:rPr>
            <w:rStyle w:val="Hyperlink"/>
          </w:rPr>
          <w:t>TSAG-TD662</w:t>
        </w:r>
      </w:hyperlink>
      <w:r w:rsidRPr="0063108E">
        <w:t xml:space="preserve"> containing data and analysis of past </w:t>
      </w:r>
      <w:proofErr w:type="spellStart"/>
      <w:r w:rsidRPr="0063108E">
        <w:rPr>
          <w:rFonts w:asciiTheme="majorBidi" w:hAnsiTheme="majorBidi" w:cstheme="majorBidi"/>
          <w:bCs/>
          <w:szCs w:val="22"/>
        </w:rPr>
        <w:t>CxO</w:t>
      </w:r>
      <w:proofErr w:type="spellEnd"/>
      <w:r w:rsidRPr="0063108E">
        <w:rPr>
          <w:rFonts w:asciiTheme="majorBidi" w:hAnsiTheme="majorBidi" w:cstheme="majorBidi"/>
          <w:bCs/>
          <w:szCs w:val="22"/>
        </w:rPr>
        <w:t xml:space="preserve">/CTO meetings. TSB clarified that the Global Standards Symposium held alongside WTSA-24 would provide opportunities for industry executives to engage in the discussion, and that the next </w:t>
      </w:r>
      <w:proofErr w:type="spellStart"/>
      <w:r w:rsidRPr="0063108E">
        <w:rPr>
          <w:rFonts w:asciiTheme="majorBidi" w:hAnsiTheme="majorBidi" w:cstheme="majorBidi"/>
          <w:bCs/>
          <w:szCs w:val="22"/>
        </w:rPr>
        <w:t>CxO</w:t>
      </w:r>
      <w:proofErr w:type="spellEnd"/>
      <w:r w:rsidRPr="0063108E">
        <w:rPr>
          <w:rFonts w:asciiTheme="majorBidi" w:hAnsiTheme="majorBidi" w:cstheme="majorBidi"/>
          <w:bCs/>
          <w:szCs w:val="22"/>
        </w:rPr>
        <w:t xml:space="preserve"> meeting will be held in Dubai, 9 December 2024.</w:t>
      </w:r>
    </w:p>
    <w:p w14:paraId="5112ABAD" w14:textId="1E6468CD" w:rsidR="00BD39BC" w:rsidRDefault="00BD39BC" w:rsidP="00ED28FE">
      <w:bookmarkStart w:id="8" w:name="_Hlk136464566"/>
      <w:r>
        <w:t xml:space="preserve">Two contributions proposing revised text for WTSA Resolution 68 were presented: </w:t>
      </w:r>
      <w:r w:rsidR="00CE4BF8" w:rsidRPr="00ED28FE">
        <w:t xml:space="preserve">Ericsson Canada introduced </w:t>
      </w:r>
      <w:hyperlink r:id="rId31" w:history="1">
        <w:r w:rsidR="00CE4BF8" w:rsidRPr="00ED28FE">
          <w:rPr>
            <w:rStyle w:val="Hyperlink"/>
          </w:rPr>
          <w:t>TSAG-C</w:t>
        </w:r>
        <w:r w:rsidR="005F657C">
          <w:rPr>
            <w:rStyle w:val="Hyperlink"/>
          </w:rPr>
          <w:t>10</w:t>
        </w:r>
        <w:r w:rsidR="00ED28FE" w:rsidRPr="00ED28FE">
          <w:rPr>
            <w:rStyle w:val="Hyperlink"/>
          </w:rPr>
          <w:t>2</w:t>
        </w:r>
      </w:hyperlink>
      <w:r w:rsidR="00ED28FE" w:rsidRPr="00ED28FE">
        <w:t xml:space="preserve"> </w:t>
      </w:r>
      <w:r w:rsidR="005F657C">
        <w:t xml:space="preserve">on behalf of Canada. </w:t>
      </w:r>
      <w:r>
        <w:t xml:space="preserve">Broadcom Europe presented </w:t>
      </w:r>
      <w:hyperlink r:id="rId32" w:history="1">
        <w:r w:rsidRPr="00BD39BC">
          <w:rPr>
            <w:rStyle w:val="Hyperlink"/>
          </w:rPr>
          <w:t>TSAG-C112</w:t>
        </w:r>
      </w:hyperlink>
      <w:r>
        <w:t>.</w:t>
      </w:r>
    </w:p>
    <w:p w14:paraId="4A4D19F6" w14:textId="0D57D748" w:rsidR="00BD39BC" w:rsidRDefault="00BD39BC" w:rsidP="00ED28FE">
      <w:r>
        <w:lastRenderedPageBreak/>
        <w:t>The meeting noted t</w:t>
      </w:r>
      <w:r w:rsidR="005F657C">
        <w:t xml:space="preserve">he importance of </w:t>
      </w:r>
      <w:r>
        <w:t>mentioning WTSA-20 Action</w:t>
      </w:r>
      <w:r w:rsidR="0092056A">
        <w:t xml:space="preserve"> 10</w:t>
      </w:r>
      <w:r>
        <w:t xml:space="preserve"> in </w:t>
      </w:r>
      <w:r w:rsidR="005F657C">
        <w:t>the context</w:t>
      </w:r>
      <w:r>
        <w:t xml:space="preserve"> of working on revised WTSA Resolution 68.</w:t>
      </w:r>
    </w:p>
    <w:p w14:paraId="3E28F8A0" w14:textId="42268ABD" w:rsidR="002778C9" w:rsidRDefault="00BD39BC" w:rsidP="00ED28FE">
      <w:r>
        <w:t xml:space="preserve">The </w:t>
      </w:r>
      <w:r w:rsidR="002778C9">
        <w:t>proponents</w:t>
      </w:r>
      <w:r>
        <w:t xml:space="preserve"> took note of comments made on content and of editorial nature, for consideration in the ad hoc / drafting session. </w:t>
      </w:r>
    </w:p>
    <w:p w14:paraId="31931769" w14:textId="0EBE0DA6" w:rsidR="005F657C" w:rsidRDefault="00BD39BC" w:rsidP="00ED28FE">
      <w:r w:rsidRPr="0063108E">
        <w:t>The outcome of th</w:t>
      </w:r>
      <w:r w:rsidR="002778C9" w:rsidRPr="0063108E">
        <w:t xml:space="preserve">e drafting work was reviewed by RG-IEM in </w:t>
      </w:r>
      <w:hyperlink r:id="rId33" w:history="1">
        <w:r w:rsidR="002778C9" w:rsidRPr="0063108E">
          <w:rPr>
            <w:rStyle w:val="Hyperlink"/>
          </w:rPr>
          <w:t>TSAG-TD666R2</w:t>
        </w:r>
      </w:hyperlink>
      <w:r w:rsidR="002778C9" w:rsidRPr="0063108E">
        <w:t>. The contributors received additional comments concerning TD666 regarding its content and structure, and the meeting noted the need to consider a precise delta of Resolution 68 (in force) and the proposed modifications.</w:t>
      </w:r>
    </w:p>
    <w:p w14:paraId="4A3494A0" w14:textId="331C3729" w:rsidR="002778C9" w:rsidRDefault="002778C9" w:rsidP="00ED28FE">
      <w:r>
        <w:t xml:space="preserve">The proponents were requested to consider the comments received and to work with the TSB to prepare this precise delta in </w:t>
      </w:r>
      <w:hyperlink r:id="rId34" w:history="1">
        <w:r w:rsidRPr="00700607">
          <w:rPr>
            <w:rStyle w:val="Hyperlink"/>
          </w:rPr>
          <w:t>TSAG-TD666R3</w:t>
        </w:r>
      </w:hyperlink>
      <w:r>
        <w:t xml:space="preserve"> for review and further consideration in </w:t>
      </w:r>
      <w:r w:rsidRPr="002778C9">
        <w:t>WP2 ad-hoc on Resolutions</w:t>
      </w:r>
      <w:r>
        <w:t xml:space="preserve"> (Thursday, 1 August, 1300-1430 hours)</w:t>
      </w:r>
      <w:r w:rsidR="009E7908">
        <w:t xml:space="preserve"> so that the result ma</w:t>
      </w:r>
      <w:r w:rsidR="00F1489C">
        <w:t>y be conveyed to WTSA</w:t>
      </w:r>
      <w:r>
        <w:t>.</w:t>
      </w:r>
    </w:p>
    <w:p w14:paraId="6CBF04ED" w14:textId="4B7C9BA4" w:rsidR="00454193" w:rsidRDefault="00454193" w:rsidP="00454193">
      <w:pPr>
        <w:rPr>
          <w:b/>
          <w:bCs/>
        </w:rPr>
      </w:pPr>
      <w:r w:rsidRPr="00C54964">
        <w:rPr>
          <w:b/>
          <w:bCs/>
        </w:rPr>
        <w:t>RG-IEM-</w:t>
      </w:r>
      <w:r w:rsidR="00700607">
        <w:rPr>
          <w:b/>
          <w:bCs/>
        </w:rPr>
        <w:t>5</w:t>
      </w:r>
      <w:r w:rsidRPr="00C54964">
        <w:rPr>
          <w:b/>
          <w:bCs/>
        </w:rPr>
        <w:t xml:space="preserve">: to request TSAG through WP2 to include </w:t>
      </w:r>
      <w:hyperlink r:id="rId35" w:history="1">
        <w:r w:rsidRPr="0063108E">
          <w:rPr>
            <w:rStyle w:val="Hyperlink"/>
            <w:b/>
            <w:bCs/>
          </w:rPr>
          <w:t>TSAG-TD6</w:t>
        </w:r>
        <w:r>
          <w:rPr>
            <w:rStyle w:val="Hyperlink"/>
            <w:b/>
            <w:bCs/>
          </w:rPr>
          <w:t>66R4</w:t>
        </w:r>
      </w:hyperlink>
      <w:r w:rsidRPr="00C54964">
        <w:rPr>
          <w:b/>
          <w:bCs/>
        </w:rPr>
        <w:t xml:space="preserve"> in the TSAG report (Part I) to WTSA-24.</w:t>
      </w:r>
    </w:p>
    <w:p w14:paraId="16D4CD94" w14:textId="77777777" w:rsidR="00454193" w:rsidRDefault="00454193" w:rsidP="00ED28FE"/>
    <w:bookmarkEnd w:id="8"/>
    <w:p w14:paraId="5E091B2B" w14:textId="00AB0893" w:rsidR="0038552E" w:rsidRDefault="007A3ED9" w:rsidP="0038552E">
      <w:pPr>
        <w:pStyle w:val="Heading1"/>
      </w:pPr>
      <w:r>
        <w:t>4</w:t>
      </w:r>
      <w:r w:rsidR="0038552E">
        <w:tab/>
      </w:r>
      <w:r w:rsidR="001A3EAF" w:rsidRPr="001A3EAF">
        <w:t xml:space="preserve">Mechanisms to address new and emerging </w:t>
      </w:r>
      <w:r w:rsidR="002778C9">
        <w:t>telecommunication/ICTs</w:t>
      </w:r>
      <w:r w:rsidR="001A3EAF" w:rsidRPr="001A3EAF">
        <w:t xml:space="preserve"> in ITU-T</w:t>
      </w:r>
    </w:p>
    <w:p w14:paraId="1377EA10" w14:textId="369C8BE6" w:rsidR="00D146DA" w:rsidRDefault="00D146DA" w:rsidP="00AE5071">
      <w:r>
        <w:t xml:space="preserve">Broadcom Europe presented </w:t>
      </w:r>
      <w:hyperlink r:id="rId36" w:history="1">
        <w:r w:rsidRPr="0063108E">
          <w:rPr>
            <w:rStyle w:val="Hyperlink"/>
          </w:rPr>
          <w:t>TSAG-C111</w:t>
        </w:r>
      </w:hyperlink>
      <w:r>
        <w:t xml:space="preserve"> and the meeting agreed to engage in drafting during the ad hoc meeting.</w:t>
      </w:r>
    </w:p>
    <w:p w14:paraId="348B3CBD" w14:textId="48A99378" w:rsidR="00D146DA" w:rsidRDefault="00D146DA" w:rsidP="00AE5071">
      <w:r>
        <w:t xml:space="preserve">The outcome of the drafting work was reviewed by RG-IEM in </w:t>
      </w:r>
      <w:hyperlink r:id="rId37" w:history="1">
        <w:r w:rsidRPr="0063108E">
          <w:rPr>
            <w:rStyle w:val="Hyperlink"/>
          </w:rPr>
          <w:t>TSAG-TD668R1</w:t>
        </w:r>
      </w:hyperlink>
      <w:r>
        <w:t xml:space="preserve">. </w:t>
      </w:r>
    </w:p>
    <w:p w14:paraId="74CC4C8B" w14:textId="08FCA220" w:rsidR="00714956" w:rsidRDefault="00D146DA" w:rsidP="00AE5071">
      <w:r>
        <w:t xml:space="preserve">In addition, RG-IEM was updated on the progress made by RG-WM concerning the proposed revision of WTSA Resolution 22 in </w:t>
      </w:r>
      <w:hyperlink r:id="rId38" w:history="1">
        <w:r w:rsidRPr="0063108E">
          <w:rPr>
            <w:rStyle w:val="Hyperlink"/>
          </w:rPr>
          <w:t>TSAG-TD630R2</w:t>
        </w:r>
      </w:hyperlink>
      <w:r w:rsidR="00714956">
        <w:t xml:space="preserve"> (which incorporates </w:t>
      </w:r>
      <w:r w:rsidR="00714956" w:rsidRPr="00714956">
        <w:rPr>
          <w:i/>
          <w:iCs/>
        </w:rPr>
        <w:t>resolves 5</w:t>
      </w:r>
      <w:r w:rsidR="00714956">
        <w:t xml:space="preserve"> from TD668R1)</w:t>
      </w:r>
      <w:r>
        <w:t xml:space="preserve">. </w:t>
      </w:r>
      <w:r w:rsidR="00714956">
        <w:t xml:space="preserve">RG-IEM agreed for the words “the main” to be removed from </w:t>
      </w:r>
      <w:r w:rsidR="00714956" w:rsidRPr="00714956">
        <w:rPr>
          <w:i/>
          <w:iCs/>
        </w:rPr>
        <w:t>resolves 5</w:t>
      </w:r>
      <w:r w:rsidR="00714956">
        <w:t xml:space="preserve">. </w:t>
      </w:r>
    </w:p>
    <w:p w14:paraId="6F92E4C6" w14:textId="190253BC" w:rsidR="00D146DA" w:rsidRDefault="00714956" w:rsidP="00AE5071">
      <w:r>
        <w:t xml:space="preserve">RG-WM reflected this edit in </w:t>
      </w:r>
      <w:hyperlink r:id="rId39" w:history="1">
        <w:r w:rsidRPr="0063108E">
          <w:rPr>
            <w:rStyle w:val="Hyperlink"/>
          </w:rPr>
          <w:t>TSAG-TD630R3</w:t>
        </w:r>
      </w:hyperlink>
      <w:r>
        <w:t xml:space="preserve"> for their further consideration.</w:t>
      </w:r>
    </w:p>
    <w:p w14:paraId="00925D25" w14:textId="77777777" w:rsidR="00714956" w:rsidRDefault="00714956" w:rsidP="00AE5071"/>
    <w:p w14:paraId="286BE383" w14:textId="0444A985" w:rsidR="00D146DA" w:rsidRDefault="00714956" w:rsidP="00AE5071">
      <w:r>
        <w:t xml:space="preserve">The meeting acknowledged </w:t>
      </w:r>
      <w:hyperlink r:id="rId40" w:history="1">
        <w:r w:rsidRPr="0063108E">
          <w:rPr>
            <w:rStyle w:val="Hyperlink"/>
          </w:rPr>
          <w:t>TSAG-C113</w:t>
        </w:r>
      </w:hyperlink>
      <w:r>
        <w:t xml:space="preserve"> presented by Broadcom Europe. It was noted that the topic of new and emerging telecommunication/ICTs was of ITU-wide interest</w:t>
      </w:r>
      <w:r w:rsidR="0089410A">
        <w:t>, however, that TSAG had not received many contributions on a mechanism to address new and emerging telecommunication/ICTs in the current study period</w:t>
      </w:r>
      <w:r>
        <w:t>.</w:t>
      </w:r>
      <w:r w:rsidR="0089410A">
        <w:t xml:space="preserve"> The meeting advocated for a pragmatic approach, to consider </w:t>
      </w:r>
      <w:r w:rsidR="0089410A" w:rsidRPr="0089410A">
        <w:t>existing work and mechanisms</w:t>
      </w:r>
      <w:r w:rsidR="0089410A">
        <w:t>,</w:t>
      </w:r>
      <w:r w:rsidR="0089410A" w:rsidRPr="0089410A">
        <w:t xml:space="preserve"> </w:t>
      </w:r>
      <w:r w:rsidR="0089410A">
        <w:t>and to continue the work to precisely lay out the proposed way forward. Several members extended their interest and support to the contributor.</w:t>
      </w:r>
      <w:r w:rsidR="00144FF5">
        <w:t xml:space="preserve">  </w:t>
      </w:r>
      <w:r w:rsidR="007A16C0">
        <w:t xml:space="preserve">A summary of the comments and an update </w:t>
      </w:r>
      <w:r w:rsidR="008053B3">
        <w:t xml:space="preserve">was prepared </w:t>
      </w:r>
      <w:r w:rsidR="00144FF5">
        <w:t xml:space="preserve">in </w:t>
      </w:r>
      <w:hyperlink r:id="rId41" w:history="1">
        <w:r w:rsidR="00144FF5" w:rsidRPr="00D91AF0">
          <w:rPr>
            <w:rStyle w:val="Hyperlink"/>
          </w:rPr>
          <w:t>TSAG-TD6</w:t>
        </w:r>
        <w:r w:rsidR="00144FF5">
          <w:rPr>
            <w:rStyle w:val="Hyperlink"/>
          </w:rPr>
          <w:t>80</w:t>
        </w:r>
      </w:hyperlink>
      <w:r w:rsidR="008053B3">
        <w:t>.</w:t>
      </w:r>
    </w:p>
    <w:p w14:paraId="54E10885" w14:textId="30429246" w:rsidR="0089410A" w:rsidRPr="0089410A" w:rsidRDefault="0089410A" w:rsidP="00AE5071">
      <w:r w:rsidRPr="0089410A">
        <w:t xml:space="preserve">The liaison statement </w:t>
      </w:r>
      <w:r w:rsidR="0063108E" w:rsidRPr="0089410A">
        <w:t xml:space="preserve">in </w:t>
      </w:r>
      <w:hyperlink r:id="rId42" w:history="1">
        <w:r w:rsidR="0063108E" w:rsidRPr="0063108E">
          <w:rPr>
            <w:rStyle w:val="Hyperlink"/>
          </w:rPr>
          <w:t>TSAG-TD579</w:t>
        </w:r>
      </w:hyperlink>
      <w:r w:rsidR="0063108E">
        <w:t xml:space="preserve"> </w:t>
      </w:r>
      <w:r w:rsidRPr="0089410A">
        <w:t xml:space="preserve">from ITU-T SG11 </w:t>
      </w:r>
      <w:r w:rsidR="0063108E">
        <w:t xml:space="preserve">on the topic </w:t>
      </w:r>
      <w:r>
        <w:t>was noted.</w:t>
      </w:r>
    </w:p>
    <w:p w14:paraId="138B0F7B" w14:textId="42FB3ADA" w:rsidR="003976F4" w:rsidRPr="00153B9C" w:rsidRDefault="005C6A23" w:rsidP="003976F4">
      <w:pPr>
        <w:pStyle w:val="Heading1"/>
        <w:rPr>
          <w:lang w:val="en-CA"/>
        </w:rPr>
      </w:pPr>
      <w:r w:rsidRPr="00153B9C">
        <w:rPr>
          <w:lang w:val="en-CA"/>
        </w:rPr>
        <w:t>5</w:t>
      </w:r>
      <w:r w:rsidR="003976F4" w:rsidRPr="00153B9C">
        <w:rPr>
          <w:lang w:val="en-CA"/>
        </w:rPr>
        <w:tab/>
        <w:t>Metrics</w:t>
      </w:r>
    </w:p>
    <w:p w14:paraId="3F504C8F" w14:textId="3583192E" w:rsidR="00754327" w:rsidRDefault="00396CFF" w:rsidP="005C6A23">
      <w:hyperlink r:id="rId43" w:history="1">
        <w:r w:rsidR="005C6A23" w:rsidRPr="0063108E">
          <w:rPr>
            <w:rStyle w:val="Hyperlink"/>
          </w:rPr>
          <w:t>TSAG-TD</w:t>
        </w:r>
        <w:r w:rsidR="0089410A" w:rsidRPr="0063108E">
          <w:rPr>
            <w:rStyle w:val="Hyperlink"/>
          </w:rPr>
          <w:t>504</w:t>
        </w:r>
      </w:hyperlink>
      <w:r w:rsidR="005C6A23">
        <w:t xml:space="preserve"> containing data</w:t>
      </w:r>
      <w:r w:rsidR="005C6A23" w:rsidRPr="005C6A23">
        <w:t xml:space="preserve"> regarding ITU-T study group work including Question level statistics </w:t>
      </w:r>
      <w:r w:rsidR="005C6A23">
        <w:t>was noted</w:t>
      </w:r>
      <w:r w:rsidR="00FB5C9C">
        <w:t xml:space="preserve">. </w:t>
      </w:r>
    </w:p>
    <w:p w14:paraId="522207F6" w14:textId="4E6C223A" w:rsidR="00516FFC" w:rsidRDefault="005C6A23" w:rsidP="001E08C9">
      <w:pPr>
        <w:pStyle w:val="Heading1"/>
      </w:pPr>
      <w:r>
        <w:t>6</w:t>
      </w:r>
      <w:r w:rsidR="00A31BE8">
        <w:tab/>
        <w:t>Future meetings</w:t>
      </w:r>
    </w:p>
    <w:p w14:paraId="3E5AB858" w14:textId="4145174E" w:rsidR="0089410A" w:rsidRDefault="00475197" w:rsidP="00AE5071">
      <w:r>
        <w:t>The meeting agreed on the following dates</w:t>
      </w:r>
      <w:r w:rsidR="00077478">
        <w:t>,</w:t>
      </w:r>
      <w:r w:rsidR="006A3420">
        <w:t xml:space="preserve"> </w:t>
      </w:r>
      <w:r>
        <w:t xml:space="preserve">times </w:t>
      </w:r>
      <w:r w:rsidR="00077478">
        <w:t xml:space="preserve">and main topics </w:t>
      </w:r>
      <w:r>
        <w:t xml:space="preserve">for </w:t>
      </w:r>
      <w:r w:rsidR="00723624">
        <w:t>virtual interim RG-IEM meetings</w:t>
      </w:r>
      <w:r w:rsidR="00077478">
        <w:t xml:space="preserve"> before the next TSAG meeting</w:t>
      </w:r>
      <w:r w:rsidR="0089410A">
        <w:t>:</w:t>
      </w:r>
    </w:p>
    <w:p w14:paraId="65578011" w14:textId="041A77AB" w:rsidR="0089410A" w:rsidRDefault="0089410A" w:rsidP="0089410A">
      <w:pPr>
        <w:pStyle w:val="ListParagraph"/>
        <w:numPr>
          <w:ilvl w:val="0"/>
          <w:numId w:val="32"/>
        </w:numPr>
      </w:pPr>
      <w:r>
        <w:t>11 February 2025, 1300-1500 CET (review WTSA-24 outcomes, any other IEM topics)</w:t>
      </w:r>
    </w:p>
    <w:p w14:paraId="0867D348" w14:textId="3E01486A" w:rsidR="0089410A" w:rsidRDefault="008053B3" w:rsidP="0089410A">
      <w:pPr>
        <w:pStyle w:val="ListParagraph"/>
        <w:numPr>
          <w:ilvl w:val="0"/>
          <w:numId w:val="32"/>
        </w:numPr>
      </w:pPr>
      <w:r>
        <w:t>22</w:t>
      </w:r>
      <w:r w:rsidR="0089410A">
        <w:t xml:space="preserve"> April 2025, 1300-1500 CEST</w:t>
      </w:r>
      <w:r w:rsidR="00700607">
        <w:t xml:space="preserve"> </w:t>
      </w:r>
      <w:r w:rsidR="0089410A">
        <w:t>(review WTSA-24 outcomes, any other IEM topics)</w:t>
      </w:r>
    </w:p>
    <w:p w14:paraId="260110FE" w14:textId="6B5B5F80" w:rsidR="008564D2" w:rsidRDefault="00723624" w:rsidP="00AE5071">
      <w:r w:rsidRPr="00F61D04">
        <w:t>The contribution deadline</w:t>
      </w:r>
      <w:r w:rsidR="00507080" w:rsidRPr="00F61D04">
        <w:t xml:space="preserve"> is 7 days before the respective meeting.</w:t>
      </w:r>
    </w:p>
    <w:p w14:paraId="188CCC24" w14:textId="442F844E" w:rsidR="0089410A" w:rsidRPr="0089410A" w:rsidRDefault="0089410A" w:rsidP="00AE5071">
      <w:pPr>
        <w:rPr>
          <w:b/>
          <w:bCs/>
        </w:rPr>
      </w:pPr>
      <w:r>
        <w:rPr>
          <w:b/>
          <w:bCs/>
        </w:rPr>
        <w:lastRenderedPageBreak/>
        <w:t>RG-IEM-</w:t>
      </w:r>
      <w:r w:rsidR="00700607">
        <w:rPr>
          <w:b/>
          <w:bCs/>
        </w:rPr>
        <w:t>6</w:t>
      </w:r>
      <w:r w:rsidRPr="00C54964">
        <w:rPr>
          <w:b/>
          <w:bCs/>
        </w:rPr>
        <w:t>: to request TSAG through WP2 to</w:t>
      </w:r>
      <w:r>
        <w:rPr>
          <w:b/>
          <w:bCs/>
        </w:rPr>
        <w:t xml:space="preserve"> approve the RG-IEM interim activities (11 February 2025 and </w:t>
      </w:r>
      <w:r w:rsidR="00137AC7">
        <w:rPr>
          <w:b/>
          <w:bCs/>
        </w:rPr>
        <w:t>22</w:t>
      </w:r>
      <w:r>
        <w:rPr>
          <w:b/>
          <w:bCs/>
        </w:rPr>
        <w:t xml:space="preserve"> April 2025, 1300-1500 Geneva time)</w:t>
      </w:r>
      <w:r w:rsidRPr="00C54964">
        <w:rPr>
          <w:b/>
          <w:bCs/>
        </w:rPr>
        <w:t>.</w:t>
      </w:r>
    </w:p>
    <w:p w14:paraId="7EA3143B" w14:textId="11AFFA40" w:rsidR="00DC5A52" w:rsidRDefault="005C6A23" w:rsidP="00DC5A52">
      <w:pPr>
        <w:pStyle w:val="Heading1"/>
      </w:pPr>
      <w:r>
        <w:t>7</w:t>
      </w:r>
      <w:r w:rsidR="00DC5A52">
        <w:tab/>
      </w:r>
      <w:r w:rsidR="006C124A">
        <w:t>AOB</w:t>
      </w:r>
    </w:p>
    <w:p w14:paraId="32C55A36" w14:textId="1E3214AE" w:rsidR="00C02A40" w:rsidRDefault="00DC5A52" w:rsidP="00AE5071">
      <w:r>
        <w:t>None.</w:t>
      </w:r>
    </w:p>
    <w:p w14:paraId="02501448" w14:textId="61871A96" w:rsidR="006C124A" w:rsidRDefault="005C6A23" w:rsidP="001A2A44">
      <w:pPr>
        <w:pStyle w:val="Heading1"/>
      </w:pPr>
      <w:r>
        <w:t>8</w:t>
      </w:r>
      <w:r w:rsidR="00EB483C">
        <w:tab/>
      </w:r>
      <w:r w:rsidR="00EB483C" w:rsidRPr="00EB483C">
        <w:t>Closure of the meeting</w:t>
      </w:r>
    </w:p>
    <w:p w14:paraId="4018B841" w14:textId="08E04CBA" w:rsidR="00E9307A" w:rsidRDefault="00EB483C" w:rsidP="00AE5071">
      <w:r>
        <w:t>In closing, the Rapporteur informed delegates that the meeting report will be made available in TSAG-TD</w:t>
      </w:r>
      <w:r w:rsidR="0089410A">
        <w:t>5</w:t>
      </w:r>
      <w:r w:rsidR="005C6A23">
        <w:t>21</w:t>
      </w:r>
      <w:r>
        <w:t>.</w:t>
      </w:r>
    </w:p>
    <w:p w14:paraId="4A58689D" w14:textId="1E1EB04A" w:rsidR="00EB483C" w:rsidRDefault="00E9307A" w:rsidP="00AE5071">
      <w:r>
        <w:t>The Rapporteur</w:t>
      </w:r>
      <w:r w:rsidR="00EB483C">
        <w:t xml:space="preserve"> expressed his gratitude to </w:t>
      </w:r>
      <w:r w:rsidR="001A2A44">
        <w:t>Associate Rapporteurs, Contributors and delegates for the active participation</w:t>
      </w:r>
      <w:r w:rsidR="00137AC7">
        <w:t xml:space="preserve"> in this short study period</w:t>
      </w:r>
      <w:r w:rsidR="001A2A44">
        <w:t>.</w:t>
      </w:r>
    </w:p>
    <w:p w14:paraId="601834F0" w14:textId="4E9359BB" w:rsidR="001A2A44" w:rsidRDefault="001A2A44" w:rsidP="00AE5071">
      <w:r>
        <w:t xml:space="preserve">The meeting closed </w:t>
      </w:r>
      <w:r w:rsidR="0089410A">
        <w:t xml:space="preserve">on 31 July 2024 </w:t>
      </w:r>
      <w:r>
        <w:t xml:space="preserve">at </w:t>
      </w:r>
      <w:r w:rsidR="0089410A">
        <w:t>16</w:t>
      </w:r>
      <w:r w:rsidR="00E9307A">
        <w:t>:</w:t>
      </w:r>
      <w:r w:rsidR="005C6A23">
        <w:t>05</w:t>
      </w:r>
      <w:r w:rsidR="00E9307A">
        <w:t xml:space="preserve"> hours.</w:t>
      </w:r>
    </w:p>
    <w:p w14:paraId="52957F1B" w14:textId="1A600452" w:rsidR="00416B31" w:rsidRDefault="00416B31" w:rsidP="00AE5071"/>
    <w:p w14:paraId="70928FAF" w14:textId="50977FF4" w:rsidR="00416B31" w:rsidRPr="00416B31" w:rsidRDefault="00416B31" w:rsidP="00416B3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16B31" w:rsidRPr="00416B31" w:rsidSect="0085771E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BFCDA" w14:textId="77777777" w:rsidR="00983200" w:rsidRDefault="00983200" w:rsidP="00C42125">
      <w:pPr>
        <w:spacing w:before="0"/>
      </w:pPr>
      <w:r>
        <w:separator/>
      </w:r>
    </w:p>
  </w:endnote>
  <w:endnote w:type="continuationSeparator" w:id="0">
    <w:p w14:paraId="3C096556" w14:textId="77777777" w:rsidR="00983200" w:rsidRDefault="0098320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47AB" w14:textId="77777777" w:rsidR="000B3BC3" w:rsidRDefault="000B3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D2E3" w14:textId="77777777" w:rsidR="000B3BC3" w:rsidRDefault="000B3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2B41" w14:textId="77777777" w:rsidR="000B3BC3" w:rsidRDefault="000B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B745" w14:textId="77777777" w:rsidR="00983200" w:rsidRDefault="00983200" w:rsidP="00C42125">
      <w:pPr>
        <w:spacing w:before="0"/>
      </w:pPr>
      <w:r>
        <w:separator/>
      </w:r>
    </w:p>
  </w:footnote>
  <w:footnote w:type="continuationSeparator" w:id="0">
    <w:p w14:paraId="5ECA16A3" w14:textId="77777777" w:rsidR="00983200" w:rsidRDefault="0098320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EC6A" w14:textId="77777777" w:rsidR="000B3BC3" w:rsidRDefault="000B3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50166A1C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96CFF">
      <w:rPr>
        <w:noProof/>
      </w:rPr>
      <w:t>TSAG-TD521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D976" w14:textId="77777777" w:rsidR="000B3BC3" w:rsidRDefault="000B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330D"/>
    <w:multiLevelType w:val="hybridMultilevel"/>
    <w:tmpl w:val="2110B62C"/>
    <w:lvl w:ilvl="0" w:tplc="DE7A8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254C8"/>
    <w:multiLevelType w:val="hybridMultilevel"/>
    <w:tmpl w:val="E3CCBF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544E"/>
    <w:multiLevelType w:val="hybridMultilevel"/>
    <w:tmpl w:val="D694642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20A14"/>
    <w:multiLevelType w:val="hybridMultilevel"/>
    <w:tmpl w:val="4B7ADE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6DBC45AC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30395"/>
    <w:multiLevelType w:val="hybridMultilevel"/>
    <w:tmpl w:val="5CB4F8CA"/>
    <w:lvl w:ilvl="0" w:tplc="3D544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518"/>
    <w:multiLevelType w:val="hybridMultilevel"/>
    <w:tmpl w:val="12EAF62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13A64"/>
    <w:multiLevelType w:val="hybridMultilevel"/>
    <w:tmpl w:val="ABB0133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01C5E"/>
    <w:multiLevelType w:val="hybridMultilevel"/>
    <w:tmpl w:val="7442ACEA"/>
    <w:lvl w:ilvl="0" w:tplc="8E469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D156E"/>
    <w:multiLevelType w:val="hybridMultilevel"/>
    <w:tmpl w:val="3CA6311C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775654">
    <w:abstractNumId w:val="9"/>
  </w:num>
  <w:num w:numId="2" w16cid:durableId="2049642185">
    <w:abstractNumId w:val="7"/>
  </w:num>
  <w:num w:numId="3" w16cid:durableId="1484199881">
    <w:abstractNumId w:val="6"/>
  </w:num>
  <w:num w:numId="4" w16cid:durableId="397947392">
    <w:abstractNumId w:val="5"/>
  </w:num>
  <w:num w:numId="5" w16cid:durableId="1810853882">
    <w:abstractNumId w:val="4"/>
  </w:num>
  <w:num w:numId="6" w16cid:durableId="2117628948">
    <w:abstractNumId w:val="8"/>
  </w:num>
  <w:num w:numId="7" w16cid:durableId="1267348054">
    <w:abstractNumId w:val="3"/>
  </w:num>
  <w:num w:numId="8" w16cid:durableId="354156894">
    <w:abstractNumId w:val="2"/>
  </w:num>
  <w:num w:numId="9" w16cid:durableId="521093855">
    <w:abstractNumId w:val="1"/>
  </w:num>
  <w:num w:numId="10" w16cid:durableId="586114618">
    <w:abstractNumId w:val="0"/>
  </w:num>
  <w:num w:numId="11" w16cid:durableId="422069912">
    <w:abstractNumId w:val="14"/>
  </w:num>
  <w:num w:numId="12" w16cid:durableId="1793207320">
    <w:abstractNumId w:val="21"/>
  </w:num>
  <w:num w:numId="13" w16cid:durableId="1564682073">
    <w:abstractNumId w:val="12"/>
  </w:num>
  <w:num w:numId="14" w16cid:durableId="758529587">
    <w:abstractNumId w:val="30"/>
  </w:num>
  <w:num w:numId="15" w16cid:durableId="418215464">
    <w:abstractNumId w:val="10"/>
  </w:num>
  <w:num w:numId="16" w16cid:durableId="1473908171">
    <w:abstractNumId w:val="24"/>
  </w:num>
  <w:num w:numId="17" w16cid:durableId="976834639">
    <w:abstractNumId w:val="17"/>
  </w:num>
  <w:num w:numId="18" w16cid:durableId="638609261">
    <w:abstractNumId w:val="27"/>
  </w:num>
  <w:num w:numId="19" w16cid:durableId="1627347064">
    <w:abstractNumId w:val="11"/>
  </w:num>
  <w:num w:numId="20" w16cid:durableId="124084085">
    <w:abstractNumId w:val="26"/>
  </w:num>
  <w:num w:numId="21" w16cid:durableId="75714464">
    <w:abstractNumId w:val="18"/>
  </w:num>
  <w:num w:numId="22" w16cid:durableId="443966617">
    <w:abstractNumId w:val="31"/>
  </w:num>
  <w:num w:numId="23" w16cid:durableId="1372002044">
    <w:abstractNumId w:val="28"/>
  </w:num>
  <w:num w:numId="24" w16cid:durableId="1246307469">
    <w:abstractNumId w:val="20"/>
  </w:num>
  <w:num w:numId="25" w16cid:durableId="1777140192">
    <w:abstractNumId w:val="29"/>
  </w:num>
  <w:num w:numId="26" w16cid:durableId="732237278">
    <w:abstractNumId w:val="19"/>
  </w:num>
  <w:num w:numId="27" w16cid:durableId="1480615011">
    <w:abstractNumId w:val="22"/>
  </w:num>
  <w:num w:numId="28" w16cid:durableId="931429497">
    <w:abstractNumId w:val="13"/>
  </w:num>
  <w:num w:numId="29" w16cid:durableId="1387994413">
    <w:abstractNumId w:val="25"/>
  </w:num>
  <w:num w:numId="30" w16cid:durableId="898438618">
    <w:abstractNumId w:val="15"/>
  </w:num>
  <w:num w:numId="31" w16cid:durableId="1753041382">
    <w:abstractNumId w:val="23"/>
  </w:num>
  <w:num w:numId="32" w16cid:durableId="6477098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3605"/>
    <w:rsid w:val="00004918"/>
    <w:rsid w:val="00011D9D"/>
    <w:rsid w:val="00012DCC"/>
    <w:rsid w:val="000171DB"/>
    <w:rsid w:val="00020EA1"/>
    <w:rsid w:val="00023104"/>
    <w:rsid w:val="00023D9A"/>
    <w:rsid w:val="0002490E"/>
    <w:rsid w:val="00031F0C"/>
    <w:rsid w:val="0003687B"/>
    <w:rsid w:val="00036F7E"/>
    <w:rsid w:val="00037538"/>
    <w:rsid w:val="00041531"/>
    <w:rsid w:val="00043D75"/>
    <w:rsid w:val="00052350"/>
    <w:rsid w:val="00054813"/>
    <w:rsid w:val="00056CE0"/>
    <w:rsid w:val="00057000"/>
    <w:rsid w:val="000610A5"/>
    <w:rsid w:val="000640E0"/>
    <w:rsid w:val="00064226"/>
    <w:rsid w:val="00066E33"/>
    <w:rsid w:val="00077478"/>
    <w:rsid w:val="00083C7D"/>
    <w:rsid w:val="000852C9"/>
    <w:rsid w:val="000853C6"/>
    <w:rsid w:val="000935D4"/>
    <w:rsid w:val="00097ED0"/>
    <w:rsid w:val="000A13F9"/>
    <w:rsid w:val="000A5CA2"/>
    <w:rsid w:val="000B25B1"/>
    <w:rsid w:val="000B3BC3"/>
    <w:rsid w:val="000B4523"/>
    <w:rsid w:val="000B5476"/>
    <w:rsid w:val="000C3485"/>
    <w:rsid w:val="000C3DDD"/>
    <w:rsid w:val="000C46EE"/>
    <w:rsid w:val="000D13F8"/>
    <w:rsid w:val="000D17F8"/>
    <w:rsid w:val="000D37B9"/>
    <w:rsid w:val="000D3CAF"/>
    <w:rsid w:val="000D4416"/>
    <w:rsid w:val="000E363B"/>
    <w:rsid w:val="000F4622"/>
    <w:rsid w:val="00103855"/>
    <w:rsid w:val="00110F89"/>
    <w:rsid w:val="00114503"/>
    <w:rsid w:val="00115088"/>
    <w:rsid w:val="00115389"/>
    <w:rsid w:val="00122352"/>
    <w:rsid w:val="001251DA"/>
    <w:rsid w:val="00125432"/>
    <w:rsid w:val="00127C93"/>
    <w:rsid w:val="00137AC7"/>
    <w:rsid w:val="00137DEB"/>
    <w:rsid w:val="00137F40"/>
    <w:rsid w:val="00144FF5"/>
    <w:rsid w:val="00146800"/>
    <w:rsid w:val="001478AF"/>
    <w:rsid w:val="00150787"/>
    <w:rsid w:val="00152279"/>
    <w:rsid w:val="00153B9C"/>
    <w:rsid w:val="001616ED"/>
    <w:rsid w:val="00164278"/>
    <w:rsid w:val="00165942"/>
    <w:rsid w:val="00166515"/>
    <w:rsid w:val="00167F09"/>
    <w:rsid w:val="00171B0A"/>
    <w:rsid w:val="0017240B"/>
    <w:rsid w:val="001733C6"/>
    <w:rsid w:val="001772D5"/>
    <w:rsid w:val="00186BA9"/>
    <w:rsid w:val="001871EC"/>
    <w:rsid w:val="00187EF9"/>
    <w:rsid w:val="00196DE2"/>
    <w:rsid w:val="001A2A44"/>
    <w:rsid w:val="001A3EAF"/>
    <w:rsid w:val="001A4AAE"/>
    <w:rsid w:val="001A4B28"/>
    <w:rsid w:val="001A6336"/>
    <w:rsid w:val="001A670F"/>
    <w:rsid w:val="001B07DB"/>
    <w:rsid w:val="001B2053"/>
    <w:rsid w:val="001B22E1"/>
    <w:rsid w:val="001B2CCA"/>
    <w:rsid w:val="001B4544"/>
    <w:rsid w:val="001B4C2C"/>
    <w:rsid w:val="001B523A"/>
    <w:rsid w:val="001C3FE2"/>
    <w:rsid w:val="001C4EEC"/>
    <w:rsid w:val="001C5462"/>
    <w:rsid w:val="001C62B8"/>
    <w:rsid w:val="001D3800"/>
    <w:rsid w:val="001D4B05"/>
    <w:rsid w:val="001D5BDA"/>
    <w:rsid w:val="001E08C9"/>
    <w:rsid w:val="001E1280"/>
    <w:rsid w:val="001E51B7"/>
    <w:rsid w:val="001E7B0E"/>
    <w:rsid w:val="001F141D"/>
    <w:rsid w:val="001F4586"/>
    <w:rsid w:val="001F48AB"/>
    <w:rsid w:val="00200A06"/>
    <w:rsid w:val="00201D37"/>
    <w:rsid w:val="002041BF"/>
    <w:rsid w:val="00206269"/>
    <w:rsid w:val="00220A20"/>
    <w:rsid w:val="00222F45"/>
    <w:rsid w:val="00224652"/>
    <w:rsid w:val="00225175"/>
    <w:rsid w:val="0022560A"/>
    <w:rsid w:val="00231DC5"/>
    <w:rsid w:val="00233868"/>
    <w:rsid w:val="002354CE"/>
    <w:rsid w:val="00241832"/>
    <w:rsid w:val="00242269"/>
    <w:rsid w:val="002467D6"/>
    <w:rsid w:val="0025109D"/>
    <w:rsid w:val="002534C9"/>
    <w:rsid w:val="00253DBE"/>
    <w:rsid w:val="0025618B"/>
    <w:rsid w:val="002622FA"/>
    <w:rsid w:val="00263518"/>
    <w:rsid w:val="0026479D"/>
    <w:rsid w:val="00264A8A"/>
    <w:rsid w:val="00270DCD"/>
    <w:rsid w:val="002759E7"/>
    <w:rsid w:val="00275ED1"/>
    <w:rsid w:val="00277326"/>
    <w:rsid w:val="00277381"/>
    <w:rsid w:val="002778C9"/>
    <w:rsid w:val="00280BF2"/>
    <w:rsid w:val="0028283C"/>
    <w:rsid w:val="00283CA1"/>
    <w:rsid w:val="002859E0"/>
    <w:rsid w:val="00285D7C"/>
    <w:rsid w:val="002865C0"/>
    <w:rsid w:val="00290F57"/>
    <w:rsid w:val="00295655"/>
    <w:rsid w:val="002A1567"/>
    <w:rsid w:val="002A2C21"/>
    <w:rsid w:val="002A49E0"/>
    <w:rsid w:val="002B14C7"/>
    <w:rsid w:val="002B31AF"/>
    <w:rsid w:val="002C003A"/>
    <w:rsid w:val="002C015C"/>
    <w:rsid w:val="002C26C0"/>
    <w:rsid w:val="002C2BC5"/>
    <w:rsid w:val="002C3D24"/>
    <w:rsid w:val="002C7AD6"/>
    <w:rsid w:val="002D38F4"/>
    <w:rsid w:val="002D6CC9"/>
    <w:rsid w:val="002E035C"/>
    <w:rsid w:val="002E2053"/>
    <w:rsid w:val="002E78B8"/>
    <w:rsid w:val="002E79CB"/>
    <w:rsid w:val="002F103F"/>
    <w:rsid w:val="002F1CFE"/>
    <w:rsid w:val="002F7F55"/>
    <w:rsid w:val="00301AB3"/>
    <w:rsid w:val="00303722"/>
    <w:rsid w:val="0030745F"/>
    <w:rsid w:val="003111B2"/>
    <w:rsid w:val="00312A8B"/>
    <w:rsid w:val="00314630"/>
    <w:rsid w:val="00316AA5"/>
    <w:rsid w:val="00320255"/>
    <w:rsid w:val="0032090A"/>
    <w:rsid w:val="00321045"/>
    <w:rsid w:val="00321CDE"/>
    <w:rsid w:val="003221B6"/>
    <w:rsid w:val="00330528"/>
    <w:rsid w:val="00333E15"/>
    <w:rsid w:val="00336046"/>
    <w:rsid w:val="00342422"/>
    <w:rsid w:val="00342BA2"/>
    <w:rsid w:val="00345FDC"/>
    <w:rsid w:val="00347934"/>
    <w:rsid w:val="00350298"/>
    <w:rsid w:val="00350492"/>
    <w:rsid w:val="0035343D"/>
    <w:rsid w:val="00355BC3"/>
    <w:rsid w:val="0036053D"/>
    <w:rsid w:val="0036348F"/>
    <w:rsid w:val="00364FB8"/>
    <w:rsid w:val="00371F32"/>
    <w:rsid w:val="0037346B"/>
    <w:rsid w:val="0037422B"/>
    <w:rsid w:val="00380BBA"/>
    <w:rsid w:val="0038552E"/>
    <w:rsid w:val="0038715D"/>
    <w:rsid w:val="003902EB"/>
    <w:rsid w:val="0039139D"/>
    <w:rsid w:val="00394DBF"/>
    <w:rsid w:val="003957A6"/>
    <w:rsid w:val="00395C05"/>
    <w:rsid w:val="00396CFF"/>
    <w:rsid w:val="00396E46"/>
    <w:rsid w:val="003976F4"/>
    <w:rsid w:val="003A03D9"/>
    <w:rsid w:val="003A14B5"/>
    <w:rsid w:val="003A43EF"/>
    <w:rsid w:val="003A5982"/>
    <w:rsid w:val="003A62AF"/>
    <w:rsid w:val="003A6CA8"/>
    <w:rsid w:val="003B2555"/>
    <w:rsid w:val="003B44EB"/>
    <w:rsid w:val="003B4A85"/>
    <w:rsid w:val="003C1467"/>
    <w:rsid w:val="003C59BE"/>
    <w:rsid w:val="003C7445"/>
    <w:rsid w:val="003C7716"/>
    <w:rsid w:val="003C7FC2"/>
    <w:rsid w:val="003D0269"/>
    <w:rsid w:val="003D2CC8"/>
    <w:rsid w:val="003D2D85"/>
    <w:rsid w:val="003D33D5"/>
    <w:rsid w:val="003D66B7"/>
    <w:rsid w:val="003E457F"/>
    <w:rsid w:val="003E53D9"/>
    <w:rsid w:val="003E6B47"/>
    <w:rsid w:val="003E7C5C"/>
    <w:rsid w:val="003F0550"/>
    <w:rsid w:val="003F14DA"/>
    <w:rsid w:val="003F1DF4"/>
    <w:rsid w:val="003F2AEA"/>
    <w:rsid w:val="003F2BED"/>
    <w:rsid w:val="003F3EE6"/>
    <w:rsid w:val="00403596"/>
    <w:rsid w:val="00404998"/>
    <w:rsid w:val="00411153"/>
    <w:rsid w:val="00416B31"/>
    <w:rsid w:val="00417BFD"/>
    <w:rsid w:val="00425160"/>
    <w:rsid w:val="00426A2C"/>
    <w:rsid w:val="00427F6A"/>
    <w:rsid w:val="00431CAA"/>
    <w:rsid w:val="00432D19"/>
    <w:rsid w:val="00433526"/>
    <w:rsid w:val="00433D63"/>
    <w:rsid w:val="00435BB3"/>
    <w:rsid w:val="004367CF"/>
    <w:rsid w:val="00443878"/>
    <w:rsid w:val="00444FB7"/>
    <w:rsid w:val="004456D1"/>
    <w:rsid w:val="0044609F"/>
    <w:rsid w:val="004520D6"/>
    <w:rsid w:val="004529C1"/>
    <w:rsid w:val="004539A8"/>
    <w:rsid w:val="00454193"/>
    <w:rsid w:val="00454DD3"/>
    <w:rsid w:val="00457223"/>
    <w:rsid w:val="0045769F"/>
    <w:rsid w:val="00461815"/>
    <w:rsid w:val="0046634B"/>
    <w:rsid w:val="004712CA"/>
    <w:rsid w:val="00473D37"/>
    <w:rsid w:val="0047422E"/>
    <w:rsid w:val="00475197"/>
    <w:rsid w:val="004759F0"/>
    <w:rsid w:val="00482A2B"/>
    <w:rsid w:val="00483FB4"/>
    <w:rsid w:val="00484EDE"/>
    <w:rsid w:val="0048505B"/>
    <w:rsid w:val="0049674B"/>
    <w:rsid w:val="004A3014"/>
    <w:rsid w:val="004A409C"/>
    <w:rsid w:val="004A5D8B"/>
    <w:rsid w:val="004B0A5B"/>
    <w:rsid w:val="004B26DC"/>
    <w:rsid w:val="004C0673"/>
    <w:rsid w:val="004C25AE"/>
    <w:rsid w:val="004C3DE5"/>
    <w:rsid w:val="004C4E4E"/>
    <w:rsid w:val="004C5B68"/>
    <w:rsid w:val="004D6DCC"/>
    <w:rsid w:val="004D72D7"/>
    <w:rsid w:val="004E15B9"/>
    <w:rsid w:val="004E1E9A"/>
    <w:rsid w:val="004F1D7D"/>
    <w:rsid w:val="004F3392"/>
    <w:rsid w:val="004F3816"/>
    <w:rsid w:val="004F6151"/>
    <w:rsid w:val="00501E6B"/>
    <w:rsid w:val="005059F2"/>
    <w:rsid w:val="00507080"/>
    <w:rsid w:val="00514175"/>
    <w:rsid w:val="005155ED"/>
    <w:rsid w:val="00515EF9"/>
    <w:rsid w:val="005162C3"/>
    <w:rsid w:val="00516FFC"/>
    <w:rsid w:val="00522E19"/>
    <w:rsid w:val="005248F3"/>
    <w:rsid w:val="00530634"/>
    <w:rsid w:val="00537338"/>
    <w:rsid w:val="00540929"/>
    <w:rsid w:val="00540E73"/>
    <w:rsid w:val="00542C68"/>
    <w:rsid w:val="00543D41"/>
    <w:rsid w:val="00550196"/>
    <w:rsid w:val="00552142"/>
    <w:rsid w:val="0055782F"/>
    <w:rsid w:val="005623D7"/>
    <w:rsid w:val="00566EDA"/>
    <w:rsid w:val="00567F52"/>
    <w:rsid w:val="005720D0"/>
    <w:rsid w:val="00572654"/>
    <w:rsid w:val="00577559"/>
    <w:rsid w:val="005802E9"/>
    <w:rsid w:val="0058050B"/>
    <w:rsid w:val="005816D2"/>
    <w:rsid w:val="0058234B"/>
    <w:rsid w:val="00583CED"/>
    <w:rsid w:val="00584467"/>
    <w:rsid w:val="005946A8"/>
    <w:rsid w:val="00595010"/>
    <w:rsid w:val="005A130B"/>
    <w:rsid w:val="005A54DD"/>
    <w:rsid w:val="005A64A7"/>
    <w:rsid w:val="005A7412"/>
    <w:rsid w:val="005A7CF3"/>
    <w:rsid w:val="005B3023"/>
    <w:rsid w:val="005B5629"/>
    <w:rsid w:val="005B79FB"/>
    <w:rsid w:val="005C0300"/>
    <w:rsid w:val="005C4F27"/>
    <w:rsid w:val="005C6A23"/>
    <w:rsid w:val="005C6F97"/>
    <w:rsid w:val="005D18C1"/>
    <w:rsid w:val="005D5379"/>
    <w:rsid w:val="005D6893"/>
    <w:rsid w:val="005D7406"/>
    <w:rsid w:val="005E319D"/>
    <w:rsid w:val="005F4B6A"/>
    <w:rsid w:val="005F5839"/>
    <w:rsid w:val="005F657C"/>
    <w:rsid w:val="00600C62"/>
    <w:rsid w:val="006010F3"/>
    <w:rsid w:val="0060211D"/>
    <w:rsid w:val="00604127"/>
    <w:rsid w:val="00615A0A"/>
    <w:rsid w:val="006243D6"/>
    <w:rsid w:val="00625A88"/>
    <w:rsid w:val="00625B98"/>
    <w:rsid w:val="00630582"/>
    <w:rsid w:val="0063108E"/>
    <w:rsid w:val="00631BBD"/>
    <w:rsid w:val="00631F95"/>
    <w:rsid w:val="00632695"/>
    <w:rsid w:val="0063274D"/>
    <w:rsid w:val="006333D4"/>
    <w:rsid w:val="006369B2"/>
    <w:rsid w:val="006378FB"/>
    <w:rsid w:val="00640B54"/>
    <w:rsid w:val="00642D16"/>
    <w:rsid w:val="00645AE4"/>
    <w:rsid w:val="00647525"/>
    <w:rsid w:val="00651060"/>
    <w:rsid w:val="006551EE"/>
    <w:rsid w:val="006570B0"/>
    <w:rsid w:val="0066116F"/>
    <w:rsid w:val="006624CB"/>
    <w:rsid w:val="00670B9D"/>
    <w:rsid w:val="006746EC"/>
    <w:rsid w:val="006859A5"/>
    <w:rsid w:val="0069180E"/>
    <w:rsid w:val="00691C94"/>
    <w:rsid w:val="0069210B"/>
    <w:rsid w:val="006932AE"/>
    <w:rsid w:val="0069401D"/>
    <w:rsid w:val="006A280D"/>
    <w:rsid w:val="006A3420"/>
    <w:rsid w:val="006A4055"/>
    <w:rsid w:val="006A7457"/>
    <w:rsid w:val="006A76D4"/>
    <w:rsid w:val="006B6303"/>
    <w:rsid w:val="006C0CF3"/>
    <w:rsid w:val="006C124A"/>
    <w:rsid w:val="006C2834"/>
    <w:rsid w:val="006C28FB"/>
    <w:rsid w:val="006C34D2"/>
    <w:rsid w:val="006C3E5D"/>
    <w:rsid w:val="006C5641"/>
    <w:rsid w:val="006C5843"/>
    <w:rsid w:val="006C74C8"/>
    <w:rsid w:val="006C77E1"/>
    <w:rsid w:val="006D1089"/>
    <w:rsid w:val="006D1B86"/>
    <w:rsid w:val="006D34C8"/>
    <w:rsid w:val="006D7355"/>
    <w:rsid w:val="006D77B6"/>
    <w:rsid w:val="006D78DC"/>
    <w:rsid w:val="006F2ACE"/>
    <w:rsid w:val="006F4361"/>
    <w:rsid w:val="006F4561"/>
    <w:rsid w:val="006F6D78"/>
    <w:rsid w:val="006F7880"/>
    <w:rsid w:val="00700607"/>
    <w:rsid w:val="0070065E"/>
    <w:rsid w:val="007103A6"/>
    <w:rsid w:val="0071112F"/>
    <w:rsid w:val="00714956"/>
    <w:rsid w:val="00715B22"/>
    <w:rsid w:val="00715CA6"/>
    <w:rsid w:val="00720754"/>
    <w:rsid w:val="00721677"/>
    <w:rsid w:val="00722263"/>
    <w:rsid w:val="00723624"/>
    <w:rsid w:val="00724991"/>
    <w:rsid w:val="00725044"/>
    <w:rsid w:val="00731135"/>
    <w:rsid w:val="00731557"/>
    <w:rsid w:val="00732434"/>
    <w:rsid w:val="007324AF"/>
    <w:rsid w:val="0073446D"/>
    <w:rsid w:val="00737D0B"/>
    <w:rsid w:val="007409B4"/>
    <w:rsid w:val="00741974"/>
    <w:rsid w:val="0074202A"/>
    <w:rsid w:val="007421CB"/>
    <w:rsid w:val="00750F6F"/>
    <w:rsid w:val="00753A79"/>
    <w:rsid w:val="00754327"/>
    <w:rsid w:val="00754623"/>
    <w:rsid w:val="0075525E"/>
    <w:rsid w:val="00756D3D"/>
    <w:rsid w:val="00761DF0"/>
    <w:rsid w:val="00773653"/>
    <w:rsid w:val="007745D0"/>
    <w:rsid w:val="007758AB"/>
    <w:rsid w:val="00780370"/>
    <w:rsid w:val="007806C2"/>
    <w:rsid w:val="00782839"/>
    <w:rsid w:val="007841C7"/>
    <w:rsid w:val="00784641"/>
    <w:rsid w:val="007862F0"/>
    <w:rsid w:val="00787DED"/>
    <w:rsid w:val="007903F8"/>
    <w:rsid w:val="0079460B"/>
    <w:rsid w:val="00794F4F"/>
    <w:rsid w:val="007974BE"/>
    <w:rsid w:val="007A090F"/>
    <w:rsid w:val="007A0916"/>
    <w:rsid w:val="007A0DFD"/>
    <w:rsid w:val="007A16C0"/>
    <w:rsid w:val="007A2021"/>
    <w:rsid w:val="007A3ED9"/>
    <w:rsid w:val="007A4AE1"/>
    <w:rsid w:val="007A4FD8"/>
    <w:rsid w:val="007A59C4"/>
    <w:rsid w:val="007A5D0C"/>
    <w:rsid w:val="007A6474"/>
    <w:rsid w:val="007A75B6"/>
    <w:rsid w:val="007B0E30"/>
    <w:rsid w:val="007B39D1"/>
    <w:rsid w:val="007B47BF"/>
    <w:rsid w:val="007C0AC9"/>
    <w:rsid w:val="007C0E1E"/>
    <w:rsid w:val="007C7122"/>
    <w:rsid w:val="007C71BD"/>
    <w:rsid w:val="007D2F5B"/>
    <w:rsid w:val="007D3F11"/>
    <w:rsid w:val="007D6BA3"/>
    <w:rsid w:val="007E0771"/>
    <w:rsid w:val="007E4A20"/>
    <w:rsid w:val="007E53E4"/>
    <w:rsid w:val="007E5CDC"/>
    <w:rsid w:val="007E656A"/>
    <w:rsid w:val="007F2049"/>
    <w:rsid w:val="007F664D"/>
    <w:rsid w:val="007F7B66"/>
    <w:rsid w:val="008053B3"/>
    <w:rsid w:val="0080640D"/>
    <w:rsid w:val="0081064E"/>
    <w:rsid w:val="00811233"/>
    <w:rsid w:val="008128CE"/>
    <w:rsid w:val="008132CC"/>
    <w:rsid w:val="008205B1"/>
    <w:rsid w:val="00821FBA"/>
    <w:rsid w:val="0082620B"/>
    <w:rsid w:val="00826A38"/>
    <w:rsid w:val="00835082"/>
    <w:rsid w:val="008354B4"/>
    <w:rsid w:val="00841217"/>
    <w:rsid w:val="00842137"/>
    <w:rsid w:val="0085292E"/>
    <w:rsid w:val="00855D14"/>
    <w:rsid w:val="008564D2"/>
    <w:rsid w:val="008572F4"/>
    <w:rsid w:val="008576BE"/>
    <w:rsid w:val="0085771E"/>
    <w:rsid w:val="00870F38"/>
    <w:rsid w:val="00872147"/>
    <w:rsid w:val="00880EB7"/>
    <w:rsid w:val="008860E1"/>
    <w:rsid w:val="00886867"/>
    <w:rsid w:val="00887ED8"/>
    <w:rsid w:val="0089088E"/>
    <w:rsid w:val="00892297"/>
    <w:rsid w:val="00893996"/>
    <w:rsid w:val="0089410A"/>
    <w:rsid w:val="008942B0"/>
    <w:rsid w:val="00897DC4"/>
    <w:rsid w:val="008A66B7"/>
    <w:rsid w:val="008A69DD"/>
    <w:rsid w:val="008A7183"/>
    <w:rsid w:val="008B1928"/>
    <w:rsid w:val="008B3622"/>
    <w:rsid w:val="008B6F4A"/>
    <w:rsid w:val="008C0554"/>
    <w:rsid w:val="008C730E"/>
    <w:rsid w:val="008D0C7E"/>
    <w:rsid w:val="008D7467"/>
    <w:rsid w:val="008E0172"/>
    <w:rsid w:val="008E370F"/>
    <w:rsid w:val="008E4297"/>
    <w:rsid w:val="008E5713"/>
    <w:rsid w:val="008F0642"/>
    <w:rsid w:val="008F16BE"/>
    <w:rsid w:val="008F2EAA"/>
    <w:rsid w:val="00901338"/>
    <w:rsid w:val="00903118"/>
    <w:rsid w:val="0090465F"/>
    <w:rsid w:val="00904803"/>
    <w:rsid w:val="00904B80"/>
    <w:rsid w:val="009052D6"/>
    <w:rsid w:val="00907380"/>
    <w:rsid w:val="00911FB2"/>
    <w:rsid w:val="00912C68"/>
    <w:rsid w:val="00913071"/>
    <w:rsid w:val="00913783"/>
    <w:rsid w:val="00914912"/>
    <w:rsid w:val="0092056A"/>
    <w:rsid w:val="00924C07"/>
    <w:rsid w:val="00932AB7"/>
    <w:rsid w:val="009343E8"/>
    <w:rsid w:val="00934405"/>
    <w:rsid w:val="00934B49"/>
    <w:rsid w:val="00934C5D"/>
    <w:rsid w:val="009406B5"/>
    <w:rsid w:val="009428D7"/>
    <w:rsid w:val="00943F1C"/>
    <w:rsid w:val="00943FFC"/>
    <w:rsid w:val="009441E2"/>
    <w:rsid w:val="00946166"/>
    <w:rsid w:val="00947A28"/>
    <w:rsid w:val="00947D50"/>
    <w:rsid w:val="0095099F"/>
    <w:rsid w:val="0095429C"/>
    <w:rsid w:val="009544DA"/>
    <w:rsid w:val="009551EC"/>
    <w:rsid w:val="009564E4"/>
    <w:rsid w:val="00956947"/>
    <w:rsid w:val="00957E9D"/>
    <w:rsid w:val="00966A49"/>
    <w:rsid w:val="009704D1"/>
    <w:rsid w:val="00973920"/>
    <w:rsid w:val="00973E0C"/>
    <w:rsid w:val="00975F3B"/>
    <w:rsid w:val="00983164"/>
    <w:rsid w:val="00983200"/>
    <w:rsid w:val="00983246"/>
    <w:rsid w:val="0098742D"/>
    <w:rsid w:val="00991336"/>
    <w:rsid w:val="009914C2"/>
    <w:rsid w:val="00992DDA"/>
    <w:rsid w:val="009972EF"/>
    <w:rsid w:val="009A22E5"/>
    <w:rsid w:val="009A5BA8"/>
    <w:rsid w:val="009A5CA0"/>
    <w:rsid w:val="009A7D69"/>
    <w:rsid w:val="009B75B3"/>
    <w:rsid w:val="009C1DD8"/>
    <w:rsid w:val="009C3160"/>
    <w:rsid w:val="009C50CF"/>
    <w:rsid w:val="009C5ACE"/>
    <w:rsid w:val="009C7A75"/>
    <w:rsid w:val="009D34E3"/>
    <w:rsid w:val="009D3A94"/>
    <w:rsid w:val="009D6156"/>
    <w:rsid w:val="009E1403"/>
    <w:rsid w:val="009E7412"/>
    <w:rsid w:val="009E766E"/>
    <w:rsid w:val="009E7908"/>
    <w:rsid w:val="009F1960"/>
    <w:rsid w:val="009F42B3"/>
    <w:rsid w:val="009F715E"/>
    <w:rsid w:val="00A10DBB"/>
    <w:rsid w:val="00A12734"/>
    <w:rsid w:val="00A16253"/>
    <w:rsid w:val="00A304DD"/>
    <w:rsid w:val="00A30608"/>
    <w:rsid w:val="00A31BE8"/>
    <w:rsid w:val="00A31D47"/>
    <w:rsid w:val="00A4013E"/>
    <w:rsid w:val="00A4045F"/>
    <w:rsid w:val="00A406F1"/>
    <w:rsid w:val="00A427CD"/>
    <w:rsid w:val="00A4600B"/>
    <w:rsid w:val="00A50506"/>
    <w:rsid w:val="00A51EF0"/>
    <w:rsid w:val="00A606DC"/>
    <w:rsid w:val="00A67A81"/>
    <w:rsid w:val="00A730A6"/>
    <w:rsid w:val="00A74DD0"/>
    <w:rsid w:val="00A75783"/>
    <w:rsid w:val="00A77EA8"/>
    <w:rsid w:val="00A82246"/>
    <w:rsid w:val="00A903E5"/>
    <w:rsid w:val="00A946D1"/>
    <w:rsid w:val="00A971A0"/>
    <w:rsid w:val="00AA07B4"/>
    <w:rsid w:val="00AA1F22"/>
    <w:rsid w:val="00AA203F"/>
    <w:rsid w:val="00AA77CA"/>
    <w:rsid w:val="00AB0B51"/>
    <w:rsid w:val="00AB35CB"/>
    <w:rsid w:val="00AB60FC"/>
    <w:rsid w:val="00AB6520"/>
    <w:rsid w:val="00AB7B0F"/>
    <w:rsid w:val="00AC1F3A"/>
    <w:rsid w:val="00AC2FC2"/>
    <w:rsid w:val="00AC6B3B"/>
    <w:rsid w:val="00AC6FE4"/>
    <w:rsid w:val="00AD70D4"/>
    <w:rsid w:val="00AE38E1"/>
    <w:rsid w:val="00AE413C"/>
    <w:rsid w:val="00AE4A9C"/>
    <w:rsid w:val="00AE5071"/>
    <w:rsid w:val="00AE5428"/>
    <w:rsid w:val="00AF0E41"/>
    <w:rsid w:val="00AF4ACB"/>
    <w:rsid w:val="00AF5055"/>
    <w:rsid w:val="00AF7CC3"/>
    <w:rsid w:val="00B009B6"/>
    <w:rsid w:val="00B01712"/>
    <w:rsid w:val="00B05821"/>
    <w:rsid w:val="00B05BF7"/>
    <w:rsid w:val="00B20999"/>
    <w:rsid w:val="00B21725"/>
    <w:rsid w:val="00B221D5"/>
    <w:rsid w:val="00B223AE"/>
    <w:rsid w:val="00B26C28"/>
    <w:rsid w:val="00B30EAC"/>
    <w:rsid w:val="00B32F5F"/>
    <w:rsid w:val="00B370B5"/>
    <w:rsid w:val="00B4174C"/>
    <w:rsid w:val="00B434C3"/>
    <w:rsid w:val="00B4461C"/>
    <w:rsid w:val="00B453F5"/>
    <w:rsid w:val="00B52517"/>
    <w:rsid w:val="00B545AD"/>
    <w:rsid w:val="00B56FD7"/>
    <w:rsid w:val="00B57342"/>
    <w:rsid w:val="00B60539"/>
    <w:rsid w:val="00B61624"/>
    <w:rsid w:val="00B61702"/>
    <w:rsid w:val="00B61B1A"/>
    <w:rsid w:val="00B62733"/>
    <w:rsid w:val="00B676D0"/>
    <w:rsid w:val="00B718A5"/>
    <w:rsid w:val="00B73CF5"/>
    <w:rsid w:val="00B769A8"/>
    <w:rsid w:val="00B8261A"/>
    <w:rsid w:val="00B86D85"/>
    <w:rsid w:val="00B86F9E"/>
    <w:rsid w:val="00B91219"/>
    <w:rsid w:val="00BA05D9"/>
    <w:rsid w:val="00BA6FB6"/>
    <w:rsid w:val="00BB0086"/>
    <w:rsid w:val="00BB6DD8"/>
    <w:rsid w:val="00BC144F"/>
    <w:rsid w:val="00BC1FAE"/>
    <w:rsid w:val="00BC36EC"/>
    <w:rsid w:val="00BC5810"/>
    <w:rsid w:val="00BC62E2"/>
    <w:rsid w:val="00BD09FE"/>
    <w:rsid w:val="00BD39BC"/>
    <w:rsid w:val="00BD3B79"/>
    <w:rsid w:val="00BE36F8"/>
    <w:rsid w:val="00BE57FC"/>
    <w:rsid w:val="00BF0E60"/>
    <w:rsid w:val="00BF373A"/>
    <w:rsid w:val="00C02A40"/>
    <w:rsid w:val="00C052F9"/>
    <w:rsid w:val="00C13F10"/>
    <w:rsid w:val="00C14202"/>
    <w:rsid w:val="00C22C5F"/>
    <w:rsid w:val="00C24733"/>
    <w:rsid w:val="00C37FDD"/>
    <w:rsid w:val="00C41FCF"/>
    <w:rsid w:val="00C42125"/>
    <w:rsid w:val="00C43401"/>
    <w:rsid w:val="00C45EAB"/>
    <w:rsid w:val="00C54964"/>
    <w:rsid w:val="00C57C22"/>
    <w:rsid w:val="00C6028E"/>
    <w:rsid w:val="00C61502"/>
    <w:rsid w:val="00C62814"/>
    <w:rsid w:val="00C6327C"/>
    <w:rsid w:val="00C6463D"/>
    <w:rsid w:val="00C70E32"/>
    <w:rsid w:val="00C74937"/>
    <w:rsid w:val="00C74B93"/>
    <w:rsid w:val="00C820A7"/>
    <w:rsid w:val="00C9155F"/>
    <w:rsid w:val="00C925BD"/>
    <w:rsid w:val="00CA2189"/>
    <w:rsid w:val="00CA3DB0"/>
    <w:rsid w:val="00CA557B"/>
    <w:rsid w:val="00CA6164"/>
    <w:rsid w:val="00CA6219"/>
    <w:rsid w:val="00CA6A1B"/>
    <w:rsid w:val="00CB381C"/>
    <w:rsid w:val="00CB4C66"/>
    <w:rsid w:val="00CB60A5"/>
    <w:rsid w:val="00CB7FF1"/>
    <w:rsid w:val="00CC33C4"/>
    <w:rsid w:val="00CC3D4A"/>
    <w:rsid w:val="00CC6555"/>
    <w:rsid w:val="00CC79A8"/>
    <w:rsid w:val="00CD132F"/>
    <w:rsid w:val="00CD15AC"/>
    <w:rsid w:val="00CD6A8F"/>
    <w:rsid w:val="00CE4BF8"/>
    <w:rsid w:val="00CF2B96"/>
    <w:rsid w:val="00CF34A7"/>
    <w:rsid w:val="00CF3A5C"/>
    <w:rsid w:val="00CF5AAC"/>
    <w:rsid w:val="00D0482A"/>
    <w:rsid w:val="00D13D88"/>
    <w:rsid w:val="00D146DA"/>
    <w:rsid w:val="00D14FFD"/>
    <w:rsid w:val="00D15381"/>
    <w:rsid w:val="00D165AD"/>
    <w:rsid w:val="00D44EEB"/>
    <w:rsid w:val="00D45545"/>
    <w:rsid w:val="00D474BB"/>
    <w:rsid w:val="00D526BE"/>
    <w:rsid w:val="00D53543"/>
    <w:rsid w:val="00D55168"/>
    <w:rsid w:val="00D57D7F"/>
    <w:rsid w:val="00D61389"/>
    <w:rsid w:val="00D62B7E"/>
    <w:rsid w:val="00D6309B"/>
    <w:rsid w:val="00D64A79"/>
    <w:rsid w:val="00D6556C"/>
    <w:rsid w:val="00D71198"/>
    <w:rsid w:val="00D73137"/>
    <w:rsid w:val="00D74C00"/>
    <w:rsid w:val="00D80B71"/>
    <w:rsid w:val="00D83660"/>
    <w:rsid w:val="00D838A1"/>
    <w:rsid w:val="00D840C4"/>
    <w:rsid w:val="00D84C61"/>
    <w:rsid w:val="00D903D6"/>
    <w:rsid w:val="00D90F94"/>
    <w:rsid w:val="00DA313C"/>
    <w:rsid w:val="00DA3DA2"/>
    <w:rsid w:val="00DA74C7"/>
    <w:rsid w:val="00DB00B2"/>
    <w:rsid w:val="00DB1307"/>
    <w:rsid w:val="00DB7049"/>
    <w:rsid w:val="00DC0323"/>
    <w:rsid w:val="00DC39B0"/>
    <w:rsid w:val="00DC48DC"/>
    <w:rsid w:val="00DC5A52"/>
    <w:rsid w:val="00DD04A4"/>
    <w:rsid w:val="00DD1D0C"/>
    <w:rsid w:val="00DD50DE"/>
    <w:rsid w:val="00DE1F2E"/>
    <w:rsid w:val="00DE219B"/>
    <w:rsid w:val="00DE3062"/>
    <w:rsid w:val="00DE5F3D"/>
    <w:rsid w:val="00DE6401"/>
    <w:rsid w:val="00DF0EE4"/>
    <w:rsid w:val="00DF669A"/>
    <w:rsid w:val="00E015D6"/>
    <w:rsid w:val="00E01E12"/>
    <w:rsid w:val="00E033C9"/>
    <w:rsid w:val="00E060B2"/>
    <w:rsid w:val="00E0644F"/>
    <w:rsid w:val="00E067BD"/>
    <w:rsid w:val="00E07600"/>
    <w:rsid w:val="00E204DD"/>
    <w:rsid w:val="00E2145E"/>
    <w:rsid w:val="00E24D43"/>
    <w:rsid w:val="00E25B7B"/>
    <w:rsid w:val="00E310D9"/>
    <w:rsid w:val="00E34FC1"/>
    <w:rsid w:val="00E353EC"/>
    <w:rsid w:val="00E36C68"/>
    <w:rsid w:val="00E51CC1"/>
    <w:rsid w:val="00E534F5"/>
    <w:rsid w:val="00E53C24"/>
    <w:rsid w:val="00E554D0"/>
    <w:rsid w:val="00E625BC"/>
    <w:rsid w:val="00E73746"/>
    <w:rsid w:val="00E758E8"/>
    <w:rsid w:val="00E768FB"/>
    <w:rsid w:val="00E779BE"/>
    <w:rsid w:val="00E83850"/>
    <w:rsid w:val="00E8583A"/>
    <w:rsid w:val="00E85FD5"/>
    <w:rsid w:val="00E87030"/>
    <w:rsid w:val="00E9307A"/>
    <w:rsid w:val="00E94677"/>
    <w:rsid w:val="00E977CB"/>
    <w:rsid w:val="00EA4A71"/>
    <w:rsid w:val="00EA56D0"/>
    <w:rsid w:val="00EA56F2"/>
    <w:rsid w:val="00EA7A21"/>
    <w:rsid w:val="00EB30ED"/>
    <w:rsid w:val="00EB444A"/>
    <w:rsid w:val="00EB444D"/>
    <w:rsid w:val="00EB483C"/>
    <w:rsid w:val="00EB7CCE"/>
    <w:rsid w:val="00EC09B2"/>
    <w:rsid w:val="00EC353C"/>
    <w:rsid w:val="00ED0E78"/>
    <w:rsid w:val="00ED28FE"/>
    <w:rsid w:val="00ED3018"/>
    <w:rsid w:val="00EE1FDD"/>
    <w:rsid w:val="00EE4A27"/>
    <w:rsid w:val="00EF1E38"/>
    <w:rsid w:val="00F02281"/>
    <w:rsid w:val="00F02294"/>
    <w:rsid w:val="00F03973"/>
    <w:rsid w:val="00F05033"/>
    <w:rsid w:val="00F10986"/>
    <w:rsid w:val="00F110F1"/>
    <w:rsid w:val="00F1489C"/>
    <w:rsid w:val="00F14CB7"/>
    <w:rsid w:val="00F207A5"/>
    <w:rsid w:val="00F2288B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0DC5"/>
    <w:rsid w:val="00F519D8"/>
    <w:rsid w:val="00F52F64"/>
    <w:rsid w:val="00F562A0"/>
    <w:rsid w:val="00F61D04"/>
    <w:rsid w:val="00F70066"/>
    <w:rsid w:val="00F7052E"/>
    <w:rsid w:val="00F7649E"/>
    <w:rsid w:val="00F7747F"/>
    <w:rsid w:val="00F82BFE"/>
    <w:rsid w:val="00F87495"/>
    <w:rsid w:val="00F8791A"/>
    <w:rsid w:val="00FA1051"/>
    <w:rsid w:val="00FA2177"/>
    <w:rsid w:val="00FA2E6D"/>
    <w:rsid w:val="00FA7140"/>
    <w:rsid w:val="00FB0A28"/>
    <w:rsid w:val="00FB206A"/>
    <w:rsid w:val="00FB2EFC"/>
    <w:rsid w:val="00FB5C9C"/>
    <w:rsid w:val="00FB6F19"/>
    <w:rsid w:val="00FC1422"/>
    <w:rsid w:val="00FC33A5"/>
    <w:rsid w:val="00FD01DA"/>
    <w:rsid w:val="00FD041F"/>
    <w:rsid w:val="00FD35D4"/>
    <w:rsid w:val="00FD439E"/>
    <w:rsid w:val="00FD577C"/>
    <w:rsid w:val="00FD76CB"/>
    <w:rsid w:val="00FE18B4"/>
    <w:rsid w:val="00FE191C"/>
    <w:rsid w:val="00FE20F4"/>
    <w:rsid w:val="00FE29C6"/>
    <w:rsid w:val="00FE4A72"/>
    <w:rsid w:val="00FE6E92"/>
    <w:rsid w:val="00FF1B45"/>
    <w:rsid w:val="00FF4546"/>
    <w:rsid w:val="00FF538F"/>
    <w:rsid w:val="00FF5BA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10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729-TD-GEN-0624/en" TargetMode="External"/><Relationship Id="rId18" Type="http://schemas.openxmlformats.org/officeDocument/2006/relationships/hyperlink" Target="https://www.itu.int/md/T22-TSAG-240122-TD-GEN-0320/en" TargetMode="External"/><Relationship Id="rId26" Type="http://schemas.openxmlformats.org/officeDocument/2006/relationships/hyperlink" Target="https://www.itu.int/md/T22-TSAG-240729-TD-GEN-0624/en" TargetMode="External"/><Relationship Id="rId39" Type="http://schemas.openxmlformats.org/officeDocument/2006/relationships/hyperlink" Target="https://www.itu.int/md/T22-TSAG-240729-TD-GEN-0630/en" TargetMode="External"/><Relationship Id="rId21" Type="http://schemas.openxmlformats.org/officeDocument/2006/relationships/hyperlink" Target="https://www.itu.int/md/T22-TSAG-240729-TD-GEN-0599/en" TargetMode="External"/><Relationship Id="rId34" Type="http://schemas.openxmlformats.org/officeDocument/2006/relationships/hyperlink" Target="https://www.itu.int/md/T22-TSAG-240729-TD-GEN-0666/en" TargetMode="External"/><Relationship Id="rId42" Type="http://schemas.openxmlformats.org/officeDocument/2006/relationships/hyperlink" Target="https://www.itu.int/md/T22-TSAG-240729-TD-GEN-0579/en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729-TD-GEN-0666/en" TargetMode="External"/><Relationship Id="rId29" Type="http://schemas.openxmlformats.org/officeDocument/2006/relationships/hyperlink" Target="https://www.itu.int/md/T22-TSAG-240729-TD-GEN-0671/en" TargetMode="External"/><Relationship Id="rId11" Type="http://schemas.openxmlformats.org/officeDocument/2006/relationships/hyperlink" Target="mailto:glenn.parsons@ericsson.com" TargetMode="External"/><Relationship Id="rId24" Type="http://schemas.openxmlformats.org/officeDocument/2006/relationships/hyperlink" Target="https://www.itu.int/md/T22-TSAG-240729-TD-GEN-0667/en" TargetMode="External"/><Relationship Id="rId32" Type="http://schemas.openxmlformats.org/officeDocument/2006/relationships/hyperlink" Target="https://www.itu.int/md/T22-TSAG-C-0112/en" TargetMode="External"/><Relationship Id="rId37" Type="http://schemas.openxmlformats.org/officeDocument/2006/relationships/hyperlink" Target="https://www.itu.int/md/T22-TSAG-240729-TD-GEN-0668/en" TargetMode="External"/><Relationship Id="rId40" Type="http://schemas.openxmlformats.org/officeDocument/2006/relationships/hyperlink" Target="https://www.itu.int/md/T22-TSAG-C-0113/en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40729-TD-GEN-0671/en" TargetMode="External"/><Relationship Id="rId23" Type="http://schemas.openxmlformats.org/officeDocument/2006/relationships/hyperlink" Target="https://www.itu.int/md/T22-TSAG-240729-TD-GEN-0624/en" TargetMode="External"/><Relationship Id="rId28" Type="http://schemas.openxmlformats.org/officeDocument/2006/relationships/hyperlink" Target="https://www.itu.int/md/T22-TSAG-240729-TD-GEN-0624/en" TargetMode="External"/><Relationship Id="rId36" Type="http://schemas.openxmlformats.org/officeDocument/2006/relationships/hyperlink" Target="https://www.itu.int/md/T22-TSAG-C-0111/en" TargetMode="External"/><Relationship Id="rId49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240729-TD-GEN-0529/en" TargetMode="External"/><Relationship Id="rId31" Type="http://schemas.openxmlformats.org/officeDocument/2006/relationships/hyperlink" Target="https://www.itu.int/md/T22-TSAG-C-0102/en" TargetMode="Externa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40729-TD-GEN-0624/en" TargetMode="External"/><Relationship Id="rId22" Type="http://schemas.openxmlformats.org/officeDocument/2006/relationships/hyperlink" Target="https://www.itu.int/md/T22-TSAG-240729-TD-GEN-0624/en" TargetMode="External"/><Relationship Id="rId27" Type="http://schemas.openxmlformats.org/officeDocument/2006/relationships/hyperlink" Target="https://www.itu.int/md/T22-TSAG-240729-TD-GEN-0624/en" TargetMode="External"/><Relationship Id="rId30" Type="http://schemas.openxmlformats.org/officeDocument/2006/relationships/hyperlink" Target="https://www.itu.int/md/T22-TSAG-240729-TD-GEN-0662/en" TargetMode="External"/><Relationship Id="rId35" Type="http://schemas.openxmlformats.org/officeDocument/2006/relationships/hyperlink" Target="https://www.itu.int/md/T22-TSAG-240729-TD-GEN-0666/en" TargetMode="External"/><Relationship Id="rId43" Type="http://schemas.openxmlformats.org/officeDocument/2006/relationships/hyperlink" Target="https://www.itu.int/md/T22-TSAG-240729-TD-GEN-0504/en" TargetMode="External"/><Relationship Id="rId48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T22-TSAG-240729-TD-GEN-0624/en" TargetMode="External"/><Relationship Id="rId17" Type="http://schemas.openxmlformats.org/officeDocument/2006/relationships/hyperlink" Target="https://www.itu.int/md/T22-TSAG-240729-TD-GEN-0520/en" TargetMode="External"/><Relationship Id="rId25" Type="http://schemas.openxmlformats.org/officeDocument/2006/relationships/hyperlink" Target="https://www.itu.int/md/T22-TSAG-240729-TD-GEN-0671/en" TargetMode="External"/><Relationship Id="rId33" Type="http://schemas.openxmlformats.org/officeDocument/2006/relationships/hyperlink" Target="https://www.itu.int/md/T22-TSAG-240729-TD-GEN-0666/en" TargetMode="External"/><Relationship Id="rId38" Type="http://schemas.openxmlformats.org/officeDocument/2006/relationships/hyperlink" Target="https://www.itu.int/md/T22-TSAG-240729-TD-GEN-0630/en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tu.int/pub/publications.aspx?lang=en&amp;parent=T-RES-T.70-2022" TargetMode="External"/><Relationship Id="rId41" Type="http://schemas.openxmlformats.org/officeDocument/2006/relationships/hyperlink" Target="https://www.itu.int/md/T22-TSAG-240729-TD-GEN-0680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Engagement, Metrics (TSAG RG-IEM) Report (Geneva, 22 - 26 January 2024)</vt:lpstr>
    </vt:vector>
  </TitlesOfParts>
  <Manager>ITU-T</Manager>
  <Company>International Telecommunication Union (ITU)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Engagement, Metrics (TSAG RG-IEM) Report (Geneva, 29 July – 2 August 2024)</dc:title>
  <dc:subject/>
  <dc:creator>Rapporteur, TSAG RG-IEM</dc:creator>
  <cp:keywords/>
  <dc:description>TSAG-TD521  For: Geneva, 29 July – 2 August 2024_x000d_Document date: _x000d_Saved by ITU51014243 at 18:27:30 on 31/07/2024</dc:description>
  <cp:lastModifiedBy>Al-Mnini, Lara</cp:lastModifiedBy>
  <cp:revision>2</cp:revision>
  <cp:lastPrinted>2017-02-22T09:55:00Z</cp:lastPrinted>
  <dcterms:created xsi:type="dcterms:W3CDTF">2024-08-01T12:47:00Z</dcterms:created>
  <dcterms:modified xsi:type="dcterms:W3CDTF">2024-08-01T12:47:00Z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TSAG-TD521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29 July – 2 August 2024</vt:lpwstr>
  </property>
  <property fmtid="{D5CDD505-2E9C-101B-9397-08002B2CF9AE}" pid="15" name="Docauthor">
    <vt:lpwstr>Rapporteur, TSAG RG-IEM</vt:lpwstr>
  </property>
</Properties>
</file>