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1"/>
        <w:gridCol w:w="417"/>
        <w:gridCol w:w="9"/>
        <w:gridCol w:w="3624"/>
        <w:gridCol w:w="145"/>
        <w:gridCol w:w="4253"/>
      </w:tblGrid>
      <w:tr w:rsidR="007A3C9B" w:rsidRPr="00A03A60" w14:paraId="7DBACA9F" w14:textId="77777777" w:rsidTr="001713B3">
        <w:trPr>
          <w:cantSplit/>
        </w:trPr>
        <w:tc>
          <w:tcPr>
            <w:tcW w:w="1191" w:type="dxa"/>
            <w:vMerge w:val="restart"/>
            <w:vAlign w:val="center"/>
          </w:tcPr>
          <w:p w14:paraId="218E74B4" w14:textId="270C286A" w:rsidR="007A3C9B" w:rsidRPr="00A03A60" w:rsidRDefault="00AA1800" w:rsidP="00263128">
            <w:pPr>
              <w:tabs>
                <w:tab w:val="left" w:pos="567"/>
                <w:tab w:val="left" w:pos="1134"/>
                <w:tab w:val="left" w:pos="1701"/>
                <w:tab w:val="left" w:pos="2268"/>
                <w:tab w:val="left" w:pos="2835"/>
              </w:tabs>
              <w:spacing w:before="0"/>
              <w:jc w:val="center"/>
              <w:rPr>
                <w:rFonts w:eastAsia="SimSun"/>
                <w:sz w:val="20"/>
                <w:szCs w:val="20"/>
              </w:rPr>
            </w:pPr>
            <w:r w:rsidRPr="00A03A60">
              <w:rPr>
                <w:noProof/>
              </w:rPr>
              <w:drawing>
                <wp:inline distT="0" distB="0" distL="0" distR="0" wp14:anchorId="187731C5" wp14:editId="2FBD131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0" w:type="dxa"/>
            <w:gridSpan w:val="3"/>
            <w:vMerge w:val="restart"/>
          </w:tcPr>
          <w:p w14:paraId="711FE971"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16"/>
                <w:szCs w:val="16"/>
              </w:rPr>
            </w:pPr>
            <w:r w:rsidRPr="00A03A60">
              <w:rPr>
                <w:rFonts w:eastAsia="SimSun"/>
                <w:sz w:val="16"/>
                <w:szCs w:val="16"/>
              </w:rPr>
              <w:t>INTERNATIONAL TELECOMMUNICATION UNION</w:t>
            </w:r>
          </w:p>
          <w:p w14:paraId="704B7BE6"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szCs w:val="26"/>
              </w:rPr>
            </w:pPr>
            <w:r w:rsidRPr="00A03A60">
              <w:rPr>
                <w:rFonts w:eastAsia="SimSun"/>
                <w:b/>
                <w:sz w:val="26"/>
                <w:szCs w:val="26"/>
              </w:rPr>
              <w:t>TELECOMMUNICATION</w:t>
            </w:r>
            <w:r w:rsidRPr="00A03A60">
              <w:rPr>
                <w:rFonts w:eastAsia="SimSun"/>
                <w:b/>
                <w:sz w:val="26"/>
                <w:szCs w:val="26"/>
              </w:rPr>
              <w:br/>
              <w:t>STANDARDIZATION SECTOR</w:t>
            </w:r>
          </w:p>
          <w:p w14:paraId="1ADD1D78" w14:textId="40A1D8F2"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20"/>
                <w:szCs w:val="20"/>
              </w:rPr>
            </w:pPr>
            <w:r w:rsidRPr="00A03A60">
              <w:rPr>
                <w:rFonts w:eastAsia="SimSun"/>
                <w:sz w:val="20"/>
                <w:szCs w:val="20"/>
              </w:rPr>
              <w:t>STUDY PERIOD 20</w:t>
            </w:r>
            <w:r w:rsidR="00AA1800" w:rsidRPr="00A03A60">
              <w:rPr>
                <w:rFonts w:eastAsia="SimSun"/>
                <w:sz w:val="20"/>
                <w:szCs w:val="20"/>
              </w:rPr>
              <w:t>22</w:t>
            </w:r>
            <w:r w:rsidRPr="00A03A60">
              <w:rPr>
                <w:rFonts w:eastAsia="SimSun"/>
                <w:sz w:val="20"/>
                <w:szCs w:val="20"/>
              </w:rPr>
              <w:t>-202</w:t>
            </w:r>
            <w:r w:rsidR="00AA1800" w:rsidRPr="00A03A60">
              <w:rPr>
                <w:rFonts w:eastAsia="SimSun"/>
                <w:sz w:val="20"/>
                <w:szCs w:val="20"/>
              </w:rPr>
              <w:t>4</w:t>
            </w:r>
          </w:p>
        </w:tc>
        <w:tc>
          <w:tcPr>
            <w:tcW w:w="4398" w:type="dxa"/>
            <w:gridSpan w:val="2"/>
            <w:vAlign w:val="center"/>
          </w:tcPr>
          <w:p w14:paraId="2FC04243" w14:textId="1A480C4B" w:rsidR="007A3C9B" w:rsidRPr="005232AA" w:rsidRDefault="002D05BA" w:rsidP="00263128">
            <w:pPr>
              <w:pStyle w:val="Docnumber"/>
              <w:rPr>
                <w:rFonts w:eastAsia="MS Mincho"/>
                <w:lang w:eastAsia="ja-JP"/>
              </w:rPr>
            </w:pPr>
            <w:r w:rsidRPr="00A03A60">
              <w:rPr>
                <w:rFonts w:eastAsia="SimSun"/>
              </w:rPr>
              <w:t>TSAG-</w:t>
            </w:r>
            <w:r w:rsidR="007A3C9B" w:rsidRPr="00A03A60">
              <w:rPr>
                <w:rFonts w:eastAsia="SimSun"/>
              </w:rPr>
              <w:t>TD</w:t>
            </w:r>
            <w:r w:rsidR="005232AA">
              <w:rPr>
                <w:rFonts w:eastAsia="MS Mincho" w:hint="eastAsia"/>
                <w:lang w:eastAsia="ja-JP"/>
              </w:rPr>
              <w:t>502</w:t>
            </w:r>
          </w:p>
        </w:tc>
      </w:tr>
      <w:tr w:rsidR="007A3C9B" w:rsidRPr="00A03A60" w14:paraId="4E5321D6" w14:textId="77777777" w:rsidTr="001713B3">
        <w:trPr>
          <w:cantSplit/>
        </w:trPr>
        <w:tc>
          <w:tcPr>
            <w:tcW w:w="1191" w:type="dxa"/>
            <w:vMerge/>
          </w:tcPr>
          <w:p w14:paraId="01FC1E24"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050" w:type="dxa"/>
            <w:gridSpan w:val="3"/>
            <w:vMerge/>
          </w:tcPr>
          <w:p w14:paraId="401CFF9A"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398" w:type="dxa"/>
            <w:gridSpan w:val="2"/>
          </w:tcPr>
          <w:p w14:paraId="33869D73" w14:textId="77777777" w:rsidR="007A3C9B" w:rsidRPr="00A03A60" w:rsidRDefault="007A3C9B" w:rsidP="00263128">
            <w:pPr>
              <w:pStyle w:val="TSBHeaderRight14"/>
            </w:pPr>
            <w:r w:rsidRPr="00A03A60">
              <w:t>TSAG</w:t>
            </w:r>
          </w:p>
        </w:tc>
      </w:tr>
      <w:tr w:rsidR="007A3C9B" w:rsidRPr="00A03A60" w14:paraId="13460C8F" w14:textId="77777777" w:rsidTr="001713B3">
        <w:trPr>
          <w:cantSplit/>
        </w:trPr>
        <w:tc>
          <w:tcPr>
            <w:tcW w:w="1191" w:type="dxa"/>
            <w:vMerge/>
            <w:tcBorders>
              <w:bottom w:val="single" w:sz="12" w:space="0" w:color="auto"/>
            </w:tcBorders>
          </w:tcPr>
          <w:p w14:paraId="6645FF82"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050" w:type="dxa"/>
            <w:gridSpan w:val="3"/>
            <w:vMerge/>
            <w:tcBorders>
              <w:bottom w:val="single" w:sz="12" w:space="0" w:color="auto"/>
            </w:tcBorders>
          </w:tcPr>
          <w:p w14:paraId="2668063B"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398" w:type="dxa"/>
            <w:gridSpan w:val="2"/>
            <w:tcBorders>
              <w:bottom w:val="single" w:sz="12" w:space="0" w:color="auto"/>
            </w:tcBorders>
            <w:vAlign w:val="center"/>
          </w:tcPr>
          <w:p w14:paraId="7FC3BD67" w14:textId="77777777" w:rsidR="007A3C9B" w:rsidRPr="00A03A60" w:rsidRDefault="007A3C9B" w:rsidP="00263128">
            <w:pPr>
              <w:pStyle w:val="TSBHeaderRight14"/>
            </w:pPr>
            <w:r w:rsidRPr="00A03A60">
              <w:t>Original: English</w:t>
            </w:r>
          </w:p>
        </w:tc>
      </w:tr>
      <w:tr w:rsidR="007A3C9B" w:rsidRPr="00A03A60" w14:paraId="37479AF8" w14:textId="77777777" w:rsidTr="001713B3">
        <w:trPr>
          <w:cantSplit/>
        </w:trPr>
        <w:tc>
          <w:tcPr>
            <w:tcW w:w="1617" w:type="dxa"/>
            <w:gridSpan w:val="3"/>
          </w:tcPr>
          <w:p w14:paraId="015C9269"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Question(s):</w:t>
            </w:r>
          </w:p>
        </w:tc>
        <w:tc>
          <w:tcPr>
            <w:tcW w:w="3624" w:type="dxa"/>
          </w:tcPr>
          <w:p w14:paraId="57696C0F" w14:textId="77777777" w:rsidR="007A3C9B" w:rsidRPr="00A03A60" w:rsidRDefault="007A3C9B" w:rsidP="00263128">
            <w:pPr>
              <w:pStyle w:val="TSBHeaderQuestion"/>
            </w:pPr>
            <w:r w:rsidRPr="00A03A60">
              <w:t>N/A</w:t>
            </w:r>
          </w:p>
        </w:tc>
        <w:tc>
          <w:tcPr>
            <w:tcW w:w="4398" w:type="dxa"/>
            <w:gridSpan w:val="2"/>
          </w:tcPr>
          <w:p w14:paraId="026351D9" w14:textId="04668750" w:rsidR="007A3C9B" w:rsidRPr="00A03A60" w:rsidRDefault="00AA1800" w:rsidP="00263128">
            <w:pPr>
              <w:pStyle w:val="VenueDate"/>
            </w:pPr>
            <w:r w:rsidRPr="00A03A60">
              <w:t>Geneva</w:t>
            </w:r>
            <w:r w:rsidR="00BD2A3B" w:rsidRPr="00A03A60">
              <w:t xml:space="preserve">, </w:t>
            </w:r>
            <w:r w:rsidR="005232AA">
              <w:rPr>
                <w:rFonts w:eastAsia="MS Mincho" w:hint="eastAsia"/>
              </w:rPr>
              <w:t>29 July - 2 August</w:t>
            </w:r>
            <w:r w:rsidR="008D1C01">
              <w:t xml:space="preserve"> 2024</w:t>
            </w:r>
          </w:p>
        </w:tc>
      </w:tr>
      <w:tr w:rsidR="007A3C9B" w:rsidRPr="00A03A60" w14:paraId="111CACFF" w14:textId="77777777" w:rsidTr="001713B3">
        <w:trPr>
          <w:cantSplit/>
        </w:trPr>
        <w:tc>
          <w:tcPr>
            <w:tcW w:w="9639" w:type="dxa"/>
            <w:gridSpan w:val="6"/>
          </w:tcPr>
          <w:p w14:paraId="5110EB38"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jc w:val="center"/>
              <w:textAlignment w:val="baseline"/>
              <w:rPr>
                <w:rFonts w:eastAsia="SimSun"/>
                <w:b/>
              </w:rPr>
            </w:pPr>
            <w:r w:rsidRPr="00A03A60">
              <w:rPr>
                <w:rFonts w:eastAsia="SimSun"/>
                <w:b/>
              </w:rPr>
              <w:t>TD</w:t>
            </w:r>
          </w:p>
        </w:tc>
      </w:tr>
      <w:tr w:rsidR="007A3C9B" w:rsidRPr="00A03A60" w14:paraId="002C204E" w14:textId="77777777" w:rsidTr="001713B3">
        <w:trPr>
          <w:cantSplit/>
        </w:trPr>
        <w:tc>
          <w:tcPr>
            <w:tcW w:w="1617" w:type="dxa"/>
            <w:gridSpan w:val="3"/>
          </w:tcPr>
          <w:p w14:paraId="14256A76"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Source:</w:t>
            </w:r>
          </w:p>
        </w:tc>
        <w:tc>
          <w:tcPr>
            <w:tcW w:w="8022" w:type="dxa"/>
            <w:gridSpan w:val="3"/>
          </w:tcPr>
          <w:p w14:paraId="7A71F0B4" w14:textId="77777777" w:rsidR="007A3C9B" w:rsidRPr="00A03A60" w:rsidRDefault="007A3C9B" w:rsidP="00263128">
            <w:pPr>
              <w:pStyle w:val="TSBHeaderSource"/>
            </w:pPr>
            <w:r w:rsidRPr="00A03A60">
              <w:t>TSB</w:t>
            </w:r>
          </w:p>
        </w:tc>
      </w:tr>
      <w:tr w:rsidR="007A3C9B" w:rsidRPr="00A03A60" w14:paraId="15206AB5" w14:textId="77777777" w:rsidTr="001713B3">
        <w:trPr>
          <w:cantSplit/>
        </w:trPr>
        <w:tc>
          <w:tcPr>
            <w:tcW w:w="1617" w:type="dxa"/>
            <w:gridSpan w:val="3"/>
          </w:tcPr>
          <w:p w14:paraId="37E00E01"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rPr>
            </w:pPr>
            <w:r w:rsidRPr="00A03A60">
              <w:rPr>
                <w:rFonts w:eastAsia="SimSun"/>
                <w:b/>
              </w:rPr>
              <w:t>Title:</w:t>
            </w:r>
          </w:p>
        </w:tc>
        <w:tc>
          <w:tcPr>
            <w:tcW w:w="8022" w:type="dxa"/>
            <w:gridSpan w:val="3"/>
          </w:tcPr>
          <w:p w14:paraId="298602A6" w14:textId="3E1BE8F5" w:rsidR="007A3C9B" w:rsidRPr="00A03A60" w:rsidRDefault="00811D66" w:rsidP="00263128">
            <w:pPr>
              <w:pStyle w:val="TSBHeaderTitle"/>
            </w:pPr>
            <w:r w:rsidRPr="00A03A60">
              <w:t xml:space="preserve">Summary of contributions </w:t>
            </w:r>
            <w:r w:rsidR="008F12DE" w:rsidRPr="00A03A60">
              <w:t>to</w:t>
            </w:r>
            <w:r w:rsidRPr="00A03A60">
              <w:t xml:space="preserve"> TSAG meeting</w:t>
            </w:r>
            <w:r w:rsidR="00A901AF" w:rsidRPr="00A03A60">
              <w:t xml:space="preserve"> (</w:t>
            </w:r>
            <w:r w:rsidR="009E4DB1" w:rsidRPr="00A03A60">
              <w:t xml:space="preserve">Geneva, </w:t>
            </w:r>
            <w:r w:rsidR="005232AA">
              <w:rPr>
                <w:rFonts w:eastAsia="MS Mincho" w:hint="eastAsia"/>
              </w:rPr>
              <w:t>29 July - 2 August</w:t>
            </w:r>
            <w:r w:rsidR="005232AA">
              <w:t xml:space="preserve"> </w:t>
            </w:r>
            <w:r w:rsidR="008D1C01">
              <w:t>2024</w:t>
            </w:r>
            <w:r w:rsidR="009E4DB1" w:rsidRPr="00A03A60">
              <w:t>)</w:t>
            </w:r>
          </w:p>
        </w:tc>
      </w:tr>
      <w:tr w:rsidR="007A3C9B" w:rsidRPr="00AF47D4" w14:paraId="1C190D94" w14:textId="77777777" w:rsidTr="001713B3">
        <w:trPr>
          <w:cantSplit/>
        </w:trPr>
        <w:tc>
          <w:tcPr>
            <w:tcW w:w="1608" w:type="dxa"/>
            <w:gridSpan w:val="2"/>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gridSpan w:val="3"/>
            <w:tcBorders>
              <w:top w:val="single" w:sz="8" w:space="0" w:color="auto"/>
              <w:bottom w:val="single" w:sz="8" w:space="0" w:color="auto"/>
            </w:tcBorders>
          </w:tcPr>
          <w:p w14:paraId="758978DC" w14:textId="665B3102" w:rsidR="007A3C9B" w:rsidRPr="00A03A60" w:rsidRDefault="00194A66" w:rsidP="00A249CB">
            <w:pPr>
              <w:rPr>
                <w:highlight w:val="yellow"/>
              </w:rPr>
            </w:pPr>
            <w:r>
              <w:t xml:space="preserve">Mr </w:t>
            </w:r>
            <w:r w:rsidR="008D1C01">
              <w:t>Hiroshi Ota</w:t>
            </w:r>
            <w:r w:rsidR="00A249CB" w:rsidRPr="00A03A60">
              <w:br/>
            </w:r>
            <w:r w:rsidR="007A3C9B" w:rsidRPr="00A03A60">
              <w:t>TSB</w:t>
            </w:r>
            <w:r>
              <w:t>; Secretary TSAG</w:t>
            </w:r>
            <w:r w:rsidR="0006261C">
              <w:t>/RG-WPR</w:t>
            </w:r>
          </w:p>
        </w:tc>
        <w:tc>
          <w:tcPr>
            <w:tcW w:w="4253" w:type="dxa"/>
            <w:tcBorders>
              <w:top w:val="single" w:sz="8" w:space="0" w:color="auto"/>
              <w:bottom w:val="single" w:sz="8" w:space="0" w:color="auto"/>
            </w:tcBorders>
          </w:tcPr>
          <w:p w14:paraId="35EE900D" w14:textId="6AF32BE2" w:rsidR="007A3C9B" w:rsidRPr="005926F8" w:rsidRDefault="007A3C9B" w:rsidP="008E66AC">
            <w:pPr>
              <w:rPr>
                <w:rFonts w:eastAsia="Batang"/>
                <w:lang w:val="de-DE"/>
              </w:rPr>
            </w:pPr>
            <w:r w:rsidRPr="005926F8">
              <w:rPr>
                <w:lang w:val="de-DE"/>
              </w:rPr>
              <w:t>Tel:</w:t>
            </w:r>
            <w:r w:rsidRPr="005926F8">
              <w:rPr>
                <w:lang w:val="de-DE"/>
              </w:rPr>
              <w:tab/>
              <w:t xml:space="preserve">+41 22 730 </w:t>
            </w:r>
            <w:r w:rsidR="008D1C01">
              <w:rPr>
                <w:lang w:val="de-DE"/>
              </w:rPr>
              <w:t>635</w:t>
            </w:r>
            <w:r w:rsidRPr="005926F8">
              <w:rPr>
                <w:lang w:val="de-DE"/>
              </w:rPr>
              <w:t>6</w:t>
            </w:r>
            <w:r w:rsidRPr="005926F8">
              <w:rPr>
                <w:lang w:val="de-DE"/>
              </w:rPr>
              <w:br/>
              <w:t>E-mail:</w:t>
            </w:r>
            <w:r w:rsidR="00443641" w:rsidRPr="005926F8">
              <w:rPr>
                <w:lang w:val="de-DE"/>
              </w:rPr>
              <w:t xml:space="preserve"> </w:t>
            </w:r>
            <w:hyperlink r:id="rId12" w:history="1">
              <w:r w:rsidR="008D1C01" w:rsidRPr="0046397D">
                <w:rPr>
                  <w:rStyle w:val="Hyperlink"/>
                  <w:lang w:val="de-DE"/>
                </w:rPr>
                <w:t>hiroshi.ota@itu.int</w:t>
              </w:r>
            </w:hyperlink>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146C1A2C"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5232AA">
              <w:rPr>
                <w:rFonts w:eastAsia="MS Mincho" w:hint="eastAsia"/>
              </w:rPr>
              <w:t>fourth</w:t>
            </w:r>
            <w:r w:rsidR="00AA1800" w:rsidRPr="00A03A60">
              <w:t xml:space="preserve"> </w:t>
            </w:r>
            <w:r w:rsidRPr="00A03A60">
              <w:t>TSAG meeting.</w:t>
            </w:r>
          </w:p>
        </w:tc>
      </w:tr>
    </w:tbl>
    <w:p w14:paraId="46479553" w14:textId="4E84DCFF"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5232AA">
        <w:rPr>
          <w:rFonts w:eastAsia="MS Mincho" w:hint="eastAsia"/>
        </w:rPr>
        <w:t>fourth</w:t>
      </w:r>
      <w:r w:rsidR="00171D74" w:rsidRPr="00A03A60">
        <w:rPr>
          <w:rFonts w:eastAsia="Times New Roman"/>
        </w:rPr>
        <w:t xml:space="preserve"> </w:t>
      </w:r>
      <w:r w:rsidRPr="00A03A60">
        <w:rPr>
          <w:rFonts w:eastAsia="Times New Roman"/>
        </w:rPr>
        <w:t>TSAG meeting</w:t>
      </w:r>
      <w:r w:rsidR="00B11B38"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263128">
          <w:headerReference w:type="default" r:id="rId13"/>
          <w:headerReference w:type="first" r:id="rId14"/>
          <w:pgSz w:w="11906" w:h="16838"/>
          <w:pgMar w:top="1134" w:right="1134" w:bottom="1134" w:left="1134" w:header="425" w:footer="709" w:gutter="0"/>
          <w:cols w:space="708"/>
          <w:titlePg/>
          <w:docGrid w:linePitch="360"/>
        </w:sectPr>
      </w:pPr>
    </w:p>
    <w:p w14:paraId="5BC8F31C" w14:textId="51DF86A3" w:rsidR="008D1C01" w:rsidRDefault="008D1C01" w:rsidP="008D1C01">
      <w:pPr>
        <w:jc w:val="center"/>
        <w:rPr>
          <w:b/>
          <w:bCs/>
        </w:rPr>
      </w:pPr>
      <w:r w:rsidRPr="00EC30BF">
        <w:rPr>
          <w:b/>
          <w:bCs/>
        </w:rPr>
        <w:lastRenderedPageBreak/>
        <w:t xml:space="preserve">Summary of contributions to the </w:t>
      </w:r>
      <w:r w:rsidR="005232AA">
        <w:rPr>
          <w:rFonts w:eastAsia="MS Mincho" w:hint="eastAsia"/>
          <w:b/>
          <w:bCs/>
        </w:rPr>
        <w:t>4th</w:t>
      </w:r>
      <w:r w:rsidRPr="00EC30BF">
        <w:rPr>
          <w:b/>
          <w:bCs/>
        </w:rPr>
        <w:t xml:space="preserve"> TSAG meeting (Geneva, </w:t>
      </w:r>
      <w:r w:rsidR="005232AA" w:rsidRPr="005232AA">
        <w:rPr>
          <w:rFonts w:hint="eastAsia"/>
          <w:b/>
          <w:bCs/>
        </w:rPr>
        <w:t>29 July - 2 August</w:t>
      </w:r>
      <w:r w:rsidR="005232AA" w:rsidRPr="005232AA">
        <w:rPr>
          <w:b/>
          <w:bCs/>
        </w:rPr>
        <w:t xml:space="preserve"> </w:t>
      </w:r>
      <w:r w:rsidRPr="00EC30BF">
        <w:rPr>
          <w:b/>
          <w:bCs/>
        </w:rPr>
        <w:t>202</w:t>
      </w:r>
      <w:r>
        <w:rPr>
          <w:b/>
          <w:bCs/>
        </w:rPr>
        <w:t>4</w:t>
      </w:r>
      <w:r w:rsidRPr="00EC30BF">
        <w:rPr>
          <w:b/>
          <w:bCs/>
        </w:rPr>
        <w:fldChar w:fldCharType="begin"/>
      </w:r>
      <w:r w:rsidRPr="00EC30BF">
        <w:rPr>
          <w:b/>
          <w:bCs/>
        </w:rPr>
        <w:instrText xml:space="preserve"> styleref VenueDate </w:instrText>
      </w:r>
      <w:r w:rsidR="00AF47D4">
        <w:rPr>
          <w:b/>
          <w:bCs/>
        </w:rPr>
        <w:fldChar w:fldCharType="separate"/>
      </w:r>
      <w:r w:rsidRPr="00EC30BF">
        <w:rPr>
          <w:b/>
          <w:bCs/>
        </w:rPr>
        <w:fldChar w:fldCharType="end"/>
      </w:r>
      <w:r w:rsidRPr="00EC30BF">
        <w:rPr>
          <w:b/>
          <w:bCs/>
        </w:rPr>
        <w:t>)</w:t>
      </w:r>
    </w:p>
    <w:p w14:paraId="086707AE" w14:textId="77777777" w:rsidR="00143CE2" w:rsidRPr="00EC30BF" w:rsidRDefault="00143CE2" w:rsidP="008D1C01">
      <w:pPr>
        <w:jc w:val="center"/>
        <w:rPr>
          <w:b/>
          <w:bCs/>
        </w:rPr>
      </w:pPr>
    </w:p>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4"/>
        <w:gridCol w:w="2728"/>
        <w:gridCol w:w="4534"/>
        <w:gridCol w:w="6334"/>
      </w:tblGrid>
      <w:tr w:rsidR="008D1C01" w:rsidRPr="00CE6061" w14:paraId="23E6F0E5" w14:textId="77777777" w:rsidTr="008842DD">
        <w:trPr>
          <w:cantSplit/>
          <w:tblHeader/>
        </w:trPr>
        <w:tc>
          <w:tcPr>
            <w:tcW w:w="324" w:type="pct"/>
            <w:shd w:val="clear" w:color="auto" w:fill="EEECE1" w:themeFill="background2"/>
            <w:vAlign w:val="center"/>
          </w:tcPr>
          <w:p w14:paraId="472368E4" w14:textId="77777777" w:rsidR="008D1C01" w:rsidRPr="00CE6061" w:rsidRDefault="008D1C01" w:rsidP="00CE6061">
            <w:pPr>
              <w:jc w:val="center"/>
              <w:rPr>
                <w:b/>
                <w:bCs/>
              </w:rPr>
            </w:pPr>
            <w:r w:rsidRPr="00CE6061">
              <w:rPr>
                <w:b/>
                <w:bCs/>
              </w:rPr>
              <w:t>C</w:t>
            </w:r>
          </w:p>
        </w:tc>
        <w:tc>
          <w:tcPr>
            <w:tcW w:w="938" w:type="pct"/>
            <w:shd w:val="clear" w:color="auto" w:fill="EEECE1" w:themeFill="background2"/>
            <w:vAlign w:val="center"/>
          </w:tcPr>
          <w:p w14:paraId="347BC600" w14:textId="77777777" w:rsidR="008D1C01" w:rsidRPr="00CE6061" w:rsidRDefault="008D1C01" w:rsidP="00CE6061">
            <w:pPr>
              <w:jc w:val="center"/>
              <w:rPr>
                <w:b/>
                <w:bCs/>
              </w:rPr>
            </w:pPr>
            <w:r w:rsidRPr="00CE6061">
              <w:rPr>
                <w:b/>
                <w:bCs/>
              </w:rPr>
              <w:t>Source</w:t>
            </w:r>
          </w:p>
        </w:tc>
        <w:tc>
          <w:tcPr>
            <w:tcW w:w="1559" w:type="pct"/>
            <w:shd w:val="clear" w:color="auto" w:fill="EEECE1" w:themeFill="background2"/>
            <w:vAlign w:val="center"/>
          </w:tcPr>
          <w:p w14:paraId="0B67B94E" w14:textId="77777777" w:rsidR="008D1C01" w:rsidRPr="00CE6061" w:rsidRDefault="008D1C01" w:rsidP="00CE6061">
            <w:pPr>
              <w:jc w:val="center"/>
              <w:rPr>
                <w:b/>
                <w:bCs/>
              </w:rPr>
            </w:pPr>
            <w:r w:rsidRPr="00CE6061">
              <w:rPr>
                <w:b/>
                <w:bCs/>
              </w:rPr>
              <w:t>Title</w:t>
            </w:r>
          </w:p>
        </w:tc>
        <w:tc>
          <w:tcPr>
            <w:tcW w:w="2178" w:type="pct"/>
            <w:shd w:val="clear" w:color="auto" w:fill="EEECE1" w:themeFill="background2"/>
            <w:vAlign w:val="center"/>
          </w:tcPr>
          <w:p w14:paraId="253CADDE" w14:textId="77777777" w:rsidR="008D1C01" w:rsidRPr="00CE6061" w:rsidRDefault="008D1C01" w:rsidP="00CE6061">
            <w:pPr>
              <w:jc w:val="center"/>
              <w:rPr>
                <w:b/>
                <w:bCs/>
              </w:rPr>
            </w:pPr>
            <w:r w:rsidRPr="00CE6061">
              <w:rPr>
                <w:b/>
                <w:bCs/>
              </w:rPr>
              <w:t>Abstract</w:t>
            </w:r>
          </w:p>
        </w:tc>
      </w:tr>
      <w:bookmarkStart w:id="0" w:name="first_cell"/>
      <w:bookmarkEnd w:id="0"/>
      <w:tr w:rsidR="00CE6061" w:rsidRPr="00CE6061" w14:paraId="370449DA" w14:textId="77777777" w:rsidTr="008842DD">
        <w:trPr>
          <w:cantSplit/>
        </w:trPr>
        <w:tc>
          <w:tcPr>
            <w:tcW w:w="324" w:type="pct"/>
            <w:shd w:val="clear" w:color="auto" w:fill="auto"/>
            <w:vAlign w:val="center"/>
          </w:tcPr>
          <w:p w14:paraId="6DB45376" w14:textId="44425A99" w:rsidR="00CE6061" w:rsidRPr="00CE6061" w:rsidRDefault="00CE6061" w:rsidP="00CE6061">
            <w:pPr>
              <w:jc w:val="center"/>
              <w:rPr>
                <w:lang w:val="fr-FR"/>
              </w:rPr>
            </w:pPr>
            <w:r w:rsidRPr="00CE6061">
              <w:fldChar w:fldCharType="begin"/>
            </w:r>
            <w:r w:rsidRPr="00CE6061">
              <w:instrText>HYPERLINK "http://www.itu.int/md/meetingdoc.asp?lang=en&amp;parent=T22-TSAG-C-0091"</w:instrText>
            </w:r>
            <w:r w:rsidRPr="00CE6061">
              <w:fldChar w:fldCharType="separate"/>
            </w:r>
            <w:r w:rsidRPr="00CE6061">
              <w:rPr>
                <w:rStyle w:val="Hyperlink"/>
                <w:rFonts w:eastAsiaTheme="majorEastAsia"/>
              </w:rPr>
              <w:t>C</w:t>
            </w:r>
            <w:r w:rsidRPr="00CE6061">
              <w:rPr>
                <w:rStyle w:val="Hyperlink"/>
              </w:rPr>
              <w:t>91</w:t>
            </w:r>
            <w:r w:rsidRPr="00CE6061">
              <w:rPr>
                <w:rStyle w:val="Hyperlink"/>
              </w:rPr>
              <w:fldChar w:fldCharType="end"/>
            </w:r>
          </w:p>
        </w:tc>
        <w:tc>
          <w:tcPr>
            <w:tcW w:w="938" w:type="pct"/>
            <w:shd w:val="clear" w:color="auto" w:fill="auto"/>
            <w:vAlign w:val="center"/>
          </w:tcPr>
          <w:p w14:paraId="39F2C0A4" w14:textId="57C29FBB" w:rsidR="00CE6061" w:rsidRPr="00CE6061" w:rsidRDefault="00CE6061" w:rsidP="00CE6061">
            <w:pPr>
              <w:jc w:val="left"/>
            </w:pPr>
            <w:r w:rsidRPr="00CE6061">
              <w:t>Inter-American Telecommunication Commission (CITEL)</w:t>
            </w:r>
          </w:p>
        </w:tc>
        <w:tc>
          <w:tcPr>
            <w:tcW w:w="1559" w:type="pct"/>
            <w:shd w:val="clear" w:color="auto" w:fill="auto"/>
            <w:vAlign w:val="center"/>
          </w:tcPr>
          <w:p w14:paraId="30D52746" w14:textId="6076C011" w:rsidR="00CE6061" w:rsidRPr="00CE6061" w:rsidRDefault="00CE6061" w:rsidP="00CE6061">
            <w:pPr>
              <w:jc w:val="left"/>
            </w:pPr>
            <w:r w:rsidRPr="00CE6061">
              <w:t>IRM: Status Update on WTSA-24 Preparations</w:t>
            </w:r>
          </w:p>
        </w:tc>
        <w:tc>
          <w:tcPr>
            <w:tcW w:w="2178" w:type="pct"/>
            <w:shd w:val="clear" w:color="auto" w:fill="auto"/>
            <w:vAlign w:val="center"/>
          </w:tcPr>
          <w:p w14:paraId="7C507E25" w14:textId="258D9598" w:rsidR="00CE6061" w:rsidRPr="000379A0" w:rsidRDefault="000379A0" w:rsidP="00CE6061">
            <w:pPr>
              <w:jc w:val="left"/>
              <w:rPr>
                <w:rFonts w:eastAsia="MS Mincho"/>
              </w:rPr>
            </w:pPr>
            <w:r w:rsidRPr="00CE6061">
              <w:t>This contribution provides</w:t>
            </w:r>
            <w:r>
              <w:rPr>
                <w:rFonts w:eastAsia="MS Mincho" w:hint="eastAsia"/>
              </w:rPr>
              <w:t xml:space="preserve"> a s</w:t>
            </w:r>
            <w:r w:rsidRPr="007D604D">
              <w:t xml:space="preserve">tatus </w:t>
            </w:r>
            <w:r>
              <w:rPr>
                <w:rFonts w:eastAsia="MS Mincho" w:hint="eastAsia"/>
              </w:rPr>
              <w:t>u</w:t>
            </w:r>
            <w:r w:rsidRPr="007D604D">
              <w:t xml:space="preserve">pdate on </w:t>
            </w:r>
            <w:r w:rsidRPr="007D604D">
              <w:rPr>
                <w:rFonts w:eastAsiaTheme="minorEastAsia"/>
              </w:rPr>
              <w:t>WTSA-24 Preparations</w:t>
            </w:r>
            <w:r>
              <w:rPr>
                <w:rFonts w:eastAsia="MS Mincho" w:hint="eastAsia"/>
              </w:rPr>
              <w:t>.</w:t>
            </w:r>
          </w:p>
        </w:tc>
      </w:tr>
      <w:tr w:rsidR="00CE6061" w:rsidRPr="00CE6061" w14:paraId="788C5FDB" w14:textId="77777777" w:rsidTr="008842DD">
        <w:trPr>
          <w:cantSplit/>
        </w:trPr>
        <w:tc>
          <w:tcPr>
            <w:tcW w:w="324" w:type="pct"/>
            <w:shd w:val="clear" w:color="auto" w:fill="auto"/>
            <w:vAlign w:val="center"/>
          </w:tcPr>
          <w:p w14:paraId="3A920624" w14:textId="409A74DA" w:rsidR="00CE6061" w:rsidRPr="00CE6061" w:rsidRDefault="00AF47D4" w:rsidP="00CE6061">
            <w:pPr>
              <w:jc w:val="center"/>
              <w:rPr>
                <w:lang w:val="fr-FR"/>
              </w:rPr>
            </w:pPr>
            <w:hyperlink r:id="rId15" w:history="1">
              <w:r w:rsidR="00CE6061" w:rsidRPr="00CE6061">
                <w:rPr>
                  <w:rStyle w:val="Hyperlink"/>
                  <w:rFonts w:eastAsiaTheme="majorEastAsia"/>
                </w:rPr>
                <w:t>C</w:t>
              </w:r>
              <w:r w:rsidR="00CE6061" w:rsidRPr="00CE6061">
                <w:rPr>
                  <w:rStyle w:val="Hyperlink"/>
                </w:rPr>
                <w:t>92</w:t>
              </w:r>
            </w:hyperlink>
          </w:p>
        </w:tc>
        <w:tc>
          <w:tcPr>
            <w:tcW w:w="938" w:type="pct"/>
            <w:shd w:val="clear" w:color="auto" w:fill="auto"/>
            <w:vAlign w:val="center"/>
          </w:tcPr>
          <w:p w14:paraId="0F0253AB" w14:textId="666C4395" w:rsidR="00CE6061" w:rsidRPr="00CE6061" w:rsidRDefault="00CE6061" w:rsidP="00CE6061">
            <w:pPr>
              <w:jc w:val="left"/>
            </w:pPr>
            <w:r w:rsidRPr="00CE6061">
              <w:t>Korea (Republic of)</w:t>
            </w:r>
          </w:p>
        </w:tc>
        <w:tc>
          <w:tcPr>
            <w:tcW w:w="1559" w:type="pct"/>
            <w:shd w:val="clear" w:color="auto" w:fill="auto"/>
            <w:vAlign w:val="center"/>
          </w:tcPr>
          <w:p w14:paraId="675090A0" w14:textId="626998BF" w:rsidR="00CE6061" w:rsidRPr="00CE6061" w:rsidRDefault="00CE6061" w:rsidP="00CE6061">
            <w:pPr>
              <w:jc w:val="left"/>
            </w:pPr>
            <w:r w:rsidRPr="00CE6061">
              <w:t>Need for defining criteria for selecting revision or amendment in ITU-T</w:t>
            </w:r>
          </w:p>
        </w:tc>
        <w:tc>
          <w:tcPr>
            <w:tcW w:w="2178" w:type="pct"/>
            <w:shd w:val="clear" w:color="auto" w:fill="auto"/>
            <w:vAlign w:val="center"/>
          </w:tcPr>
          <w:p w14:paraId="18C92B3C" w14:textId="0815CDA1" w:rsidR="00CE6061" w:rsidRPr="00CE6061" w:rsidRDefault="00CE6061" w:rsidP="00CE6061">
            <w:pPr>
              <w:jc w:val="left"/>
            </w:pPr>
            <w:r w:rsidRPr="00CE6061">
              <w:t>This Contribution requests TSAG to provide clarification of possible issues that may arise when revising and amending the common text between ITU-T and JTC 1 and to define criteria for selecting revision or amendment in ITU-T.</w:t>
            </w:r>
          </w:p>
        </w:tc>
      </w:tr>
      <w:tr w:rsidR="00CE6061" w:rsidRPr="00CE6061" w14:paraId="317E6A92" w14:textId="77777777" w:rsidTr="008842DD">
        <w:trPr>
          <w:cantSplit/>
        </w:trPr>
        <w:tc>
          <w:tcPr>
            <w:tcW w:w="324" w:type="pct"/>
            <w:shd w:val="clear" w:color="auto" w:fill="auto"/>
            <w:vAlign w:val="center"/>
          </w:tcPr>
          <w:p w14:paraId="3C464434" w14:textId="00819DCD" w:rsidR="00CE6061" w:rsidRPr="00CE6061" w:rsidRDefault="00AF47D4" w:rsidP="00CE6061">
            <w:pPr>
              <w:jc w:val="center"/>
              <w:rPr>
                <w:lang w:val="en-GB"/>
              </w:rPr>
            </w:pPr>
            <w:hyperlink r:id="rId16" w:history="1">
              <w:r w:rsidR="00CE6061" w:rsidRPr="00CE6061">
                <w:rPr>
                  <w:rStyle w:val="Hyperlink"/>
                  <w:rFonts w:eastAsiaTheme="majorEastAsia"/>
                </w:rPr>
                <w:t>C</w:t>
              </w:r>
              <w:r w:rsidR="00CE6061" w:rsidRPr="00CE6061">
                <w:rPr>
                  <w:rStyle w:val="Hyperlink"/>
                </w:rPr>
                <w:t>93</w:t>
              </w:r>
            </w:hyperlink>
          </w:p>
        </w:tc>
        <w:tc>
          <w:tcPr>
            <w:tcW w:w="938" w:type="pct"/>
            <w:shd w:val="clear" w:color="auto" w:fill="auto"/>
            <w:vAlign w:val="center"/>
          </w:tcPr>
          <w:p w14:paraId="6EB34B3D" w14:textId="477E3EBA" w:rsidR="00CE6061" w:rsidRPr="00CE6061" w:rsidRDefault="00CE6061" w:rsidP="00CE6061">
            <w:pPr>
              <w:jc w:val="left"/>
            </w:pPr>
            <w:r w:rsidRPr="00CE6061">
              <w:t>Korea (Republic of)</w:t>
            </w:r>
          </w:p>
        </w:tc>
        <w:tc>
          <w:tcPr>
            <w:tcW w:w="1559" w:type="pct"/>
            <w:shd w:val="clear" w:color="auto" w:fill="auto"/>
            <w:vAlign w:val="center"/>
          </w:tcPr>
          <w:p w14:paraId="6F5A66E2" w14:textId="513949F9" w:rsidR="00CE6061" w:rsidRPr="00CE6061" w:rsidRDefault="00CE6061" w:rsidP="00CE6061">
            <w:pPr>
              <w:jc w:val="left"/>
            </w:pPr>
            <w:r w:rsidRPr="00CE6061">
              <w:t>Proposed modifications to A.1 regarding attendance status</w:t>
            </w:r>
          </w:p>
        </w:tc>
        <w:tc>
          <w:tcPr>
            <w:tcW w:w="2178" w:type="pct"/>
            <w:shd w:val="clear" w:color="auto" w:fill="auto"/>
            <w:vAlign w:val="center"/>
          </w:tcPr>
          <w:p w14:paraId="7A29D286" w14:textId="1DD7BE95" w:rsidR="00CE6061" w:rsidRPr="00CE6061" w:rsidRDefault="00CE6061" w:rsidP="00CE6061">
            <w:pPr>
              <w:jc w:val="left"/>
            </w:pPr>
            <w:r w:rsidRPr="00CE6061">
              <w:t>This contribution proposes modifications to A.1 on clause 2.4 regarding attendance status.</w:t>
            </w:r>
          </w:p>
        </w:tc>
      </w:tr>
      <w:tr w:rsidR="00CE6061" w:rsidRPr="00CE6061" w14:paraId="7794E59A" w14:textId="77777777" w:rsidTr="008842DD">
        <w:trPr>
          <w:cantSplit/>
        </w:trPr>
        <w:tc>
          <w:tcPr>
            <w:tcW w:w="324" w:type="pct"/>
            <w:shd w:val="clear" w:color="auto" w:fill="auto"/>
            <w:vAlign w:val="center"/>
          </w:tcPr>
          <w:p w14:paraId="078F6358" w14:textId="77777777" w:rsidR="00CE6061" w:rsidRPr="00CE6061" w:rsidRDefault="00AF47D4" w:rsidP="00CE6061">
            <w:pPr>
              <w:jc w:val="center"/>
            </w:pPr>
            <w:hyperlink r:id="rId17" w:history="1">
              <w:r w:rsidR="00CE6061" w:rsidRPr="00CE6061">
                <w:rPr>
                  <w:rStyle w:val="Hyperlink"/>
                  <w:rFonts w:eastAsiaTheme="majorEastAsia"/>
                </w:rPr>
                <w:t>C</w:t>
              </w:r>
              <w:r w:rsidR="00CE6061" w:rsidRPr="00CE6061">
                <w:rPr>
                  <w:rStyle w:val="Hyperlink"/>
                </w:rPr>
                <w:t>94</w:t>
              </w:r>
            </w:hyperlink>
          </w:p>
          <w:p w14:paraId="5AB74764" w14:textId="22E2DE58" w:rsidR="00CE6061" w:rsidRPr="00CE6061" w:rsidRDefault="00CE6061" w:rsidP="00CE6061">
            <w:pPr>
              <w:jc w:val="center"/>
              <w:rPr>
                <w:lang w:val="en-GB"/>
              </w:rPr>
            </w:pPr>
            <w:r w:rsidRPr="00CE6061">
              <w:rPr>
                <w:color w:val="FF0000"/>
              </w:rPr>
              <w:t>(Rev.1)</w:t>
            </w:r>
          </w:p>
        </w:tc>
        <w:tc>
          <w:tcPr>
            <w:tcW w:w="938" w:type="pct"/>
            <w:shd w:val="clear" w:color="auto" w:fill="auto"/>
            <w:vAlign w:val="center"/>
          </w:tcPr>
          <w:p w14:paraId="443AB3FA" w14:textId="3CA07EE4" w:rsidR="00CE6061" w:rsidRPr="00CE6061" w:rsidRDefault="00CE6061" w:rsidP="00CE6061">
            <w:pPr>
              <w:jc w:val="left"/>
            </w:pPr>
            <w:r w:rsidRPr="00CE6061">
              <w:t>Korea (Republic of)</w:t>
            </w:r>
          </w:p>
        </w:tc>
        <w:tc>
          <w:tcPr>
            <w:tcW w:w="1559" w:type="pct"/>
            <w:shd w:val="clear" w:color="auto" w:fill="auto"/>
            <w:vAlign w:val="center"/>
          </w:tcPr>
          <w:p w14:paraId="1B174B4C" w14:textId="7430C92A" w:rsidR="00CE6061" w:rsidRPr="00CE6061" w:rsidRDefault="00CE6061" w:rsidP="00CE6061">
            <w:pPr>
              <w:jc w:val="left"/>
            </w:pPr>
            <w:r w:rsidRPr="00CE6061">
              <w:t>Proposed modifications to the draft A.SupWTSAGL for agreement</w:t>
            </w:r>
          </w:p>
        </w:tc>
        <w:tc>
          <w:tcPr>
            <w:tcW w:w="2178" w:type="pct"/>
            <w:shd w:val="clear" w:color="auto" w:fill="auto"/>
            <w:vAlign w:val="center"/>
          </w:tcPr>
          <w:p w14:paraId="67B07567" w14:textId="0EA25662" w:rsidR="00CE6061" w:rsidRPr="00CE6061" w:rsidRDefault="00CE6061" w:rsidP="00CE6061">
            <w:pPr>
              <w:jc w:val="left"/>
            </w:pPr>
            <w:r w:rsidRPr="00CE6061">
              <w:t>This contribution proposes modifications to draft A.SupWTSAGL “WTSA preparation guideline on Resolutions”.</w:t>
            </w:r>
          </w:p>
        </w:tc>
      </w:tr>
      <w:tr w:rsidR="00CE6061" w:rsidRPr="00CE6061" w14:paraId="4E9F20E7" w14:textId="77777777" w:rsidTr="008842DD">
        <w:trPr>
          <w:cantSplit/>
        </w:trPr>
        <w:tc>
          <w:tcPr>
            <w:tcW w:w="324" w:type="pct"/>
            <w:shd w:val="clear" w:color="auto" w:fill="auto"/>
            <w:vAlign w:val="center"/>
          </w:tcPr>
          <w:p w14:paraId="26394872" w14:textId="74789DDC" w:rsidR="00CE6061" w:rsidRPr="00CE6061" w:rsidRDefault="00AF47D4" w:rsidP="00CE6061">
            <w:pPr>
              <w:jc w:val="center"/>
              <w:rPr>
                <w:lang w:val="en-GB"/>
              </w:rPr>
            </w:pPr>
            <w:hyperlink r:id="rId18" w:history="1">
              <w:r w:rsidR="00CE6061" w:rsidRPr="00CE6061">
                <w:rPr>
                  <w:rStyle w:val="Hyperlink"/>
                  <w:rFonts w:eastAsiaTheme="majorEastAsia"/>
                </w:rPr>
                <w:t>C</w:t>
              </w:r>
              <w:r w:rsidR="00CE6061" w:rsidRPr="00CE6061">
                <w:rPr>
                  <w:rStyle w:val="Hyperlink"/>
                </w:rPr>
                <w:t>95</w:t>
              </w:r>
            </w:hyperlink>
          </w:p>
        </w:tc>
        <w:tc>
          <w:tcPr>
            <w:tcW w:w="938" w:type="pct"/>
            <w:shd w:val="clear" w:color="auto" w:fill="auto"/>
            <w:vAlign w:val="center"/>
          </w:tcPr>
          <w:p w14:paraId="7E9D0EDC" w14:textId="04D8A67A" w:rsidR="00CE6061" w:rsidRPr="00CE6061" w:rsidRDefault="00CE6061" w:rsidP="00CE6061">
            <w:pPr>
              <w:jc w:val="left"/>
            </w:pPr>
            <w:r w:rsidRPr="00CE6061">
              <w:t>Korea (Republic of)</w:t>
            </w:r>
          </w:p>
        </w:tc>
        <w:tc>
          <w:tcPr>
            <w:tcW w:w="1559" w:type="pct"/>
            <w:shd w:val="clear" w:color="auto" w:fill="auto"/>
            <w:vAlign w:val="center"/>
          </w:tcPr>
          <w:p w14:paraId="6A4FF8C4" w14:textId="067744A1" w:rsidR="00CE6061" w:rsidRPr="00CE6061" w:rsidRDefault="00CE6061" w:rsidP="00CE6061">
            <w:pPr>
              <w:jc w:val="left"/>
            </w:pPr>
            <w:r w:rsidRPr="00CE6061">
              <w:t>Proposed modification to Recommendation ITU-T A.8</w:t>
            </w:r>
          </w:p>
        </w:tc>
        <w:tc>
          <w:tcPr>
            <w:tcW w:w="2178" w:type="pct"/>
            <w:shd w:val="clear" w:color="auto" w:fill="auto"/>
            <w:vAlign w:val="center"/>
          </w:tcPr>
          <w:p w14:paraId="1907784F" w14:textId="289091B5" w:rsidR="00CE6061" w:rsidRPr="00CE6061" w:rsidRDefault="00CE6061" w:rsidP="00CE6061">
            <w:pPr>
              <w:jc w:val="left"/>
            </w:pPr>
            <w:r w:rsidRPr="00CE6061">
              <w:t>This contribution proposes to amend the ITU-T A.8 Recommendation to facilitate the review process and Recommendation approval by emphasizing the role and responsibilities of the AAP comment submitter aligning those with the responsibilities of the Editor and Rapporteur.</w:t>
            </w:r>
          </w:p>
        </w:tc>
      </w:tr>
      <w:tr w:rsidR="00CE6061" w:rsidRPr="00CE6061" w14:paraId="5C933341" w14:textId="77777777" w:rsidTr="008842DD">
        <w:trPr>
          <w:cantSplit/>
        </w:trPr>
        <w:tc>
          <w:tcPr>
            <w:tcW w:w="324" w:type="pct"/>
            <w:shd w:val="clear" w:color="auto" w:fill="auto"/>
            <w:vAlign w:val="center"/>
          </w:tcPr>
          <w:p w14:paraId="49BE0C38" w14:textId="524CF8D8" w:rsidR="00CE6061" w:rsidRPr="00CE6061" w:rsidRDefault="00AF47D4" w:rsidP="00CE6061">
            <w:pPr>
              <w:jc w:val="center"/>
              <w:rPr>
                <w:lang w:val="en-GB"/>
              </w:rPr>
            </w:pPr>
            <w:hyperlink r:id="rId19" w:history="1">
              <w:r w:rsidR="00CE6061" w:rsidRPr="00CE6061">
                <w:rPr>
                  <w:rStyle w:val="Hyperlink"/>
                  <w:rFonts w:eastAsiaTheme="majorEastAsia"/>
                </w:rPr>
                <w:t>C</w:t>
              </w:r>
              <w:r w:rsidR="00CE6061" w:rsidRPr="00CE6061">
                <w:rPr>
                  <w:rStyle w:val="Hyperlink"/>
                </w:rPr>
                <w:t>96</w:t>
              </w:r>
            </w:hyperlink>
          </w:p>
        </w:tc>
        <w:tc>
          <w:tcPr>
            <w:tcW w:w="938" w:type="pct"/>
            <w:shd w:val="clear" w:color="auto" w:fill="auto"/>
            <w:vAlign w:val="center"/>
          </w:tcPr>
          <w:p w14:paraId="1AE79311" w14:textId="4D328F97" w:rsidR="00CE6061" w:rsidRPr="00CE6061" w:rsidRDefault="00CE6061" w:rsidP="00CE6061">
            <w:pPr>
              <w:jc w:val="left"/>
            </w:pPr>
            <w:r w:rsidRPr="00CE6061">
              <w:t>Asia-Pacific Telecommunity</w:t>
            </w:r>
          </w:p>
        </w:tc>
        <w:tc>
          <w:tcPr>
            <w:tcW w:w="1559" w:type="pct"/>
            <w:shd w:val="clear" w:color="auto" w:fill="auto"/>
            <w:vAlign w:val="center"/>
          </w:tcPr>
          <w:p w14:paraId="4101BB08" w14:textId="27BB6E98" w:rsidR="00CE6061" w:rsidRPr="00CE6061" w:rsidRDefault="00CE6061" w:rsidP="00CE6061">
            <w:pPr>
              <w:jc w:val="left"/>
            </w:pPr>
            <w:r w:rsidRPr="00CE6061">
              <w:t>IRM: Preparation of APT for WTSA-24</w:t>
            </w:r>
          </w:p>
        </w:tc>
        <w:tc>
          <w:tcPr>
            <w:tcW w:w="2178" w:type="pct"/>
            <w:shd w:val="clear" w:color="auto" w:fill="auto"/>
            <w:vAlign w:val="center"/>
          </w:tcPr>
          <w:p w14:paraId="7A710329" w14:textId="5C8E95C8" w:rsidR="00CE6061" w:rsidRPr="00CE6061" w:rsidRDefault="00CE6061" w:rsidP="00CE6061">
            <w:pPr>
              <w:jc w:val="left"/>
            </w:pPr>
            <w:r w:rsidRPr="00CE6061">
              <w:t>This document provides the brief information on preparation of Asia-Pacific Telecommunity for WTSA-24.</w:t>
            </w:r>
          </w:p>
        </w:tc>
      </w:tr>
      <w:tr w:rsidR="00CE6061" w:rsidRPr="00CE6061" w14:paraId="0B48F490" w14:textId="77777777" w:rsidTr="008842DD">
        <w:trPr>
          <w:cantSplit/>
        </w:trPr>
        <w:tc>
          <w:tcPr>
            <w:tcW w:w="324" w:type="pct"/>
            <w:shd w:val="clear" w:color="auto" w:fill="auto"/>
            <w:vAlign w:val="center"/>
          </w:tcPr>
          <w:p w14:paraId="16222C18" w14:textId="6DF358B2" w:rsidR="00CE6061" w:rsidRPr="00CE6061" w:rsidRDefault="00AF47D4" w:rsidP="00CE6061">
            <w:pPr>
              <w:jc w:val="center"/>
              <w:rPr>
                <w:lang w:val="en-GB"/>
              </w:rPr>
            </w:pPr>
            <w:hyperlink r:id="rId20" w:history="1">
              <w:r w:rsidR="00CE6061" w:rsidRPr="00CE6061">
                <w:rPr>
                  <w:rStyle w:val="Hyperlink"/>
                  <w:rFonts w:eastAsiaTheme="majorEastAsia"/>
                </w:rPr>
                <w:t>C</w:t>
              </w:r>
              <w:r w:rsidR="00CE6061" w:rsidRPr="00CE6061">
                <w:rPr>
                  <w:rStyle w:val="Hyperlink"/>
                </w:rPr>
                <w:t>97</w:t>
              </w:r>
            </w:hyperlink>
          </w:p>
        </w:tc>
        <w:tc>
          <w:tcPr>
            <w:tcW w:w="938" w:type="pct"/>
            <w:shd w:val="clear" w:color="auto" w:fill="auto"/>
            <w:vAlign w:val="center"/>
          </w:tcPr>
          <w:p w14:paraId="38024247" w14:textId="65150E51" w:rsidR="00CE6061" w:rsidRPr="00CE6061" w:rsidRDefault="00CE6061" w:rsidP="00CE6061">
            <w:pPr>
              <w:jc w:val="left"/>
            </w:pPr>
            <w:r w:rsidRPr="00CE6061">
              <w:t>Russian Federation</w:t>
            </w:r>
          </w:p>
        </w:tc>
        <w:tc>
          <w:tcPr>
            <w:tcW w:w="1559" w:type="pct"/>
            <w:shd w:val="clear" w:color="auto" w:fill="auto"/>
            <w:vAlign w:val="center"/>
          </w:tcPr>
          <w:p w14:paraId="49B5620D" w14:textId="73D33282" w:rsidR="00CE6061" w:rsidRPr="00CE6061" w:rsidRDefault="00CE6061" w:rsidP="00CE6061">
            <w:pPr>
              <w:jc w:val="left"/>
            </w:pPr>
            <w:r w:rsidRPr="00CE6061">
              <w:t>Draft revision of Resolution 22 (Rev. Geneva, 2022) of WTSA</w:t>
            </w:r>
          </w:p>
        </w:tc>
        <w:tc>
          <w:tcPr>
            <w:tcW w:w="2178" w:type="pct"/>
            <w:shd w:val="clear" w:color="auto" w:fill="auto"/>
            <w:vAlign w:val="center"/>
          </w:tcPr>
          <w:p w14:paraId="4E7F78C5" w14:textId="08459373" w:rsidR="00CE6061" w:rsidRPr="00CE6061" w:rsidRDefault="00CE6061" w:rsidP="00CE6061">
            <w:pPr>
              <w:jc w:val="left"/>
            </w:pPr>
            <w:r w:rsidRPr="00CE6061">
              <w:t>This contribution contains preliminary proposals of the revision of Resolution 22 (Rev. Geneva, 2022 of WTSA) on authorization for the Telecommunication Standardization Advisory Group to act between world telecommunication standardization assemblies. These proposals are based on the Resolutions 154 and 208 of the Plenipotentiary Conference, Bucharest, 2022</w:t>
            </w:r>
          </w:p>
        </w:tc>
      </w:tr>
      <w:tr w:rsidR="00CE6061" w:rsidRPr="00CE6061" w14:paraId="5A7CDCC6" w14:textId="77777777" w:rsidTr="008842DD">
        <w:trPr>
          <w:cantSplit/>
        </w:trPr>
        <w:tc>
          <w:tcPr>
            <w:tcW w:w="324" w:type="pct"/>
            <w:shd w:val="clear" w:color="auto" w:fill="auto"/>
            <w:vAlign w:val="center"/>
          </w:tcPr>
          <w:p w14:paraId="596BECF3" w14:textId="2B9EA9E3" w:rsidR="00CE6061" w:rsidRPr="00CE6061" w:rsidRDefault="00AF47D4" w:rsidP="00CE6061">
            <w:pPr>
              <w:jc w:val="center"/>
            </w:pPr>
            <w:hyperlink r:id="rId21" w:history="1">
              <w:r w:rsidR="00CE6061" w:rsidRPr="00CE6061">
                <w:rPr>
                  <w:rStyle w:val="Hyperlink"/>
                  <w:rFonts w:eastAsiaTheme="majorEastAsia"/>
                </w:rPr>
                <w:t>C</w:t>
              </w:r>
              <w:r w:rsidR="00CE6061" w:rsidRPr="00CE6061">
                <w:rPr>
                  <w:rStyle w:val="Hyperlink"/>
                </w:rPr>
                <w:t>98</w:t>
              </w:r>
            </w:hyperlink>
          </w:p>
        </w:tc>
        <w:tc>
          <w:tcPr>
            <w:tcW w:w="938" w:type="pct"/>
            <w:shd w:val="clear" w:color="auto" w:fill="auto"/>
            <w:vAlign w:val="center"/>
          </w:tcPr>
          <w:p w14:paraId="1C6DFA6D" w14:textId="70365DBE" w:rsidR="00CE6061" w:rsidRPr="00CE6061" w:rsidRDefault="00CE6061" w:rsidP="00CE6061">
            <w:pPr>
              <w:jc w:val="left"/>
            </w:pPr>
            <w:r w:rsidRPr="00CE6061">
              <w:t>Russian Federation</w:t>
            </w:r>
          </w:p>
        </w:tc>
        <w:tc>
          <w:tcPr>
            <w:tcW w:w="1559" w:type="pct"/>
            <w:shd w:val="clear" w:color="auto" w:fill="auto"/>
            <w:vAlign w:val="center"/>
          </w:tcPr>
          <w:p w14:paraId="422CDA66" w14:textId="70B7405A" w:rsidR="00CE6061" w:rsidRPr="00CE6061" w:rsidRDefault="00CE6061" w:rsidP="00CE6061">
            <w:pPr>
              <w:jc w:val="left"/>
            </w:pPr>
            <w:r w:rsidRPr="00CE6061">
              <w:t>A.1 proposals</w:t>
            </w:r>
          </w:p>
        </w:tc>
        <w:tc>
          <w:tcPr>
            <w:tcW w:w="2178" w:type="pct"/>
            <w:shd w:val="clear" w:color="auto" w:fill="auto"/>
            <w:vAlign w:val="center"/>
          </w:tcPr>
          <w:p w14:paraId="4DC35ABD" w14:textId="412CA020" w:rsidR="00CE6061" w:rsidRPr="00CE6061" w:rsidRDefault="00CE6061" w:rsidP="00CE6061">
            <w:pPr>
              <w:jc w:val="left"/>
            </w:pPr>
            <w:r w:rsidRPr="00CE6061">
              <w:t>Further amendments for A.1 on the basis of RG WM Rapporteur meetings.</w:t>
            </w:r>
          </w:p>
        </w:tc>
      </w:tr>
      <w:tr w:rsidR="00CE6061" w:rsidRPr="00CE6061" w14:paraId="371B71D8" w14:textId="77777777" w:rsidTr="008842DD">
        <w:trPr>
          <w:cantSplit/>
        </w:trPr>
        <w:tc>
          <w:tcPr>
            <w:tcW w:w="324" w:type="pct"/>
            <w:shd w:val="clear" w:color="auto" w:fill="auto"/>
            <w:vAlign w:val="center"/>
          </w:tcPr>
          <w:p w14:paraId="08DAE75F" w14:textId="00E841CF" w:rsidR="00CE6061" w:rsidRPr="00CE6061" w:rsidRDefault="00AF47D4" w:rsidP="00CE6061">
            <w:pPr>
              <w:jc w:val="center"/>
              <w:rPr>
                <w:lang w:val="en-GB"/>
              </w:rPr>
            </w:pPr>
            <w:hyperlink r:id="rId22" w:history="1">
              <w:r w:rsidR="00CE6061" w:rsidRPr="00CE6061">
                <w:rPr>
                  <w:rStyle w:val="Hyperlink"/>
                  <w:rFonts w:eastAsiaTheme="majorEastAsia"/>
                </w:rPr>
                <w:t>C</w:t>
              </w:r>
              <w:r w:rsidR="00CE6061" w:rsidRPr="00CE6061">
                <w:rPr>
                  <w:rStyle w:val="Hyperlink"/>
                </w:rPr>
                <w:t>99</w:t>
              </w:r>
            </w:hyperlink>
          </w:p>
        </w:tc>
        <w:tc>
          <w:tcPr>
            <w:tcW w:w="938" w:type="pct"/>
            <w:shd w:val="clear" w:color="auto" w:fill="auto"/>
            <w:vAlign w:val="center"/>
          </w:tcPr>
          <w:p w14:paraId="50EADDAF" w14:textId="6807C6F6" w:rsidR="00CE6061" w:rsidRPr="00CE6061" w:rsidRDefault="00CE6061" w:rsidP="00CE6061">
            <w:pPr>
              <w:jc w:val="left"/>
            </w:pPr>
            <w:r w:rsidRPr="00CE6061">
              <w:t>China Telecom, MIIT China</w:t>
            </w:r>
          </w:p>
        </w:tc>
        <w:tc>
          <w:tcPr>
            <w:tcW w:w="1559" w:type="pct"/>
            <w:shd w:val="clear" w:color="auto" w:fill="auto"/>
            <w:vAlign w:val="center"/>
          </w:tcPr>
          <w:p w14:paraId="5D4768ED" w14:textId="0D68B552" w:rsidR="00CE6061" w:rsidRPr="00CE6061" w:rsidRDefault="00CE6061" w:rsidP="00CE6061">
            <w:pPr>
              <w:jc w:val="left"/>
            </w:pPr>
            <w:r w:rsidRPr="00CE6061">
              <w:t>Proposals on ITU-T A.SupplSGA "Guidelines for the development of a standardization gap analysis"</w:t>
            </w:r>
          </w:p>
        </w:tc>
        <w:tc>
          <w:tcPr>
            <w:tcW w:w="2178" w:type="pct"/>
            <w:shd w:val="clear" w:color="auto" w:fill="auto"/>
            <w:vAlign w:val="center"/>
          </w:tcPr>
          <w:p w14:paraId="17912A96" w14:textId="0500B820" w:rsidR="00CE6061" w:rsidRPr="00CE6061" w:rsidRDefault="00CE6061" w:rsidP="00CE6061">
            <w:pPr>
              <w:jc w:val="left"/>
            </w:pPr>
            <w:r w:rsidRPr="00CE6061">
              <w:t>This document contains proposals regarding A.SupplSGA "Guidelines for the development of a standardization gap analysis", based on TSAG-TD541.</w:t>
            </w:r>
          </w:p>
        </w:tc>
      </w:tr>
      <w:tr w:rsidR="00CE6061" w:rsidRPr="00CE6061" w14:paraId="2C895D44" w14:textId="77777777" w:rsidTr="008842DD">
        <w:trPr>
          <w:cantSplit/>
        </w:trPr>
        <w:tc>
          <w:tcPr>
            <w:tcW w:w="324" w:type="pct"/>
            <w:shd w:val="clear" w:color="auto" w:fill="auto"/>
            <w:vAlign w:val="center"/>
          </w:tcPr>
          <w:p w14:paraId="32EB2B89" w14:textId="69315B98" w:rsidR="00CE6061" w:rsidRPr="00CE6061" w:rsidRDefault="00AF47D4" w:rsidP="00CE6061">
            <w:pPr>
              <w:jc w:val="center"/>
              <w:rPr>
                <w:lang w:val="en-GB"/>
              </w:rPr>
            </w:pPr>
            <w:hyperlink r:id="rId23" w:history="1">
              <w:r w:rsidR="00CE6061" w:rsidRPr="00CE6061">
                <w:rPr>
                  <w:rStyle w:val="Hyperlink"/>
                  <w:rFonts w:eastAsiaTheme="majorEastAsia"/>
                </w:rPr>
                <w:t>C</w:t>
              </w:r>
              <w:r w:rsidR="00CE6061" w:rsidRPr="00CE6061">
                <w:rPr>
                  <w:rStyle w:val="Hyperlink"/>
                </w:rPr>
                <w:t>101</w:t>
              </w:r>
            </w:hyperlink>
          </w:p>
        </w:tc>
        <w:tc>
          <w:tcPr>
            <w:tcW w:w="938" w:type="pct"/>
            <w:shd w:val="clear" w:color="auto" w:fill="auto"/>
            <w:vAlign w:val="center"/>
          </w:tcPr>
          <w:p w14:paraId="02F1E5DD" w14:textId="07A452FC" w:rsidR="00CE6061" w:rsidRPr="00CE6061" w:rsidRDefault="00CE6061" w:rsidP="00CE6061">
            <w:pPr>
              <w:jc w:val="left"/>
            </w:pPr>
            <w:r w:rsidRPr="00CE6061">
              <w:t>Russian Federation</w:t>
            </w:r>
          </w:p>
        </w:tc>
        <w:tc>
          <w:tcPr>
            <w:tcW w:w="1559" w:type="pct"/>
            <w:shd w:val="clear" w:color="auto" w:fill="auto"/>
            <w:vAlign w:val="center"/>
          </w:tcPr>
          <w:p w14:paraId="150C0084" w14:textId="4610393B" w:rsidR="00CE6061" w:rsidRPr="00CE6061" w:rsidRDefault="00CE6061" w:rsidP="00CE6061">
            <w:pPr>
              <w:jc w:val="left"/>
            </w:pPr>
            <w:r w:rsidRPr="00CE6061">
              <w:t>Further improvment to Recommendation ITU-T A.25 Amd.1 proposals</w:t>
            </w:r>
          </w:p>
        </w:tc>
        <w:tc>
          <w:tcPr>
            <w:tcW w:w="2178" w:type="pct"/>
            <w:shd w:val="clear" w:color="auto" w:fill="auto"/>
            <w:vAlign w:val="center"/>
          </w:tcPr>
          <w:p w14:paraId="087C8866" w14:textId="7770624C" w:rsidR="00CE6061" w:rsidRPr="00CE6061" w:rsidRDefault="00CE6061" w:rsidP="00CE6061">
            <w:pPr>
              <w:jc w:val="left"/>
            </w:pPr>
            <w:r w:rsidRPr="00CE6061">
              <w:t>Amendment for Recommendation ITU-T A.25 on the basis of TSAG and SGs meetings at the last study period, clarifying usage of Marks in the proposed text.</w:t>
            </w:r>
          </w:p>
        </w:tc>
      </w:tr>
      <w:tr w:rsidR="00CE6061" w:rsidRPr="00CE6061" w14:paraId="6C128CFC" w14:textId="77777777" w:rsidTr="008842DD">
        <w:trPr>
          <w:cantSplit/>
        </w:trPr>
        <w:tc>
          <w:tcPr>
            <w:tcW w:w="324" w:type="pct"/>
            <w:shd w:val="clear" w:color="auto" w:fill="auto"/>
            <w:vAlign w:val="center"/>
          </w:tcPr>
          <w:p w14:paraId="2CCBB3A0" w14:textId="2593B54E" w:rsidR="00CE6061" w:rsidRPr="00CE6061" w:rsidRDefault="00AF47D4" w:rsidP="00CE6061">
            <w:pPr>
              <w:jc w:val="center"/>
              <w:rPr>
                <w:lang w:val="en-GB"/>
              </w:rPr>
            </w:pPr>
            <w:hyperlink r:id="rId24" w:history="1">
              <w:r w:rsidR="00CE6061" w:rsidRPr="00CE6061">
                <w:rPr>
                  <w:rStyle w:val="Hyperlink"/>
                  <w:rFonts w:eastAsiaTheme="majorEastAsia"/>
                </w:rPr>
                <w:t>C</w:t>
              </w:r>
              <w:r w:rsidR="00CE6061" w:rsidRPr="00CE6061">
                <w:rPr>
                  <w:rStyle w:val="Hyperlink"/>
                </w:rPr>
                <w:t>102</w:t>
              </w:r>
            </w:hyperlink>
          </w:p>
        </w:tc>
        <w:tc>
          <w:tcPr>
            <w:tcW w:w="938" w:type="pct"/>
            <w:shd w:val="clear" w:color="auto" w:fill="auto"/>
            <w:vAlign w:val="center"/>
          </w:tcPr>
          <w:p w14:paraId="1DB6C443" w14:textId="2D7803F5" w:rsidR="00CE6061" w:rsidRPr="00CE6061" w:rsidRDefault="00CE6061" w:rsidP="00CE6061">
            <w:pPr>
              <w:jc w:val="left"/>
            </w:pPr>
            <w:r w:rsidRPr="00CE6061">
              <w:t>Canada</w:t>
            </w:r>
          </w:p>
        </w:tc>
        <w:tc>
          <w:tcPr>
            <w:tcW w:w="1559" w:type="pct"/>
            <w:shd w:val="clear" w:color="auto" w:fill="auto"/>
            <w:vAlign w:val="center"/>
          </w:tcPr>
          <w:p w14:paraId="07940E98" w14:textId="703C9BB4" w:rsidR="00CE6061" w:rsidRPr="00CE6061" w:rsidRDefault="00CE6061" w:rsidP="00CE6061">
            <w:pPr>
              <w:jc w:val="left"/>
            </w:pPr>
            <w:r w:rsidRPr="00CE6061">
              <w:t>Proposed modifications to Resolution 68 (rev. Hammamet, 2016), The evolving role of industry in ITU-T</w:t>
            </w:r>
          </w:p>
        </w:tc>
        <w:tc>
          <w:tcPr>
            <w:tcW w:w="2178" w:type="pct"/>
            <w:shd w:val="clear" w:color="auto" w:fill="auto"/>
            <w:vAlign w:val="center"/>
          </w:tcPr>
          <w:p w14:paraId="56007EEF" w14:textId="602E3017" w:rsidR="00CE6061" w:rsidRPr="00CE6061" w:rsidRDefault="00CE6061" w:rsidP="00CE6061">
            <w:pPr>
              <w:jc w:val="left"/>
            </w:pPr>
            <w:r w:rsidRPr="00CE6061">
              <w:t>The purpose of this contribution is to offer amendments to Resolution 68 (Rev. Hammamet, 2026) to reflect developments since WTSA-20, specifically addressing the outcomes of the April 19, 2024, Industry Engagement Workshop and updates to the Industry Engagement Action Plan.</w:t>
            </w:r>
          </w:p>
        </w:tc>
      </w:tr>
      <w:tr w:rsidR="00CE6061" w:rsidRPr="00CE6061" w14:paraId="19B5FC07" w14:textId="77777777" w:rsidTr="008842DD">
        <w:trPr>
          <w:cantSplit/>
        </w:trPr>
        <w:tc>
          <w:tcPr>
            <w:tcW w:w="324" w:type="pct"/>
            <w:shd w:val="clear" w:color="auto" w:fill="auto"/>
            <w:vAlign w:val="center"/>
          </w:tcPr>
          <w:p w14:paraId="1EB78A8C" w14:textId="2E9F4389" w:rsidR="00CE6061" w:rsidRPr="00CE6061" w:rsidRDefault="00AF47D4" w:rsidP="00CE6061">
            <w:pPr>
              <w:jc w:val="center"/>
              <w:rPr>
                <w:lang w:val="en-GB"/>
              </w:rPr>
            </w:pPr>
            <w:hyperlink r:id="rId25" w:history="1">
              <w:r w:rsidR="00CE6061" w:rsidRPr="00CE6061">
                <w:rPr>
                  <w:rStyle w:val="Hyperlink"/>
                  <w:rFonts w:eastAsiaTheme="majorEastAsia"/>
                </w:rPr>
                <w:t>C</w:t>
              </w:r>
              <w:r w:rsidR="00CE6061" w:rsidRPr="00CE6061">
                <w:rPr>
                  <w:rStyle w:val="Hyperlink"/>
                </w:rPr>
                <w:t>103</w:t>
              </w:r>
            </w:hyperlink>
          </w:p>
        </w:tc>
        <w:tc>
          <w:tcPr>
            <w:tcW w:w="938" w:type="pct"/>
            <w:shd w:val="clear" w:color="auto" w:fill="auto"/>
            <w:vAlign w:val="center"/>
          </w:tcPr>
          <w:p w14:paraId="024ADF06" w14:textId="66F7CB2E" w:rsidR="00CE6061" w:rsidRPr="00CE6061" w:rsidRDefault="00CE6061" w:rsidP="00CE6061">
            <w:pPr>
              <w:jc w:val="left"/>
            </w:pPr>
            <w:r w:rsidRPr="00CE6061">
              <w:t>Canada</w:t>
            </w:r>
          </w:p>
        </w:tc>
        <w:tc>
          <w:tcPr>
            <w:tcW w:w="1559" w:type="pct"/>
            <w:shd w:val="clear" w:color="auto" w:fill="auto"/>
            <w:vAlign w:val="center"/>
          </w:tcPr>
          <w:p w14:paraId="0D5AAB92" w14:textId="4B3A81F8" w:rsidR="00CE6061" w:rsidRPr="00CE6061" w:rsidRDefault="00CE6061" w:rsidP="00CE6061">
            <w:pPr>
              <w:jc w:val="left"/>
            </w:pPr>
            <w:r w:rsidRPr="00CE6061">
              <w:t>Elements to consider for the ITU-T/TSAG input to CWG-SFP</w:t>
            </w:r>
          </w:p>
        </w:tc>
        <w:tc>
          <w:tcPr>
            <w:tcW w:w="2178" w:type="pct"/>
            <w:shd w:val="clear" w:color="auto" w:fill="auto"/>
            <w:vAlign w:val="center"/>
          </w:tcPr>
          <w:p w14:paraId="6A74B0F8" w14:textId="1E98F444" w:rsidR="00CE6061" w:rsidRPr="00CE6061" w:rsidRDefault="00CE6061" w:rsidP="00CE6061">
            <w:pPr>
              <w:jc w:val="left"/>
            </w:pPr>
            <w:r w:rsidRPr="00CE6061">
              <w:t>The purpose of this contribution is to identify a number of elements pertinent to ITU-T which could form the basis of a TSAG input to the Council Working Group on the elaboration of the draft Strategic Plan, 2028-2031. It is expected that the ITU-T contribution to the CWG will evolve over time based in part on contributions from the membership to RG-SOP, TSAG and the WTSA.</w:t>
            </w:r>
          </w:p>
        </w:tc>
      </w:tr>
      <w:tr w:rsidR="00CE6061" w:rsidRPr="00CE6061" w14:paraId="3ECEF10E" w14:textId="77777777" w:rsidTr="008842DD">
        <w:trPr>
          <w:cantSplit/>
        </w:trPr>
        <w:tc>
          <w:tcPr>
            <w:tcW w:w="324" w:type="pct"/>
            <w:shd w:val="clear" w:color="auto" w:fill="auto"/>
            <w:vAlign w:val="center"/>
          </w:tcPr>
          <w:p w14:paraId="75925B87" w14:textId="2EEE9C36" w:rsidR="00CE6061" w:rsidRPr="00CE6061" w:rsidRDefault="00AF47D4" w:rsidP="00CE6061">
            <w:pPr>
              <w:jc w:val="center"/>
              <w:rPr>
                <w:lang w:val="en-GB"/>
              </w:rPr>
            </w:pPr>
            <w:hyperlink r:id="rId26" w:history="1">
              <w:r w:rsidR="00CE6061" w:rsidRPr="00CE6061">
                <w:rPr>
                  <w:rStyle w:val="Hyperlink"/>
                  <w:rFonts w:eastAsiaTheme="majorEastAsia"/>
                </w:rPr>
                <w:t>C</w:t>
              </w:r>
              <w:r w:rsidR="00CE6061" w:rsidRPr="00CE6061">
                <w:rPr>
                  <w:rStyle w:val="Hyperlink"/>
                </w:rPr>
                <w:t>104</w:t>
              </w:r>
            </w:hyperlink>
          </w:p>
        </w:tc>
        <w:tc>
          <w:tcPr>
            <w:tcW w:w="938" w:type="pct"/>
            <w:shd w:val="clear" w:color="auto" w:fill="auto"/>
            <w:vAlign w:val="center"/>
          </w:tcPr>
          <w:p w14:paraId="0ACE32B9" w14:textId="6CDFA121" w:rsidR="00CE6061" w:rsidRPr="00CE6061" w:rsidRDefault="00CE6061" w:rsidP="00CE6061">
            <w:pPr>
              <w:jc w:val="left"/>
            </w:pPr>
            <w:r w:rsidRPr="00CE6061">
              <w:t>Canada</w:t>
            </w:r>
          </w:p>
        </w:tc>
        <w:tc>
          <w:tcPr>
            <w:tcW w:w="1559" w:type="pct"/>
            <w:shd w:val="clear" w:color="auto" w:fill="auto"/>
            <w:vAlign w:val="center"/>
          </w:tcPr>
          <w:p w14:paraId="237C8D3E" w14:textId="5A355351" w:rsidR="00CE6061" w:rsidRPr="00CE6061" w:rsidRDefault="00CE6061" w:rsidP="00CE6061">
            <w:pPr>
              <w:jc w:val="left"/>
            </w:pPr>
            <w:r w:rsidRPr="00CE6061">
              <w:t>Use of the terms “digital technologies” and “new and emerging technologies”</w:t>
            </w:r>
          </w:p>
        </w:tc>
        <w:tc>
          <w:tcPr>
            <w:tcW w:w="2178" w:type="pct"/>
            <w:shd w:val="clear" w:color="auto" w:fill="auto"/>
            <w:vAlign w:val="center"/>
          </w:tcPr>
          <w:p w14:paraId="7C43598A" w14:textId="4ACA2CA8" w:rsidR="00CE6061" w:rsidRPr="00CE6061" w:rsidRDefault="00CE6061" w:rsidP="00CE6061">
            <w:pPr>
              <w:jc w:val="left"/>
            </w:pPr>
            <w:r w:rsidRPr="00CE6061">
              <w:t>This contribution proposes to use the common term “new and emerging telecommunication/ICTs in Study Group mandates, ToRs, and Study Questions for the next study period as part of the preparation for WTSA-24.</w:t>
            </w:r>
          </w:p>
        </w:tc>
      </w:tr>
      <w:tr w:rsidR="00CE6061" w:rsidRPr="00CE6061" w14:paraId="291245D2" w14:textId="77777777" w:rsidTr="008842DD">
        <w:trPr>
          <w:cantSplit/>
        </w:trPr>
        <w:tc>
          <w:tcPr>
            <w:tcW w:w="324" w:type="pct"/>
            <w:shd w:val="clear" w:color="auto" w:fill="auto"/>
            <w:vAlign w:val="center"/>
          </w:tcPr>
          <w:p w14:paraId="24026B8C" w14:textId="12EB9B5C" w:rsidR="00CE6061" w:rsidRPr="00CE6061" w:rsidRDefault="00AF47D4" w:rsidP="00CE6061">
            <w:pPr>
              <w:jc w:val="center"/>
              <w:rPr>
                <w:lang w:val="en-GB"/>
              </w:rPr>
            </w:pPr>
            <w:hyperlink r:id="rId27" w:history="1">
              <w:r w:rsidR="00CE6061" w:rsidRPr="00CE6061">
                <w:rPr>
                  <w:rStyle w:val="Hyperlink"/>
                  <w:rFonts w:eastAsiaTheme="majorEastAsia"/>
                </w:rPr>
                <w:t>C</w:t>
              </w:r>
              <w:r w:rsidR="00CE6061" w:rsidRPr="00CE6061">
                <w:rPr>
                  <w:rStyle w:val="Hyperlink"/>
                </w:rPr>
                <w:t>105</w:t>
              </w:r>
            </w:hyperlink>
          </w:p>
        </w:tc>
        <w:tc>
          <w:tcPr>
            <w:tcW w:w="938" w:type="pct"/>
            <w:shd w:val="clear" w:color="auto" w:fill="auto"/>
            <w:vAlign w:val="center"/>
          </w:tcPr>
          <w:p w14:paraId="0BE49BF3" w14:textId="492007E4" w:rsidR="00CE6061" w:rsidRPr="00CE6061" w:rsidRDefault="00CE6061" w:rsidP="00CE6061">
            <w:pPr>
              <w:jc w:val="left"/>
            </w:pPr>
            <w:r w:rsidRPr="00CE6061">
              <w:t>ETRI</w:t>
            </w:r>
          </w:p>
        </w:tc>
        <w:tc>
          <w:tcPr>
            <w:tcW w:w="1559" w:type="pct"/>
            <w:shd w:val="clear" w:color="auto" w:fill="auto"/>
            <w:vAlign w:val="center"/>
          </w:tcPr>
          <w:p w14:paraId="5C3F74B2" w14:textId="6CDB8E04" w:rsidR="00CE6061" w:rsidRPr="00CE6061" w:rsidRDefault="00CE6061" w:rsidP="00CE6061">
            <w:pPr>
              <w:jc w:val="left"/>
            </w:pPr>
            <w:r w:rsidRPr="00CE6061">
              <w:t>Proposal on considerations when allocating multiple ITU-T Study Groups to FG-MV deliverables</w:t>
            </w:r>
          </w:p>
        </w:tc>
        <w:tc>
          <w:tcPr>
            <w:tcW w:w="2178" w:type="pct"/>
            <w:shd w:val="clear" w:color="auto" w:fill="auto"/>
            <w:vAlign w:val="center"/>
          </w:tcPr>
          <w:p w14:paraId="096CAC15" w14:textId="3DE427A3" w:rsidR="00CE6061" w:rsidRPr="00CE6061" w:rsidRDefault="00CE6061" w:rsidP="00CE6061">
            <w:pPr>
              <w:jc w:val="left"/>
            </w:pPr>
            <w:r w:rsidRPr="00CE6061">
              <w:t>This contribution proposes efficient procedures that need to be considered when allocating multiple ITU-T Study Groups to deliverables developed by ITU FG-MV.</w:t>
            </w:r>
          </w:p>
        </w:tc>
      </w:tr>
      <w:tr w:rsidR="00CE6061" w:rsidRPr="00CE6061" w14:paraId="5BB14216" w14:textId="77777777" w:rsidTr="008842DD">
        <w:trPr>
          <w:cantSplit/>
        </w:trPr>
        <w:tc>
          <w:tcPr>
            <w:tcW w:w="324" w:type="pct"/>
            <w:shd w:val="clear" w:color="auto" w:fill="auto"/>
            <w:vAlign w:val="center"/>
          </w:tcPr>
          <w:p w14:paraId="3D0D58DD" w14:textId="73B3E6CB" w:rsidR="00CE6061" w:rsidRPr="00CE6061" w:rsidRDefault="00AF47D4" w:rsidP="00CE6061">
            <w:pPr>
              <w:jc w:val="center"/>
              <w:rPr>
                <w:lang w:val="en-GB"/>
              </w:rPr>
            </w:pPr>
            <w:hyperlink r:id="rId28" w:history="1">
              <w:r w:rsidR="00CE6061" w:rsidRPr="00CE6061">
                <w:rPr>
                  <w:rStyle w:val="Hyperlink"/>
                  <w:rFonts w:eastAsiaTheme="majorEastAsia"/>
                </w:rPr>
                <w:t>C</w:t>
              </w:r>
              <w:r w:rsidR="00CE6061" w:rsidRPr="00CE6061">
                <w:rPr>
                  <w:rStyle w:val="Hyperlink"/>
                </w:rPr>
                <w:t>106</w:t>
              </w:r>
            </w:hyperlink>
          </w:p>
        </w:tc>
        <w:tc>
          <w:tcPr>
            <w:tcW w:w="938" w:type="pct"/>
            <w:shd w:val="clear" w:color="auto" w:fill="auto"/>
            <w:vAlign w:val="center"/>
          </w:tcPr>
          <w:p w14:paraId="4416EC61" w14:textId="74D17F8A" w:rsidR="00CE6061" w:rsidRPr="00CE6061" w:rsidRDefault="00CE6061" w:rsidP="00CE6061">
            <w:pPr>
              <w:jc w:val="left"/>
            </w:pPr>
            <w:r w:rsidRPr="00CE6061">
              <w:t>ETRI</w:t>
            </w:r>
          </w:p>
        </w:tc>
        <w:tc>
          <w:tcPr>
            <w:tcW w:w="1559" w:type="pct"/>
            <w:shd w:val="clear" w:color="auto" w:fill="auto"/>
            <w:vAlign w:val="center"/>
          </w:tcPr>
          <w:p w14:paraId="3E7713C3" w14:textId="2416BD7B" w:rsidR="00CE6061" w:rsidRPr="00CE6061" w:rsidRDefault="00CE6061" w:rsidP="00CE6061">
            <w:pPr>
              <w:jc w:val="left"/>
            </w:pPr>
            <w:r w:rsidRPr="00CE6061">
              <w:t>Proposal of future actions for work items not completed during the lifetime of ITU FG-MV</w:t>
            </w:r>
          </w:p>
        </w:tc>
        <w:tc>
          <w:tcPr>
            <w:tcW w:w="2178" w:type="pct"/>
            <w:shd w:val="clear" w:color="auto" w:fill="auto"/>
            <w:vAlign w:val="center"/>
          </w:tcPr>
          <w:p w14:paraId="793E0776" w14:textId="176FE457" w:rsidR="00CE6061" w:rsidRPr="00CE6061" w:rsidRDefault="00CE6061" w:rsidP="00CE6061">
            <w:pPr>
              <w:jc w:val="left"/>
            </w:pPr>
            <w:r w:rsidRPr="00CE6061">
              <w:t>This contribution proposes future action for work items that were not completed within the lifetime of ITU FG-MV.</w:t>
            </w:r>
          </w:p>
        </w:tc>
      </w:tr>
      <w:tr w:rsidR="00CE6061" w:rsidRPr="00CE6061" w14:paraId="41527544" w14:textId="77777777" w:rsidTr="008842DD">
        <w:trPr>
          <w:cantSplit/>
        </w:trPr>
        <w:tc>
          <w:tcPr>
            <w:tcW w:w="324" w:type="pct"/>
            <w:shd w:val="clear" w:color="auto" w:fill="auto"/>
            <w:vAlign w:val="center"/>
          </w:tcPr>
          <w:p w14:paraId="3A412886" w14:textId="57A9F9CC" w:rsidR="00CE6061" w:rsidRPr="00CE6061" w:rsidRDefault="00AF47D4" w:rsidP="00CE6061">
            <w:pPr>
              <w:jc w:val="center"/>
              <w:rPr>
                <w:lang w:val="en-GB"/>
              </w:rPr>
            </w:pPr>
            <w:hyperlink r:id="rId29" w:history="1">
              <w:r w:rsidR="00CE6061" w:rsidRPr="00CE6061">
                <w:rPr>
                  <w:rStyle w:val="Hyperlink"/>
                  <w:rFonts w:eastAsiaTheme="majorEastAsia"/>
                </w:rPr>
                <w:t>C</w:t>
              </w:r>
              <w:r w:rsidR="00CE6061" w:rsidRPr="00CE6061">
                <w:rPr>
                  <w:rStyle w:val="Hyperlink"/>
                </w:rPr>
                <w:t>107</w:t>
              </w:r>
            </w:hyperlink>
          </w:p>
        </w:tc>
        <w:tc>
          <w:tcPr>
            <w:tcW w:w="938" w:type="pct"/>
            <w:shd w:val="clear" w:color="auto" w:fill="auto"/>
            <w:vAlign w:val="center"/>
          </w:tcPr>
          <w:p w14:paraId="70BC710C" w14:textId="3A978A1D" w:rsidR="00CE6061" w:rsidRPr="00CE6061" w:rsidRDefault="00CE6061" w:rsidP="00CE6061">
            <w:pPr>
              <w:jc w:val="left"/>
            </w:pPr>
            <w:r w:rsidRPr="00CE6061">
              <w:t>European Conference of Postal and Telecommunications Administrations (CEPT)</w:t>
            </w:r>
          </w:p>
        </w:tc>
        <w:tc>
          <w:tcPr>
            <w:tcW w:w="1559" w:type="pct"/>
            <w:shd w:val="clear" w:color="auto" w:fill="auto"/>
            <w:vAlign w:val="center"/>
          </w:tcPr>
          <w:p w14:paraId="0849C76F" w14:textId="629A5054" w:rsidR="00CE6061" w:rsidRPr="00CE6061" w:rsidRDefault="00CE6061" w:rsidP="00CE6061">
            <w:pPr>
              <w:jc w:val="left"/>
            </w:pPr>
            <w:r w:rsidRPr="00CE6061">
              <w:t>IRM: European Preparations for WTSA-24</w:t>
            </w:r>
          </w:p>
        </w:tc>
        <w:tc>
          <w:tcPr>
            <w:tcW w:w="2178" w:type="pct"/>
            <w:shd w:val="clear" w:color="auto" w:fill="auto"/>
            <w:vAlign w:val="center"/>
          </w:tcPr>
          <w:p w14:paraId="11749A5C" w14:textId="3F2C923A" w:rsidR="00CE6061" w:rsidRPr="00CE6061" w:rsidRDefault="000379A0" w:rsidP="00CE6061">
            <w:pPr>
              <w:jc w:val="left"/>
            </w:pPr>
            <w:r w:rsidRPr="00CE6061">
              <w:t xml:space="preserve">This contribution provides </w:t>
            </w:r>
            <w:r w:rsidR="00CE6061" w:rsidRPr="00CE6061">
              <w:t>a ppt on CEPT’s preparatory process for WTSA-24.</w:t>
            </w:r>
          </w:p>
        </w:tc>
      </w:tr>
      <w:tr w:rsidR="00CE6061" w:rsidRPr="00CE6061" w14:paraId="3065BEFC" w14:textId="77777777" w:rsidTr="008842DD">
        <w:trPr>
          <w:cantSplit/>
        </w:trPr>
        <w:tc>
          <w:tcPr>
            <w:tcW w:w="324" w:type="pct"/>
            <w:shd w:val="clear" w:color="auto" w:fill="auto"/>
            <w:vAlign w:val="center"/>
          </w:tcPr>
          <w:p w14:paraId="1369943D" w14:textId="2EE0F149" w:rsidR="00CE6061" w:rsidRPr="00CE6061" w:rsidRDefault="00AF47D4" w:rsidP="00CE6061">
            <w:pPr>
              <w:jc w:val="center"/>
              <w:rPr>
                <w:lang w:val="en-GB"/>
              </w:rPr>
            </w:pPr>
            <w:hyperlink r:id="rId30" w:history="1">
              <w:r w:rsidR="00CE6061" w:rsidRPr="00CE6061">
                <w:rPr>
                  <w:rStyle w:val="Hyperlink"/>
                  <w:rFonts w:eastAsiaTheme="majorEastAsia"/>
                </w:rPr>
                <w:t>C</w:t>
              </w:r>
              <w:r w:rsidR="00CE6061" w:rsidRPr="00CE6061">
                <w:rPr>
                  <w:rStyle w:val="Hyperlink"/>
                </w:rPr>
                <w:t>108</w:t>
              </w:r>
            </w:hyperlink>
          </w:p>
        </w:tc>
        <w:tc>
          <w:tcPr>
            <w:tcW w:w="938" w:type="pct"/>
            <w:shd w:val="clear" w:color="auto" w:fill="auto"/>
            <w:vAlign w:val="center"/>
          </w:tcPr>
          <w:p w14:paraId="5468962A" w14:textId="42115627" w:rsidR="00CE6061" w:rsidRPr="00CE6061" w:rsidRDefault="00CE6061" w:rsidP="00CE6061">
            <w:pPr>
              <w:jc w:val="left"/>
            </w:pPr>
            <w:r w:rsidRPr="00CE6061">
              <w:t>Canada; United States</w:t>
            </w:r>
          </w:p>
        </w:tc>
        <w:tc>
          <w:tcPr>
            <w:tcW w:w="1559" w:type="pct"/>
            <w:shd w:val="clear" w:color="auto" w:fill="auto"/>
            <w:vAlign w:val="center"/>
          </w:tcPr>
          <w:p w14:paraId="4B55B754" w14:textId="2E22F687" w:rsidR="00CE6061" w:rsidRPr="00CE6061" w:rsidRDefault="00CE6061" w:rsidP="00CE6061">
            <w:pPr>
              <w:jc w:val="left"/>
            </w:pPr>
            <w:r w:rsidRPr="00CE6061">
              <w:t>Views on the draft new WTSA Resolution on enhancing the standardization activities on sustainable digital transformation</w:t>
            </w:r>
          </w:p>
        </w:tc>
        <w:tc>
          <w:tcPr>
            <w:tcW w:w="2178" w:type="pct"/>
            <w:shd w:val="clear" w:color="auto" w:fill="auto"/>
            <w:vAlign w:val="center"/>
          </w:tcPr>
          <w:p w14:paraId="3266E4D6" w14:textId="0E586327" w:rsidR="00CE6061" w:rsidRPr="00CE6061" w:rsidRDefault="00CE6061" w:rsidP="00CE6061">
            <w:pPr>
              <w:jc w:val="left"/>
            </w:pPr>
            <w:r w:rsidRPr="00CE6061">
              <w:t>This contribution provides views on the draft new WTSA Resolution on digital transformation as contained in Annex 1 of TSAG-TD531/GEN, which has not fully addressed concerns previously raised.</w:t>
            </w:r>
          </w:p>
        </w:tc>
      </w:tr>
      <w:tr w:rsidR="008842DD" w:rsidRPr="00CE6061" w14:paraId="3699CA67" w14:textId="77777777" w:rsidTr="008842DD">
        <w:trPr>
          <w:cantSplit/>
        </w:trPr>
        <w:tc>
          <w:tcPr>
            <w:tcW w:w="324" w:type="pct"/>
            <w:shd w:val="clear" w:color="auto" w:fill="auto"/>
            <w:vAlign w:val="center"/>
          </w:tcPr>
          <w:p w14:paraId="7FCE7910" w14:textId="3522CA46" w:rsidR="008842DD" w:rsidRDefault="008842DD" w:rsidP="00CE6061">
            <w:pPr>
              <w:jc w:val="center"/>
            </w:pPr>
            <w:r>
              <w:t>C109</w:t>
            </w:r>
          </w:p>
        </w:tc>
        <w:tc>
          <w:tcPr>
            <w:tcW w:w="938" w:type="pct"/>
            <w:shd w:val="clear" w:color="auto" w:fill="auto"/>
            <w:vAlign w:val="center"/>
          </w:tcPr>
          <w:p w14:paraId="2F0763C8" w14:textId="77777777" w:rsidR="008842DD" w:rsidRPr="00CE6061" w:rsidRDefault="008842DD" w:rsidP="00CE6061"/>
        </w:tc>
        <w:tc>
          <w:tcPr>
            <w:tcW w:w="1559" w:type="pct"/>
            <w:shd w:val="clear" w:color="auto" w:fill="auto"/>
            <w:vAlign w:val="center"/>
          </w:tcPr>
          <w:p w14:paraId="498BCAFE" w14:textId="3410EEF1" w:rsidR="008842DD" w:rsidRPr="00CE6061" w:rsidRDefault="008842DD" w:rsidP="00CE6061">
            <w:r>
              <w:t>Withdrawn</w:t>
            </w:r>
          </w:p>
        </w:tc>
        <w:tc>
          <w:tcPr>
            <w:tcW w:w="2178" w:type="pct"/>
            <w:shd w:val="clear" w:color="auto" w:fill="auto"/>
            <w:vAlign w:val="center"/>
          </w:tcPr>
          <w:p w14:paraId="12F75C3A" w14:textId="72919A0E" w:rsidR="008842DD" w:rsidRPr="00CE6061" w:rsidRDefault="008842DD" w:rsidP="00CE6061"/>
        </w:tc>
      </w:tr>
      <w:tr w:rsidR="00CE6061" w:rsidRPr="00CE6061" w14:paraId="2D53A6B2" w14:textId="77777777" w:rsidTr="008842DD">
        <w:trPr>
          <w:cantSplit/>
        </w:trPr>
        <w:tc>
          <w:tcPr>
            <w:tcW w:w="324" w:type="pct"/>
            <w:shd w:val="clear" w:color="auto" w:fill="auto"/>
            <w:vAlign w:val="center"/>
          </w:tcPr>
          <w:p w14:paraId="4A5C89D6" w14:textId="06953FC3" w:rsidR="00CE6061" w:rsidRPr="00CE6061" w:rsidRDefault="00AF47D4" w:rsidP="00CE6061">
            <w:pPr>
              <w:jc w:val="center"/>
              <w:rPr>
                <w:lang w:val="en-GB"/>
              </w:rPr>
            </w:pPr>
            <w:hyperlink r:id="rId31" w:history="1">
              <w:r w:rsidR="00CE6061" w:rsidRPr="00CE6061">
                <w:rPr>
                  <w:rStyle w:val="Hyperlink"/>
                  <w:rFonts w:eastAsiaTheme="majorEastAsia"/>
                </w:rPr>
                <w:t>C</w:t>
              </w:r>
              <w:r w:rsidR="00CE6061" w:rsidRPr="00CE6061">
                <w:rPr>
                  <w:rStyle w:val="Hyperlink"/>
                </w:rPr>
                <w:t>110</w:t>
              </w:r>
            </w:hyperlink>
          </w:p>
        </w:tc>
        <w:tc>
          <w:tcPr>
            <w:tcW w:w="938" w:type="pct"/>
            <w:shd w:val="clear" w:color="auto" w:fill="auto"/>
            <w:vAlign w:val="center"/>
          </w:tcPr>
          <w:p w14:paraId="5B20AABC" w14:textId="6FE074EE" w:rsidR="00CE6061" w:rsidRPr="00CE6061" w:rsidRDefault="00CE6061" w:rsidP="00CE6061">
            <w:pPr>
              <w:jc w:val="left"/>
            </w:pPr>
            <w:r w:rsidRPr="00CE6061">
              <w:t>Regional Commonwealth in the field of communications (RCC)</w:t>
            </w:r>
          </w:p>
        </w:tc>
        <w:tc>
          <w:tcPr>
            <w:tcW w:w="1559" w:type="pct"/>
            <w:shd w:val="clear" w:color="auto" w:fill="auto"/>
            <w:vAlign w:val="center"/>
          </w:tcPr>
          <w:p w14:paraId="0F42DFE4" w14:textId="10F2BD48" w:rsidR="00CE6061" w:rsidRPr="00CE6061" w:rsidRDefault="00CE6061" w:rsidP="00CE6061">
            <w:pPr>
              <w:jc w:val="left"/>
            </w:pPr>
            <w:r w:rsidRPr="00CE6061">
              <w:t>IRM: Preparation of RCC for WTSA-24</w:t>
            </w:r>
          </w:p>
        </w:tc>
        <w:tc>
          <w:tcPr>
            <w:tcW w:w="2178" w:type="pct"/>
            <w:shd w:val="clear" w:color="auto" w:fill="auto"/>
            <w:vAlign w:val="center"/>
          </w:tcPr>
          <w:p w14:paraId="1393EF65" w14:textId="4B543F82" w:rsidR="00CE6061" w:rsidRPr="00CE6061" w:rsidRDefault="00CE6061" w:rsidP="00CE6061">
            <w:pPr>
              <w:jc w:val="left"/>
            </w:pPr>
            <w:r w:rsidRPr="00CE6061">
              <w:t>This document provides the brief information on preparation of Regional Commonwealth in the field of communications for WTSA-24.</w:t>
            </w:r>
          </w:p>
        </w:tc>
      </w:tr>
      <w:tr w:rsidR="00CE6061" w:rsidRPr="00CE6061" w14:paraId="551685E6" w14:textId="77777777" w:rsidTr="008842DD">
        <w:trPr>
          <w:cantSplit/>
        </w:trPr>
        <w:tc>
          <w:tcPr>
            <w:tcW w:w="324" w:type="pct"/>
            <w:shd w:val="clear" w:color="auto" w:fill="auto"/>
            <w:vAlign w:val="center"/>
          </w:tcPr>
          <w:p w14:paraId="7D2ECC8F" w14:textId="26BBBED5" w:rsidR="00CE6061" w:rsidRPr="00CE6061" w:rsidRDefault="00AF47D4" w:rsidP="00CE6061">
            <w:pPr>
              <w:jc w:val="center"/>
              <w:rPr>
                <w:lang w:val="en-GB"/>
              </w:rPr>
            </w:pPr>
            <w:hyperlink r:id="rId32" w:history="1">
              <w:r w:rsidR="00CE6061" w:rsidRPr="00CE6061">
                <w:rPr>
                  <w:rStyle w:val="Hyperlink"/>
                  <w:rFonts w:eastAsiaTheme="majorEastAsia"/>
                </w:rPr>
                <w:t>C</w:t>
              </w:r>
              <w:r w:rsidR="00CE6061" w:rsidRPr="00CE6061">
                <w:rPr>
                  <w:rStyle w:val="Hyperlink"/>
                </w:rPr>
                <w:t>111</w:t>
              </w:r>
            </w:hyperlink>
          </w:p>
        </w:tc>
        <w:tc>
          <w:tcPr>
            <w:tcW w:w="938" w:type="pct"/>
            <w:shd w:val="clear" w:color="auto" w:fill="auto"/>
            <w:vAlign w:val="center"/>
          </w:tcPr>
          <w:p w14:paraId="076A783F" w14:textId="7A153B96" w:rsidR="00CE6061" w:rsidRPr="00CE6061" w:rsidRDefault="00CE6061" w:rsidP="00CE6061">
            <w:pPr>
              <w:jc w:val="left"/>
            </w:pPr>
            <w:r w:rsidRPr="00CE6061">
              <w:t>Broadcom Europe Ltd.</w:t>
            </w:r>
          </w:p>
        </w:tc>
        <w:tc>
          <w:tcPr>
            <w:tcW w:w="1559" w:type="pct"/>
            <w:shd w:val="clear" w:color="auto" w:fill="auto"/>
            <w:vAlign w:val="center"/>
          </w:tcPr>
          <w:p w14:paraId="1A93CAC0" w14:textId="1B9BCFC6" w:rsidR="00CE6061" w:rsidRPr="00CE6061" w:rsidRDefault="00CE6061" w:rsidP="00CE6061">
            <w:pPr>
              <w:jc w:val="left"/>
            </w:pPr>
            <w:r w:rsidRPr="00CE6061">
              <w:t>Proposed modifications of WTSA20 Resolution 22 in order to clarify its resolve 5, 6 and 7.</w:t>
            </w:r>
          </w:p>
        </w:tc>
        <w:tc>
          <w:tcPr>
            <w:tcW w:w="2178" w:type="pct"/>
            <w:shd w:val="clear" w:color="auto" w:fill="auto"/>
            <w:vAlign w:val="center"/>
          </w:tcPr>
          <w:p w14:paraId="32D5F4A1" w14:textId="437E9028" w:rsidR="00CE6061" w:rsidRPr="00CE6061" w:rsidRDefault="00CE6061" w:rsidP="00CE6061">
            <w:pPr>
              <w:jc w:val="left"/>
            </w:pPr>
            <w:r w:rsidRPr="00CE6061">
              <w:t>This contribution reflects on previous analysis regarding the instruction from Resolution 22, Rev. Geneva, 2022 for TSAG to establish a mechanism for new and emerging technologies and proposes modifications to the Resolution in order to clarify its resolve 5, 6 and 7.</w:t>
            </w:r>
          </w:p>
        </w:tc>
      </w:tr>
      <w:tr w:rsidR="00CE6061" w:rsidRPr="00CE6061" w14:paraId="7E710544" w14:textId="77777777" w:rsidTr="008842DD">
        <w:trPr>
          <w:cantSplit/>
        </w:trPr>
        <w:tc>
          <w:tcPr>
            <w:tcW w:w="324" w:type="pct"/>
            <w:shd w:val="clear" w:color="auto" w:fill="auto"/>
            <w:vAlign w:val="center"/>
          </w:tcPr>
          <w:p w14:paraId="5C1BB859" w14:textId="0B94C48E" w:rsidR="00CE6061" w:rsidRPr="00CE6061" w:rsidRDefault="00AF47D4" w:rsidP="00CE6061">
            <w:pPr>
              <w:jc w:val="center"/>
              <w:rPr>
                <w:lang w:val="en-GB"/>
              </w:rPr>
            </w:pPr>
            <w:hyperlink r:id="rId33" w:history="1">
              <w:r w:rsidR="00CE6061" w:rsidRPr="00CE6061">
                <w:rPr>
                  <w:rStyle w:val="Hyperlink"/>
                  <w:rFonts w:eastAsiaTheme="majorEastAsia"/>
                </w:rPr>
                <w:t>C</w:t>
              </w:r>
              <w:r w:rsidR="00CE6061" w:rsidRPr="00CE6061">
                <w:rPr>
                  <w:rStyle w:val="Hyperlink"/>
                </w:rPr>
                <w:t>112</w:t>
              </w:r>
            </w:hyperlink>
          </w:p>
        </w:tc>
        <w:tc>
          <w:tcPr>
            <w:tcW w:w="938" w:type="pct"/>
            <w:shd w:val="clear" w:color="auto" w:fill="auto"/>
            <w:vAlign w:val="center"/>
          </w:tcPr>
          <w:p w14:paraId="2E7C0879" w14:textId="696D3555" w:rsidR="00CE6061" w:rsidRPr="00CE6061" w:rsidRDefault="00CE6061" w:rsidP="00CE6061">
            <w:pPr>
              <w:jc w:val="left"/>
            </w:pPr>
            <w:r w:rsidRPr="00CE6061">
              <w:t>Broadcom Europe Ltd.</w:t>
            </w:r>
          </w:p>
        </w:tc>
        <w:tc>
          <w:tcPr>
            <w:tcW w:w="1559" w:type="pct"/>
            <w:shd w:val="clear" w:color="auto" w:fill="auto"/>
            <w:vAlign w:val="center"/>
          </w:tcPr>
          <w:p w14:paraId="675DD123" w14:textId="1DA3DFD0" w:rsidR="00CE6061" w:rsidRPr="00CE6061" w:rsidRDefault="00CE6061" w:rsidP="00CE6061">
            <w:pPr>
              <w:jc w:val="left"/>
            </w:pPr>
            <w:r w:rsidRPr="00CE6061">
              <w:t>Proposed modifications of WTSA20 Resolution 68 based on data analysis in the context of new and emerging telecommunication/ICTs</w:t>
            </w:r>
          </w:p>
        </w:tc>
        <w:tc>
          <w:tcPr>
            <w:tcW w:w="2178" w:type="pct"/>
            <w:shd w:val="clear" w:color="auto" w:fill="auto"/>
            <w:vAlign w:val="center"/>
          </w:tcPr>
          <w:p w14:paraId="152D1AFC" w14:textId="32CDF18D" w:rsidR="00CE6061" w:rsidRPr="00CE6061" w:rsidRDefault="00CE6061" w:rsidP="00CE6061">
            <w:pPr>
              <w:jc w:val="left"/>
            </w:pPr>
            <w:r w:rsidRPr="00CE6061">
              <w:t>This contribution proposes to modify WTSA20 Resolution 68 based on both, collaboration with TSB on CTO/CxO meetings data analysis and on background work on new and emerging telecommunication/ICTs.</w:t>
            </w:r>
          </w:p>
        </w:tc>
      </w:tr>
      <w:tr w:rsidR="00CE6061" w:rsidRPr="00CE6061" w14:paraId="60FCEF7D" w14:textId="77777777" w:rsidTr="008842DD">
        <w:trPr>
          <w:cantSplit/>
        </w:trPr>
        <w:tc>
          <w:tcPr>
            <w:tcW w:w="324" w:type="pct"/>
            <w:shd w:val="clear" w:color="auto" w:fill="auto"/>
            <w:vAlign w:val="center"/>
          </w:tcPr>
          <w:p w14:paraId="50E40C18" w14:textId="65452086" w:rsidR="00CE6061" w:rsidRPr="00CE6061" w:rsidRDefault="00AF47D4" w:rsidP="00CE6061">
            <w:pPr>
              <w:jc w:val="center"/>
              <w:rPr>
                <w:lang w:val="en-GB"/>
              </w:rPr>
            </w:pPr>
            <w:hyperlink r:id="rId34" w:history="1">
              <w:r w:rsidR="00CE6061" w:rsidRPr="00CE6061">
                <w:rPr>
                  <w:rStyle w:val="Hyperlink"/>
                  <w:rFonts w:eastAsiaTheme="majorEastAsia"/>
                </w:rPr>
                <w:t>C</w:t>
              </w:r>
              <w:r w:rsidR="00CE6061" w:rsidRPr="00CE6061">
                <w:rPr>
                  <w:rStyle w:val="Hyperlink"/>
                </w:rPr>
                <w:t>113</w:t>
              </w:r>
            </w:hyperlink>
          </w:p>
        </w:tc>
        <w:tc>
          <w:tcPr>
            <w:tcW w:w="938" w:type="pct"/>
            <w:shd w:val="clear" w:color="auto" w:fill="auto"/>
            <w:vAlign w:val="center"/>
          </w:tcPr>
          <w:p w14:paraId="57B0E170" w14:textId="21B87089" w:rsidR="00CE6061" w:rsidRPr="00CE6061" w:rsidRDefault="00CE6061" w:rsidP="00CE6061">
            <w:pPr>
              <w:jc w:val="left"/>
            </w:pPr>
            <w:r w:rsidRPr="00CE6061">
              <w:t>Broadcom Europe Ltd.</w:t>
            </w:r>
          </w:p>
        </w:tc>
        <w:tc>
          <w:tcPr>
            <w:tcW w:w="1559" w:type="pct"/>
            <w:shd w:val="clear" w:color="auto" w:fill="auto"/>
            <w:vAlign w:val="center"/>
          </w:tcPr>
          <w:p w14:paraId="37C57508" w14:textId="3BC20818" w:rsidR="00CE6061" w:rsidRPr="00CE6061" w:rsidRDefault="00CE6061" w:rsidP="00CE6061">
            <w:pPr>
              <w:jc w:val="left"/>
            </w:pPr>
            <w:r w:rsidRPr="00CE6061">
              <w:t>A first set of proposals for a mechanism to address new and emerging telecommunication/ICTs</w:t>
            </w:r>
          </w:p>
        </w:tc>
        <w:tc>
          <w:tcPr>
            <w:tcW w:w="2178" w:type="pct"/>
            <w:shd w:val="clear" w:color="auto" w:fill="auto"/>
            <w:vAlign w:val="center"/>
          </w:tcPr>
          <w:p w14:paraId="2D278A9A" w14:textId="1DBD4FC5" w:rsidR="00CE6061" w:rsidRPr="00CE6061" w:rsidRDefault="00CE6061" w:rsidP="00CE6061">
            <w:pPr>
              <w:jc w:val="left"/>
            </w:pPr>
            <w:r w:rsidRPr="00CE6061">
              <w:t>This contribution proposes some first approach to design the mechanism to address new and emerging telecommunication/ICTs requested by Resolution 22.</w:t>
            </w:r>
          </w:p>
        </w:tc>
      </w:tr>
      <w:tr w:rsidR="00CE6061" w:rsidRPr="00CE6061" w14:paraId="5EAE8969" w14:textId="77777777" w:rsidTr="008842DD">
        <w:trPr>
          <w:cantSplit/>
        </w:trPr>
        <w:tc>
          <w:tcPr>
            <w:tcW w:w="324" w:type="pct"/>
            <w:shd w:val="clear" w:color="auto" w:fill="auto"/>
            <w:vAlign w:val="center"/>
          </w:tcPr>
          <w:p w14:paraId="627C7B6E" w14:textId="27FDA393" w:rsidR="00CE6061" w:rsidRPr="00CE6061" w:rsidRDefault="00AF47D4" w:rsidP="00CE6061">
            <w:pPr>
              <w:jc w:val="center"/>
              <w:rPr>
                <w:lang w:val="en-GB"/>
              </w:rPr>
            </w:pPr>
            <w:hyperlink r:id="rId35" w:history="1">
              <w:r w:rsidR="00CE6061" w:rsidRPr="00CE6061">
                <w:rPr>
                  <w:rStyle w:val="Hyperlink"/>
                  <w:rFonts w:eastAsiaTheme="majorEastAsia"/>
                </w:rPr>
                <w:t>C</w:t>
              </w:r>
              <w:r w:rsidR="00CE6061" w:rsidRPr="00CE6061">
                <w:rPr>
                  <w:rStyle w:val="Hyperlink"/>
                </w:rPr>
                <w:t>114</w:t>
              </w:r>
            </w:hyperlink>
          </w:p>
        </w:tc>
        <w:tc>
          <w:tcPr>
            <w:tcW w:w="938" w:type="pct"/>
            <w:shd w:val="clear" w:color="auto" w:fill="auto"/>
            <w:vAlign w:val="center"/>
          </w:tcPr>
          <w:p w14:paraId="5C980FD0" w14:textId="02AA0440" w:rsidR="00CE6061" w:rsidRPr="00CE6061" w:rsidRDefault="00CE6061" w:rsidP="00CE6061">
            <w:pPr>
              <w:jc w:val="left"/>
            </w:pPr>
            <w:r w:rsidRPr="00CE6061">
              <w:t>Broadcom Europe Ltd.</w:t>
            </w:r>
          </w:p>
        </w:tc>
        <w:tc>
          <w:tcPr>
            <w:tcW w:w="1559" w:type="pct"/>
            <w:shd w:val="clear" w:color="auto" w:fill="auto"/>
            <w:vAlign w:val="center"/>
          </w:tcPr>
          <w:p w14:paraId="50A38B22" w14:textId="4F71A9E5" w:rsidR="00CE6061" w:rsidRPr="00CE6061" w:rsidRDefault="00CE6061" w:rsidP="00CE6061">
            <w:pPr>
              <w:jc w:val="left"/>
            </w:pPr>
            <w:r w:rsidRPr="00CE6061">
              <w:t>UPU/ITU-T Relationships: identification of untapped opportunities</w:t>
            </w:r>
          </w:p>
        </w:tc>
        <w:tc>
          <w:tcPr>
            <w:tcW w:w="2178" w:type="pct"/>
            <w:shd w:val="clear" w:color="auto" w:fill="auto"/>
            <w:vAlign w:val="center"/>
          </w:tcPr>
          <w:p w14:paraId="2D1D78C3" w14:textId="568F9B32" w:rsidR="00CE6061" w:rsidRPr="00CE6061" w:rsidRDefault="00CE6061" w:rsidP="00CE6061">
            <w:pPr>
              <w:jc w:val="left"/>
            </w:pPr>
            <w:r w:rsidRPr="00CE6061">
              <w:t>In this contribution, Broadcom identified untapped opportunities in the relationship between the UPU and the ITU-T and offers some proposals for consideration by TSAG.</w:t>
            </w:r>
          </w:p>
        </w:tc>
      </w:tr>
      <w:tr w:rsidR="00CE6061" w:rsidRPr="00CE6061" w14:paraId="694FB5A1" w14:textId="77777777" w:rsidTr="008842DD">
        <w:trPr>
          <w:cantSplit/>
        </w:trPr>
        <w:tc>
          <w:tcPr>
            <w:tcW w:w="324" w:type="pct"/>
            <w:shd w:val="clear" w:color="auto" w:fill="auto"/>
            <w:vAlign w:val="center"/>
          </w:tcPr>
          <w:p w14:paraId="68DA604D" w14:textId="487911A6" w:rsidR="00CE6061" w:rsidRPr="00CE6061" w:rsidRDefault="00AF47D4" w:rsidP="00CE6061">
            <w:pPr>
              <w:jc w:val="center"/>
              <w:rPr>
                <w:lang w:val="en-GB"/>
              </w:rPr>
            </w:pPr>
            <w:hyperlink r:id="rId36" w:history="1">
              <w:r w:rsidR="00CE6061" w:rsidRPr="00CE6061">
                <w:rPr>
                  <w:rStyle w:val="Hyperlink"/>
                  <w:rFonts w:eastAsiaTheme="majorEastAsia"/>
                </w:rPr>
                <w:t>C</w:t>
              </w:r>
              <w:r w:rsidR="00CE6061" w:rsidRPr="00CE6061">
                <w:rPr>
                  <w:rStyle w:val="Hyperlink"/>
                </w:rPr>
                <w:t>115</w:t>
              </w:r>
            </w:hyperlink>
          </w:p>
        </w:tc>
        <w:tc>
          <w:tcPr>
            <w:tcW w:w="938" w:type="pct"/>
            <w:shd w:val="clear" w:color="auto" w:fill="auto"/>
            <w:vAlign w:val="center"/>
          </w:tcPr>
          <w:p w14:paraId="1CAD5E0A" w14:textId="5E41B84F" w:rsidR="00CE6061" w:rsidRPr="00CE6061" w:rsidRDefault="00CE6061" w:rsidP="00CE6061">
            <w:pPr>
              <w:jc w:val="left"/>
            </w:pPr>
            <w:r w:rsidRPr="00CE6061">
              <w:t>United States</w:t>
            </w:r>
          </w:p>
        </w:tc>
        <w:tc>
          <w:tcPr>
            <w:tcW w:w="1559" w:type="pct"/>
            <w:shd w:val="clear" w:color="auto" w:fill="auto"/>
            <w:vAlign w:val="center"/>
          </w:tcPr>
          <w:p w14:paraId="41FD66F8" w14:textId="1A48A52A" w:rsidR="00CE6061" w:rsidRPr="00CE6061" w:rsidRDefault="00CE6061" w:rsidP="00CE6061">
            <w:pPr>
              <w:jc w:val="left"/>
            </w:pPr>
            <w:r w:rsidRPr="00CE6061">
              <w:t>U.S. views on the allocation of deliverables from the Focus Group on metaverse</w:t>
            </w:r>
          </w:p>
        </w:tc>
        <w:tc>
          <w:tcPr>
            <w:tcW w:w="2178" w:type="pct"/>
            <w:shd w:val="clear" w:color="auto" w:fill="auto"/>
            <w:vAlign w:val="center"/>
          </w:tcPr>
          <w:p w14:paraId="316420EB" w14:textId="6FF4F666" w:rsidR="00CE6061" w:rsidRPr="00CE6061" w:rsidRDefault="00CE6061" w:rsidP="00CE6061">
            <w:pPr>
              <w:jc w:val="left"/>
            </w:pPr>
            <w:r w:rsidRPr="00CE6061">
              <w:t>This contribution provides edits to Table 2 in TD587/GEN regarding the allocation of deliverables from the Focus Group on metaverse (FG-MV), to minimize the duplication of efforts and promote efficient use of ITU-T resources. Although the United States does not believe that this metaverse standardization work is currently necessary in ITU-T, this contribution reacts only to the suggested distribution of FG-MV deliverables.</w:t>
            </w:r>
          </w:p>
        </w:tc>
      </w:tr>
    </w:tbl>
    <w:p w14:paraId="2F47F069" w14:textId="77777777" w:rsidR="008D1C01" w:rsidRPr="00994E3A" w:rsidRDefault="008D1C01" w:rsidP="008D1C01"/>
    <w:p w14:paraId="2FE3DADB" w14:textId="04649073" w:rsidR="00AC00D8" w:rsidRPr="00AF47D4" w:rsidRDefault="00AC00D8" w:rsidP="00AC00D8">
      <w:pPr>
        <w:jc w:val="center"/>
        <w:rPr>
          <w:rFonts w:asciiTheme="majorBidi" w:hAnsiTheme="majorBidi" w:cstheme="majorBidi"/>
        </w:rPr>
      </w:pPr>
      <w:r w:rsidRPr="00AF47D4">
        <w:rPr>
          <w:rFonts w:asciiTheme="majorBidi" w:hAnsiTheme="majorBidi" w:cstheme="majorBidi"/>
        </w:rPr>
        <w:t>____________</w:t>
      </w:r>
      <w:r w:rsidR="002A1DF6" w:rsidRPr="00AF47D4">
        <w:rPr>
          <w:rFonts w:asciiTheme="majorBidi" w:hAnsiTheme="majorBidi" w:cstheme="majorBidi"/>
        </w:rPr>
        <w:t>____</w:t>
      </w:r>
    </w:p>
    <w:sectPr w:rsidR="00AC00D8" w:rsidRPr="00AF47D4" w:rsidSect="00263128">
      <w:pgSz w:w="16838" w:h="11906" w:orient="landscape"/>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982" w14:textId="77777777" w:rsidR="00920D43" w:rsidRDefault="00920D43" w:rsidP="00806E73">
      <w:r>
        <w:separator/>
      </w:r>
    </w:p>
  </w:endnote>
  <w:endnote w:type="continuationSeparator" w:id="0">
    <w:p w14:paraId="61CAD4ED" w14:textId="77777777" w:rsidR="00920D43" w:rsidRDefault="00920D43" w:rsidP="00806E73">
      <w:r>
        <w:continuationSeparator/>
      </w:r>
    </w:p>
  </w:endnote>
  <w:endnote w:type="continuationNotice" w:id="1">
    <w:p w14:paraId="5F3204E1" w14:textId="77777777" w:rsidR="00920D43" w:rsidRDefault="0092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D68B" w14:textId="77777777" w:rsidR="00920D43" w:rsidRDefault="00920D43" w:rsidP="00806E73">
      <w:r>
        <w:separator/>
      </w:r>
    </w:p>
  </w:footnote>
  <w:footnote w:type="continuationSeparator" w:id="0">
    <w:p w14:paraId="05D3F51D" w14:textId="77777777" w:rsidR="00920D43" w:rsidRDefault="00920D43" w:rsidP="00806E73">
      <w:r>
        <w:continuationSeparator/>
      </w:r>
    </w:p>
  </w:footnote>
  <w:footnote w:type="continuationNotice" w:id="1">
    <w:p w14:paraId="51B4E4E0" w14:textId="77777777" w:rsidR="00920D43" w:rsidRDefault="00920D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124A" w14:textId="52D2AAF4" w:rsidR="007A3C9B" w:rsidRPr="007336C4" w:rsidRDefault="007A3C9B" w:rsidP="00263128">
    <w:pPr>
      <w:pStyle w:val="Header"/>
    </w:pPr>
    <w:r>
      <w:t xml:space="preserve">- </w:t>
    </w:r>
    <w:r>
      <w:fldChar w:fldCharType="begin"/>
    </w:r>
    <w:r w:rsidRPr="007A3C9B">
      <w:instrText xml:space="preserve"> PAGE  \* MERGEFORMAT </w:instrText>
    </w:r>
    <w:r>
      <w:fldChar w:fldCharType="separate"/>
    </w:r>
    <w:r w:rsidR="00BE747F">
      <w:rPr>
        <w:noProof/>
      </w:rPr>
      <w:t>2</w:t>
    </w:r>
    <w:r>
      <w:fldChar w:fldCharType="end"/>
    </w:r>
    <w:r w:rsidR="00BE53BB">
      <w:rPr>
        <w:lang w:val="pt-BR"/>
      </w:rPr>
      <w:t xml:space="preserve"> -</w:t>
    </w:r>
    <w:r w:rsidR="00263128">
      <w:rPr>
        <w:lang w:val="pt-BR"/>
      </w:rPr>
      <w:br/>
    </w:r>
    <w:r w:rsidR="00BE53BB">
      <w:rPr>
        <w:noProof/>
      </w:rPr>
      <w:fldChar w:fldCharType="begin"/>
    </w:r>
    <w:r w:rsidR="00BE53BB">
      <w:rPr>
        <w:noProof/>
      </w:rPr>
      <w:instrText xml:space="preserve"> STYLEREF  Docnumber  \* MERGEFORMAT </w:instrText>
    </w:r>
    <w:r w:rsidR="00BE53BB">
      <w:rPr>
        <w:noProof/>
      </w:rPr>
      <w:fldChar w:fldCharType="separate"/>
    </w:r>
    <w:r w:rsidR="00AF47D4">
      <w:rPr>
        <w:noProof/>
      </w:rPr>
      <w:t>TSAG-TD502</w:t>
    </w:r>
    <w:r w:rsidR="00BE53B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16"/>
  </w:num>
  <w:num w:numId="12" w16cid:durableId="2048600489">
    <w:abstractNumId w:val="11"/>
  </w:num>
  <w:num w:numId="13" w16cid:durableId="68507512">
    <w:abstractNumId w:val="14"/>
  </w:num>
  <w:num w:numId="14" w16cid:durableId="1047296231">
    <w:abstractNumId w:val="18"/>
  </w:num>
  <w:num w:numId="15" w16cid:durableId="1970740496">
    <w:abstractNumId w:val="13"/>
  </w:num>
  <w:num w:numId="16" w16cid:durableId="1912882719">
    <w:abstractNumId w:val="10"/>
  </w:num>
  <w:num w:numId="17" w16cid:durableId="2051219684">
    <w:abstractNumId w:val="12"/>
  </w:num>
  <w:num w:numId="18" w16cid:durableId="1699089874">
    <w:abstractNumId w:val="15"/>
  </w:num>
  <w:num w:numId="19" w16cid:durableId="11586117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BD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379A0"/>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61C"/>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494"/>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CE2"/>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4A66"/>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3E"/>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44"/>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0E89"/>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2AA"/>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13F"/>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754"/>
    <w:rsid w:val="006B1C9C"/>
    <w:rsid w:val="006B1DD7"/>
    <w:rsid w:val="006B1F57"/>
    <w:rsid w:val="006B2C6A"/>
    <w:rsid w:val="006B3202"/>
    <w:rsid w:val="006B32E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D7E74"/>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0E0"/>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483"/>
    <w:rsid w:val="00735A4E"/>
    <w:rsid w:val="00736C5C"/>
    <w:rsid w:val="00737088"/>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113"/>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6DD"/>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2DD"/>
    <w:rsid w:val="0088435C"/>
    <w:rsid w:val="008843E3"/>
    <w:rsid w:val="008844B9"/>
    <w:rsid w:val="00884502"/>
    <w:rsid w:val="00884759"/>
    <w:rsid w:val="008847EE"/>
    <w:rsid w:val="00884833"/>
    <w:rsid w:val="00884884"/>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1C01"/>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1ED"/>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0D43"/>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6F84"/>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4E3A"/>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0DEF"/>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7D4"/>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53BB"/>
    <w:rsid w:val="00BE73A8"/>
    <w:rsid w:val="00BE747F"/>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061"/>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0CF"/>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B0"/>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132"/>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312A1F"/>
  </w:style>
  <w:style w:type="paragraph" w:customStyle="1" w:styleId="TSBHeaderRight14">
    <w:name w:val="TSBHeaderRight14"/>
    <w:basedOn w:val="Normal"/>
    <w:rsid w:val="00312A1F"/>
    <w:pPr>
      <w:jc w:val="right"/>
    </w:pPr>
    <w:rPr>
      <w:b/>
      <w:bCs/>
      <w:sz w:val="28"/>
      <w:szCs w:val="28"/>
    </w:rPr>
  </w:style>
  <w:style w:type="paragraph" w:customStyle="1" w:styleId="TSBHeaderSource">
    <w:name w:val="TSBHeaderSource"/>
    <w:basedOn w:val="Normal"/>
    <w:rsid w:val="00312A1F"/>
  </w:style>
  <w:style w:type="paragraph" w:customStyle="1" w:styleId="TSBHeaderSummary">
    <w:name w:val="TSBHeaderSummary"/>
    <w:basedOn w:val="Normal"/>
    <w:rsid w:val="00312A1F"/>
  </w:style>
  <w:style w:type="paragraph" w:customStyle="1" w:styleId="TSBHeaderTitle">
    <w:name w:val="TSBHeaderTitle"/>
    <w:basedOn w:val="Normal"/>
    <w:rsid w:val="00312A1F"/>
  </w:style>
  <w:style w:type="paragraph" w:customStyle="1" w:styleId="VenueDate">
    <w:name w:val="VenueDate"/>
    <w:basedOn w:val="Normal"/>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tu.int/md/meetingdoc.asp?lang=en&amp;parent=T22-TSAG-C-0095" TargetMode="External"/><Relationship Id="rId26" Type="http://schemas.openxmlformats.org/officeDocument/2006/relationships/hyperlink" Target="http://www.itu.int/md/meetingdoc.asp?lang=en&amp;parent=T22-TSAG-C-0104" TargetMode="External"/><Relationship Id="rId21" Type="http://schemas.openxmlformats.org/officeDocument/2006/relationships/hyperlink" Target="http://www.itu.int/md/meetingdoc.asp?lang=en&amp;parent=T22-TSAG-C-0098" TargetMode="External"/><Relationship Id="rId34" Type="http://schemas.openxmlformats.org/officeDocument/2006/relationships/hyperlink" Target="http://www.itu.int/md/meetingdoc.asp?lang=en&amp;parent=T22-TSAG-C-0113" TargetMode="External"/><Relationship Id="rId7" Type="http://schemas.openxmlformats.org/officeDocument/2006/relationships/settings" Target="settings.xml"/><Relationship Id="rId12" Type="http://schemas.openxmlformats.org/officeDocument/2006/relationships/hyperlink" Target="mailto:hiroshi.ota@itu.int" TargetMode="External"/><Relationship Id="rId17" Type="http://schemas.openxmlformats.org/officeDocument/2006/relationships/hyperlink" Target="http://www.itu.int/md/meetingdoc.asp?lang=en&amp;parent=T22-TSAG-C-0094" TargetMode="External"/><Relationship Id="rId25" Type="http://schemas.openxmlformats.org/officeDocument/2006/relationships/hyperlink" Target="http://www.itu.int/md/meetingdoc.asp?lang=en&amp;parent=T22-TSAG-C-0103" TargetMode="External"/><Relationship Id="rId33" Type="http://schemas.openxmlformats.org/officeDocument/2006/relationships/hyperlink" Target="http://www.itu.int/md/meetingdoc.asp?lang=en&amp;parent=T22-TSAG-C-011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meetingdoc.asp?lang=en&amp;parent=T22-TSAG-C-0093" TargetMode="External"/><Relationship Id="rId20" Type="http://schemas.openxmlformats.org/officeDocument/2006/relationships/hyperlink" Target="http://www.itu.int/md/meetingdoc.asp?lang=en&amp;parent=T22-TSAG-C-0097" TargetMode="External"/><Relationship Id="rId29" Type="http://schemas.openxmlformats.org/officeDocument/2006/relationships/hyperlink" Target="http://www.itu.int/md/meetingdoc.asp?lang=en&amp;parent=T22-TSAG-C-01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meetingdoc.asp?lang=en&amp;parent=T22-TSAG-C-0102" TargetMode="External"/><Relationship Id="rId32" Type="http://schemas.openxmlformats.org/officeDocument/2006/relationships/hyperlink" Target="http://www.itu.int/md/meetingdoc.asp?lang=en&amp;parent=T22-TSAG-C-011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meetingdoc.asp?lang=en&amp;parent=T22-TSAG-C-0092" TargetMode="External"/><Relationship Id="rId23" Type="http://schemas.openxmlformats.org/officeDocument/2006/relationships/hyperlink" Target="http://www.itu.int/md/meetingdoc.asp?lang=en&amp;parent=T22-TSAG-C-0101" TargetMode="External"/><Relationship Id="rId28" Type="http://schemas.openxmlformats.org/officeDocument/2006/relationships/hyperlink" Target="http://www.itu.int/md/meetingdoc.asp?lang=en&amp;parent=T22-TSAG-C-0106" TargetMode="External"/><Relationship Id="rId36" Type="http://schemas.openxmlformats.org/officeDocument/2006/relationships/hyperlink" Target="http://www.itu.int/md/meetingdoc.asp?lang=en&amp;parent=T22-TSAG-C-0115" TargetMode="External"/><Relationship Id="rId10" Type="http://schemas.openxmlformats.org/officeDocument/2006/relationships/endnotes" Target="endnotes.xml"/><Relationship Id="rId19" Type="http://schemas.openxmlformats.org/officeDocument/2006/relationships/hyperlink" Target="http://www.itu.int/md/meetingdoc.asp?lang=en&amp;parent=T22-TSAG-C-0096" TargetMode="External"/><Relationship Id="rId31" Type="http://schemas.openxmlformats.org/officeDocument/2006/relationships/hyperlink" Target="http://www.itu.int/md/meetingdoc.asp?lang=en&amp;parent=T22-TSAG-C-0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tu.int/md/meetingdoc.asp?lang=en&amp;parent=T22-TSAG-C-0099" TargetMode="External"/><Relationship Id="rId27" Type="http://schemas.openxmlformats.org/officeDocument/2006/relationships/hyperlink" Target="http://www.itu.int/md/meetingdoc.asp?lang=en&amp;parent=T22-TSAG-C-0105" TargetMode="External"/><Relationship Id="rId30" Type="http://schemas.openxmlformats.org/officeDocument/2006/relationships/hyperlink" Target="http://www.itu.int/md/meetingdoc.asp?lang=en&amp;parent=T22-TSAG-C-0108" TargetMode="External"/><Relationship Id="rId35" Type="http://schemas.openxmlformats.org/officeDocument/2006/relationships/hyperlink" Target="http://www.itu.int/md/meetingdoc.asp?lang=en&amp;parent=T22-TSAG-C-011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F10A-D0B8-49A3-B4D2-98D9D6ED43A1}">
  <ds:schemaRefs>
    <ds:schemaRef ds:uri="http://schemas.microsoft.com/sharepoint/v3/contenttype/forms"/>
  </ds:schemaRefs>
</ds:datastoreItem>
</file>

<file path=customXml/itemProps2.xml><?xml version="1.0" encoding="utf-8"?>
<ds:datastoreItem xmlns:ds="http://schemas.openxmlformats.org/officeDocument/2006/customXml" ds:itemID="{9919BC63-0641-4117-8C7D-386A3864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7951</Characters>
  <Application>Microsoft Office Word</Application>
  <DocSecurity>4</DocSecurity>
  <Lines>180</Lines>
  <Paragraphs>110</Paragraphs>
  <ScaleCrop>false</ScaleCrop>
  <HeadingPairs>
    <vt:vector size="2" baseType="variant">
      <vt:variant>
        <vt:lpstr>Title</vt:lpstr>
      </vt:variant>
      <vt:variant>
        <vt:i4>1</vt:i4>
      </vt:variant>
    </vt:vector>
  </HeadingPairs>
  <TitlesOfParts>
    <vt:vector size="1" baseType="lpstr">
      <vt:lpstr>Summary of contributions to TSAG meeting (Geneva, 30 May-2 June 2023)</vt:lpstr>
    </vt:vector>
  </TitlesOfParts>
  <Manager>ITU-T</Manager>
  <Company>International Telecommunication Union (ITU)</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30 May-2 June 2023)</dc:title>
  <dc:creator>TSB</dc:creator>
  <cp:keywords>Contributions; summary;</cp:keywords>
  <dc:description/>
  <cp:lastModifiedBy>Al-Mnini, Lara</cp:lastModifiedBy>
  <cp:revision>2</cp:revision>
  <cp:lastPrinted>2016-09-09T09:11:00Z</cp:lastPrinted>
  <dcterms:created xsi:type="dcterms:W3CDTF">2024-07-22T12:35:00Z</dcterms:created>
  <dcterms:modified xsi:type="dcterms:W3CDTF">2024-07-22T12:35:00Z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y fmtid="{D5CDD505-2E9C-101B-9397-08002B2CF9AE}" pid="8" name="ContentTypeId">
    <vt:lpwstr>0x0101001F6BCA3FCFB4964EA42B9EE52D0AD559</vt:lpwstr>
  </property>
</Properties>
</file>