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085F83B5" w:rsidR="00D55AF9" w:rsidRPr="00CA6EFC" w:rsidRDefault="00527B64" w:rsidP="00B220C0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CA6EFC">
              <w:rPr>
                <w:rFonts w:eastAsia="MS Mincho" w:hint="eastAsia"/>
              </w:rPr>
              <w:t>486</w:t>
            </w:r>
            <w:r w:rsidR="000C0B84">
              <w:rPr>
                <w:rFonts w:eastAsia="MS Mincho"/>
              </w:rPr>
              <w:t>R2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0512958F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33444E">
              <w:t>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27C43CCC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CA6EFC">
              <w:t>Geneva</w:t>
            </w:r>
            <w:r w:rsidR="00CA6EFC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CA6EFC">
              <w:t>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5BE53F9" w:rsidR="0033444E" w:rsidRPr="001075F9" w:rsidRDefault="0033444E" w:rsidP="0033444E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234010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r w:rsidR="00234010">
              <w:fldChar w:fldCharType="begin"/>
            </w:r>
            <w:r w:rsidR="00234010">
              <w:instrText>HYPERLINK "mailto:bilel.jamoussi@itu.int"</w:instrText>
            </w:r>
            <w:r w:rsidR="00234010">
              <w:fldChar w:fldCharType="separate"/>
            </w:r>
            <w:r w:rsidRPr="00A10EE7">
              <w:rPr>
                <w:rStyle w:val="Hyperlink"/>
                <w:lang w:val="it-IT"/>
              </w:rPr>
              <w:t>bilel.jamoussi@itu.int</w:t>
            </w:r>
            <w:r w:rsidR="00234010">
              <w:rPr>
                <w:rStyle w:val="Hyperlink"/>
                <w:lang w:val="it-IT"/>
              </w:rPr>
              <w:fldChar w:fldCharType="end"/>
            </w:r>
          </w:p>
        </w:tc>
      </w:tr>
    </w:tbl>
    <w:p w14:paraId="1B7265FA" w14:textId="77777777" w:rsidR="00D55AF9" w:rsidRPr="00234010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09C994E9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CA6EFC">
              <w:rPr>
                <w:rFonts w:eastAsia="MS Mincho" w:hint="eastAsia"/>
              </w:rPr>
              <w:t>fourth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341B9C0C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A675EE">
        <w:rPr>
          <w:rFonts w:eastAsia="MS Mincho"/>
          <w:highlight w:val="yellow"/>
        </w:rPr>
        <w:t>2</w:t>
      </w:r>
      <w:r w:rsidR="000C0B84">
        <w:rPr>
          <w:rFonts w:eastAsia="MS Mincho"/>
          <w:highlight w:val="yellow"/>
        </w:rPr>
        <w:t>8</w:t>
      </w:r>
      <w:r w:rsidR="00200B10">
        <w:rPr>
          <w:rFonts w:eastAsia="MS Mincho"/>
          <w:highlight w:val="yellow"/>
        </w:rPr>
        <w:t xml:space="preserve"> July</w:t>
      </w:r>
      <w:r w:rsidR="0033444E" w:rsidRPr="0027141E">
        <w:rPr>
          <w:highlight w:val="yellow"/>
        </w:rPr>
        <w:t xml:space="preserve"> 2024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2"/>
          <w:footerReference w:type="first" r:id="rId13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0A2F4193" w14:textId="77777777" w:rsidR="005F3AFF" w:rsidRDefault="005F3AFF" w:rsidP="005F3AFF">
      <w:pPr>
        <w:spacing w:before="0" w:after="120"/>
        <w:jc w:val="center"/>
        <w:rPr>
          <w:b/>
          <w:bCs/>
          <w:sz w:val="28"/>
        </w:rPr>
      </w:pPr>
    </w:p>
    <w:p w14:paraId="69EFF9A0" w14:textId="1896E3B1" w:rsidR="005F3AFF" w:rsidRPr="003559CE" w:rsidRDefault="005F3AFF" w:rsidP="005F3AFF">
      <w:pPr>
        <w:spacing w:before="0" w:after="120"/>
        <w:jc w:val="center"/>
      </w:pPr>
      <w:r w:rsidRPr="003559CE">
        <w:rPr>
          <w:b/>
          <w:bCs/>
          <w:sz w:val="28"/>
        </w:rPr>
        <w:t xml:space="preserve">Draft time </w:t>
      </w:r>
      <w:r w:rsidR="00185C2E"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</w:t>
      </w:r>
      <w:r w:rsidR="00185C2E" w:rsidRPr="003559CE">
        <w:rPr>
          <w:b/>
          <w:bCs/>
          <w:sz w:val="28"/>
        </w:rPr>
        <w:t>Working Party</w:t>
      </w:r>
      <w:r w:rsidRPr="003559CE">
        <w:rPr>
          <w:b/>
          <w:bCs/>
          <w:sz w:val="28"/>
        </w:rPr>
        <w:t xml:space="preserve">, and Rapporteur </w:t>
      </w:r>
      <w:r w:rsidR="00185C2E"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 w:rsidR="00185C2E"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1038"/>
        <w:gridCol w:w="1202"/>
        <w:gridCol w:w="2240"/>
        <w:gridCol w:w="2240"/>
        <w:gridCol w:w="2240"/>
      </w:tblGrid>
      <w:tr w:rsidR="005F3AFF" w:rsidRPr="000C0B84" w14:paraId="5E009A4E" w14:textId="77777777">
        <w:trPr>
          <w:jc w:val="center"/>
        </w:trPr>
        <w:tc>
          <w:tcPr>
            <w:tcW w:w="1281" w:type="dxa"/>
            <w:shd w:val="clear" w:color="auto" w:fill="EDEDED"/>
          </w:tcPr>
          <w:p w14:paraId="36485EFE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11711762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3A9ACDAA" w14:textId="2406C120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28 July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5FD0BC09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65CA97D5" w14:textId="21EBABB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29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282FBC2B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4A5285C7" w14:textId="627C9E0C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30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5AE2FA0F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509FF853" w14:textId="4ED1A58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31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2406710E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262BE4F4" w14:textId="6F3C176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1 August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7CFB2753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4A208E51" w14:textId="412B731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 August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</w:tr>
      <w:tr w:rsidR="005F3AFF" w:rsidRPr="000C0B84" w14:paraId="0256AD3D" w14:textId="77777777" w:rsidTr="000A04FF">
        <w:trPr>
          <w:jc w:val="center"/>
        </w:trPr>
        <w:tc>
          <w:tcPr>
            <w:tcW w:w="1281" w:type="dxa"/>
            <w:shd w:val="clear" w:color="auto" w:fill="EDEDED"/>
          </w:tcPr>
          <w:p w14:paraId="582C9D38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429842FD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64EAEFC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0900-0930</w:t>
            </w:r>
          </w:p>
          <w:p w14:paraId="739BF9E5" w14:textId="77777777" w:rsidR="005F3AFF" w:rsidRPr="000C0B84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0C0B84">
              <w:rPr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357B3868" w14:textId="1C54AB50" w:rsidR="005F3AFF" w:rsidRPr="000C0B84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00B0F0"/>
          </w:tcPr>
          <w:p w14:paraId="68C8291F" w14:textId="18FDB55E" w:rsidR="000A04FF" w:rsidRPr="000C0B84" w:rsidRDefault="000A04FF" w:rsidP="000A04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08</w:t>
            </w:r>
            <w:r w:rsidR="009A594B" w:rsidRPr="000C0B84">
              <w:rPr>
                <w:rFonts w:eastAsia="MS Mincho"/>
                <w:b/>
                <w:bCs/>
                <w:sz w:val="16"/>
                <w:szCs w:val="16"/>
              </w:rPr>
              <w:t>3</w:t>
            </w:r>
            <w:r w:rsidRPr="000C0B84">
              <w:rPr>
                <w:rFonts w:eastAsia="MS Mincho"/>
                <w:b/>
                <w:bCs/>
                <w:sz w:val="16"/>
                <w:szCs w:val="16"/>
              </w:rPr>
              <w:t>0</w:t>
            </w:r>
            <w:r w:rsidRPr="000C0B84">
              <w:rPr>
                <w:b/>
                <w:bCs/>
                <w:sz w:val="16"/>
                <w:szCs w:val="16"/>
                <w:lang w:eastAsia="zh-CN"/>
              </w:rPr>
              <w:t xml:space="preserve"> – </w:t>
            </w:r>
            <w:r w:rsidRPr="000C0B84">
              <w:rPr>
                <w:rFonts w:eastAsia="MS Mincho"/>
                <w:b/>
                <w:bCs/>
                <w:sz w:val="16"/>
                <w:szCs w:val="16"/>
              </w:rPr>
              <w:t>09</w:t>
            </w:r>
            <w:r w:rsidR="009A594B" w:rsidRPr="000C0B84">
              <w:rPr>
                <w:rFonts w:eastAsia="MS Mincho"/>
                <w:b/>
                <w:bCs/>
                <w:sz w:val="16"/>
                <w:szCs w:val="16"/>
              </w:rPr>
              <w:t>30</w:t>
            </w:r>
            <w:r w:rsidRPr="000C0B84">
              <w:rPr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6969232F" w14:textId="7CCA588E" w:rsidR="005F3AFF" w:rsidRPr="000C0B84" w:rsidRDefault="000A04FF" w:rsidP="000A04FF">
            <w:pPr>
              <w:spacing w:before="0"/>
              <w:rPr>
                <w:sz w:val="18"/>
                <w:szCs w:val="18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WM</w:t>
            </w:r>
            <w:r w:rsidR="001C593E" w:rsidRPr="000C0B84">
              <w:rPr>
                <w:rFonts w:eastAsia="MS Mincho"/>
                <w:sz w:val="16"/>
                <w:szCs w:val="16"/>
              </w:rPr>
              <w:t xml:space="preserve"> </w:t>
            </w:r>
            <w:r w:rsidR="001C593E" w:rsidRPr="000C0B84">
              <w:rPr>
                <w:rFonts w:eastAsia="Times New Roman"/>
                <w:sz w:val="16"/>
                <w:szCs w:val="16"/>
              </w:rPr>
              <w:t>ad hoc on ITU-T A.1</w:t>
            </w:r>
          </w:p>
        </w:tc>
        <w:tc>
          <w:tcPr>
            <w:tcW w:w="2240" w:type="dxa"/>
            <w:shd w:val="clear" w:color="auto" w:fill="EDEDED"/>
          </w:tcPr>
          <w:p w14:paraId="67E3EC4D" w14:textId="404B7735" w:rsidR="005F3AFF" w:rsidRPr="000C0B84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DED4401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F3AFF" w:rsidRPr="000C0B84" w14:paraId="2A420F79" w14:textId="77777777" w:rsidTr="009A594B">
        <w:trPr>
          <w:trHeight w:val="435"/>
          <w:jc w:val="center"/>
        </w:trPr>
        <w:tc>
          <w:tcPr>
            <w:tcW w:w="1281" w:type="dxa"/>
          </w:tcPr>
          <w:p w14:paraId="5240AC97" w14:textId="77777777" w:rsidR="005F3AFF" w:rsidRPr="000C0B84" w:rsidRDefault="005F3AFF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1629F5E0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62CA54C2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07229423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5499A747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5B34136" w14:textId="77777777" w:rsidR="005F3AFF" w:rsidRPr="000C0B84" w:rsidRDefault="005F3AFF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68D9761A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994BA34" w14:textId="03E887B9" w:rsidR="005F3AFF" w:rsidRPr="000C0B84" w:rsidRDefault="009A594B">
            <w:pPr>
              <w:spacing w:before="0"/>
              <w:rPr>
                <w:rFonts w:eastAsia="MS Mincho"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 xml:space="preserve">WM </w:t>
            </w:r>
            <w:r w:rsidRPr="000C0B84">
              <w:rPr>
                <w:rFonts w:eastAsia="Times New Roman"/>
                <w:sz w:val="16"/>
                <w:szCs w:val="16"/>
              </w:rPr>
              <w:t>ad hoc on ITU-T A.1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59B85945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04599FD" w14:textId="04D73294" w:rsidR="005F3AFF" w:rsidRPr="000C0B84" w:rsidRDefault="00D21B61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="00FF33CD" w:rsidRPr="000C0B84">
              <w:rPr>
                <w:sz w:val="16"/>
                <w:szCs w:val="16"/>
                <w:lang w:eastAsia="zh-CN"/>
              </w:rPr>
              <w:t xml:space="preserve"> WPR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5931444B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5215D2BA" w14:textId="5440B819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 closing plenary (***)</w:t>
            </w:r>
          </w:p>
        </w:tc>
      </w:tr>
      <w:tr w:rsidR="005F3AFF" w:rsidRPr="000C0B84" w14:paraId="6D62C6A6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3586FFF" w14:textId="77777777" w:rsidR="005F3AFF" w:rsidRPr="000C0B84" w:rsidRDefault="005F3AFF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2CD57B7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AAAC54D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545FC8D4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9A84D25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8A4865E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AC39CC9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5F3AFF" w:rsidRPr="000C0B84" w14:paraId="0797CCF5" w14:textId="77777777" w:rsidTr="00B50AD2">
        <w:trPr>
          <w:jc w:val="center"/>
        </w:trPr>
        <w:tc>
          <w:tcPr>
            <w:tcW w:w="1281" w:type="dxa"/>
          </w:tcPr>
          <w:p w14:paraId="016BC346" w14:textId="77777777" w:rsidR="005F3AFF" w:rsidRPr="000C0B84" w:rsidRDefault="005F3AFF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1E2EF660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AAE7F38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3534B1D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0D758FD6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21BBCF0" w14:textId="77777777" w:rsidR="005F3AFF" w:rsidRPr="000C0B84" w:rsidRDefault="005F3AFF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2D2C25DF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11B59808" w14:textId="3058CCD5" w:rsidR="005F3AFF" w:rsidRPr="000C0B84" w:rsidRDefault="00101E5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00B0F0"/>
          </w:tcPr>
          <w:p w14:paraId="7E963156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2EFA68D" w14:textId="365F5CE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="00FF33CD" w:rsidRPr="000C0B84">
              <w:rPr>
                <w:rFonts w:eastAsia="MS Mincho"/>
                <w:sz w:val="16"/>
                <w:szCs w:val="16"/>
              </w:rPr>
              <w:t xml:space="preserve"> </w:t>
            </w:r>
            <w:r w:rsidR="00B50AD2" w:rsidRPr="000C0B84">
              <w:rPr>
                <w:rFonts w:eastAsia="MS Mincho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92D050"/>
          </w:tcPr>
          <w:p w14:paraId="1ED5683C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7C0C86AE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0C0B84" w:rsidRPr="000C0B84" w14:paraId="5ECD80E6" w14:textId="77777777" w:rsidTr="000C0B84">
        <w:trPr>
          <w:trHeight w:val="436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14:paraId="659E7D56" w14:textId="77777777" w:rsidR="000C0B84" w:rsidRPr="000C0B84" w:rsidRDefault="000C0B84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C3B3E23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7DBEE649" w14:textId="77777777" w:rsidR="000C0B84" w:rsidRPr="000C0B84" w:rsidRDefault="000C0B84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1F95876A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Study Group/TSAG/SCV Chairs’ meeting (**)</w:t>
            </w:r>
          </w:p>
        </w:tc>
        <w:tc>
          <w:tcPr>
            <w:tcW w:w="1038" w:type="dxa"/>
            <w:vMerge w:val="restart"/>
            <w:shd w:val="clear" w:color="auto" w:fill="F2F2F2" w:themeFill="background1" w:themeFillShade="F2"/>
          </w:tcPr>
          <w:p w14:paraId="74C25882" w14:textId="23D46D5D" w:rsidR="000C0B84" w:rsidRPr="000C0B84" w:rsidRDefault="000C0B84" w:rsidP="00CA6EFC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1245 – 1345 hours</w:t>
            </w:r>
          </w:p>
          <w:p w14:paraId="21B57C51" w14:textId="5ECA7C92" w:rsidR="000C0B84" w:rsidRPr="000C0B84" w:rsidRDefault="000C0B84" w:rsidP="00CA6EFC">
            <w:pPr>
              <w:spacing w:before="0"/>
              <w:rPr>
                <w:sz w:val="16"/>
                <w:szCs w:val="16"/>
                <w:lang w:eastAsia="zh-CN"/>
              </w:rPr>
            </w:pPr>
            <w:proofErr w:type="gramStart"/>
            <w:r w:rsidRPr="000C0B84">
              <w:rPr>
                <w:sz w:val="16"/>
                <w:szCs w:val="16"/>
                <w:lang w:eastAsia="zh-CN"/>
              </w:rPr>
              <w:t>Newcomers</w:t>
            </w:r>
            <w:proofErr w:type="gramEnd"/>
            <w:r w:rsidRPr="000C0B84">
              <w:rPr>
                <w:sz w:val="16"/>
                <w:szCs w:val="16"/>
                <w:lang w:eastAsia="zh-CN"/>
              </w:rPr>
              <w:t xml:space="preserve"> session</w:t>
            </w:r>
          </w:p>
        </w:tc>
        <w:tc>
          <w:tcPr>
            <w:tcW w:w="1202" w:type="dxa"/>
            <w:vMerge w:val="restart"/>
            <w:shd w:val="clear" w:color="auto" w:fill="00B0F0"/>
          </w:tcPr>
          <w:p w14:paraId="3FA7B502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1230-1330 hours</w:t>
            </w:r>
          </w:p>
          <w:p w14:paraId="4AAAFD27" w14:textId="040801C0" w:rsidR="000C0B84" w:rsidRPr="000C0B84" w:rsidRDefault="000C0B84" w:rsidP="00B50AD2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 xml:space="preserve">RG-WM </w:t>
            </w:r>
            <w:r w:rsidRPr="000C0B84">
              <w:rPr>
                <w:rFonts w:eastAsia="Times New Roman"/>
                <w:sz w:val="16"/>
                <w:szCs w:val="16"/>
              </w:rPr>
              <w:t xml:space="preserve">ad hoc on </w:t>
            </w:r>
            <w:proofErr w:type="spellStart"/>
            <w:proofErr w:type="gramStart"/>
            <w:r w:rsidRPr="000C0B84">
              <w:rPr>
                <w:rFonts w:eastAsia="Times New Roman"/>
                <w:sz w:val="16"/>
                <w:szCs w:val="16"/>
              </w:rPr>
              <w:t>A.SupplSGA</w:t>
            </w:r>
            <w:proofErr w:type="spellEnd"/>
            <w:proofErr w:type="gramEnd"/>
          </w:p>
        </w:tc>
        <w:tc>
          <w:tcPr>
            <w:tcW w:w="2240" w:type="dxa"/>
            <w:vMerge w:val="restart"/>
            <w:shd w:val="clear" w:color="auto" w:fill="00B0F0"/>
          </w:tcPr>
          <w:p w14:paraId="2CC3AF27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1230-1330 hours</w:t>
            </w:r>
          </w:p>
          <w:p w14:paraId="0EFDC4D2" w14:textId="6A01866B" w:rsidR="000C0B84" w:rsidRPr="000C0B84" w:rsidRDefault="000C0B84" w:rsidP="00B50AD2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>RG-WM ad hoc on review of WTSA Resolution 22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05D0A12" w14:textId="77777777" w:rsidR="000C0B84" w:rsidRPr="003559CE" w:rsidRDefault="000C0B84" w:rsidP="000C0B84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230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 hours</w:t>
            </w:r>
          </w:p>
          <w:p w14:paraId="630399F4" w14:textId="4C5835F2" w:rsidR="000C0B84" w:rsidRPr="000C0B84" w:rsidRDefault="000C0B84" w:rsidP="000C0B84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Information session on AI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1C3600E8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0C0B84" w:rsidRPr="000C0B84" w14:paraId="371E8BC3" w14:textId="77777777" w:rsidTr="000C0B84">
        <w:trPr>
          <w:trHeight w:val="473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5E4A3DAC" w14:textId="77777777" w:rsidR="000C0B84" w:rsidRPr="000C0B84" w:rsidRDefault="000C0B84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12CDF33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117BA110" w14:textId="77777777" w:rsidR="000C0B84" w:rsidRPr="000C0B84" w:rsidRDefault="000C0B84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38" w:type="dxa"/>
            <w:vMerge/>
            <w:shd w:val="clear" w:color="auto" w:fill="F2F2F2" w:themeFill="background1" w:themeFillShade="F2"/>
          </w:tcPr>
          <w:p w14:paraId="4EDEAE1D" w14:textId="77777777" w:rsidR="000C0B84" w:rsidRPr="000C0B84" w:rsidRDefault="000C0B84" w:rsidP="00CA6EFC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00B0F0"/>
          </w:tcPr>
          <w:p w14:paraId="4FCA7D6E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shd w:val="clear" w:color="auto" w:fill="00B0F0"/>
          </w:tcPr>
          <w:p w14:paraId="263AB835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  <w:shd w:val="clear" w:color="auto" w:fill="E2EFD9" w:themeFill="accent6" w:themeFillTint="33"/>
          </w:tcPr>
          <w:p w14:paraId="0572918C" w14:textId="77777777" w:rsidR="000C0B84" w:rsidRPr="000C0B84" w:rsidRDefault="000C0B84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1300-1430 hours</w:t>
            </w:r>
          </w:p>
          <w:p w14:paraId="35B99B87" w14:textId="6F034A02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WP2 ad-hoc on Resolutions</w:t>
            </w: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2C904E74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E8341D" w:rsidRPr="000C0B84" w14:paraId="379581B7" w14:textId="77777777" w:rsidTr="000C0B84">
        <w:trPr>
          <w:trHeight w:val="288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540068D3" w14:textId="77777777" w:rsidR="00E8341D" w:rsidRPr="000C0B84" w:rsidRDefault="00E8341D" w:rsidP="00E8341D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2EC24FDA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F7E38EE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38" w:type="dxa"/>
            <w:vMerge/>
            <w:shd w:val="clear" w:color="auto" w:fill="F2F2F2" w:themeFill="background1" w:themeFillShade="F2"/>
          </w:tcPr>
          <w:p w14:paraId="585B0163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shd w:val="clear" w:color="auto" w:fill="00B050"/>
          </w:tcPr>
          <w:p w14:paraId="152E0731" w14:textId="77777777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1330-1430</w:t>
            </w:r>
          </w:p>
          <w:p w14:paraId="365127C7" w14:textId="21D69ED2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Ad-hoc on FG-MV</w:t>
            </w:r>
          </w:p>
        </w:tc>
        <w:tc>
          <w:tcPr>
            <w:tcW w:w="2240" w:type="dxa"/>
            <w:shd w:val="clear" w:color="auto" w:fill="00B050"/>
          </w:tcPr>
          <w:p w14:paraId="4197A4B9" w14:textId="77777777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1330-1430</w:t>
            </w:r>
          </w:p>
          <w:p w14:paraId="626FDDF3" w14:textId="71971D2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Ad-hoc on FG-MV</w:t>
            </w:r>
          </w:p>
        </w:tc>
        <w:tc>
          <w:tcPr>
            <w:tcW w:w="2240" w:type="dxa"/>
            <w:vMerge/>
            <w:shd w:val="clear" w:color="auto" w:fill="E2EFD9" w:themeFill="accent6" w:themeFillTint="33"/>
          </w:tcPr>
          <w:p w14:paraId="78A29940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10DE349F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E8341D" w:rsidRPr="000C0B84" w14:paraId="61D453E1" w14:textId="77777777" w:rsidTr="00B50AD2">
        <w:trPr>
          <w:jc w:val="center"/>
        </w:trPr>
        <w:tc>
          <w:tcPr>
            <w:tcW w:w="1281" w:type="dxa"/>
          </w:tcPr>
          <w:p w14:paraId="0CD6CF60" w14:textId="77777777" w:rsidR="00E8341D" w:rsidRPr="000C0B84" w:rsidRDefault="00E8341D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27DE44DB" w14:textId="4EFDABAE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15045B21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328C519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2E1E2E32" w14:textId="15587BED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gridSpan w:val="2"/>
            <w:shd w:val="clear" w:color="auto" w:fill="D5DCE4" w:themeFill="text2" w:themeFillTint="33"/>
          </w:tcPr>
          <w:p w14:paraId="56DEED09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13846F0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270648C5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7227067" w14:textId="0AB5E51E" w:rsidR="00E8341D" w:rsidRPr="000C0B84" w:rsidRDefault="00E8341D" w:rsidP="00E8341D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>RG-IEM</w:t>
            </w:r>
          </w:p>
        </w:tc>
        <w:tc>
          <w:tcPr>
            <w:tcW w:w="2240" w:type="dxa"/>
            <w:shd w:val="clear" w:color="auto" w:fill="FFD966" w:themeFill="accent4" w:themeFillTint="99"/>
          </w:tcPr>
          <w:p w14:paraId="3F3EFA28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E0FA918" w14:textId="5B52E799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SOP</w:t>
            </w:r>
          </w:p>
        </w:tc>
        <w:tc>
          <w:tcPr>
            <w:tcW w:w="2240" w:type="dxa"/>
            <w:shd w:val="clear" w:color="auto" w:fill="92D050"/>
          </w:tcPr>
          <w:p w14:paraId="69D6F261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761D6C65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E8341D" w:rsidRPr="000C0B84" w14:paraId="5FF675E7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29A2BBE0" w14:textId="77777777" w:rsidR="00E8341D" w:rsidRPr="000C0B84" w:rsidRDefault="00E8341D" w:rsidP="00E8341D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30E51BF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762F044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69A83F69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6958FC2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B905E7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F2455A4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E8341D" w:rsidRPr="000C0B84" w14:paraId="24443225" w14:textId="77777777" w:rsidTr="00FF33CD">
        <w:trPr>
          <w:trHeight w:val="379"/>
          <w:jc w:val="center"/>
        </w:trPr>
        <w:tc>
          <w:tcPr>
            <w:tcW w:w="1281" w:type="dxa"/>
          </w:tcPr>
          <w:p w14:paraId="0D160C8B" w14:textId="77777777" w:rsidR="00E8341D" w:rsidRPr="000C0B84" w:rsidRDefault="00E8341D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21EBDA02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70174A54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488B5CEB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gridSpan w:val="2"/>
            <w:shd w:val="clear" w:color="auto" w:fill="F4B083" w:themeFill="accent2" w:themeFillTint="99"/>
          </w:tcPr>
          <w:p w14:paraId="25788C7F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CB2B7E9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0F461BF9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FABC706" w14:textId="359A8CAD" w:rsidR="00E8341D" w:rsidRPr="000C0B84" w:rsidRDefault="00E8341D" w:rsidP="00E8341D">
            <w:pPr>
              <w:spacing w:before="0"/>
              <w:rPr>
                <w:rFonts w:eastAsia="MS Mincho"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DT</w:t>
            </w:r>
            <w:r w:rsidRPr="000C0B84">
              <w:rPr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4BFEE10F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C0CD8EA" w14:textId="6FA3AD51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WP2 closing plenary</w:t>
            </w:r>
          </w:p>
        </w:tc>
        <w:tc>
          <w:tcPr>
            <w:tcW w:w="2240" w:type="dxa"/>
            <w:shd w:val="clear" w:color="auto" w:fill="92D050"/>
          </w:tcPr>
          <w:p w14:paraId="63EA4207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CF3E926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E8341D" w:rsidRPr="000C0B84" w14:paraId="4A378E95" w14:textId="77777777" w:rsidTr="00571B07">
        <w:trPr>
          <w:trHeight w:val="387"/>
          <w:jc w:val="center"/>
        </w:trPr>
        <w:tc>
          <w:tcPr>
            <w:tcW w:w="1281" w:type="dxa"/>
          </w:tcPr>
          <w:p w14:paraId="67447906" w14:textId="77777777" w:rsidR="00E8341D" w:rsidRPr="000C0B84" w:rsidRDefault="00E8341D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48E3D53D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66F39DB" w14:textId="77777777" w:rsidR="00E8341D" w:rsidRPr="000C0B84" w:rsidRDefault="00E8341D" w:rsidP="00E8341D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0F433BCA" w14:textId="391E78B5" w:rsidR="00E8341D" w:rsidRPr="000C0B84" w:rsidRDefault="00E8341D" w:rsidP="00E8341D">
            <w:pPr>
              <w:tabs>
                <w:tab w:val="left" w:pos="999"/>
              </w:tabs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bCs/>
                <w:sz w:val="16"/>
                <w:szCs w:val="16"/>
                <w:lang w:eastAsia="zh-CN"/>
              </w:rPr>
              <w:t>TSAG Reception (</w:t>
            </w:r>
            <w:r w:rsidRPr="000C0B84">
              <w:rPr>
                <w:rFonts w:eastAsia="MS Mincho"/>
                <w:bCs/>
                <w:sz w:val="16"/>
                <w:szCs w:val="16"/>
              </w:rPr>
              <w:t>Kingdom of Saudi Arabia</w:t>
            </w:r>
            <w:r w:rsidRPr="000C0B84">
              <w:rPr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1F025E20" w14:textId="77777777" w:rsidR="00E8341D" w:rsidRPr="000C0B84" w:rsidRDefault="00E8341D" w:rsidP="00E8341D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7D59DB72" w14:textId="0C1D0EF0" w:rsidR="00E8341D" w:rsidRPr="000C0B84" w:rsidRDefault="00E8341D" w:rsidP="00E8341D">
            <w:pPr>
              <w:spacing w:before="0"/>
              <w:rPr>
                <w:rFonts w:eastAsia="MS Mincho"/>
                <w:bCs/>
                <w:sz w:val="16"/>
                <w:szCs w:val="16"/>
              </w:rPr>
            </w:pPr>
            <w:r w:rsidRPr="000C0B84">
              <w:rPr>
                <w:rFonts w:eastAsia="MS Mincho"/>
                <w:bCs/>
                <w:sz w:val="16"/>
                <w:szCs w:val="16"/>
              </w:rPr>
              <w:t>RG-IEM/IEWSC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14CDEE9" w14:textId="77777777" w:rsidR="00E8341D" w:rsidRPr="000C0B84" w:rsidRDefault="00E8341D" w:rsidP="00E8341D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11978827" w14:textId="106618E6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Cs/>
                <w:sz w:val="16"/>
                <w:szCs w:val="16"/>
                <w:lang w:eastAsia="zh-CN"/>
              </w:rPr>
              <w:t>TSAG Reception (</w:t>
            </w:r>
            <w:r w:rsidRPr="000C0B84">
              <w:rPr>
                <w:rFonts w:eastAsia="MS Mincho"/>
                <w:bCs/>
                <w:sz w:val="16"/>
                <w:szCs w:val="16"/>
              </w:rPr>
              <w:t>Broadcom Europe</w:t>
            </w:r>
            <w:r w:rsidRPr="000C0B84">
              <w:rPr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7D4F06D2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BC5B181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</w:tbl>
    <w:p w14:paraId="5065D979" w14:textId="77777777" w:rsidR="005F3AFF" w:rsidRPr="003559CE" w:rsidRDefault="005F3AFF" w:rsidP="005F3AFF">
      <w:pPr>
        <w:spacing w:before="0" w:after="120"/>
        <w:jc w:val="center"/>
      </w:pPr>
    </w:p>
    <w:p w14:paraId="6E54CDA6" w14:textId="77777777" w:rsidR="005F3AFF" w:rsidRPr="003559CE" w:rsidRDefault="005F3AFF" w:rsidP="005F3AFF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46623936" w14:textId="77777777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139B9A3" w14:textId="32B832E9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>s, SCV Chair</w:t>
      </w:r>
      <w:r w:rsidRPr="003559CE">
        <w:rPr>
          <w:rFonts w:cstheme="majorBidi"/>
          <w:szCs w:val="22"/>
        </w:rPr>
        <w:t xml:space="preserve"> and TSAG Chair</w:t>
      </w:r>
    </w:p>
    <w:p w14:paraId="5E938711" w14:textId="77777777" w:rsidR="005F3AFF" w:rsidRPr="003559CE" w:rsidRDefault="005F3AFF" w:rsidP="005F3AFF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737EE64B" w14:textId="077D3892" w:rsidR="003736D3" w:rsidRDefault="003736D3" w:rsidP="003736D3">
      <w:pPr>
        <w:spacing w:before="0" w:after="120"/>
        <w:jc w:val="center"/>
        <w:rPr>
          <w:sz w:val="16"/>
          <w:szCs w:val="16"/>
        </w:rPr>
      </w:pPr>
      <w:r>
        <w:br/>
      </w:r>
    </w:p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660591DC" w14:textId="77777777" w:rsidR="0033444E" w:rsidRDefault="0033444E" w:rsidP="006442EF">
      <w:pPr>
        <w:spacing w:before="0"/>
        <w:jc w:val="center"/>
        <w:rPr>
          <w:rFonts w:asciiTheme="majorBidi" w:hAnsiTheme="majorBidi" w:cstheme="majorBidi"/>
          <w:sz w:val="20"/>
        </w:rPr>
      </w:pPr>
    </w:p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4"/>
      <w:footerReference w:type="first" r:id="rId15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D4B5" w14:textId="77777777" w:rsidR="00FD6ADA" w:rsidRDefault="00FD6ADA">
      <w:pPr>
        <w:spacing w:before="0"/>
      </w:pPr>
      <w:r>
        <w:separator/>
      </w:r>
    </w:p>
  </w:endnote>
  <w:endnote w:type="continuationSeparator" w:id="0">
    <w:p w14:paraId="445F3E87" w14:textId="77777777" w:rsidR="00FD6ADA" w:rsidRDefault="00FD6ADA">
      <w:pPr>
        <w:spacing w:before="0"/>
      </w:pPr>
      <w:r>
        <w:continuationSeparator/>
      </w:r>
    </w:p>
  </w:endnote>
  <w:endnote w:type="continuationNotice" w:id="1">
    <w:p w14:paraId="21D814D8" w14:textId="77777777" w:rsidR="00FD6ADA" w:rsidRDefault="00FD6AD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D375" w14:textId="77777777" w:rsidR="00FD6ADA" w:rsidRDefault="00FD6ADA">
      <w:pPr>
        <w:spacing w:before="0"/>
      </w:pPr>
      <w:r>
        <w:separator/>
      </w:r>
    </w:p>
  </w:footnote>
  <w:footnote w:type="continuationSeparator" w:id="0">
    <w:p w14:paraId="03602659" w14:textId="77777777" w:rsidR="00FD6ADA" w:rsidRDefault="00FD6ADA">
      <w:pPr>
        <w:spacing w:before="0"/>
      </w:pPr>
      <w:r>
        <w:continuationSeparator/>
      </w:r>
    </w:p>
  </w:footnote>
  <w:footnote w:type="continuationNotice" w:id="1">
    <w:p w14:paraId="4A865445" w14:textId="77777777" w:rsidR="00FD6ADA" w:rsidRDefault="00FD6A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C19183A" w14:textId="57F8F01F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34010">
      <w:rPr>
        <w:noProof/>
      </w:rPr>
      <w:t>TSAG-TD486R2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0B84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66CE"/>
    <w:rsid w:val="000D7005"/>
    <w:rsid w:val="000D7169"/>
    <w:rsid w:val="000D795C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010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489E"/>
    <w:rsid w:val="002648D3"/>
    <w:rsid w:val="00265281"/>
    <w:rsid w:val="0026716E"/>
    <w:rsid w:val="00270EF3"/>
    <w:rsid w:val="0027141E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350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8E0"/>
    <w:rsid w:val="00566EF9"/>
    <w:rsid w:val="005676AE"/>
    <w:rsid w:val="00571824"/>
    <w:rsid w:val="00571AD4"/>
    <w:rsid w:val="00571B07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13B4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095B"/>
    <w:rsid w:val="005F3560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2EC0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5C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55FB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564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E7F81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0D9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9E6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66931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42E"/>
    <w:rsid w:val="00995A4F"/>
    <w:rsid w:val="00996D36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1E70"/>
    <w:rsid w:val="009C313D"/>
    <w:rsid w:val="009C4E89"/>
    <w:rsid w:val="009C5524"/>
    <w:rsid w:val="009D06B6"/>
    <w:rsid w:val="009D25C1"/>
    <w:rsid w:val="009D30A7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5EE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34B9"/>
    <w:rsid w:val="00C3410D"/>
    <w:rsid w:val="00C35DD8"/>
    <w:rsid w:val="00C36031"/>
    <w:rsid w:val="00C3620D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2221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0C1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308E"/>
    <w:rsid w:val="00D23687"/>
    <w:rsid w:val="00D23951"/>
    <w:rsid w:val="00D24F25"/>
    <w:rsid w:val="00D25A99"/>
    <w:rsid w:val="00D26248"/>
    <w:rsid w:val="00D2654E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138"/>
    <w:rsid w:val="00D456A3"/>
    <w:rsid w:val="00D45A66"/>
    <w:rsid w:val="00D465D9"/>
    <w:rsid w:val="00D478E7"/>
    <w:rsid w:val="00D5046C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3037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80946"/>
    <w:rsid w:val="00D80CF3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2D13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341D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0FA6DB3"/>
    <w:rsid w:val="213412BB"/>
    <w:rsid w:val="24A0CBCC"/>
    <w:rsid w:val="24B7478D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E4791A3C-D068-4AB6-8024-A1EB855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fe703674-2bcf-444b-9965-f551dbea00fe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17408f4-2186-4ff6-bcad-def554211a7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EBB6C3-92C9-4BAF-A603-6E8C6DB2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2515</CharactersWithSpaces>
  <SharedDoc>false</SharedDoc>
  <HLinks>
    <vt:vector size="6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2023-05-31T00:44:00Z</cp:lastPrinted>
  <dcterms:created xsi:type="dcterms:W3CDTF">2024-07-28T19:11:00Z</dcterms:created>
  <dcterms:modified xsi:type="dcterms:W3CDTF">2024-07-28T19:11:00Z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