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46"/>
        <w:gridCol w:w="9"/>
        <w:gridCol w:w="3993"/>
        <w:gridCol w:w="33"/>
        <w:gridCol w:w="4026"/>
      </w:tblGrid>
      <w:tr w:rsidR="00D1312F" w:rsidRPr="00D1312F" w14:paraId="77E24BD3" w14:textId="77777777" w:rsidTr="00D1312F">
        <w:trPr>
          <w:cantSplit/>
        </w:trPr>
        <w:tc>
          <w:tcPr>
            <w:tcW w:w="1132" w:type="dxa"/>
            <w:vMerge w:val="restart"/>
            <w:vAlign w:val="center"/>
          </w:tcPr>
          <w:p w14:paraId="2AF94B40" w14:textId="77777777" w:rsidR="00D1312F" w:rsidRPr="00D1312F" w:rsidRDefault="00D1312F" w:rsidP="00D131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131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679EC0" wp14:editId="5A41DA21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38C89903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1312F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2A2DBDD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3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D131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3CD9639C" w14:textId="77777777" w:rsidR="00D1312F" w:rsidRPr="00D1312F" w:rsidRDefault="00D1312F" w:rsidP="00D1312F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12F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D1312F">
              <w:rPr>
                <w:rFonts w:ascii="Times New Roman" w:hAnsi="Times New Roman" w:cs="Times New Roman"/>
                <w:sz w:val="20"/>
              </w:rPr>
              <w:t>2022</w:t>
            </w:r>
            <w:r w:rsidRPr="00D131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312F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ACF2599" w14:textId="2382FCB9" w:rsidR="00D1312F" w:rsidRPr="00D1312F" w:rsidRDefault="00D1312F" w:rsidP="00D1312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proofErr w:type="spellStart"/>
            <w:r>
              <w:rPr>
                <w:sz w:val="32"/>
              </w:rPr>
              <w:t>TD</w:t>
            </w:r>
            <w:r w:rsidR="005B34B0">
              <w:rPr>
                <w:sz w:val="32"/>
              </w:rPr>
              <w:t>476</w:t>
            </w:r>
            <w:proofErr w:type="spellEnd"/>
          </w:p>
        </w:tc>
      </w:tr>
      <w:tr w:rsidR="00D1312F" w:rsidRPr="00D1312F" w14:paraId="11D0C1BD" w14:textId="77777777" w:rsidTr="00D1312F">
        <w:trPr>
          <w:cantSplit/>
        </w:trPr>
        <w:tc>
          <w:tcPr>
            <w:tcW w:w="1132" w:type="dxa"/>
            <w:vMerge/>
          </w:tcPr>
          <w:p w14:paraId="3F83D790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3FF1772B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026" w:type="dxa"/>
          </w:tcPr>
          <w:p w14:paraId="2D758DE1" w14:textId="25ABB7A7" w:rsidR="00D1312F" w:rsidRPr="00D1312F" w:rsidRDefault="00D1312F" w:rsidP="00D1312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D1312F" w:rsidRPr="00D1312F" w14:paraId="1BA7F7FD" w14:textId="77777777" w:rsidTr="00D1312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A530B3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2C4A0FFB" w14:textId="77777777" w:rsidR="00D1312F" w:rsidRPr="00D1312F" w:rsidRDefault="00D1312F" w:rsidP="00D1312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053D891" w14:textId="77777777" w:rsidR="00D1312F" w:rsidRPr="00D1312F" w:rsidRDefault="00D1312F" w:rsidP="00D1312F">
            <w:pPr>
              <w:pStyle w:val="TSBHeaderRight14"/>
            </w:pPr>
            <w:r w:rsidRPr="00D1312F">
              <w:t>Original: English</w:t>
            </w:r>
          </w:p>
        </w:tc>
      </w:tr>
      <w:tr w:rsidR="00D1312F" w:rsidRPr="00094ADA" w14:paraId="6BE91F5C" w14:textId="77777777" w:rsidTr="00D1312F">
        <w:trPr>
          <w:cantSplit/>
        </w:trPr>
        <w:tc>
          <w:tcPr>
            <w:tcW w:w="1587" w:type="dxa"/>
            <w:gridSpan w:val="3"/>
          </w:tcPr>
          <w:p w14:paraId="15E15910" w14:textId="77777777" w:rsidR="00D1312F" w:rsidRPr="00094ADA" w:rsidRDefault="00D1312F" w:rsidP="00D1312F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6" w:type="dxa"/>
            <w:gridSpan w:val="2"/>
          </w:tcPr>
          <w:p w14:paraId="01227E7A" w14:textId="785B6F8E" w:rsidR="00D1312F" w:rsidRPr="00094ADA" w:rsidRDefault="00D1312F" w:rsidP="00D1312F">
            <w:pPr>
              <w:pStyle w:val="TSBHeaderQuestion"/>
              <w:rPr>
                <w:rFonts w:asciiTheme="majorBidi" w:hAnsiTheme="majorBidi" w:cstheme="majorBidi"/>
              </w:rPr>
            </w:pPr>
            <w:r w:rsidRPr="00094ADA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026" w:type="dxa"/>
          </w:tcPr>
          <w:p w14:paraId="235AC29F" w14:textId="66D38090" w:rsidR="00D1312F" w:rsidRPr="00094ADA" w:rsidRDefault="00D1312F" w:rsidP="00D1312F">
            <w:pPr>
              <w:pStyle w:val="VenueDate"/>
              <w:rPr>
                <w:rFonts w:asciiTheme="majorBidi" w:hAnsiTheme="majorBidi" w:cstheme="majorBidi"/>
              </w:rPr>
            </w:pPr>
            <w:r w:rsidRPr="00094ADA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D1312F" w:rsidRPr="00094ADA" w14:paraId="5F7F1300" w14:textId="77777777" w:rsidTr="00D1312F">
        <w:trPr>
          <w:cantSplit/>
        </w:trPr>
        <w:tc>
          <w:tcPr>
            <w:tcW w:w="9639" w:type="dxa"/>
            <w:gridSpan w:val="6"/>
          </w:tcPr>
          <w:p w14:paraId="6964EA58" w14:textId="21ABD478" w:rsidR="00D1312F" w:rsidRPr="00094ADA" w:rsidRDefault="00D1312F" w:rsidP="00D1312F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D1312F" w:rsidRPr="00094ADA" w14:paraId="211D421C" w14:textId="77777777" w:rsidTr="00D1312F">
        <w:trPr>
          <w:cantSplit/>
        </w:trPr>
        <w:tc>
          <w:tcPr>
            <w:tcW w:w="1587" w:type="dxa"/>
            <w:gridSpan w:val="3"/>
          </w:tcPr>
          <w:p w14:paraId="2908C975" w14:textId="77777777" w:rsidR="00D1312F" w:rsidRPr="00094ADA" w:rsidRDefault="00D1312F" w:rsidP="00D1312F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052" w:type="dxa"/>
            <w:gridSpan w:val="3"/>
          </w:tcPr>
          <w:p w14:paraId="51255AE7" w14:textId="5AF7F664" w:rsidR="00D1312F" w:rsidRPr="00094ADA" w:rsidRDefault="00D1312F" w:rsidP="00D1312F">
            <w:pPr>
              <w:pStyle w:val="TSBHeaderSource"/>
              <w:rPr>
                <w:rFonts w:asciiTheme="majorBidi" w:hAnsiTheme="majorBidi" w:cstheme="majorBidi"/>
              </w:rPr>
            </w:pPr>
            <w:r w:rsidRPr="00094ADA">
              <w:rPr>
                <w:rFonts w:asciiTheme="majorBidi" w:hAnsiTheme="majorBidi" w:cstheme="majorBidi"/>
              </w:rPr>
              <w:t>Chair, SG13; Chair, SG17</w:t>
            </w:r>
          </w:p>
        </w:tc>
      </w:tr>
      <w:tr w:rsidR="00D1312F" w:rsidRPr="00094ADA" w14:paraId="77266E6F" w14:textId="77777777" w:rsidTr="00D1312F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A7DFF1D" w14:textId="77777777" w:rsidR="00D1312F" w:rsidRPr="00094ADA" w:rsidRDefault="00D1312F" w:rsidP="00D1312F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EB0FEA9" w14:textId="75B4519C" w:rsidR="00D1312F" w:rsidRPr="00094ADA" w:rsidRDefault="00D1312F" w:rsidP="00D1312F">
            <w:pPr>
              <w:pStyle w:val="TSBHeaderTitle"/>
              <w:rPr>
                <w:rFonts w:asciiTheme="majorBidi" w:hAnsiTheme="majorBidi" w:cstheme="majorBidi"/>
              </w:rPr>
            </w:pPr>
            <w:r w:rsidRPr="00094ADA">
              <w:rPr>
                <w:rFonts w:asciiTheme="majorBidi" w:hAnsiTheme="majorBidi" w:cstheme="majorBidi"/>
              </w:rPr>
              <w:t>Collaboration on QIT-related work between ITU-T Study Group 13 and 17</w:t>
            </w:r>
          </w:p>
        </w:tc>
      </w:tr>
      <w:bookmarkEnd w:id="1"/>
      <w:bookmarkEnd w:id="8"/>
      <w:tr w:rsidR="00D1312F" w:rsidRPr="00094ADA" w14:paraId="2931860D" w14:textId="77777777" w:rsidTr="006C4A65">
        <w:trPr>
          <w:cantSplit/>
        </w:trPr>
        <w:tc>
          <w:tcPr>
            <w:tcW w:w="15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AD4EE9" w14:textId="77777777" w:rsidR="00D1312F" w:rsidRPr="00094ADA" w:rsidRDefault="00D1312F" w:rsidP="00094AD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B904AF" w14:textId="64CD0D7B" w:rsidR="00D1312F" w:rsidRPr="00094ADA" w:rsidRDefault="00D1312F" w:rsidP="00094ADA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sz w:val="24"/>
                <w:szCs w:val="24"/>
              </w:rPr>
              <w:t>Kazunori Tanikawa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br/>
              <w:t>NICT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br/>
              <w:t>Japan</w:t>
            </w:r>
          </w:p>
        </w:tc>
        <w:tc>
          <w:tcPr>
            <w:tcW w:w="40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F55E5A" w14:textId="14C4D95F" w:rsidR="00D1312F" w:rsidRPr="00094ADA" w:rsidRDefault="00D1312F" w:rsidP="00094ADA">
            <w:pPr>
              <w:tabs>
                <w:tab w:val="left" w:pos="794"/>
              </w:tabs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tab/>
            </w:r>
            <w:hyperlink r:id="rId8" w:history="1">
              <w:r w:rsidRPr="00094AD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kaz.tanikawa@nict.go.jp</w:t>
              </w:r>
            </w:hyperlink>
            <w:r w:rsidRPr="00094A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1312F" w:rsidRPr="00094ADA" w14:paraId="67C05195" w14:textId="77777777" w:rsidTr="006C4A65">
        <w:trPr>
          <w:cantSplit/>
        </w:trPr>
        <w:tc>
          <w:tcPr>
            <w:tcW w:w="15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674341" w14:textId="77777777" w:rsidR="00D1312F" w:rsidRPr="00094ADA" w:rsidRDefault="00D1312F" w:rsidP="00094AD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8BDA26" w14:textId="4B16667F" w:rsidR="00D1312F" w:rsidRPr="00094ADA" w:rsidRDefault="00D1312F" w:rsidP="00094ADA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sz w:val="24"/>
                <w:szCs w:val="24"/>
              </w:rPr>
              <w:t>Heung Youl Youm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094ADA">
              <w:rPr>
                <w:rFonts w:asciiTheme="majorBidi" w:hAnsiTheme="majorBidi" w:cstheme="majorBidi"/>
                <w:sz w:val="24"/>
                <w:szCs w:val="24"/>
              </w:rPr>
              <w:t>Soonchunhyang</w:t>
            </w:r>
            <w:proofErr w:type="spellEnd"/>
            <w:r w:rsidRPr="00094ADA">
              <w:rPr>
                <w:rFonts w:asciiTheme="majorBidi" w:hAnsiTheme="majorBidi" w:cstheme="majorBidi"/>
                <w:sz w:val="24"/>
                <w:szCs w:val="24"/>
              </w:rPr>
              <w:t xml:space="preserve"> University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br/>
              <w:t>Korea (Republic of)</w:t>
            </w:r>
          </w:p>
        </w:tc>
        <w:tc>
          <w:tcPr>
            <w:tcW w:w="40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3CACDC" w14:textId="2D7B03B7" w:rsidR="00D1312F" w:rsidRPr="00094ADA" w:rsidRDefault="00D1312F" w:rsidP="00094ADA">
            <w:pPr>
              <w:tabs>
                <w:tab w:val="left" w:pos="794"/>
              </w:tabs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  <w:r w:rsidRPr="00094ADA">
              <w:rPr>
                <w:rFonts w:asciiTheme="majorBidi" w:hAnsiTheme="majorBidi" w:cstheme="majorBidi"/>
                <w:sz w:val="24"/>
                <w:szCs w:val="24"/>
              </w:rPr>
              <w:tab/>
            </w:r>
            <w:hyperlink r:id="rId9" w:history="1">
              <w:r w:rsidRPr="00094AD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hyyoum@sch.ac.kr</w:t>
              </w:r>
            </w:hyperlink>
            <w:r w:rsidRPr="00094A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70D76147" w14:textId="2A48AD8A" w:rsidR="00764D0E" w:rsidRPr="00094ADA" w:rsidRDefault="00764D0E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7D51AF" w:rsidRPr="00094ADA" w14:paraId="578D49EC" w14:textId="77777777" w:rsidTr="001E25FF">
        <w:trPr>
          <w:cantSplit/>
        </w:trPr>
        <w:tc>
          <w:tcPr>
            <w:tcW w:w="1588" w:type="dxa"/>
            <w:hideMark/>
          </w:tcPr>
          <w:p w14:paraId="17CED014" w14:textId="77777777" w:rsidR="007D51AF" w:rsidRPr="00094ADA" w:rsidRDefault="007D51AF" w:rsidP="00982D2C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A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051" w:type="dxa"/>
            <w:hideMark/>
          </w:tcPr>
          <w:p w14:paraId="74115240" w14:textId="76873111" w:rsidR="007D51AF" w:rsidRPr="00094ADA" w:rsidRDefault="00982D2C" w:rsidP="00DE5CE1">
            <w:pPr>
              <w:pStyle w:val="TSBHeaderSummary"/>
              <w:spacing w:line="256" w:lineRule="auto"/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094ADA">
              <w:rPr>
                <w:rFonts w:asciiTheme="majorBidi" w:hAnsiTheme="majorBidi" w:cstheme="majorBidi"/>
                <w:lang w:val="en-US"/>
              </w:rPr>
              <w:t xml:space="preserve">In May 2023, TSAG requested the Chairs of SG13 and SG17 to </w:t>
            </w:r>
            <w:r w:rsidR="00581FC6" w:rsidRPr="00094ADA">
              <w:rPr>
                <w:rFonts w:asciiTheme="majorBidi" w:hAnsiTheme="majorBidi" w:cstheme="majorBidi"/>
                <w:lang w:val="en-US"/>
              </w:rPr>
              <w:t>clarify</w:t>
            </w:r>
            <w:r w:rsidRPr="00094AD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81FC6" w:rsidRPr="00094ADA">
              <w:rPr>
                <w:rFonts w:asciiTheme="majorBidi" w:hAnsiTheme="majorBidi" w:cstheme="majorBidi"/>
                <w:lang w:val="en-US"/>
              </w:rPr>
              <w:t xml:space="preserve">the collaboration </w:t>
            </w:r>
            <w:r w:rsidRPr="00094ADA">
              <w:rPr>
                <w:rFonts w:asciiTheme="majorBidi" w:hAnsiTheme="majorBidi" w:cstheme="majorBidi"/>
                <w:lang w:val="en-US"/>
              </w:rPr>
              <w:t>related to quantum information technologies</w:t>
            </w:r>
            <w:r w:rsidR="00581FC6" w:rsidRPr="00094ADA">
              <w:rPr>
                <w:rFonts w:asciiTheme="majorBidi" w:hAnsiTheme="majorBidi" w:cstheme="majorBidi"/>
                <w:lang w:val="en-US"/>
              </w:rPr>
              <w:t xml:space="preserve"> between both Study Groups</w:t>
            </w:r>
            <w:r w:rsidRPr="00094ADA">
              <w:rPr>
                <w:rFonts w:asciiTheme="majorBidi" w:hAnsiTheme="majorBidi" w:cstheme="majorBidi"/>
                <w:lang w:val="en-US"/>
              </w:rPr>
              <w:t>.</w:t>
            </w:r>
            <w:r w:rsidR="00DE5CE1" w:rsidRPr="00094ADA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94ADA">
              <w:rPr>
                <w:rFonts w:asciiTheme="majorBidi" w:hAnsiTheme="majorBidi" w:cstheme="majorBidi"/>
                <w:lang w:val="en-US"/>
              </w:rPr>
              <w:t>This TD contains the outcome of the</w:t>
            </w:r>
            <w:r w:rsidR="00DE5CE1" w:rsidRPr="00094ADA">
              <w:rPr>
                <w:rFonts w:asciiTheme="majorBidi" w:hAnsiTheme="majorBidi" w:cstheme="majorBidi"/>
                <w:lang w:val="en-US"/>
              </w:rPr>
              <w:t xml:space="preserve"> informal</w:t>
            </w:r>
            <w:r w:rsidRPr="00094ADA">
              <w:rPr>
                <w:rFonts w:asciiTheme="majorBidi" w:hAnsiTheme="majorBidi" w:cstheme="majorBidi"/>
                <w:lang w:val="en-US"/>
              </w:rPr>
              <w:t xml:space="preserve"> consultations between both SG13 and SG17 Chairs and their corresponding agreement on </w:t>
            </w:r>
            <w:r w:rsidR="00DE5CE1" w:rsidRPr="00094ADA">
              <w:rPr>
                <w:rFonts w:asciiTheme="majorBidi" w:hAnsiTheme="majorBidi" w:cstheme="majorBidi"/>
                <w:lang w:val="en-US"/>
              </w:rPr>
              <w:t>this matter</w:t>
            </w:r>
            <w:r w:rsidRPr="00094ADA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41364639" w14:textId="6E08BD48" w:rsidR="007D51AF" w:rsidRDefault="007D51AF" w:rsidP="00DC375D">
      <w:pPr>
        <w:spacing w:after="0"/>
      </w:pPr>
    </w:p>
    <w:p w14:paraId="05D91EA6" w14:textId="2F955817" w:rsidR="00DE5CE1" w:rsidRDefault="00780AD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important to note that quantum information technologies (QITs) </w:t>
      </w:r>
      <w:r w:rsidRPr="00780AD2">
        <w:rPr>
          <w:rFonts w:asciiTheme="majorBidi" w:hAnsiTheme="majorBidi" w:cstheme="majorBidi"/>
          <w:sz w:val="24"/>
          <w:szCs w:val="24"/>
        </w:rPr>
        <w:t>cut across multiple domains</w:t>
      </w:r>
      <w:r>
        <w:rPr>
          <w:rFonts w:asciiTheme="majorBidi" w:hAnsiTheme="majorBidi" w:cstheme="majorBidi"/>
          <w:sz w:val="24"/>
          <w:szCs w:val="24"/>
        </w:rPr>
        <w:t xml:space="preserve"> thus standardization work in this area</w:t>
      </w:r>
      <w:r w:rsidR="00DE5CE1" w:rsidRPr="00780A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requires</w:t>
      </w:r>
      <w:r w:rsidR="00DE5CE1" w:rsidRPr="00780AD2">
        <w:rPr>
          <w:rFonts w:asciiTheme="majorBidi" w:hAnsiTheme="majorBidi" w:cstheme="majorBidi"/>
          <w:sz w:val="24"/>
          <w:szCs w:val="24"/>
        </w:rPr>
        <w:t xml:space="preserve"> collaboration across </w:t>
      </w:r>
      <w:r>
        <w:rPr>
          <w:rFonts w:asciiTheme="majorBidi" w:hAnsiTheme="majorBidi" w:cstheme="majorBidi"/>
          <w:sz w:val="24"/>
          <w:szCs w:val="24"/>
        </w:rPr>
        <w:t>different ITU-T</w:t>
      </w:r>
      <w:r w:rsidR="00DE5CE1" w:rsidRPr="00780AD2">
        <w:rPr>
          <w:rFonts w:asciiTheme="majorBidi" w:hAnsiTheme="majorBidi" w:cstheme="majorBidi"/>
          <w:sz w:val="24"/>
          <w:szCs w:val="24"/>
        </w:rPr>
        <w:t xml:space="preserve"> study groups.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0AD2">
        <w:rPr>
          <w:rFonts w:asciiTheme="majorBidi" w:hAnsiTheme="majorBidi" w:cstheme="majorBidi"/>
          <w:sz w:val="24"/>
          <w:szCs w:val="24"/>
        </w:rPr>
        <w:t xml:space="preserve">Within ITU-T, work related to QIT </w:t>
      </w:r>
      <w:r>
        <w:rPr>
          <w:rFonts w:asciiTheme="majorBidi" w:hAnsiTheme="majorBidi" w:cstheme="majorBidi"/>
          <w:sz w:val="24"/>
          <w:szCs w:val="24"/>
        </w:rPr>
        <w:t xml:space="preserve">has been </w:t>
      </w:r>
      <w:r w:rsidRPr="00780AD2">
        <w:rPr>
          <w:rFonts w:asciiTheme="majorBidi" w:hAnsiTheme="majorBidi" w:cstheme="majorBidi"/>
          <w:sz w:val="24"/>
          <w:szCs w:val="24"/>
        </w:rPr>
        <w:t>ongoing in:</w:t>
      </w:r>
    </w:p>
    <w:p w14:paraId="4D47D03A" w14:textId="19BA7753" w:rsidR="00780AD2" w:rsidRPr="00780AD2" w:rsidRDefault="00780AD2" w:rsidP="00780AD2">
      <w:pPr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ab/>
      </w:r>
      <w:r w:rsidRPr="00780AD2">
        <w:rPr>
          <w:rFonts w:asciiTheme="majorBidi" w:hAnsiTheme="majorBidi" w:cstheme="majorBidi"/>
          <w:sz w:val="24"/>
          <w:szCs w:val="24"/>
        </w:rPr>
        <w:t>Question 2/11 “</w:t>
      </w:r>
      <w:r w:rsidRPr="00780AD2">
        <w:rPr>
          <w:rFonts w:asciiTheme="majorBidi" w:hAnsiTheme="majorBidi" w:cstheme="majorBidi"/>
          <w:i/>
          <w:iCs/>
          <w:sz w:val="24"/>
          <w:szCs w:val="24"/>
        </w:rPr>
        <w:t>Signalling requirements and protocols for services and applications in telecommunication environments</w:t>
      </w:r>
      <w:r w:rsidRPr="00780AD2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376E">
        <w:rPr>
          <w:rFonts w:asciiTheme="majorBidi" w:hAnsiTheme="majorBidi" w:cstheme="majorBidi"/>
          <w:sz w:val="24"/>
          <w:szCs w:val="24"/>
        </w:rPr>
        <w:t>covering</w:t>
      </w:r>
      <w:r>
        <w:rPr>
          <w:rFonts w:asciiTheme="majorBidi" w:hAnsiTheme="majorBidi" w:cstheme="majorBidi"/>
          <w:sz w:val="24"/>
          <w:szCs w:val="24"/>
        </w:rPr>
        <w:t xml:space="preserve"> protocol aspects</w:t>
      </w:r>
    </w:p>
    <w:p w14:paraId="53DB2D9D" w14:textId="21807422" w:rsidR="00797C12" w:rsidRPr="00780AD2" w:rsidRDefault="00780AD2" w:rsidP="00780AD2">
      <w:pPr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ab/>
      </w:r>
      <w:r w:rsidR="00797C12" w:rsidRPr="00780AD2">
        <w:rPr>
          <w:rFonts w:asciiTheme="majorBidi" w:hAnsiTheme="majorBidi" w:cstheme="majorBidi"/>
          <w:sz w:val="24"/>
          <w:szCs w:val="24"/>
        </w:rPr>
        <w:t xml:space="preserve">Question 6/13 </w:t>
      </w:r>
      <w:r w:rsidRPr="00780AD2">
        <w:rPr>
          <w:rFonts w:asciiTheme="majorBidi" w:hAnsiTheme="majorBidi" w:cstheme="majorBidi"/>
          <w:sz w:val="24"/>
          <w:szCs w:val="24"/>
        </w:rPr>
        <w:t>“</w:t>
      </w:r>
      <w:r w:rsidR="00797C12" w:rsidRPr="00780AD2">
        <w:rPr>
          <w:rFonts w:asciiTheme="majorBidi" w:hAnsiTheme="majorBidi" w:cstheme="majorBidi"/>
          <w:i/>
          <w:iCs/>
          <w:sz w:val="24"/>
          <w:szCs w:val="24"/>
        </w:rPr>
        <w:t>Networks beyond IMT-2020: Quality of service (QoS) mechanisms</w:t>
      </w:r>
      <w:r w:rsidRPr="00780AD2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376E">
        <w:rPr>
          <w:rFonts w:asciiTheme="majorBidi" w:hAnsiTheme="majorBidi" w:cstheme="majorBidi"/>
          <w:sz w:val="24"/>
          <w:szCs w:val="24"/>
        </w:rPr>
        <w:t>covering</w:t>
      </w:r>
      <w:r>
        <w:rPr>
          <w:rFonts w:asciiTheme="majorBidi" w:hAnsiTheme="majorBidi" w:cstheme="majorBidi"/>
          <w:sz w:val="24"/>
          <w:szCs w:val="24"/>
        </w:rPr>
        <w:t xml:space="preserve"> quality of service aspects</w:t>
      </w:r>
    </w:p>
    <w:p w14:paraId="5D761D8E" w14:textId="57F4130B" w:rsidR="00797C12" w:rsidRPr="00780AD2" w:rsidRDefault="00780AD2" w:rsidP="00780AD2">
      <w:pPr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ab/>
      </w:r>
      <w:r w:rsidR="00797C12" w:rsidRPr="00780AD2">
        <w:rPr>
          <w:rFonts w:asciiTheme="majorBidi" w:hAnsiTheme="majorBidi" w:cstheme="majorBidi"/>
          <w:sz w:val="24"/>
          <w:szCs w:val="24"/>
        </w:rPr>
        <w:t xml:space="preserve">Question 16/13 </w:t>
      </w:r>
      <w:r w:rsidRPr="00780AD2">
        <w:rPr>
          <w:rFonts w:asciiTheme="majorBidi" w:hAnsiTheme="majorBidi" w:cstheme="majorBidi"/>
          <w:sz w:val="24"/>
          <w:szCs w:val="24"/>
        </w:rPr>
        <w:t>“</w:t>
      </w:r>
      <w:r w:rsidR="00797C12" w:rsidRPr="00780AD2">
        <w:rPr>
          <w:rFonts w:asciiTheme="majorBidi" w:hAnsiTheme="majorBidi" w:cstheme="majorBidi"/>
          <w:i/>
          <w:iCs/>
          <w:sz w:val="24"/>
          <w:szCs w:val="24"/>
        </w:rPr>
        <w:t>Future Networks: Trustworthy and Quantum Enhanced Networking and Services</w:t>
      </w:r>
      <w:r w:rsidRPr="00780AD2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376E">
        <w:rPr>
          <w:rFonts w:asciiTheme="majorBidi" w:hAnsiTheme="majorBidi" w:cstheme="majorBidi"/>
          <w:sz w:val="24"/>
          <w:szCs w:val="24"/>
        </w:rPr>
        <w:t>covering</w:t>
      </w:r>
      <w:r>
        <w:rPr>
          <w:rFonts w:asciiTheme="majorBidi" w:hAnsiTheme="majorBidi" w:cstheme="majorBidi"/>
          <w:sz w:val="24"/>
          <w:szCs w:val="24"/>
        </w:rPr>
        <w:t xml:space="preserve"> network aspects </w:t>
      </w:r>
    </w:p>
    <w:p w14:paraId="04AB02C1" w14:textId="4C169762" w:rsidR="00780AD2" w:rsidRPr="00780AD2" w:rsidRDefault="00780AD2" w:rsidP="007C376E">
      <w:pPr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ab/>
      </w:r>
      <w:r w:rsidRPr="00780AD2">
        <w:rPr>
          <w:rFonts w:asciiTheme="majorBidi" w:hAnsiTheme="majorBidi" w:cstheme="majorBidi"/>
          <w:sz w:val="24"/>
          <w:szCs w:val="24"/>
        </w:rPr>
        <w:t>Question 15/17 “</w:t>
      </w:r>
      <w:r w:rsidRPr="00780AD2">
        <w:rPr>
          <w:rFonts w:asciiTheme="majorBidi" w:hAnsiTheme="majorBidi" w:cstheme="majorBidi"/>
          <w:i/>
          <w:iCs/>
          <w:sz w:val="24"/>
          <w:szCs w:val="24"/>
        </w:rPr>
        <w:t>Security for/by emerging technologies including quantum-based security</w:t>
      </w:r>
      <w:r w:rsidRPr="00780AD2">
        <w:rPr>
          <w:rFonts w:asciiTheme="majorBidi" w:hAnsiTheme="majorBidi" w:cstheme="majorBidi"/>
          <w:sz w:val="24"/>
          <w:szCs w:val="24"/>
        </w:rPr>
        <w:t>”</w:t>
      </w:r>
      <w:r w:rsidR="007C376E">
        <w:rPr>
          <w:rFonts w:asciiTheme="majorBidi" w:hAnsiTheme="majorBidi" w:cstheme="majorBidi"/>
          <w:sz w:val="24"/>
          <w:szCs w:val="24"/>
        </w:rPr>
        <w:t xml:space="preserve"> covering security aspects</w:t>
      </w:r>
    </w:p>
    <w:p w14:paraId="65CD0E12" w14:textId="70AB19B3" w:rsidR="007C376E" w:rsidRDefault="007C376E" w:rsidP="00DC375D">
      <w:pPr>
        <w:spacing w:after="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 respect to the work of </w:t>
      </w:r>
      <w:r w:rsidRPr="00780AD2">
        <w:rPr>
          <w:rFonts w:asciiTheme="majorBidi" w:hAnsiTheme="majorBidi" w:cstheme="majorBidi"/>
          <w:sz w:val="24"/>
          <w:szCs w:val="24"/>
        </w:rPr>
        <w:t>Study Group</w:t>
      </w:r>
      <w:r>
        <w:rPr>
          <w:rFonts w:asciiTheme="majorBidi" w:hAnsiTheme="majorBidi" w:cstheme="majorBidi"/>
          <w:sz w:val="24"/>
          <w:szCs w:val="24"/>
        </w:rPr>
        <w:t>s</w:t>
      </w:r>
      <w:r w:rsidRPr="00780AD2">
        <w:rPr>
          <w:rFonts w:asciiTheme="majorBidi" w:hAnsiTheme="majorBidi" w:cstheme="majorBidi"/>
          <w:sz w:val="24"/>
          <w:szCs w:val="24"/>
        </w:rPr>
        <w:t xml:space="preserve"> </w:t>
      </w:r>
      <w:r w:rsidR="00797C12" w:rsidRPr="007C376E">
        <w:rPr>
          <w:rFonts w:asciiTheme="majorBidi" w:hAnsiTheme="majorBidi" w:cstheme="majorBidi"/>
          <w:sz w:val="24"/>
          <w:szCs w:val="24"/>
        </w:rPr>
        <w:t xml:space="preserve">13 </w:t>
      </w:r>
      <w:r>
        <w:rPr>
          <w:rFonts w:asciiTheme="majorBidi" w:hAnsiTheme="majorBidi" w:cstheme="majorBidi"/>
          <w:sz w:val="24"/>
          <w:szCs w:val="24"/>
        </w:rPr>
        <w:t xml:space="preserve">and 17 on QIT, </w:t>
      </w:r>
      <w:r w:rsidR="00DC375D">
        <w:rPr>
          <w:rFonts w:asciiTheme="majorBidi" w:hAnsiTheme="majorBidi" w:cstheme="majorBidi"/>
          <w:sz w:val="24"/>
          <w:szCs w:val="24"/>
        </w:rPr>
        <w:t>it is noted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375D">
        <w:rPr>
          <w:rFonts w:asciiTheme="majorBidi" w:hAnsiTheme="majorBidi" w:cstheme="majorBidi"/>
          <w:sz w:val="24"/>
          <w:szCs w:val="24"/>
        </w:rPr>
        <w:t xml:space="preserve">the focus of work has aligned (and continues to align) to a clear demarcation i.e., </w:t>
      </w:r>
      <w:r w:rsidR="00DC375D" w:rsidRPr="00DC375D">
        <w:rPr>
          <w:rFonts w:asciiTheme="majorBidi" w:hAnsiTheme="majorBidi" w:cstheme="majorBidi"/>
          <w:sz w:val="24"/>
          <w:szCs w:val="24"/>
        </w:rPr>
        <w:t xml:space="preserve">SG17 addressing security aspects of </w:t>
      </w:r>
      <w:r w:rsidR="00DC375D">
        <w:rPr>
          <w:rFonts w:asciiTheme="majorBidi" w:hAnsiTheme="majorBidi" w:cstheme="majorBidi"/>
          <w:sz w:val="24"/>
          <w:szCs w:val="24"/>
        </w:rPr>
        <w:t>QIT-</w:t>
      </w:r>
      <w:r w:rsidR="00DC375D" w:rsidRPr="00DC375D">
        <w:rPr>
          <w:rFonts w:asciiTheme="majorBidi" w:hAnsiTheme="majorBidi" w:cstheme="majorBidi"/>
          <w:sz w:val="24"/>
          <w:szCs w:val="24"/>
        </w:rPr>
        <w:t>related work</w:t>
      </w:r>
      <w:r w:rsidR="00DC375D">
        <w:rPr>
          <w:rFonts w:asciiTheme="majorBidi" w:hAnsiTheme="majorBidi" w:cstheme="majorBidi"/>
          <w:sz w:val="24"/>
          <w:szCs w:val="24"/>
        </w:rPr>
        <w:t xml:space="preserve"> and SG13 addressing the </w:t>
      </w:r>
      <w:r w:rsidR="00DC375D" w:rsidRPr="00DC375D">
        <w:rPr>
          <w:rFonts w:asciiTheme="majorBidi" w:hAnsiTheme="majorBidi" w:cstheme="majorBidi"/>
          <w:sz w:val="24"/>
          <w:szCs w:val="24"/>
        </w:rPr>
        <w:t xml:space="preserve">network </w:t>
      </w:r>
      <w:r w:rsidR="00D303B0">
        <w:rPr>
          <w:rFonts w:asciiTheme="majorBidi" w:hAnsiTheme="majorBidi" w:cstheme="majorBidi"/>
          <w:sz w:val="24"/>
          <w:szCs w:val="24"/>
        </w:rPr>
        <w:t xml:space="preserve">and QoS </w:t>
      </w:r>
      <w:r w:rsidR="00DC375D" w:rsidRPr="00DC375D">
        <w:rPr>
          <w:rFonts w:asciiTheme="majorBidi" w:hAnsiTheme="majorBidi" w:cstheme="majorBidi"/>
          <w:sz w:val="24"/>
          <w:szCs w:val="24"/>
        </w:rPr>
        <w:t>aspect</w:t>
      </w:r>
      <w:r w:rsidR="00DC375D">
        <w:rPr>
          <w:rFonts w:asciiTheme="majorBidi" w:hAnsiTheme="majorBidi" w:cstheme="majorBidi"/>
          <w:sz w:val="24"/>
          <w:szCs w:val="24"/>
        </w:rPr>
        <w:t xml:space="preserve">s, as illustrated in </w:t>
      </w:r>
      <w:r>
        <w:rPr>
          <w:rFonts w:asciiTheme="majorBidi" w:hAnsiTheme="majorBidi" w:cstheme="majorBidi"/>
          <w:sz w:val="24"/>
          <w:szCs w:val="24"/>
        </w:rPr>
        <w:t xml:space="preserve">Figures 2 and 3 of </w:t>
      </w:r>
      <w:r w:rsidRPr="007C376E">
        <w:rPr>
          <w:rFonts w:asciiTheme="majorBidi" w:hAnsiTheme="majorBidi" w:cstheme="majorBidi"/>
          <w:sz w:val="24"/>
          <w:szCs w:val="24"/>
        </w:rPr>
        <w:t>Y Suppl. 74</w:t>
      </w:r>
      <w:r>
        <w:rPr>
          <w:rFonts w:asciiTheme="majorBidi" w:hAnsiTheme="majorBidi" w:cstheme="majorBidi"/>
          <w:sz w:val="24"/>
          <w:szCs w:val="24"/>
        </w:rPr>
        <w:t xml:space="preserve"> “</w:t>
      </w:r>
      <w:r w:rsidR="00DC375D" w:rsidRPr="00DC375D">
        <w:rPr>
          <w:rFonts w:asciiTheme="majorBidi" w:hAnsiTheme="majorBidi" w:cstheme="majorBidi"/>
          <w:i/>
          <w:iCs/>
          <w:sz w:val="24"/>
          <w:szCs w:val="24"/>
        </w:rPr>
        <w:t>ITU-T Y.3800-series Standardization roadmap on quantum key distribution networks</w:t>
      </w:r>
      <w:r>
        <w:rPr>
          <w:rFonts w:asciiTheme="majorBidi" w:hAnsiTheme="majorBidi" w:cstheme="majorBidi"/>
          <w:sz w:val="24"/>
          <w:szCs w:val="24"/>
        </w:rPr>
        <w:t>”</w:t>
      </w:r>
      <w:r w:rsidR="00DC375D">
        <w:rPr>
          <w:rFonts w:asciiTheme="majorBidi" w:hAnsiTheme="majorBidi" w:cstheme="majorBidi"/>
          <w:sz w:val="24"/>
          <w:szCs w:val="24"/>
        </w:rPr>
        <w:t>:</w:t>
      </w:r>
    </w:p>
    <w:p w14:paraId="2C5B6143" w14:textId="77777777" w:rsidR="00DC375D" w:rsidRDefault="00DC375D" w:rsidP="00DC375D">
      <w:pPr>
        <w:keepNext/>
        <w:jc w:val="center"/>
      </w:pPr>
      <w:r w:rsidRPr="00C76031">
        <w:rPr>
          <w:noProof/>
        </w:rPr>
        <w:lastRenderedPageBreak/>
        <w:drawing>
          <wp:inline distT="0" distB="0" distL="0" distR="0" wp14:anchorId="23516DDD" wp14:editId="65E0AE05">
            <wp:extent cx="5508393" cy="2769627"/>
            <wp:effectExtent l="0" t="0" r="0" b="0"/>
            <wp:docPr id="1581145833" name="图片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45833" name="图片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07" cy="28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11AE" w14:textId="536ABA08" w:rsidR="007C376E" w:rsidRPr="00DC375D" w:rsidRDefault="000A493B" w:rsidP="00DC375D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1 </w:t>
      </w:r>
      <w:r w:rsidR="00B76B5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- </w:t>
      </w:r>
      <w:r w:rsidR="00DC375D" w:rsidRPr="00DC375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QKDN standardization landscape in ITU-T SG13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(from Figure 2 of </w:t>
      </w:r>
      <w:r w:rsidRPr="00DC375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Y Suppl. 74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)</w:t>
      </w:r>
    </w:p>
    <w:p w14:paraId="72980490" w14:textId="68DD30C5" w:rsidR="007C376E" w:rsidRDefault="00DC375D" w:rsidP="00DC375D">
      <w:pPr>
        <w:jc w:val="center"/>
        <w:rPr>
          <w:rFonts w:asciiTheme="majorBidi" w:hAnsiTheme="majorBidi" w:cstheme="majorBidi"/>
          <w:sz w:val="24"/>
          <w:szCs w:val="24"/>
        </w:rPr>
      </w:pPr>
      <w:r w:rsidRPr="00C76031">
        <w:rPr>
          <w:noProof/>
        </w:rPr>
        <w:drawing>
          <wp:inline distT="0" distB="0" distL="0" distR="0" wp14:anchorId="08A4E92F" wp14:editId="39926DF7">
            <wp:extent cx="4573174" cy="2626918"/>
            <wp:effectExtent l="0" t="0" r="0" b="0"/>
            <wp:docPr id="1508762709" name="图片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62709" name="图片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20" cy="26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8454" w14:textId="689A70A4" w:rsidR="00DC375D" w:rsidRPr="00DC375D" w:rsidRDefault="000A493B" w:rsidP="00DC375D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Figure 2 </w:t>
      </w:r>
      <w:r w:rsidR="00B76B56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- </w:t>
      </w:r>
      <w:r w:rsidR="00DC375D" w:rsidRPr="00DC375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QKDN standardization work items in SG17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(from Figure </w:t>
      </w:r>
      <w:r w:rsidR="0061307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 of </w:t>
      </w:r>
      <w:r w:rsidRPr="00DC375D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Y Suppl. 74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)</w:t>
      </w:r>
    </w:p>
    <w:p w14:paraId="24BBB753" w14:textId="206759EE" w:rsidR="007C376E" w:rsidRDefault="00DC375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C376E">
        <w:rPr>
          <w:rFonts w:asciiTheme="majorBidi" w:hAnsiTheme="majorBidi" w:cstheme="majorBidi"/>
          <w:sz w:val="24"/>
          <w:szCs w:val="24"/>
        </w:rPr>
        <w:t>here has been active collaboration between both groups evidenced by the</w:t>
      </w:r>
      <w:r>
        <w:rPr>
          <w:rFonts w:asciiTheme="majorBidi" w:hAnsiTheme="majorBidi" w:cstheme="majorBidi"/>
          <w:sz w:val="24"/>
          <w:szCs w:val="24"/>
        </w:rPr>
        <w:t xml:space="preserve"> active and</w:t>
      </w:r>
      <w:r w:rsidR="007C376E">
        <w:rPr>
          <w:rFonts w:asciiTheme="majorBidi" w:hAnsiTheme="majorBidi" w:cstheme="majorBidi"/>
          <w:sz w:val="24"/>
          <w:szCs w:val="24"/>
        </w:rPr>
        <w:t xml:space="preserve"> continued liaison information exchange </w:t>
      </w:r>
      <w:r>
        <w:rPr>
          <w:rFonts w:asciiTheme="majorBidi" w:hAnsiTheme="majorBidi" w:cstheme="majorBidi"/>
          <w:sz w:val="24"/>
          <w:szCs w:val="24"/>
        </w:rPr>
        <w:t>reporting</w:t>
      </w:r>
      <w:r w:rsidR="007C376E">
        <w:rPr>
          <w:rFonts w:asciiTheme="majorBidi" w:hAnsiTheme="majorBidi" w:cstheme="majorBidi"/>
          <w:sz w:val="24"/>
          <w:szCs w:val="24"/>
        </w:rPr>
        <w:t xml:space="preserve"> on their work progress and planned work</w:t>
      </w:r>
      <w:r>
        <w:rPr>
          <w:rFonts w:asciiTheme="majorBidi" w:hAnsiTheme="majorBidi" w:cstheme="majorBidi"/>
          <w:sz w:val="24"/>
          <w:szCs w:val="24"/>
        </w:rPr>
        <w:t xml:space="preserve"> on QITs</w:t>
      </w:r>
      <w:r w:rsidR="007C376E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92B881" w14:textId="62B35BC8" w:rsidR="00D03F6B" w:rsidRPr="00D03F6B" w:rsidRDefault="00D03F6B" w:rsidP="00D03F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QIT-related work has largely focused on QKDN, it is worth noting that </w:t>
      </w:r>
      <w:r w:rsidRPr="00D03F6B">
        <w:rPr>
          <w:rFonts w:asciiTheme="majorBidi" w:hAnsiTheme="majorBidi" w:cstheme="majorBidi"/>
          <w:sz w:val="24"/>
          <w:szCs w:val="24"/>
        </w:rPr>
        <w:t xml:space="preserve">SG13 </w:t>
      </w:r>
      <w:r>
        <w:rPr>
          <w:rFonts w:asciiTheme="majorBidi" w:hAnsiTheme="majorBidi" w:cstheme="majorBidi"/>
          <w:sz w:val="24"/>
          <w:szCs w:val="24"/>
        </w:rPr>
        <w:t>has begun</w:t>
      </w:r>
      <w:r w:rsidRPr="00D03F6B">
        <w:rPr>
          <w:rFonts w:asciiTheme="majorBidi" w:hAnsiTheme="majorBidi" w:cstheme="majorBidi"/>
          <w:sz w:val="24"/>
          <w:szCs w:val="24"/>
        </w:rPr>
        <w:t xml:space="preserve"> to survey studies o</w:t>
      </w:r>
      <w:r>
        <w:rPr>
          <w:rFonts w:asciiTheme="majorBidi" w:hAnsiTheme="majorBidi" w:cstheme="majorBidi"/>
          <w:sz w:val="24"/>
          <w:szCs w:val="24"/>
        </w:rPr>
        <w:t>n</w:t>
      </w:r>
      <w:r w:rsidRPr="00D03F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</w:t>
      </w:r>
      <w:r w:rsidRPr="00D03F6B">
        <w:rPr>
          <w:rFonts w:asciiTheme="majorBidi" w:hAnsiTheme="majorBidi" w:cstheme="majorBidi"/>
          <w:sz w:val="24"/>
          <w:szCs w:val="24"/>
        </w:rPr>
        <w:t>uantum network</w:t>
      </w:r>
      <w:r>
        <w:rPr>
          <w:rFonts w:asciiTheme="majorBidi" w:hAnsiTheme="majorBidi" w:cstheme="majorBidi"/>
          <w:sz w:val="24"/>
          <w:szCs w:val="24"/>
        </w:rPr>
        <w:t>s</w:t>
      </w:r>
      <w:r w:rsidRPr="00D03F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D03F6B">
        <w:rPr>
          <w:rFonts w:asciiTheme="majorBidi" w:hAnsiTheme="majorBidi" w:cstheme="majorBidi"/>
          <w:sz w:val="24"/>
          <w:szCs w:val="24"/>
        </w:rPr>
        <w:t xml:space="preserve"> preparation to initiate new work items </w:t>
      </w:r>
      <w:r>
        <w:rPr>
          <w:rFonts w:asciiTheme="majorBidi" w:hAnsiTheme="majorBidi" w:cstheme="majorBidi"/>
          <w:sz w:val="24"/>
          <w:szCs w:val="24"/>
        </w:rPr>
        <w:t xml:space="preserve">on this area </w:t>
      </w:r>
      <w:r w:rsidRPr="00D03F6B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03F6B">
        <w:rPr>
          <w:rFonts w:asciiTheme="majorBidi" w:hAnsiTheme="majorBidi" w:cstheme="majorBidi"/>
          <w:sz w:val="24"/>
          <w:szCs w:val="24"/>
        </w:rPr>
        <w:t>next Study period.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D03F6B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re is also ongoing discussion towards the consideration</w:t>
      </w:r>
      <w:r w:rsidRPr="00D03F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the </w:t>
      </w:r>
      <w:r w:rsidRPr="00D03F6B">
        <w:rPr>
          <w:rFonts w:asciiTheme="majorBidi" w:hAnsiTheme="majorBidi" w:cstheme="majorBidi"/>
          <w:sz w:val="24"/>
          <w:szCs w:val="24"/>
        </w:rPr>
        <w:t>establishment of a new Question</w:t>
      </w:r>
      <w:r>
        <w:rPr>
          <w:rFonts w:asciiTheme="majorBidi" w:hAnsiTheme="majorBidi" w:cstheme="majorBidi"/>
          <w:sz w:val="24"/>
          <w:szCs w:val="24"/>
        </w:rPr>
        <w:t xml:space="preserve"> in SG13 covering</w:t>
      </w:r>
      <w:r w:rsidRPr="00D03F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</w:t>
      </w:r>
      <w:r w:rsidRPr="00D03F6B">
        <w:rPr>
          <w:rFonts w:asciiTheme="majorBidi" w:hAnsiTheme="majorBidi" w:cstheme="majorBidi"/>
          <w:sz w:val="24"/>
          <w:szCs w:val="24"/>
        </w:rPr>
        <w:t>uantum network</w:t>
      </w:r>
      <w:r>
        <w:rPr>
          <w:rFonts w:asciiTheme="majorBidi" w:hAnsiTheme="majorBidi" w:cstheme="majorBidi"/>
          <w:sz w:val="24"/>
          <w:szCs w:val="24"/>
        </w:rPr>
        <w:t xml:space="preserve">s in the </w:t>
      </w:r>
      <w:r w:rsidRPr="00D03F6B">
        <w:rPr>
          <w:rFonts w:asciiTheme="majorBidi" w:hAnsiTheme="majorBidi" w:cstheme="majorBidi"/>
          <w:sz w:val="24"/>
          <w:szCs w:val="24"/>
        </w:rPr>
        <w:t xml:space="preserve">next Study period. </w:t>
      </w:r>
    </w:p>
    <w:p w14:paraId="06D5D60C" w14:textId="6A7FDA49" w:rsidR="00D1312F" w:rsidRDefault="00D03F6B" w:rsidP="00D03F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Given the excellent </w:t>
      </w:r>
      <w:r w:rsidR="00D1312F">
        <w:rPr>
          <w:rFonts w:asciiTheme="majorBidi" w:hAnsiTheme="majorBidi" w:cstheme="majorBidi"/>
          <w:sz w:val="24"/>
          <w:szCs w:val="24"/>
        </w:rPr>
        <w:t>ongoing collaboration</w:t>
      </w:r>
      <w:r>
        <w:rPr>
          <w:rFonts w:asciiTheme="majorBidi" w:hAnsiTheme="majorBidi" w:cstheme="majorBidi"/>
          <w:sz w:val="24"/>
          <w:szCs w:val="24"/>
        </w:rPr>
        <w:t xml:space="preserve"> between SG13 and SG17 on QITs, both Chairs </w:t>
      </w:r>
      <w:r w:rsidR="00D1312F">
        <w:rPr>
          <w:rFonts w:asciiTheme="majorBidi" w:hAnsiTheme="majorBidi" w:cstheme="majorBidi"/>
          <w:sz w:val="24"/>
          <w:szCs w:val="24"/>
        </w:rPr>
        <w:t>agree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D03F6B">
        <w:rPr>
          <w:rFonts w:asciiTheme="majorBidi" w:hAnsiTheme="majorBidi" w:cstheme="majorBidi"/>
          <w:sz w:val="24"/>
          <w:szCs w:val="24"/>
        </w:rPr>
        <w:t>QIT standardization</w:t>
      </w:r>
      <w:r>
        <w:rPr>
          <w:rFonts w:asciiTheme="majorBidi" w:hAnsiTheme="majorBidi" w:cstheme="majorBidi"/>
          <w:sz w:val="24"/>
          <w:szCs w:val="24"/>
        </w:rPr>
        <w:t xml:space="preserve"> work to continue being driven</w:t>
      </w:r>
      <w:r w:rsidR="00D1312F">
        <w:rPr>
          <w:rFonts w:asciiTheme="majorBidi" w:hAnsiTheme="majorBidi" w:cstheme="majorBidi"/>
          <w:sz w:val="24"/>
          <w:szCs w:val="24"/>
        </w:rPr>
        <w:t xml:space="preserve"> with the current demarcation i.e., in SG13 on</w:t>
      </w:r>
      <w:r w:rsidR="00D1312F" w:rsidRPr="00D03F6B">
        <w:rPr>
          <w:rFonts w:asciiTheme="majorBidi" w:hAnsiTheme="majorBidi" w:cstheme="majorBidi"/>
          <w:sz w:val="24"/>
          <w:szCs w:val="24"/>
        </w:rPr>
        <w:t xml:space="preserve"> networking</w:t>
      </w:r>
      <w:r w:rsidR="00D1312F">
        <w:rPr>
          <w:rFonts w:asciiTheme="majorBidi" w:hAnsiTheme="majorBidi" w:cstheme="majorBidi"/>
          <w:sz w:val="24"/>
          <w:szCs w:val="24"/>
        </w:rPr>
        <w:t xml:space="preserve"> aspects and in SG17 on the security aspects </w:t>
      </w:r>
      <w:r w:rsidR="00F41B1D">
        <w:rPr>
          <w:rFonts w:asciiTheme="majorBidi" w:hAnsiTheme="majorBidi" w:cstheme="majorBidi"/>
          <w:sz w:val="24"/>
          <w:szCs w:val="24"/>
        </w:rPr>
        <w:t xml:space="preserve">(as lead study group of security) </w:t>
      </w:r>
      <w:r w:rsidR="00D1312F" w:rsidRPr="00D1312F">
        <w:rPr>
          <w:rFonts w:asciiTheme="majorBidi" w:hAnsiTheme="majorBidi" w:cstheme="majorBidi"/>
          <w:sz w:val="24"/>
          <w:szCs w:val="24"/>
        </w:rPr>
        <w:t xml:space="preserve">with </w:t>
      </w:r>
      <w:r w:rsidR="00D1312F">
        <w:rPr>
          <w:rFonts w:asciiTheme="majorBidi" w:hAnsiTheme="majorBidi" w:cstheme="majorBidi"/>
          <w:sz w:val="24"/>
          <w:szCs w:val="24"/>
        </w:rPr>
        <w:t>continued</w:t>
      </w:r>
      <w:r w:rsidR="00D1312F" w:rsidRPr="00D1312F">
        <w:rPr>
          <w:rFonts w:asciiTheme="majorBidi" w:hAnsiTheme="majorBidi" w:cstheme="majorBidi"/>
          <w:sz w:val="24"/>
          <w:szCs w:val="24"/>
        </w:rPr>
        <w:t xml:space="preserve"> </w:t>
      </w:r>
      <w:r w:rsidR="00D1312F">
        <w:rPr>
          <w:rFonts w:asciiTheme="majorBidi" w:hAnsiTheme="majorBidi" w:cstheme="majorBidi"/>
          <w:sz w:val="24"/>
          <w:szCs w:val="24"/>
        </w:rPr>
        <w:t>liaison exchanges to ensure both groups are well informed on the ongoing activities related to QIT.</w:t>
      </w:r>
    </w:p>
    <w:p w14:paraId="33A0E441" w14:textId="7C17D491" w:rsidR="00797C12" w:rsidRPr="00094ADA" w:rsidRDefault="00094ADA" w:rsidP="00C61440">
      <w:pPr>
        <w:jc w:val="center"/>
        <w:rPr>
          <w:rFonts w:asciiTheme="majorBidi" w:hAnsiTheme="majorBidi" w:cstheme="majorBidi"/>
          <w:sz w:val="16"/>
          <w:szCs w:val="16"/>
        </w:rPr>
      </w:pPr>
      <w:r>
        <w:rPr>
          <w:sz w:val="16"/>
          <w:szCs w:val="16"/>
        </w:rPr>
        <w:t>_________________________</w:t>
      </w:r>
    </w:p>
    <w:sectPr w:rsidR="00797C12" w:rsidRPr="00094ADA" w:rsidSect="00980C01">
      <w:headerReference w:type="default" r:id="rId12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CCB5" w14:textId="77777777" w:rsidR="00B83028" w:rsidRDefault="00B83028" w:rsidP="007D51AF">
      <w:pPr>
        <w:spacing w:after="0" w:line="240" w:lineRule="auto"/>
      </w:pPr>
      <w:r>
        <w:separator/>
      </w:r>
    </w:p>
  </w:endnote>
  <w:endnote w:type="continuationSeparator" w:id="0">
    <w:p w14:paraId="072A2823" w14:textId="77777777" w:rsidR="00B83028" w:rsidRDefault="00B83028" w:rsidP="007D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7C8" w14:textId="77777777" w:rsidR="00B83028" w:rsidRDefault="00B83028" w:rsidP="007D51AF">
      <w:pPr>
        <w:spacing w:after="0" w:line="240" w:lineRule="auto"/>
      </w:pPr>
      <w:r>
        <w:separator/>
      </w:r>
    </w:p>
  </w:footnote>
  <w:footnote w:type="continuationSeparator" w:id="0">
    <w:p w14:paraId="135FDDD7" w14:textId="77777777" w:rsidR="00B83028" w:rsidRDefault="00B83028" w:rsidP="007D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462" w14:textId="3534FBFE" w:rsidR="007D51AF" w:rsidRPr="00D1312F" w:rsidRDefault="00D1312F" w:rsidP="00D1312F">
    <w:pPr>
      <w:pStyle w:val="Header"/>
      <w:jc w:val="center"/>
      <w:rPr>
        <w:rFonts w:ascii="Times New Roman" w:hAnsi="Times New Roman" w:cs="Times New Roman"/>
        <w:sz w:val="18"/>
      </w:rPr>
    </w:pPr>
    <w:r w:rsidRPr="00D1312F">
      <w:rPr>
        <w:rFonts w:ascii="Times New Roman" w:hAnsi="Times New Roman" w:cs="Times New Roman"/>
        <w:sz w:val="18"/>
      </w:rPr>
      <w:t xml:space="preserve">- </w:t>
    </w:r>
    <w:r w:rsidRPr="00D1312F">
      <w:rPr>
        <w:rFonts w:ascii="Times New Roman" w:hAnsi="Times New Roman" w:cs="Times New Roman"/>
        <w:sz w:val="18"/>
      </w:rPr>
      <w:fldChar w:fldCharType="begin"/>
    </w:r>
    <w:r w:rsidRPr="00D1312F">
      <w:rPr>
        <w:rFonts w:ascii="Times New Roman" w:hAnsi="Times New Roman" w:cs="Times New Roman"/>
        <w:sz w:val="18"/>
      </w:rPr>
      <w:instrText xml:space="preserve"> PAGE  \* MERGEFORMAT </w:instrText>
    </w:r>
    <w:r w:rsidRPr="00D1312F">
      <w:rPr>
        <w:rFonts w:ascii="Times New Roman" w:hAnsi="Times New Roman" w:cs="Times New Roman"/>
        <w:sz w:val="18"/>
      </w:rPr>
      <w:fldChar w:fldCharType="separate"/>
    </w:r>
    <w:r w:rsidRPr="00D1312F">
      <w:rPr>
        <w:rFonts w:ascii="Times New Roman" w:hAnsi="Times New Roman" w:cs="Times New Roman"/>
        <w:noProof/>
        <w:sz w:val="18"/>
      </w:rPr>
      <w:t>1</w:t>
    </w:r>
    <w:r w:rsidRPr="00D1312F">
      <w:rPr>
        <w:rFonts w:ascii="Times New Roman" w:hAnsi="Times New Roman" w:cs="Times New Roman"/>
        <w:sz w:val="18"/>
      </w:rPr>
      <w:fldChar w:fldCharType="end"/>
    </w:r>
    <w:r w:rsidRPr="00D1312F">
      <w:rPr>
        <w:rFonts w:ascii="Times New Roman" w:hAnsi="Times New Roman" w:cs="Times New Roman"/>
        <w:sz w:val="18"/>
      </w:rPr>
      <w:t xml:space="preserve"> -</w:t>
    </w:r>
  </w:p>
  <w:p w14:paraId="4CB408A1" w14:textId="3E95BD64" w:rsidR="00D1312F" w:rsidRPr="00D1312F" w:rsidRDefault="00D1312F" w:rsidP="00D1312F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D1312F">
      <w:rPr>
        <w:rFonts w:ascii="Times New Roman" w:hAnsi="Times New Roman" w:cs="Times New Roman"/>
        <w:sz w:val="18"/>
      </w:rPr>
      <w:fldChar w:fldCharType="begin"/>
    </w:r>
    <w:r w:rsidRPr="00D1312F">
      <w:rPr>
        <w:rFonts w:ascii="Times New Roman" w:hAnsi="Times New Roman" w:cs="Times New Roman"/>
        <w:sz w:val="18"/>
      </w:rPr>
      <w:instrText xml:space="preserve"> STYLEREF  Docnumber  </w:instrText>
    </w:r>
    <w:r w:rsidRPr="00D1312F">
      <w:rPr>
        <w:rFonts w:ascii="Times New Roman" w:hAnsi="Times New Roman" w:cs="Times New Roman"/>
        <w:sz w:val="18"/>
      </w:rPr>
      <w:fldChar w:fldCharType="separate"/>
    </w:r>
    <w:r w:rsidR="006C4A65">
      <w:rPr>
        <w:rFonts w:ascii="Times New Roman" w:hAnsi="Times New Roman" w:cs="Times New Roman"/>
        <w:noProof/>
        <w:sz w:val="18"/>
      </w:rPr>
      <w:t>TSAG-TD476</w:t>
    </w:r>
    <w:r w:rsidRPr="00D1312F">
      <w:rPr>
        <w:rFonts w:ascii="Times New Roman" w:hAnsi="Times New Roman" w:cs="Times New Roman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AF"/>
    <w:rsid w:val="00094ADA"/>
    <w:rsid w:val="000A493B"/>
    <w:rsid w:val="000F0631"/>
    <w:rsid w:val="001462FA"/>
    <w:rsid w:val="001A0DBA"/>
    <w:rsid w:val="001C16E9"/>
    <w:rsid w:val="00261058"/>
    <w:rsid w:val="0028353D"/>
    <w:rsid w:val="002F2FE2"/>
    <w:rsid w:val="003F04D4"/>
    <w:rsid w:val="00581FC6"/>
    <w:rsid w:val="00595B05"/>
    <w:rsid w:val="005B34B0"/>
    <w:rsid w:val="0061307D"/>
    <w:rsid w:val="006C085F"/>
    <w:rsid w:val="006C4A65"/>
    <w:rsid w:val="00716C86"/>
    <w:rsid w:val="00764D0E"/>
    <w:rsid w:val="00780AD2"/>
    <w:rsid w:val="007870D8"/>
    <w:rsid w:val="00797C12"/>
    <w:rsid w:val="007C376E"/>
    <w:rsid w:val="007D51AF"/>
    <w:rsid w:val="008005BC"/>
    <w:rsid w:val="00845A37"/>
    <w:rsid w:val="008C6CDA"/>
    <w:rsid w:val="00964007"/>
    <w:rsid w:val="00980C01"/>
    <w:rsid w:val="00982D2C"/>
    <w:rsid w:val="00A73F43"/>
    <w:rsid w:val="00A85BB8"/>
    <w:rsid w:val="00B32090"/>
    <w:rsid w:val="00B65AF9"/>
    <w:rsid w:val="00B76B56"/>
    <w:rsid w:val="00B83028"/>
    <w:rsid w:val="00B84299"/>
    <w:rsid w:val="00C61440"/>
    <w:rsid w:val="00C659DD"/>
    <w:rsid w:val="00C8422D"/>
    <w:rsid w:val="00D03F6B"/>
    <w:rsid w:val="00D1312F"/>
    <w:rsid w:val="00D303B0"/>
    <w:rsid w:val="00D54A60"/>
    <w:rsid w:val="00D76DD4"/>
    <w:rsid w:val="00D937DC"/>
    <w:rsid w:val="00DB3198"/>
    <w:rsid w:val="00DC375D"/>
    <w:rsid w:val="00DE5CE1"/>
    <w:rsid w:val="00E52728"/>
    <w:rsid w:val="00F205DD"/>
    <w:rsid w:val="00F41B1D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147C"/>
  <w15:chartTrackingRefBased/>
  <w15:docId w15:val="{DEB157E5-9A60-453E-8272-5E903C4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AF"/>
  </w:style>
  <w:style w:type="paragraph" w:styleId="Footer">
    <w:name w:val="footer"/>
    <w:basedOn w:val="Normal"/>
    <w:link w:val="FooterChar"/>
    <w:uiPriority w:val="99"/>
    <w:unhideWhenUsed/>
    <w:rsid w:val="007D5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AF"/>
  </w:style>
  <w:style w:type="paragraph" w:customStyle="1" w:styleId="Docnumber">
    <w:name w:val="Docnumber"/>
    <w:basedOn w:val="Normal"/>
    <w:link w:val="DocnumberChar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40"/>
      <w:szCs w:val="20"/>
    </w:rPr>
  </w:style>
  <w:style w:type="character" w:customStyle="1" w:styleId="DocnumberChar">
    <w:name w:val="Docnumber Char"/>
    <w:basedOn w:val="DefaultParagraphFont"/>
    <w:link w:val="Docnumber"/>
    <w:rsid w:val="007D51AF"/>
    <w:rPr>
      <w:rFonts w:ascii="Times New Roman" w:eastAsia="Times New Roman" w:hAnsi="Times New Roman" w:cs="Times New Roman"/>
      <w:b/>
      <w:bCs/>
      <w:kern w:val="0"/>
      <w:sz w:val="40"/>
      <w:szCs w:val="20"/>
    </w:rPr>
  </w:style>
  <w:style w:type="paragraph" w:customStyle="1" w:styleId="TSBHeaderQuestion">
    <w:name w:val="TSBHeaderQuestion"/>
    <w:basedOn w:val="Normal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SBHeaderSource">
    <w:name w:val="TSBHeaderSource"/>
    <w:basedOn w:val="Normal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SBHeaderTitle">
    <w:name w:val="TSBHeaderTitle"/>
    <w:basedOn w:val="Normal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SBHeaderRight14">
    <w:name w:val="TSBHeaderRight14"/>
    <w:basedOn w:val="Normal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VenueDate">
    <w:name w:val="VenueDate"/>
    <w:basedOn w:val="Normal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SBHeaderSummary">
    <w:name w:val="TSBHeaderSummary"/>
    <w:basedOn w:val="Normal"/>
    <w:rsid w:val="007D51AF"/>
    <w:pPr>
      <w:spacing w:before="120" w:after="0" w:line="240" w:lineRule="auto"/>
    </w:pPr>
    <w:rPr>
      <w:rFonts w:ascii="Times New Roman" w:hAnsi="Times New Roman" w:cs="Times New Roman"/>
      <w:kern w:val="0"/>
      <w:sz w:val="24"/>
      <w:szCs w:val="24"/>
      <w:lang w:eastAsia="ja-JP"/>
    </w:rPr>
  </w:style>
  <w:style w:type="paragraph" w:customStyle="1" w:styleId="enumlev1">
    <w:name w:val="enumlev1"/>
    <w:basedOn w:val="Normal"/>
    <w:link w:val="enumlev1Char"/>
    <w:rsid w:val="00797C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enumlev1Char">
    <w:name w:val="enumlev1 Char"/>
    <w:link w:val="enumlev1"/>
    <w:locked/>
    <w:rsid w:val="00797C12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37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3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4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.tanikawa@nict.g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yyoum@sch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FD57-CCAE-4EAC-9575-FE968F6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Collaboration on QIT-related work between ITU-T Study Group 13 and 17</vt:lpstr>
    </vt:vector>
  </TitlesOfParts>
  <Manager>ITU-T</Manager>
  <Company>International Telecommunication Union (ITU)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Collaboration on QIT-related work between ITU-T Study Group 13 and 17</dc:title>
  <dc:subject/>
  <dc:creator>Chair, SG13;Chair, SG17</dc:creator>
  <cp:keywords/>
  <dc:description>TSAG-TDxxx  For: Geneva, 22-26 January 2024_x000d_Document date: _x000d_Saved by ITU51014271 at 10:36:12 on 24/01/2024</dc:description>
  <cp:lastModifiedBy>Al-Mnini, Lara</cp:lastModifiedBy>
  <cp:revision>4</cp:revision>
  <dcterms:created xsi:type="dcterms:W3CDTF">2024-01-24T12:25:00Z</dcterms:created>
  <dcterms:modified xsi:type="dcterms:W3CDTF">2024-01-24T12:30:00Z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22-26 January 2024</vt:lpwstr>
  </property>
  <property fmtid="{D5CDD505-2E9C-101B-9397-08002B2CF9AE}" pid="7" name="Docauthor">
    <vt:lpwstr>Chair, SG13; Chair, SG17</vt:lpwstr>
  </property>
</Properties>
</file>