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395DB7" w:rsidRPr="006803CE" w14:paraId="1DAA664F" w14:textId="77777777" w:rsidTr="004B60E6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6D8836C7" w14:textId="0281F3B2" w:rsidR="00395DB7" w:rsidRPr="006803CE" w:rsidRDefault="004B60E6" w:rsidP="005D08E0">
            <w:pPr>
              <w:pStyle w:val="Docnumber"/>
            </w:pPr>
            <w:r>
              <w:t xml:space="preserve">                    </w:t>
            </w:r>
            <w:r w:rsidR="00352851">
              <w:t xml:space="preserve">      </w:t>
            </w:r>
            <w:r w:rsidR="00395DB7" w:rsidRPr="006803CE">
              <w:t>TSAG-</w:t>
            </w:r>
            <w:proofErr w:type="spellStart"/>
            <w:r w:rsidR="00395DB7" w:rsidRPr="006803CE">
              <w:t>TD</w:t>
            </w:r>
            <w:r w:rsidR="00E03E9A">
              <w:t>437</w:t>
            </w:r>
            <w:proofErr w:type="spellEnd"/>
            <w:r w:rsidR="00AD49E4">
              <w:t xml:space="preserve"> </w:t>
            </w:r>
          </w:p>
        </w:tc>
      </w:tr>
      <w:tr w:rsidR="00D55AF9" w:rsidRPr="006803CE" w14:paraId="20F72567" w14:textId="77777777" w:rsidTr="004B60E6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6CCD7465" w14:textId="1F313A02" w:rsidR="00D55AF9" w:rsidRPr="006803CE" w:rsidRDefault="004B60E6" w:rsidP="005D08E0">
            <w:pPr>
              <w:pStyle w:val="TSBHeaderRight14"/>
            </w:pPr>
            <w:r>
              <w:t xml:space="preserve">                             </w:t>
            </w:r>
            <w:r w:rsidR="00352851">
              <w:t xml:space="preserve">                       </w:t>
            </w:r>
            <w:r w:rsidR="00D55AF9" w:rsidRPr="006803CE">
              <w:t>TSAG</w:t>
            </w:r>
          </w:p>
        </w:tc>
      </w:tr>
      <w:tr w:rsidR="00D55AF9" w:rsidRPr="006803CE" w14:paraId="3C0344B7" w14:textId="77777777" w:rsidTr="004B60E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12E37B70" w14:textId="67D246EA" w:rsidR="00D55AF9" w:rsidRPr="006803CE" w:rsidRDefault="004B60E6" w:rsidP="005D08E0">
            <w:pPr>
              <w:pStyle w:val="TSBHeaderRight14"/>
            </w:pPr>
            <w:r>
              <w:t xml:space="preserve">                     </w:t>
            </w:r>
            <w:r w:rsidR="00352851">
              <w:t xml:space="preserve">       </w:t>
            </w:r>
            <w:r w:rsidR="00D55AF9" w:rsidRPr="006803CE">
              <w:t>Original: English</w:t>
            </w:r>
          </w:p>
        </w:tc>
      </w:tr>
      <w:tr w:rsidR="00D55AF9" w:rsidRPr="006803CE" w14:paraId="23C752D1" w14:textId="77777777" w:rsidTr="004B60E6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10D4E59B" w:rsidR="00D55AF9" w:rsidRPr="006803CE" w:rsidRDefault="003F22D0" w:rsidP="0094517E">
            <w:pPr>
              <w:pStyle w:val="TSBHeaderQuestion"/>
            </w:pPr>
            <w:proofErr w:type="spellStart"/>
            <w:r>
              <w:t>WP2</w:t>
            </w:r>
            <w:proofErr w:type="spellEnd"/>
            <w:r>
              <w:t>/TSAG</w:t>
            </w:r>
          </w:p>
        </w:tc>
        <w:tc>
          <w:tcPr>
            <w:tcW w:w="4927" w:type="dxa"/>
          </w:tcPr>
          <w:p w14:paraId="6C3AB890" w14:textId="2FB2B005" w:rsidR="00D55AF9" w:rsidRPr="006803CE" w:rsidRDefault="004B60E6" w:rsidP="00B539AA">
            <w:pPr>
              <w:pStyle w:val="VenueDate"/>
            </w:pPr>
            <w:r>
              <w:t xml:space="preserve">                     </w:t>
            </w:r>
            <w:r w:rsidR="002E2D22">
              <w:t>Geneva</w:t>
            </w:r>
            <w:r w:rsidR="00D40150" w:rsidRPr="006803CE">
              <w:t xml:space="preserve">, </w:t>
            </w:r>
            <w:r w:rsidR="008332C6">
              <w:t>22 – 26 January 2024</w:t>
            </w:r>
          </w:p>
        </w:tc>
      </w:tr>
      <w:tr w:rsidR="00D55AF9" w:rsidRPr="006803CE" w14:paraId="72AA5404" w14:textId="77777777" w:rsidTr="004B60E6">
        <w:trPr>
          <w:cantSplit/>
        </w:trPr>
        <w:tc>
          <w:tcPr>
            <w:tcW w:w="10170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4B60E6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63CC72F9" w14:textId="7238A921" w:rsidR="00D55AF9" w:rsidRPr="006803CE" w:rsidRDefault="003F22D0" w:rsidP="0094517E">
            <w:pPr>
              <w:pStyle w:val="TSBHeaderSource"/>
            </w:pPr>
            <w:r>
              <w:t xml:space="preserve">Chair, </w:t>
            </w:r>
            <w:proofErr w:type="spellStart"/>
            <w:r>
              <w:t>WP2</w:t>
            </w:r>
            <w:proofErr w:type="spellEnd"/>
            <w:r>
              <w:t>/TSAG</w:t>
            </w:r>
          </w:p>
        </w:tc>
      </w:tr>
      <w:tr w:rsidR="00D55AF9" w:rsidRPr="006803CE" w14:paraId="4A125627" w14:textId="77777777" w:rsidTr="004B60E6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2B146FD0" w14:textId="69DBE85A" w:rsidR="00D55AF9" w:rsidRPr="006803CE" w:rsidRDefault="00894684" w:rsidP="0094517E">
            <w:pPr>
              <w:pStyle w:val="TSBHeaderTitle"/>
            </w:pPr>
            <w:r>
              <w:t>R</w:t>
            </w:r>
            <w:r w:rsidR="001E2996">
              <w:t xml:space="preserve">eview of </w:t>
            </w:r>
            <w:r>
              <w:t xml:space="preserve">the </w:t>
            </w:r>
            <w:proofErr w:type="spellStart"/>
            <w:r>
              <w:t>WP2</w:t>
            </w:r>
            <w:proofErr w:type="spellEnd"/>
            <w:r>
              <w:t xml:space="preserve"> related </w:t>
            </w:r>
            <w:r w:rsidR="00FD441C">
              <w:t xml:space="preserve">actions from the </w:t>
            </w:r>
            <w:r>
              <w:t>WTSA action plan</w:t>
            </w:r>
          </w:p>
        </w:tc>
      </w:tr>
      <w:tr w:rsidR="00D55AF9" w:rsidRPr="00F23991" w14:paraId="6BA95D0D" w14:textId="77777777" w:rsidTr="004B60E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40EF7ECE" w:rsidR="00D55AF9" w:rsidRPr="007C7DD7" w:rsidRDefault="00727521" w:rsidP="00C14B64">
            <w:r w:rsidRPr="00727521">
              <w:t xml:space="preserve">Gaëlle </w:t>
            </w:r>
            <w:r w:rsidR="00D20716" w:rsidRPr="00D20716">
              <w:t>Martin-</w:t>
            </w:r>
            <w:proofErr w:type="spellStart"/>
            <w:r w:rsidR="00D20716" w:rsidRPr="00D20716">
              <w:t>Cocher</w:t>
            </w:r>
            <w:proofErr w:type="spellEnd"/>
            <w:r w:rsidR="00D20716" w:rsidRPr="00D20716">
              <w:t xml:space="preserve"> </w:t>
            </w:r>
            <w:r w:rsidR="00D20716"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="00D55AF9" w:rsidRPr="007C7DD7">
              <w:br/>
            </w:r>
            <w:r w:rsidR="003F22D0"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E69E92D" w:rsidR="00D20716" w:rsidRPr="00D20716" w:rsidRDefault="00D55AF9" w:rsidP="00D2071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hyperlink r:id="rId12" w:history="1">
              <w:r w:rsidR="00D20716"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8E3CEC" w:rsidRPr="00F23991" w14:paraId="6AF957C8" w14:textId="77777777" w:rsidTr="005E10E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5253BD" w14:textId="77777777" w:rsidR="008E3CEC" w:rsidRPr="007C7DD7" w:rsidRDefault="008E3CEC" w:rsidP="005E10E4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C54D4A" w14:textId="77777777" w:rsidR="008E3CEC" w:rsidRDefault="008E3CEC" w:rsidP="005E10E4">
            <w:r>
              <w:t>Tatiana Kurakova</w:t>
            </w:r>
          </w:p>
          <w:p w14:paraId="56633F58" w14:textId="54FC9F53" w:rsidR="008E3CEC" w:rsidRPr="007C7DD7" w:rsidRDefault="008E3CEC" w:rsidP="009C58CE">
            <w:pPr>
              <w:spacing w:before="0"/>
            </w:pPr>
            <w:r>
              <w:t>TSB</w:t>
            </w:r>
            <w:r w:rsidR="00CB7781">
              <w:t xml:space="preserve">; Secretary </w:t>
            </w:r>
            <w:proofErr w:type="spellStart"/>
            <w:r w:rsidR="00CB7781">
              <w:t>WP2</w:t>
            </w:r>
            <w:proofErr w:type="spellEnd"/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3881E9F6" w14:textId="2EEF7C5D" w:rsidR="008E3CEC" w:rsidRPr="00D20716" w:rsidRDefault="008E3CEC" w:rsidP="005E10E4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 w:rsidR="009C58CE">
              <w:fldChar w:fldCharType="begin"/>
            </w:r>
            <w:r w:rsidR="009C58CE" w:rsidRPr="00F23991">
              <w:rPr>
                <w:lang w:val="de-DE"/>
              </w:rPr>
              <w:instrText>HYPERLINK "mailto:tatiana.kurakova@itu.int"</w:instrText>
            </w:r>
            <w:r w:rsidR="009C58CE">
              <w:fldChar w:fldCharType="separate"/>
            </w:r>
            <w:r w:rsidRPr="00FB4AE2">
              <w:rPr>
                <w:rStyle w:val="Hyperlink"/>
                <w:lang w:val="de-DE"/>
              </w:rPr>
              <w:t>tatiana.kurakova@itu.int</w:t>
            </w:r>
            <w:r w:rsidR="009C58CE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5B63A778" w14:textId="77777777" w:rsidR="00D55AF9" w:rsidRPr="00A85631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32AFCF7" w:rsidR="00D55AF9" w:rsidRPr="006803CE" w:rsidRDefault="00D55AF9" w:rsidP="0094517E">
            <w:pPr>
              <w:pStyle w:val="TSBHeaderSummary"/>
            </w:pPr>
            <w:r w:rsidRPr="006803CE">
              <w:t xml:space="preserve">This </w:t>
            </w:r>
            <w:r w:rsidR="00397286" w:rsidRPr="006803CE">
              <w:t>TD</w:t>
            </w:r>
            <w:r w:rsidR="00697420" w:rsidRPr="006803CE">
              <w:t xml:space="preserve"> </w:t>
            </w:r>
            <w:r w:rsidR="002660ED">
              <w:t>contains</w:t>
            </w:r>
            <w:r w:rsidRPr="006803CE">
              <w:t xml:space="preserve"> </w:t>
            </w:r>
            <w:r w:rsidR="00894684">
              <w:t xml:space="preserve">the </w:t>
            </w:r>
            <w:r w:rsidR="00FD441C">
              <w:t xml:space="preserve">list of pending actions related to the work program from the </w:t>
            </w:r>
            <w:r w:rsidR="00894684">
              <w:t xml:space="preserve">WTSA </w:t>
            </w:r>
            <w:r w:rsidR="00486DB6">
              <w:t xml:space="preserve">action plan, with </w:t>
            </w:r>
            <w:r w:rsidR="00FD441C">
              <w:t xml:space="preserve">proposals to complete the actions, and </w:t>
            </w:r>
            <w:r w:rsidR="000C527A">
              <w:t xml:space="preserve">notes </w:t>
            </w:r>
            <w:r w:rsidR="00FD441C">
              <w:t>for discussion</w:t>
            </w:r>
            <w:r w:rsidR="001E2996">
              <w:t xml:space="preserve">. </w:t>
            </w:r>
          </w:p>
        </w:tc>
      </w:tr>
    </w:tbl>
    <w:p w14:paraId="795B236C" w14:textId="2531B39C" w:rsidR="00D55AF9" w:rsidRPr="006803CE" w:rsidRDefault="00D55AF9" w:rsidP="00D55AF9"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FD441C">
        <w:t>For d</w:t>
      </w:r>
      <w:r w:rsidR="00EC4DD6">
        <w:t>iscuss</w:t>
      </w:r>
      <w:r w:rsidR="00FD441C">
        <w:t>ion</w:t>
      </w:r>
      <w:r w:rsidR="00EC4DD6">
        <w:t xml:space="preserve"> and approv</w:t>
      </w:r>
      <w:r w:rsidR="00FD441C">
        <w:t>al</w:t>
      </w:r>
      <w:r w:rsidR="00BC2D86" w:rsidRPr="00EC4DD6">
        <w:t>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770D7E84" w14:textId="782AA02A" w:rsidR="00733962" w:rsidRDefault="00733962" w:rsidP="001E1FC2">
      <w:pPr>
        <w:spacing w:before="0"/>
        <w:rPr>
          <w:rFonts w:asciiTheme="majorBidi" w:hAnsiTheme="majorBidi" w:cstheme="majorBidi"/>
          <w:sz w:val="20"/>
        </w:rPr>
      </w:pPr>
    </w:p>
    <w:p w14:paraId="198F6299" w14:textId="77777777" w:rsidR="001E2996" w:rsidRDefault="001E2996" w:rsidP="001E2996">
      <w:pPr>
        <w:spacing w:before="0"/>
        <w:rPr>
          <w:rFonts w:asciiTheme="majorBidi" w:hAnsiTheme="majorBidi" w:cstheme="majorBidi"/>
          <w:sz w:val="20"/>
        </w:rPr>
      </w:pPr>
    </w:p>
    <w:p w14:paraId="256B211E" w14:textId="28D83B51" w:rsidR="001E2996" w:rsidRDefault="001E2996" w:rsidP="001E2996">
      <w:pPr>
        <w:rPr>
          <w:b/>
        </w:rPr>
      </w:pPr>
      <w:r w:rsidRPr="001E2996">
        <w:rPr>
          <w:b/>
        </w:rPr>
        <w:t>Introdu</w:t>
      </w:r>
      <w:r>
        <w:rPr>
          <w:b/>
        </w:rPr>
        <w:t>c</w:t>
      </w:r>
      <w:r w:rsidRPr="001E2996">
        <w:rPr>
          <w:b/>
        </w:rPr>
        <w:t>tion</w:t>
      </w:r>
    </w:p>
    <w:p w14:paraId="6CB44957" w14:textId="2A0CF4D7" w:rsidR="0022290C" w:rsidRDefault="009C58CE" w:rsidP="0022290C">
      <w:hyperlink r:id="rId13" w:history="1">
        <w:r w:rsidR="00B94503" w:rsidRPr="00CF5B22">
          <w:rPr>
            <w:rStyle w:val="Hyperlink"/>
            <w:bCs/>
            <w:lang w:val="en-US"/>
          </w:rPr>
          <w:t>TD-G</w:t>
        </w:r>
        <w:r w:rsidR="003D1203">
          <w:rPr>
            <w:rStyle w:val="Hyperlink"/>
            <w:bCs/>
            <w:lang w:val="en-US"/>
          </w:rPr>
          <w:t>EN</w:t>
        </w:r>
        <w:r w:rsidR="00B94503" w:rsidRPr="00CF5B22">
          <w:rPr>
            <w:rStyle w:val="Hyperlink"/>
            <w:bCs/>
            <w:lang w:val="en-US"/>
          </w:rPr>
          <w:t>-</w:t>
        </w:r>
        <w:proofErr w:type="spellStart"/>
        <w:r w:rsidR="00B94503" w:rsidRPr="00CF5B22">
          <w:rPr>
            <w:rStyle w:val="Hyperlink"/>
            <w:bCs/>
            <w:lang w:val="en-US"/>
          </w:rPr>
          <w:t>0191r3</w:t>
        </w:r>
        <w:proofErr w:type="spellEnd"/>
      </w:hyperlink>
      <w:r w:rsidR="00CF5B22" w:rsidRPr="00CF5B22">
        <w:rPr>
          <w:bCs/>
          <w:lang w:val="en-US"/>
        </w:rPr>
        <w:t xml:space="preserve"> </w:t>
      </w:r>
      <w:r w:rsidR="00624A9A">
        <w:rPr>
          <w:bCs/>
          <w:lang w:val="en-US"/>
        </w:rPr>
        <w:t xml:space="preserve">provided by TSB </w:t>
      </w:r>
      <w:r w:rsidR="0022290C" w:rsidRPr="007E68EA">
        <w:t>after</w:t>
      </w:r>
      <w:r w:rsidR="00624A9A">
        <w:rPr>
          <w:bCs/>
          <w:lang w:val="en-US"/>
        </w:rPr>
        <w:t xml:space="preserve"> the last </w:t>
      </w:r>
      <w:r w:rsidR="003F737F">
        <w:rPr>
          <w:bCs/>
          <w:lang w:val="en-US"/>
        </w:rPr>
        <w:t>TSAG</w:t>
      </w:r>
      <w:r w:rsidR="00E03E9A">
        <w:rPr>
          <w:bCs/>
          <w:lang w:val="en-US"/>
        </w:rPr>
        <w:t xml:space="preserve"> </w:t>
      </w:r>
      <w:r w:rsidR="00CF5B22" w:rsidRPr="00CF5B22">
        <w:rPr>
          <w:bCs/>
          <w:lang w:val="en-US"/>
        </w:rPr>
        <w:t>contains the</w:t>
      </w:r>
      <w:r w:rsidR="00CF5B22">
        <w:rPr>
          <w:bCs/>
          <w:lang w:val="en-US"/>
        </w:rPr>
        <w:t xml:space="preserve"> </w:t>
      </w:r>
      <w:r w:rsidR="00CF5B22">
        <w:t>Action plan related to the Resolutions and Opinion of WTSA</w:t>
      </w:r>
      <w:r w:rsidR="00624A9A">
        <w:t>.</w:t>
      </w:r>
    </w:p>
    <w:p w14:paraId="1463F7DA" w14:textId="0BB3EE53" w:rsidR="001C53DC" w:rsidRDefault="00624A9A" w:rsidP="001E2996">
      <w:r>
        <w:t>This document provides the subset of actions related to the work program</w:t>
      </w:r>
      <w:r w:rsidR="00DE6EA1">
        <w:t xml:space="preserve"> (</w:t>
      </w:r>
      <w:proofErr w:type="spellStart"/>
      <w:r w:rsidR="00DE6EA1">
        <w:t>WP2</w:t>
      </w:r>
      <w:proofErr w:type="spellEnd"/>
      <w:r w:rsidR="00DE6EA1">
        <w:t>)</w:t>
      </w:r>
      <w:r>
        <w:t xml:space="preserve">, </w:t>
      </w:r>
      <w:r w:rsidR="001C53DC">
        <w:t xml:space="preserve">for which </w:t>
      </w:r>
      <w:r w:rsidR="008443A4">
        <w:t xml:space="preserve">a status is </w:t>
      </w:r>
      <w:r w:rsidR="00790B1E" w:rsidRPr="007D0A3A">
        <w:rPr>
          <w:b/>
          <w:bCs/>
          <w:u w:val="single"/>
        </w:rPr>
        <w:t>pending</w:t>
      </w:r>
      <w:r w:rsidR="00790B1E">
        <w:t xml:space="preserve">, </w:t>
      </w:r>
      <w:r w:rsidR="00CC0D0E">
        <w:t xml:space="preserve">(not ongoing by nature) </w:t>
      </w:r>
      <w:r w:rsidR="00790B1E">
        <w:t xml:space="preserve">and </w:t>
      </w:r>
      <w:r w:rsidR="007D0A3A">
        <w:t xml:space="preserve">for which </w:t>
      </w:r>
      <w:r w:rsidR="00790B1E">
        <w:t>a resolution is requested.</w:t>
      </w:r>
    </w:p>
    <w:p w14:paraId="64E9C54F" w14:textId="78529D28" w:rsidR="00624A9A" w:rsidRPr="00CF5B22" w:rsidRDefault="00360464" w:rsidP="001E2996">
      <w:pPr>
        <w:rPr>
          <w:lang w:val="en-US"/>
        </w:rPr>
      </w:pPr>
      <w:r>
        <w:t xml:space="preserve"> </w:t>
      </w:r>
    </w:p>
    <w:p w14:paraId="69A2BEE1" w14:textId="77777777" w:rsidR="00FA16B0" w:rsidRPr="00CF5B22" w:rsidRDefault="00FA16B0" w:rsidP="001E2996">
      <w:pPr>
        <w:rPr>
          <w:b/>
          <w:lang w:val="en-US"/>
        </w:rPr>
      </w:pPr>
    </w:p>
    <w:p w14:paraId="3F3BE7F2" w14:textId="29465F8C" w:rsidR="00FA16B0" w:rsidRDefault="004845EF" w:rsidP="001E2996">
      <w:pPr>
        <w:rPr>
          <w:b/>
        </w:rPr>
      </w:pPr>
      <w:r>
        <w:rPr>
          <w:b/>
        </w:rPr>
        <w:t>Actions to address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387"/>
        <w:gridCol w:w="2180"/>
        <w:gridCol w:w="2063"/>
      </w:tblGrid>
      <w:tr w:rsidR="00695056" w:rsidRPr="00C86B76" w14:paraId="10779E60" w14:textId="77777777" w:rsidTr="00FD441C">
        <w:trPr>
          <w:tblHeader/>
          <w:jc w:val="center"/>
        </w:trPr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02F107" w14:textId="77777777" w:rsidR="00695056" w:rsidRPr="00C86B76" w:rsidRDefault="00695056" w:rsidP="007F6A47">
            <w:pPr>
              <w:pStyle w:val="Tablehead"/>
              <w:keepNext w:val="0"/>
              <w:rPr>
                <w:sz w:val="24"/>
                <w:szCs w:val="24"/>
              </w:rPr>
            </w:pPr>
            <w:r w:rsidRPr="00C86B76">
              <w:rPr>
                <w:sz w:val="24"/>
                <w:szCs w:val="24"/>
              </w:rPr>
              <w:lastRenderedPageBreak/>
              <w:t>Action Item</w:t>
            </w:r>
          </w:p>
        </w:tc>
        <w:tc>
          <w:tcPr>
            <w:tcW w:w="3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E58690" w14:textId="77777777" w:rsidR="00695056" w:rsidRPr="00C86B76" w:rsidRDefault="00695056" w:rsidP="007F6A47">
            <w:pPr>
              <w:pStyle w:val="Tablehead"/>
              <w:keepLines/>
              <w:rPr>
                <w:sz w:val="24"/>
                <w:szCs w:val="24"/>
              </w:rPr>
            </w:pPr>
            <w:r w:rsidRPr="00C86B76">
              <w:rPr>
                <w:sz w:val="24"/>
                <w:szCs w:val="24"/>
              </w:rPr>
              <w:t>Action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68273E" w14:textId="59F236C0" w:rsidR="00695056" w:rsidRPr="00C86B76" w:rsidRDefault="00D50FB8" w:rsidP="007F6A47">
            <w:pPr>
              <w:pStyle w:val="Tablehead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29AA51" w14:textId="77777777" w:rsidR="00695056" w:rsidRPr="00C86B76" w:rsidRDefault="00695056" w:rsidP="007F6A47">
            <w:pPr>
              <w:pStyle w:val="Tablehead"/>
              <w:keepLines/>
              <w:rPr>
                <w:sz w:val="24"/>
                <w:szCs w:val="24"/>
              </w:rPr>
            </w:pPr>
            <w:r w:rsidRPr="00C86B76">
              <w:rPr>
                <w:sz w:val="24"/>
                <w:szCs w:val="24"/>
              </w:rPr>
              <w:t>Completed</w:t>
            </w:r>
          </w:p>
        </w:tc>
      </w:tr>
      <w:tr w:rsidR="00695056" w:rsidRPr="00C86B76" w14:paraId="3C22A0D7" w14:textId="77777777" w:rsidTr="00C562F3">
        <w:trPr>
          <w:tblHeader/>
          <w:jc w:val="center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72E3B0" w14:textId="77777777" w:rsidR="00695056" w:rsidRDefault="00695056" w:rsidP="00C6308A">
            <w:pPr>
              <w:pStyle w:val="Tablehead"/>
              <w:keepNext w:val="0"/>
              <w:rPr>
                <w:sz w:val="24"/>
                <w:szCs w:val="24"/>
              </w:rPr>
            </w:pPr>
            <w:r w:rsidRPr="00C6308A">
              <w:rPr>
                <w:sz w:val="24"/>
                <w:szCs w:val="24"/>
              </w:rPr>
              <w:t>73-06</w:t>
            </w:r>
          </w:p>
          <w:p w14:paraId="5C17800D" w14:textId="66958BD6" w:rsidR="00695056" w:rsidRPr="009B4CA0" w:rsidRDefault="00695056" w:rsidP="009B4CA0">
            <w:pPr>
              <w:rPr>
                <w:lang w:eastAsia="en-US"/>
              </w:rPr>
            </w:pPr>
            <w:r w:rsidRPr="009B4CA0">
              <w:rPr>
                <w:lang w:eastAsia="en-US"/>
              </w:rPr>
              <w:t>Resolution 73 - Information and communications technologies, environment, climate change and circular economy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C986165" w14:textId="77777777" w:rsidR="00695056" w:rsidRPr="00C6308A" w:rsidRDefault="00695056" w:rsidP="00C6308A">
            <w:pPr>
              <w:pStyle w:val="Tablehead"/>
              <w:rPr>
                <w:sz w:val="24"/>
                <w:szCs w:val="24"/>
              </w:rPr>
            </w:pPr>
            <w:r w:rsidRPr="00C6308A">
              <w:rPr>
                <w:sz w:val="24"/>
                <w:szCs w:val="24"/>
              </w:rPr>
              <w:t>TSAG to coordinate the activities of ITU-T study groups in relation to their review of relevant standardization activities of other standards development organizations (</w:t>
            </w:r>
            <w:proofErr w:type="spellStart"/>
            <w:r w:rsidRPr="00C6308A">
              <w:rPr>
                <w:sz w:val="24"/>
                <w:szCs w:val="24"/>
              </w:rPr>
              <w:t>SDOs</w:t>
            </w:r>
            <w:proofErr w:type="spellEnd"/>
            <w:r w:rsidRPr="00C6308A">
              <w:rPr>
                <w:sz w:val="24"/>
                <w:szCs w:val="24"/>
              </w:rPr>
              <w:t xml:space="preserve">) and facilitate collaboration between ITU and those </w:t>
            </w:r>
            <w:proofErr w:type="spellStart"/>
            <w:r w:rsidRPr="00C6308A">
              <w:rPr>
                <w:sz w:val="24"/>
                <w:szCs w:val="24"/>
              </w:rPr>
              <w:t>SDOs</w:t>
            </w:r>
            <w:proofErr w:type="spellEnd"/>
            <w:r w:rsidRPr="00C6308A">
              <w:rPr>
                <w:sz w:val="24"/>
                <w:szCs w:val="24"/>
              </w:rPr>
              <w:t xml:space="preserve"> </w:t>
            </w:r>
            <w:proofErr w:type="gramStart"/>
            <w:r w:rsidRPr="00C6308A">
              <w:rPr>
                <w:sz w:val="24"/>
                <w:szCs w:val="24"/>
              </w:rPr>
              <w:t>in order to</w:t>
            </w:r>
            <w:proofErr w:type="gramEnd"/>
            <w:r w:rsidRPr="00C6308A">
              <w:rPr>
                <w:sz w:val="24"/>
                <w:szCs w:val="24"/>
              </w:rPr>
              <w:t xml:space="preserve"> avoid duplication of, or overlap in, international standards (instructs TSAG 1)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AA879C6" w14:textId="5162E114" w:rsidR="00695056" w:rsidRPr="00D5295E" w:rsidRDefault="00C76B5D" w:rsidP="00D5295E">
            <w:pPr>
              <w:pStyle w:val="Tablehead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</w:t>
            </w:r>
            <w:r w:rsidR="003A0323" w:rsidRPr="00D5295E">
              <w:rPr>
                <w:b w:val="0"/>
                <w:bCs/>
                <w:sz w:val="24"/>
                <w:szCs w:val="24"/>
              </w:rPr>
              <w:t xml:space="preserve">he existing </w:t>
            </w:r>
            <w:r w:rsidR="00BC3852" w:rsidRPr="00D5295E">
              <w:rPr>
                <w:b w:val="0"/>
                <w:bCs/>
                <w:sz w:val="24"/>
                <w:szCs w:val="24"/>
              </w:rPr>
              <w:t>Coordination groups under TSAG</w:t>
            </w:r>
            <w:r w:rsidR="006828C7">
              <w:rPr>
                <w:b w:val="0"/>
                <w:bCs/>
                <w:sz w:val="24"/>
                <w:szCs w:val="24"/>
              </w:rPr>
              <w:t xml:space="preserve">, notably </w:t>
            </w:r>
            <w:proofErr w:type="spellStart"/>
            <w:r w:rsidR="006828C7">
              <w:rPr>
                <w:b w:val="0"/>
                <w:bCs/>
                <w:sz w:val="24"/>
                <w:szCs w:val="24"/>
              </w:rPr>
              <w:t>SPCG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, is</w:t>
            </w:r>
            <w:r w:rsidR="00BC3852" w:rsidRPr="00D5295E">
              <w:rPr>
                <w:b w:val="0"/>
                <w:bCs/>
                <w:sz w:val="24"/>
                <w:szCs w:val="24"/>
              </w:rPr>
              <w:t xml:space="preserve"> a m</w:t>
            </w:r>
            <w:r w:rsidR="00CC0D0E">
              <w:rPr>
                <w:b w:val="0"/>
                <w:bCs/>
                <w:sz w:val="24"/>
                <w:szCs w:val="24"/>
              </w:rPr>
              <w:t>echanism</w:t>
            </w:r>
            <w:r w:rsidR="00BC3852" w:rsidRPr="00D5295E">
              <w:rPr>
                <w:b w:val="0"/>
                <w:bCs/>
                <w:sz w:val="24"/>
                <w:szCs w:val="24"/>
              </w:rPr>
              <w:t xml:space="preserve"> to achieve this</w:t>
            </w:r>
            <w:r w:rsidR="00CC0D0E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as </w:t>
            </w:r>
            <w:r w:rsidR="00CC0D0E">
              <w:rPr>
                <w:b w:val="0"/>
                <w:bCs/>
                <w:sz w:val="24"/>
                <w:szCs w:val="24"/>
              </w:rPr>
              <w:t>needed</w:t>
            </w:r>
            <w:r w:rsidR="00BC3852" w:rsidRPr="00D5295E">
              <w:rPr>
                <w:b w:val="0"/>
                <w:bCs/>
                <w:sz w:val="24"/>
                <w:szCs w:val="24"/>
              </w:rPr>
              <w:t>.</w:t>
            </w:r>
          </w:p>
          <w:p w14:paraId="4CDD1E08" w14:textId="130D2E27" w:rsidR="00BC3852" w:rsidRPr="00BC3852" w:rsidRDefault="00EC3BAE" w:rsidP="00BC38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TSAG can facilitate the collaboration </w:t>
            </w:r>
            <w:r w:rsidR="003675E2">
              <w:rPr>
                <w:lang w:eastAsia="en-US"/>
              </w:rPr>
              <w:t xml:space="preserve">with other </w:t>
            </w:r>
            <w:proofErr w:type="spellStart"/>
            <w:r w:rsidR="003675E2">
              <w:rPr>
                <w:lang w:eastAsia="en-US"/>
              </w:rPr>
              <w:t>SDOs</w:t>
            </w:r>
            <w:proofErr w:type="spellEnd"/>
            <w:r w:rsidR="003675E2">
              <w:rPr>
                <w:lang w:eastAsia="en-US"/>
              </w:rPr>
              <w:t xml:space="preserve"> </w:t>
            </w:r>
            <w:r w:rsidR="008B65F8">
              <w:rPr>
                <w:lang w:eastAsia="en-US"/>
              </w:rPr>
              <w:t xml:space="preserve">with </w:t>
            </w:r>
            <w:r w:rsidR="00574F24">
              <w:rPr>
                <w:lang w:eastAsia="en-US"/>
              </w:rPr>
              <w:t xml:space="preserve">existing mechanisms </w:t>
            </w:r>
            <w:r>
              <w:rPr>
                <w:lang w:eastAsia="en-US"/>
              </w:rPr>
              <w:t xml:space="preserve">(liaison, </w:t>
            </w:r>
            <w:r w:rsidR="00D5295E">
              <w:rPr>
                <w:lang w:eastAsia="en-US"/>
              </w:rPr>
              <w:t>qualification etc)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940A6" w14:textId="77777777" w:rsidR="00D5295E" w:rsidRDefault="00D5295E" w:rsidP="00C6308A">
            <w:pPr>
              <w:pStyle w:val="Tablehead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Suggested action: </w:t>
            </w:r>
          </w:p>
          <w:p w14:paraId="008652C9" w14:textId="7EADD848" w:rsidR="00695056" w:rsidRPr="00D5295E" w:rsidRDefault="00AE2FCB" w:rsidP="00C6308A">
            <w:pPr>
              <w:pStyle w:val="Tablehead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Upon confirmation (by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SGs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SPCG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) that n</w:t>
            </w:r>
            <w:r w:rsidR="009332A1">
              <w:rPr>
                <w:b w:val="0"/>
                <w:bCs/>
                <w:sz w:val="24"/>
                <w:szCs w:val="24"/>
              </w:rPr>
              <w:t xml:space="preserve">o need was </w:t>
            </w:r>
            <w:proofErr w:type="gramStart"/>
            <w:r w:rsidR="009332A1">
              <w:rPr>
                <w:b w:val="0"/>
                <w:bCs/>
                <w:sz w:val="24"/>
                <w:szCs w:val="24"/>
              </w:rPr>
              <w:t>expressed</w:t>
            </w:r>
            <w:r w:rsidR="003C5E1C">
              <w:rPr>
                <w:b w:val="0"/>
                <w:bCs/>
                <w:sz w:val="24"/>
                <w:szCs w:val="24"/>
              </w:rPr>
              <w:t xml:space="preserve">, </w:t>
            </w:r>
            <w:r w:rsidR="009332A1">
              <w:rPr>
                <w:b w:val="0"/>
                <w:bCs/>
                <w:sz w:val="24"/>
                <w:szCs w:val="24"/>
              </w:rPr>
              <w:t xml:space="preserve"> </w:t>
            </w:r>
            <w:r w:rsidR="00C562F3">
              <w:rPr>
                <w:b w:val="0"/>
                <w:bCs/>
                <w:sz w:val="24"/>
                <w:szCs w:val="24"/>
              </w:rPr>
              <w:t>m</w:t>
            </w:r>
            <w:r w:rsidR="00D5295E" w:rsidRPr="00D5295E">
              <w:rPr>
                <w:b w:val="0"/>
                <w:bCs/>
                <w:sz w:val="24"/>
                <w:szCs w:val="24"/>
              </w:rPr>
              <w:t>ark</w:t>
            </w:r>
            <w:proofErr w:type="gramEnd"/>
            <w:r w:rsidR="00D5295E" w:rsidRPr="00D5295E">
              <w:rPr>
                <w:b w:val="0"/>
                <w:bCs/>
                <w:sz w:val="24"/>
                <w:szCs w:val="24"/>
              </w:rPr>
              <w:t xml:space="preserve"> completed</w:t>
            </w:r>
            <w:r w:rsidR="00C562F3">
              <w:rPr>
                <w:b w:val="0"/>
                <w:bCs/>
                <w:sz w:val="24"/>
                <w:szCs w:val="24"/>
              </w:rPr>
              <w:t>.</w:t>
            </w:r>
            <w:r w:rsidR="00D5295E" w:rsidRPr="00D5295E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D5295E" w:rsidRPr="00C86B76" w14:paraId="0A09DA2B" w14:textId="77777777" w:rsidTr="00FA3D07">
        <w:trPr>
          <w:tblHeader/>
          <w:jc w:val="center"/>
        </w:trPr>
        <w:tc>
          <w:tcPr>
            <w:tcW w:w="2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3E8664" w14:textId="77777777" w:rsidR="00D5295E" w:rsidRPr="00C6308A" w:rsidRDefault="00D5295E" w:rsidP="00C6308A">
            <w:pPr>
              <w:pStyle w:val="Tablehead"/>
              <w:keepNext w:val="0"/>
              <w:rPr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CC37A" w14:textId="77777777" w:rsidR="00D5295E" w:rsidRDefault="00D5295E" w:rsidP="00D5295E">
            <w:pPr>
              <w:pStyle w:val="Tablehe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Discussion: </w:t>
            </w:r>
          </w:p>
          <w:p w14:paraId="7DFB6CE9" w14:textId="6719BEBC" w:rsidR="00C76B5D" w:rsidRDefault="003C5E1C" w:rsidP="00D5295E">
            <w:pPr>
              <w:rPr>
                <w:lang w:eastAsia="en-US"/>
              </w:rPr>
            </w:pPr>
            <w:r>
              <w:rPr>
                <w:lang w:eastAsia="en-US"/>
              </w:rPr>
              <w:t>Is there a need for a call via</w:t>
            </w:r>
            <w:r w:rsidR="004F782B">
              <w:rPr>
                <w:lang w:eastAsia="en-US"/>
              </w:rPr>
              <w:t xml:space="preserve"> TSAG to </w:t>
            </w:r>
            <w:proofErr w:type="spellStart"/>
            <w:r w:rsidR="004F782B">
              <w:rPr>
                <w:lang w:eastAsia="en-US"/>
              </w:rPr>
              <w:t>SGs</w:t>
            </w:r>
            <w:proofErr w:type="spellEnd"/>
            <w:r>
              <w:rPr>
                <w:lang w:eastAsia="en-US"/>
              </w:rPr>
              <w:t xml:space="preserve"> and </w:t>
            </w:r>
            <w:proofErr w:type="spellStart"/>
            <w:r w:rsidR="00CA6815">
              <w:rPr>
                <w:lang w:eastAsia="en-US"/>
              </w:rPr>
              <w:t>SPCG</w:t>
            </w:r>
            <w:proofErr w:type="spellEnd"/>
            <w:r w:rsidR="00C76B5D">
              <w:rPr>
                <w:lang w:eastAsia="en-US"/>
              </w:rPr>
              <w:t xml:space="preserve">? </w:t>
            </w:r>
          </w:p>
          <w:p w14:paraId="535BF66F" w14:textId="1C6D6898" w:rsidR="00955DA2" w:rsidRPr="00D5295E" w:rsidRDefault="00955DA2" w:rsidP="00D5295E">
            <w:pPr>
              <w:rPr>
                <w:lang w:eastAsia="en-US"/>
              </w:rPr>
            </w:pPr>
          </w:p>
        </w:tc>
      </w:tr>
      <w:tr w:rsidR="00695056" w:rsidRPr="00C86B76" w14:paraId="1FFA4830" w14:textId="77777777" w:rsidTr="00C562F3">
        <w:trPr>
          <w:tblHeader/>
          <w:jc w:val="center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255ABD" w14:textId="77777777" w:rsidR="00695056" w:rsidRDefault="00695056" w:rsidP="001D1C0A">
            <w:pPr>
              <w:pStyle w:val="Tablehead"/>
              <w:keepNext w:val="0"/>
              <w:rPr>
                <w:bCs/>
                <w:sz w:val="24"/>
                <w:szCs w:val="24"/>
              </w:rPr>
            </w:pPr>
            <w:r w:rsidRPr="00C86B76">
              <w:rPr>
                <w:bCs/>
                <w:sz w:val="24"/>
                <w:szCs w:val="24"/>
              </w:rPr>
              <w:t>73-17</w:t>
            </w:r>
          </w:p>
          <w:p w14:paraId="71EE01C7" w14:textId="28599296" w:rsidR="00695056" w:rsidRPr="009B4CA0" w:rsidRDefault="00695056" w:rsidP="009B4CA0">
            <w:pPr>
              <w:rPr>
                <w:lang w:eastAsia="en-US"/>
              </w:rPr>
            </w:pPr>
            <w:r w:rsidRPr="009B4CA0">
              <w:rPr>
                <w:lang w:eastAsia="en-US"/>
              </w:rPr>
              <w:t>Resolution 73 - Information and communications technologies, environment, climate change and circular economy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C725D4" w14:textId="7B6C11DB" w:rsidR="00695056" w:rsidRPr="00C6308A" w:rsidRDefault="003D1203" w:rsidP="001D1C0A">
            <w:pPr>
              <w:pStyle w:val="Tablehead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TSAG </w:t>
            </w:r>
            <w:r w:rsidRPr="003D1203">
              <w:rPr>
                <w:bCs/>
                <w:sz w:val="24"/>
                <w:szCs w:val="24"/>
              </w:rPr>
              <w:t xml:space="preserve">to ensure that study groups carry out a review of all future Recommendations </w:t>
            </w:r>
            <w:proofErr w:type="gramStart"/>
            <w:r w:rsidRPr="003D1203">
              <w:rPr>
                <w:bCs/>
                <w:sz w:val="24"/>
                <w:szCs w:val="24"/>
              </w:rPr>
              <w:t>in order to</w:t>
            </w:r>
            <w:proofErr w:type="gramEnd"/>
            <w:r w:rsidRPr="003D1203">
              <w:rPr>
                <w:bCs/>
                <w:sz w:val="24"/>
                <w:szCs w:val="24"/>
              </w:rPr>
              <w:t xml:space="preserve"> assess their implications and the application of best practices from the standpoint of protection of the environment, climate change and circular economy</w:t>
            </w:r>
            <w:r w:rsidRPr="003D1203" w:rsidDel="003D1203">
              <w:rPr>
                <w:bCs/>
                <w:sz w:val="24"/>
                <w:szCs w:val="24"/>
              </w:rPr>
              <w:t xml:space="preserve"> </w:t>
            </w:r>
            <w:r w:rsidR="00695056" w:rsidRPr="00C86B76">
              <w:rPr>
                <w:bCs/>
                <w:sz w:val="24"/>
                <w:szCs w:val="24"/>
              </w:rPr>
              <w:t>(instructs TSAG 2)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18B4B6" w14:textId="70F08D3A" w:rsidR="00695056" w:rsidRDefault="00312B60" w:rsidP="003155DF">
            <w:pPr>
              <w:pStyle w:val="Tablehead"/>
              <w:jc w:val="left"/>
              <w:rPr>
                <w:b w:val="0"/>
                <w:bCs/>
                <w:sz w:val="24"/>
                <w:szCs w:val="24"/>
              </w:rPr>
            </w:pPr>
            <w:r w:rsidRPr="00312B60">
              <w:rPr>
                <w:b w:val="0"/>
                <w:bCs/>
                <w:sz w:val="24"/>
                <w:szCs w:val="24"/>
              </w:rPr>
              <w:t>Th</w:t>
            </w:r>
            <w:r w:rsidR="00177CD8">
              <w:rPr>
                <w:b w:val="0"/>
                <w:bCs/>
                <w:sz w:val="24"/>
                <w:szCs w:val="24"/>
              </w:rPr>
              <w:t>is</w:t>
            </w:r>
            <w:r w:rsidRPr="00312B60">
              <w:rPr>
                <w:b w:val="0"/>
                <w:bCs/>
                <w:sz w:val="24"/>
                <w:szCs w:val="24"/>
              </w:rPr>
              <w:t xml:space="preserve"> does not seem to be </w:t>
            </w:r>
            <w:r w:rsidR="00177CD8">
              <w:rPr>
                <w:b w:val="0"/>
                <w:bCs/>
                <w:sz w:val="24"/>
                <w:szCs w:val="24"/>
              </w:rPr>
              <w:t xml:space="preserve">quite actionable. </w:t>
            </w:r>
            <w:r w:rsidR="00831778">
              <w:rPr>
                <w:b w:val="0"/>
                <w:bCs/>
                <w:sz w:val="24"/>
                <w:szCs w:val="24"/>
              </w:rPr>
              <w:t>There is no</w:t>
            </w:r>
            <w:r w:rsidRPr="00312B60">
              <w:rPr>
                <w:b w:val="0"/>
                <w:bCs/>
                <w:sz w:val="24"/>
                <w:szCs w:val="24"/>
              </w:rPr>
              <w:t xml:space="preserve"> reasonable means/mechanism for TSAG to ensure this</w:t>
            </w:r>
            <w:r w:rsidR="003155DF">
              <w:rPr>
                <w:b w:val="0"/>
                <w:bCs/>
                <w:sz w:val="24"/>
                <w:szCs w:val="24"/>
              </w:rPr>
              <w:t>.</w:t>
            </w:r>
          </w:p>
          <w:p w14:paraId="3D031DA4" w14:textId="3CC78972" w:rsidR="003155DF" w:rsidRPr="003155DF" w:rsidRDefault="003155DF" w:rsidP="003155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It is particularly not clear </w:t>
            </w:r>
            <w:r w:rsidR="00C562F3">
              <w:rPr>
                <w:lang w:eastAsia="en-US"/>
              </w:rPr>
              <w:t xml:space="preserve">how </w:t>
            </w:r>
            <w:r w:rsidRPr="00FD441C">
              <w:rPr>
                <w:u w:val="single"/>
                <w:lang w:eastAsia="en-US"/>
              </w:rPr>
              <w:t>“future recommendations”</w:t>
            </w:r>
            <w:r>
              <w:rPr>
                <w:lang w:eastAsia="en-US"/>
              </w:rPr>
              <w:t xml:space="preserve"> can be assess</w:t>
            </w:r>
            <w:r w:rsidR="000879A0">
              <w:rPr>
                <w:lang w:eastAsia="en-US"/>
              </w:rPr>
              <w:t>ed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5A81E9" w14:textId="77777777" w:rsidR="00955DA2" w:rsidRDefault="00955DA2" w:rsidP="00955DA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Suggested action: </w:t>
            </w:r>
          </w:p>
          <w:p w14:paraId="5DF1CAB4" w14:textId="5AAB2C60" w:rsidR="00695056" w:rsidRPr="00111BC2" w:rsidRDefault="0012391E" w:rsidP="0012391E">
            <w:pPr>
              <w:pStyle w:val="Tablehead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Call via TSAG all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SGs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to consider the environmental implication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 xml:space="preserve">of </w:t>
            </w:r>
            <w:r w:rsidR="00FD441C">
              <w:rPr>
                <w:b w:val="0"/>
                <w:bCs/>
                <w:sz w:val="24"/>
                <w:szCs w:val="24"/>
                <w:u w:val="single"/>
              </w:rPr>
              <w:t xml:space="preserve"> their</w:t>
            </w:r>
            <w:proofErr w:type="gramEnd"/>
            <w:r w:rsidR="00FD441C">
              <w:rPr>
                <w:b w:val="0"/>
                <w:bCs/>
                <w:sz w:val="24"/>
                <w:szCs w:val="24"/>
                <w:u w:val="single"/>
              </w:rPr>
              <w:t xml:space="preserve"> </w:t>
            </w:r>
            <w:r w:rsidR="00705958" w:rsidRPr="00FD441C">
              <w:rPr>
                <w:b w:val="0"/>
                <w:bCs/>
                <w:sz w:val="24"/>
                <w:szCs w:val="24"/>
                <w:u w:val="single"/>
              </w:rPr>
              <w:t>draft</w:t>
            </w:r>
            <w:r w:rsidR="001B74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ITU-T </w:t>
            </w:r>
            <w:r w:rsidR="00FD441C">
              <w:rPr>
                <w:b w:val="0"/>
                <w:bCs/>
                <w:sz w:val="24"/>
                <w:szCs w:val="24"/>
              </w:rPr>
              <w:t>Recommendations</w:t>
            </w:r>
            <w:r>
              <w:rPr>
                <w:b w:val="0"/>
                <w:bCs/>
                <w:sz w:val="24"/>
                <w:szCs w:val="24"/>
              </w:rPr>
              <w:t>. Make this call once and m</w:t>
            </w:r>
            <w:r w:rsidR="00111BC2" w:rsidRPr="00111BC2">
              <w:rPr>
                <w:b w:val="0"/>
                <w:bCs/>
                <w:sz w:val="24"/>
                <w:szCs w:val="24"/>
              </w:rPr>
              <w:t xml:space="preserve">ark </w:t>
            </w:r>
            <w:r>
              <w:rPr>
                <w:b w:val="0"/>
                <w:bCs/>
                <w:sz w:val="24"/>
                <w:szCs w:val="24"/>
              </w:rPr>
              <w:t xml:space="preserve">this action as </w:t>
            </w:r>
            <w:r w:rsidR="00111BC2" w:rsidRPr="00111BC2">
              <w:rPr>
                <w:b w:val="0"/>
                <w:bCs/>
                <w:sz w:val="24"/>
                <w:szCs w:val="24"/>
              </w:rPr>
              <w:t>completed</w:t>
            </w:r>
            <w:r w:rsidR="000B135C">
              <w:rPr>
                <w:b w:val="0"/>
                <w:bCs/>
                <w:sz w:val="24"/>
                <w:szCs w:val="24"/>
              </w:rPr>
              <w:t>.</w:t>
            </w:r>
            <w:r w:rsidR="00111BC2" w:rsidRPr="00111BC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3155DF" w:rsidRPr="00C86B76" w14:paraId="7DAF9929" w14:textId="77777777" w:rsidTr="002228E7">
        <w:trPr>
          <w:tblHeader/>
          <w:jc w:val="center"/>
        </w:trPr>
        <w:tc>
          <w:tcPr>
            <w:tcW w:w="2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DD7658" w14:textId="77777777" w:rsidR="003155DF" w:rsidRPr="00C86B76" w:rsidRDefault="003155DF" w:rsidP="00FB0E91">
            <w:pPr>
              <w:pStyle w:val="Tablehead"/>
              <w:keepNext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2220F" w14:textId="77777777" w:rsidR="003155DF" w:rsidRDefault="003155DF" w:rsidP="003155DF">
            <w:pPr>
              <w:pStyle w:val="Tablehe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Discussion: </w:t>
            </w:r>
          </w:p>
          <w:p w14:paraId="1A60E2F3" w14:textId="77777777" w:rsidR="00705958" w:rsidRDefault="00705958" w:rsidP="003155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Are </w:t>
            </w:r>
            <w:proofErr w:type="spellStart"/>
            <w:r>
              <w:rPr>
                <w:lang w:eastAsia="en-US"/>
              </w:rPr>
              <w:t>SGs</w:t>
            </w:r>
            <w:proofErr w:type="spellEnd"/>
            <w:r>
              <w:rPr>
                <w:lang w:eastAsia="en-US"/>
              </w:rPr>
              <w:t xml:space="preserve"> equipped with metrics to perform this assessment? </w:t>
            </w:r>
          </w:p>
          <w:p w14:paraId="63B3A436" w14:textId="40B00401" w:rsidR="00111BC2" w:rsidRPr="003155DF" w:rsidRDefault="003155DF" w:rsidP="003155DF">
            <w:pPr>
              <w:rPr>
                <w:lang w:eastAsia="en-US"/>
              </w:rPr>
            </w:pPr>
            <w:r>
              <w:rPr>
                <w:lang w:eastAsia="en-US"/>
              </w:rPr>
              <w:t>Th</w:t>
            </w:r>
            <w:r w:rsidR="00FD441C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particular </w:t>
            </w:r>
            <w:r w:rsidR="00FD441C">
              <w:rPr>
                <w:lang w:eastAsia="en-US"/>
              </w:rPr>
              <w:t>aspect of</w:t>
            </w:r>
            <w:r>
              <w:rPr>
                <w:lang w:eastAsia="en-US"/>
              </w:rPr>
              <w:t xml:space="preserve"> </w:t>
            </w:r>
            <w:r w:rsidR="00B1396B">
              <w:rPr>
                <w:lang w:eastAsia="en-US"/>
              </w:rPr>
              <w:t>“</w:t>
            </w:r>
            <w:r w:rsidR="00B1396B" w:rsidRPr="00FD441C">
              <w:rPr>
                <w:u w:val="single"/>
                <w:lang w:eastAsia="en-US"/>
              </w:rPr>
              <w:t>future</w:t>
            </w:r>
            <w:r w:rsidR="00FD441C">
              <w:rPr>
                <w:lang w:eastAsia="en-US"/>
              </w:rPr>
              <w:t xml:space="preserve"> Recommendations</w:t>
            </w:r>
            <w:r w:rsidR="00B1396B">
              <w:rPr>
                <w:lang w:eastAsia="en-US"/>
              </w:rPr>
              <w:t xml:space="preserve">” </w:t>
            </w:r>
            <w:r>
              <w:rPr>
                <w:lang w:eastAsia="en-US"/>
              </w:rPr>
              <w:t>may be considered for WTSA</w:t>
            </w:r>
            <w:r w:rsidR="00111BC2">
              <w:rPr>
                <w:lang w:eastAsia="en-US"/>
              </w:rPr>
              <w:t xml:space="preserve"> streamlining</w:t>
            </w:r>
            <w:r w:rsidR="000879A0">
              <w:rPr>
                <w:lang w:eastAsia="en-US"/>
              </w:rPr>
              <w:t xml:space="preserve"> or rewording (e.g. </w:t>
            </w:r>
            <w:r w:rsidR="00FD441C">
              <w:rPr>
                <w:lang w:eastAsia="en-US"/>
              </w:rPr>
              <w:t xml:space="preserve">their </w:t>
            </w:r>
            <w:r w:rsidR="000879A0">
              <w:rPr>
                <w:lang w:eastAsia="en-US"/>
              </w:rPr>
              <w:t>draft</w:t>
            </w:r>
            <w:proofErr w:type="gramStart"/>
            <w:r w:rsidR="00705958">
              <w:rPr>
                <w:lang w:eastAsia="en-US"/>
              </w:rPr>
              <w:t xml:space="preserve">) </w:t>
            </w:r>
            <w:r w:rsidR="00111BC2">
              <w:rPr>
                <w:lang w:eastAsia="en-US"/>
              </w:rPr>
              <w:t>?</w:t>
            </w:r>
            <w:proofErr w:type="gramEnd"/>
          </w:p>
        </w:tc>
      </w:tr>
      <w:tr w:rsidR="00695056" w:rsidRPr="00C86B76" w14:paraId="301628DF" w14:textId="77777777" w:rsidTr="00EC4DD6">
        <w:trPr>
          <w:tblHeader/>
          <w:jc w:val="center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F23B37" w14:textId="77777777" w:rsidR="00695056" w:rsidRDefault="00695056" w:rsidP="00FB0E91">
            <w:pPr>
              <w:pStyle w:val="Tablehead"/>
              <w:keepNext w:val="0"/>
              <w:rPr>
                <w:bCs/>
                <w:sz w:val="24"/>
                <w:szCs w:val="24"/>
              </w:rPr>
            </w:pPr>
            <w:r w:rsidRPr="00C86B76">
              <w:rPr>
                <w:bCs/>
                <w:sz w:val="24"/>
                <w:szCs w:val="24"/>
              </w:rPr>
              <w:lastRenderedPageBreak/>
              <w:t>94-02</w:t>
            </w:r>
          </w:p>
          <w:p w14:paraId="51EE2763" w14:textId="5C2A6D0A" w:rsidR="00695056" w:rsidRPr="00816278" w:rsidRDefault="00695056" w:rsidP="00816278">
            <w:pPr>
              <w:rPr>
                <w:lang w:eastAsia="en-US"/>
              </w:rPr>
            </w:pPr>
            <w:r w:rsidRPr="00816278">
              <w:rPr>
                <w:lang w:eastAsia="en-US"/>
              </w:rPr>
              <w:t>Resolution 94 – Standardization work in the ITU Telecommunication Standardization Sector for cloud-based event data technology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69E765" w14:textId="708B397E" w:rsidR="00695056" w:rsidRPr="00C86B76" w:rsidRDefault="00695056" w:rsidP="00FB0E91">
            <w:pPr>
              <w:pStyle w:val="Tablehead"/>
              <w:rPr>
                <w:bCs/>
                <w:sz w:val="24"/>
                <w:szCs w:val="24"/>
              </w:rPr>
            </w:pPr>
            <w:r w:rsidRPr="00C86B76">
              <w:rPr>
                <w:bCs/>
                <w:sz w:val="24"/>
                <w:szCs w:val="24"/>
              </w:rPr>
              <w:t xml:space="preserve">ITU-T </w:t>
            </w:r>
            <w:proofErr w:type="spellStart"/>
            <w:r w:rsidRPr="00C86B76">
              <w:rPr>
                <w:bCs/>
                <w:sz w:val="24"/>
                <w:szCs w:val="24"/>
              </w:rPr>
              <w:t>SGs</w:t>
            </w:r>
            <w:proofErr w:type="spellEnd"/>
            <w:r w:rsidRPr="00C86B76">
              <w:rPr>
                <w:bCs/>
                <w:sz w:val="24"/>
                <w:szCs w:val="24"/>
              </w:rPr>
              <w:t xml:space="preserve"> 13, 16, 17, 20 to make recommendations to the Telecommunication Standardization Advisory Group on how to address the topics that are outside the mandate of the study groups (resolves 2)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ECCC8" w14:textId="03E783F0" w:rsidR="00695056" w:rsidRPr="00955DA2" w:rsidRDefault="00C562F3" w:rsidP="00955DA2">
            <w:pPr>
              <w:pStyle w:val="Tablehead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 recommendations received by TSAG</w:t>
            </w:r>
            <w:r w:rsidR="00EC4DD6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C4DD6">
              <w:rPr>
                <w:b w:val="0"/>
                <w:sz w:val="24"/>
                <w:szCs w:val="24"/>
              </w:rPr>
              <w:t>I</w:t>
            </w:r>
            <w:r w:rsidR="00955DA2" w:rsidRPr="00955DA2">
              <w:rPr>
                <w:b w:val="0"/>
                <w:sz w:val="24"/>
                <w:szCs w:val="24"/>
              </w:rPr>
              <w:t>t does not appear that this is an actual need</w:t>
            </w:r>
            <w:r w:rsidR="00EC4DD6">
              <w:rPr>
                <w:b w:val="0"/>
                <w:sz w:val="24"/>
                <w:szCs w:val="24"/>
              </w:rPr>
              <w:t xml:space="preserve"> from the </w:t>
            </w:r>
            <w:proofErr w:type="spellStart"/>
            <w:r w:rsidR="00EC4DD6">
              <w:rPr>
                <w:b w:val="0"/>
                <w:sz w:val="24"/>
                <w:szCs w:val="24"/>
              </w:rPr>
              <w:t>SGs</w:t>
            </w:r>
            <w:proofErr w:type="spellEnd"/>
            <w:r w:rsidR="00955DA2" w:rsidRPr="00955DA2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955DA2" w:rsidRPr="00955DA2">
              <w:rPr>
                <w:b w:val="0"/>
                <w:sz w:val="24"/>
                <w:szCs w:val="24"/>
              </w:rPr>
              <w:t>SGs</w:t>
            </w:r>
            <w:proofErr w:type="spellEnd"/>
            <w:r w:rsidR="00955DA2" w:rsidRPr="00955DA2">
              <w:rPr>
                <w:b w:val="0"/>
                <w:sz w:val="24"/>
                <w:szCs w:val="24"/>
              </w:rPr>
              <w:t xml:space="preserve"> seems to have found their respective responsibilit</w:t>
            </w:r>
            <w:r w:rsidR="0056419F">
              <w:rPr>
                <w:b w:val="0"/>
                <w:sz w:val="24"/>
                <w:szCs w:val="24"/>
              </w:rPr>
              <w:t>ies</w:t>
            </w:r>
            <w:r w:rsidR="00955DA2" w:rsidRPr="00955DA2">
              <w:rPr>
                <w:b w:val="0"/>
                <w:sz w:val="24"/>
                <w:szCs w:val="24"/>
              </w:rPr>
              <w:t xml:space="preserve"> to address this</w:t>
            </w:r>
            <w:r w:rsidR="00EC4DD6">
              <w:rPr>
                <w:b w:val="0"/>
                <w:sz w:val="24"/>
                <w:szCs w:val="24"/>
              </w:rPr>
              <w:t xml:space="preserve"> within their scope</w:t>
            </w:r>
            <w:r w:rsidR="00B1396B">
              <w:rPr>
                <w:b w:val="0"/>
                <w:sz w:val="24"/>
                <w:szCs w:val="24"/>
              </w:rPr>
              <w:t xml:space="preserve">, </w:t>
            </w:r>
            <w:r w:rsidR="00423879">
              <w:rPr>
                <w:b w:val="0"/>
                <w:sz w:val="24"/>
                <w:szCs w:val="24"/>
              </w:rPr>
              <w:t>possibly via their own</w:t>
            </w:r>
            <w:r w:rsidR="00DA42F2">
              <w:rPr>
                <w:b w:val="0"/>
                <w:sz w:val="24"/>
                <w:szCs w:val="24"/>
              </w:rPr>
              <w:t xml:space="preserve"> “incubation mechanism”</w:t>
            </w:r>
            <w:r w:rsidR="00955DA2" w:rsidRPr="00955DA2">
              <w:rPr>
                <w:b w:val="0"/>
                <w:sz w:val="24"/>
                <w:szCs w:val="24"/>
              </w:rPr>
              <w:t>.</w:t>
            </w:r>
            <w:r w:rsidR="00EC4DD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67102" w14:textId="77777777" w:rsidR="00955DA2" w:rsidRDefault="00955DA2" w:rsidP="00955DA2">
            <w:pPr>
              <w:pStyle w:val="Tablehead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Suggested action: </w:t>
            </w:r>
          </w:p>
          <w:p w14:paraId="4D0E13B0" w14:textId="14E6F453" w:rsidR="00695056" w:rsidRPr="00955DA2" w:rsidRDefault="00955DA2" w:rsidP="00FB0E91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955DA2">
              <w:rPr>
                <w:b w:val="0"/>
                <w:bCs/>
                <w:sz w:val="24"/>
                <w:szCs w:val="24"/>
              </w:rPr>
              <w:t xml:space="preserve">Mark completed with no action. </w:t>
            </w:r>
          </w:p>
        </w:tc>
      </w:tr>
      <w:tr w:rsidR="00955DA2" w:rsidRPr="00C86B76" w14:paraId="7F1D78FB" w14:textId="77777777" w:rsidTr="00EF2039">
        <w:trPr>
          <w:tblHeader/>
          <w:jc w:val="center"/>
        </w:trPr>
        <w:tc>
          <w:tcPr>
            <w:tcW w:w="2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07EF69" w14:textId="77777777" w:rsidR="00955DA2" w:rsidRPr="00C86B76" w:rsidRDefault="00955DA2" w:rsidP="00FB0E91">
            <w:pPr>
              <w:pStyle w:val="Tablehead"/>
              <w:keepNext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5F853" w14:textId="77777777" w:rsidR="00955DA2" w:rsidRDefault="00955DA2" w:rsidP="00955DA2">
            <w:pPr>
              <w:pStyle w:val="Tablehe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Discussion: </w:t>
            </w:r>
          </w:p>
          <w:p w14:paraId="20D5CCC9" w14:textId="77777777" w:rsidR="00955DA2" w:rsidRDefault="00955DA2" w:rsidP="00EC4D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This </w:t>
            </w:r>
            <w:proofErr w:type="gramStart"/>
            <w:r>
              <w:rPr>
                <w:lang w:eastAsia="en-US"/>
              </w:rPr>
              <w:t>particular point</w:t>
            </w:r>
            <w:proofErr w:type="gramEnd"/>
            <w:r>
              <w:rPr>
                <w:lang w:eastAsia="en-US"/>
              </w:rPr>
              <w:t xml:space="preserve"> may be considered for WTSA streamlining?</w:t>
            </w:r>
            <w:r w:rsidR="00C267DE">
              <w:rPr>
                <w:lang w:eastAsia="en-US"/>
              </w:rPr>
              <w:t xml:space="preserve"> </w:t>
            </w:r>
          </w:p>
          <w:p w14:paraId="1D87D5B0" w14:textId="473BE6B7" w:rsidR="00FD441C" w:rsidRPr="00C6308A" w:rsidRDefault="00FD441C" w:rsidP="00EC4DD6">
            <w:pPr>
              <w:rPr>
                <w:lang w:eastAsia="en-US"/>
              </w:rPr>
            </w:pPr>
          </w:p>
        </w:tc>
      </w:tr>
      <w:tr w:rsidR="00695056" w:rsidRPr="00C86B76" w14:paraId="6B9B9497" w14:textId="77777777" w:rsidTr="00EC4DD6">
        <w:trPr>
          <w:tblHeader/>
          <w:jc w:val="center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30DCA7" w14:textId="77777777" w:rsidR="00695056" w:rsidRDefault="00695056" w:rsidP="004E0025">
            <w:pPr>
              <w:pStyle w:val="Tablehead"/>
              <w:keepNext w:val="0"/>
              <w:rPr>
                <w:bCs/>
                <w:sz w:val="24"/>
                <w:szCs w:val="24"/>
              </w:rPr>
            </w:pPr>
            <w:r w:rsidRPr="00C86B76">
              <w:rPr>
                <w:bCs/>
                <w:sz w:val="24"/>
                <w:szCs w:val="24"/>
              </w:rPr>
              <w:t>94-03</w:t>
            </w:r>
          </w:p>
          <w:p w14:paraId="4D3DC328" w14:textId="6C3479A6" w:rsidR="00695056" w:rsidRPr="00816278" w:rsidRDefault="00695056" w:rsidP="00816278">
            <w:pPr>
              <w:rPr>
                <w:lang w:eastAsia="en-US"/>
              </w:rPr>
            </w:pPr>
            <w:r w:rsidRPr="00816278">
              <w:rPr>
                <w:lang w:eastAsia="en-US"/>
              </w:rPr>
              <w:t>Resolution 94 – Standardization work in the ITU Telecommunication Standardization Sector for cloud-based event data technology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74BF7B" w14:textId="3BDBB759" w:rsidR="00695056" w:rsidRPr="00C86B76" w:rsidRDefault="00695056" w:rsidP="004E0025">
            <w:pPr>
              <w:pStyle w:val="Tablehead"/>
              <w:rPr>
                <w:bCs/>
                <w:sz w:val="24"/>
                <w:szCs w:val="24"/>
              </w:rPr>
            </w:pPr>
            <w:r w:rsidRPr="00C86B76">
              <w:rPr>
                <w:bCs/>
                <w:sz w:val="24"/>
                <w:szCs w:val="24"/>
              </w:rPr>
              <w:t>TSAG to drive a concerted effort across relevant study groups to accelerate standardization work on cloud-based event data technology (instructs TSAG)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E2A560" w14:textId="48C19DBD" w:rsidR="00695056" w:rsidRPr="00C86B76" w:rsidRDefault="00EC4DD6" w:rsidP="0056419F">
            <w:pPr>
              <w:pStyle w:val="Tablehead"/>
              <w:jc w:val="left"/>
              <w:rPr>
                <w:bCs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In light of</w:t>
            </w:r>
            <w:proofErr w:type="gramEnd"/>
            <w:r>
              <w:rPr>
                <w:b w:val="0"/>
                <w:sz w:val="24"/>
                <w:szCs w:val="24"/>
              </w:rPr>
              <w:t xml:space="preserve"> the development of Recommendations by </w:t>
            </w:r>
            <w:proofErr w:type="spellStart"/>
            <w:r>
              <w:rPr>
                <w:b w:val="0"/>
                <w:sz w:val="24"/>
                <w:szCs w:val="24"/>
              </w:rPr>
              <w:t>SGs</w:t>
            </w:r>
            <w:proofErr w:type="spellEnd"/>
            <w:r>
              <w:rPr>
                <w:b w:val="0"/>
                <w:sz w:val="24"/>
                <w:szCs w:val="24"/>
              </w:rPr>
              <w:t>, i</w:t>
            </w:r>
            <w:r w:rsidR="0056419F" w:rsidRPr="00955DA2">
              <w:rPr>
                <w:b w:val="0"/>
                <w:sz w:val="24"/>
                <w:szCs w:val="24"/>
              </w:rPr>
              <w:t>t does not appear that th</w:t>
            </w:r>
            <w:r>
              <w:rPr>
                <w:b w:val="0"/>
                <w:sz w:val="24"/>
                <w:szCs w:val="24"/>
              </w:rPr>
              <w:t>ere</w:t>
            </w:r>
            <w:r w:rsidR="0056419F" w:rsidRPr="00955DA2">
              <w:rPr>
                <w:b w:val="0"/>
                <w:sz w:val="24"/>
                <w:szCs w:val="24"/>
              </w:rPr>
              <w:t xml:space="preserve"> is an actual need</w:t>
            </w:r>
            <w:r>
              <w:rPr>
                <w:b w:val="0"/>
                <w:sz w:val="24"/>
                <w:szCs w:val="24"/>
              </w:rPr>
              <w:t xml:space="preserve"> to accelerate the work?</w:t>
            </w:r>
            <w:r w:rsidR="00C562F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9FFEE" w14:textId="77777777" w:rsidR="0056419F" w:rsidRDefault="0056419F" w:rsidP="0056419F">
            <w:pPr>
              <w:pStyle w:val="Tablehead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Suggested action: </w:t>
            </w:r>
          </w:p>
          <w:p w14:paraId="6EDB3C0C" w14:textId="3C66A5B4" w:rsidR="00695056" w:rsidRPr="00C6308A" w:rsidRDefault="0056419F" w:rsidP="0056419F">
            <w:pPr>
              <w:pStyle w:val="Tablehead"/>
              <w:rPr>
                <w:sz w:val="24"/>
                <w:szCs w:val="24"/>
              </w:rPr>
            </w:pPr>
            <w:r w:rsidRPr="00955DA2">
              <w:rPr>
                <w:b w:val="0"/>
                <w:bCs/>
                <w:sz w:val="24"/>
                <w:szCs w:val="24"/>
              </w:rPr>
              <w:t xml:space="preserve">Mark completed with no action. </w:t>
            </w:r>
          </w:p>
        </w:tc>
      </w:tr>
      <w:tr w:rsidR="00955DA2" w:rsidRPr="00C86B76" w14:paraId="3C1C859C" w14:textId="77777777" w:rsidTr="00895913">
        <w:trPr>
          <w:tblHeader/>
          <w:jc w:val="center"/>
        </w:trPr>
        <w:tc>
          <w:tcPr>
            <w:tcW w:w="2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2C59B6" w14:textId="77777777" w:rsidR="00955DA2" w:rsidRPr="00C86B76" w:rsidRDefault="00955DA2" w:rsidP="004E0025">
            <w:pPr>
              <w:pStyle w:val="Tablehead"/>
              <w:keepNext w:val="0"/>
              <w:rPr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58A2D" w14:textId="77777777" w:rsidR="0056419F" w:rsidRDefault="0056419F" w:rsidP="0056419F">
            <w:pPr>
              <w:pStyle w:val="Tablehea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Discussion: </w:t>
            </w:r>
          </w:p>
          <w:p w14:paraId="243C65DD" w14:textId="57F9E431" w:rsidR="00955DA2" w:rsidRPr="00C6308A" w:rsidRDefault="00955DA2" w:rsidP="006D0604">
            <w:pPr>
              <w:pStyle w:val="Tablehead"/>
              <w:jc w:val="left"/>
              <w:rPr>
                <w:sz w:val="24"/>
                <w:szCs w:val="24"/>
              </w:rPr>
            </w:pPr>
          </w:p>
        </w:tc>
      </w:tr>
    </w:tbl>
    <w:p w14:paraId="39250183" w14:textId="77777777" w:rsidR="004845EF" w:rsidRDefault="004845EF" w:rsidP="001E2996">
      <w:pPr>
        <w:rPr>
          <w:b/>
        </w:rPr>
      </w:pPr>
    </w:p>
    <w:p w14:paraId="5EBB3CE7" w14:textId="77777777" w:rsidR="00FA16B0" w:rsidRDefault="00FA16B0" w:rsidP="001E2996">
      <w:pPr>
        <w:rPr>
          <w:b/>
        </w:rPr>
      </w:pPr>
    </w:p>
    <w:p w14:paraId="164F6AA4" w14:textId="6AFBD76E" w:rsidR="001E1FC2" w:rsidRPr="00494073" w:rsidRDefault="001E1FC2" w:rsidP="001E1FC2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________________________</w:t>
      </w:r>
    </w:p>
    <w:sectPr w:rsidR="001E1FC2" w:rsidRPr="00494073" w:rsidSect="00FA16B0">
      <w:headerReference w:type="default" r:id="rId14"/>
      <w:footerReference w:type="first" r:id="rId15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79FF" w14:textId="77777777" w:rsidR="00BA08F7" w:rsidRDefault="00BA08F7">
      <w:pPr>
        <w:spacing w:before="0"/>
      </w:pPr>
      <w:r>
        <w:separator/>
      </w:r>
    </w:p>
  </w:endnote>
  <w:endnote w:type="continuationSeparator" w:id="0">
    <w:p w14:paraId="7746E4FD" w14:textId="77777777" w:rsidR="00BA08F7" w:rsidRDefault="00BA08F7">
      <w:pPr>
        <w:spacing w:before="0"/>
      </w:pPr>
      <w:r>
        <w:continuationSeparator/>
      </w:r>
    </w:p>
  </w:endnote>
  <w:endnote w:type="continuationNotice" w:id="1">
    <w:p w14:paraId="2257E6BB" w14:textId="77777777" w:rsidR="00BA08F7" w:rsidRDefault="00BA08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17F2" w14:textId="77777777" w:rsidR="00BA08F7" w:rsidRDefault="00BA08F7">
      <w:pPr>
        <w:spacing w:before="0"/>
      </w:pPr>
      <w:r>
        <w:separator/>
      </w:r>
    </w:p>
  </w:footnote>
  <w:footnote w:type="continuationSeparator" w:id="0">
    <w:p w14:paraId="374D71AA" w14:textId="77777777" w:rsidR="00BA08F7" w:rsidRDefault="00BA08F7">
      <w:pPr>
        <w:spacing w:before="0"/>
      </w:pPr>
      <w:r>
        <w:continuationSeparator/>
      </w:r>
    </w:p>
  </w:footnote>
  <w:footnote w:type="continuationNotice" w:id="1">
    <w:p w14:paraId="0E07517E" w14:textId="77777777" w:rsidR="00BA08F7" w:rsidRDefault="00BA08F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030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9A6A8" w14:textId="07468777" w:rsidR="009365FB" w:rsidRDefault="009365F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E03E9A">
          <w:rPr>
            <w:noProof/>
          </w:rPr>
          <w:t>437</w:t>
        </w:r>
      </w:p>
    </w:sdtContent>
  </w:sdt>
  <w:p w14:paraId="5FC8B144" w14:textId="77777777" w:rsidR="009365FB" w:rsidRDefault="00936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6A5"/>
    <w:multiLevelType w:val="multilevel"/>
    <w:tmpl w:val="1F8EE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C1720F"/>
    <w:multiLevelType w:val="multilevel"/>
    <w:tmpl w:val="05469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74C22"/>
    <w:multiLevelType w:val="multilevel"/>
    <w:tmpl w:val="FDAE8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C207F"/>
    <w:multiLevelType w:val="hybridMultilevel"/>
    <w:tmpl w:val="DD0CB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C5639"/>
    <w:multiLevelType w:val="multilevel"/>
    <w:tmpl w:val="3F7E3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343E7"/>
    <w:multiLevelType w:val="hybridMultilevel"/>
    <w:tmpl w:val="0A7EC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E0F0A">
      <w:start w:val="1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B7B12"/>
    <w:multiLevelType w:val="hybridMultilevel"/>
    <w:tmpl w:val="6D26CDF4"/>
    <w:lvl w:ilvl="0" w:tplc="CCCA09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3F8E"/>
    <w:multiLevelType w:val="hybridMultilevel"/>
    <w:tmpl w:val="EE221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95402"/>
    <w:multiLevelType w:val="multilevel"/>
    <w:tmpl w:val="1CA2E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60497"/>
    <w:multiLevelType w:val="multilevel"/>
    <w:tmpl w:val="775EC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2124C"/>
    <w:multiLevelType w:val="multilevel"/>
    <w:tmpl w:val="5B80C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B097A"/>
    <w:multiLevelType w:val="multilevel"/>
    <w:tmpl w:val="681A2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01F37"/>
    <w:multiLevelType w:val="multilevel"/>
    <w:tmpl w:val="F7565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E3A82"/>
    <w:multiLevelType w:val="hybridMultilevel"/>
    <w:tmpl w:val="BE904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5" w15:restartNumberingAfterBreak="0">
    <w:nsid w:val="7FFA658F"/>
    <w:multiLevelType w:val="multilevel"/>
    <w:tmpl w:val="F7565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79780799">
    <w:abstractNumId w:val="24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1800951719">
    <w:abstractNumId w:val="17"/>
  </w:num>
  <w:num w:numId="13" w16cid:durableId="1482699193">
    <w:abstractNumId w:val="15"/>
  </w:num>
  <w:num w:numId="14" w16cid:durableId="50353477">
    <w:abstractNumId w:val="23"/>
  </w:num>
  <w:num w:numId="15" w16cid:durableId="1857427893">
    <w:abstractNumId w:val="16"/>
  </w:num>
  <w:num w:numId="16" w16cid:durableId="236860757">
    <w:abstractNumId w:val="13"/>
  </w:num>
  <w:num w:numId="17" w16cid:durableId="1741979607">
    <w:abstractNumId w:val="25"/>
  </w:num>
  <w:num w:numId="18" w16cid:durableId="618295578">
    <w:abstractNumId w:val="11"/>
  </w:num>
  <w:num w:numId="19" w16cid:durableId="48038065">
    <w:abstractNumId w:val="18"/>
  </w:num>
  <w:num w:numId="20" w16cid:durableId="1196501738">
    <w:abstractNumId w:val="20"/>
  </w:num>
  <w:num w:numId="21" w16cid:durableId="910820736">
    <w:abstractNumId w:val="10"/>
  </w:num>
  <w:num w:numId="22" w16cid:durableId="131756879">
    <w:abstractNumId w:val="14"/>
  </w:num>
  <w:num w:numId="23" w16cid:durableId="1364599140">
    <w:abstractNumId w:val="21"/>
  </w:num>
  <w:num w:numId="24" w16cid:durableId="431899767">
    <w:abstractNumId w:val="12"/>
  </w:num>
  <w:num w:numId="25" w16cid:durableId="1609309506">
    <w:abstractNumId w:val="19"/>
  </w:num>
  <w:num w:numId="26" w16cid:durableId="27960569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6B8"/>
    <w:rsid w:val="0000282A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827"/>
    <w:rsid w:val="00017ACE"/>
    <w:rsid w:val="00017C1D"/>
    <w:rsid w:val="00020377"/>
    <w:rsid w:val="000208F4"/>
    <w:rsid w:val="0002096D"/>
    <w:rsid w:val="00020C4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3F86"/>
    <w:rsid w:val="000243DA"/>
    <w:rsid w:val="00024AF9"/>
    <w:rsid w:val="00024F4D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A04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028"/>
    <w:rsid w:val="00040202"/>
    <w:rsid w:val="00040F76"/>
    <w:rsid w:val="000411C4"/>
    <w:rsid w:val="0004156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443"/>
    <w:rsid w:val="00047933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16B"/>
    <w:rsid w:val="0005544E"/>
    <w:rsid w:val="0005606A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20"/>
    <w:rsid w:val="00065B3B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5E67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7C6"/>
    <w:rsid w:val="000857FA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9A0"/>
    <w:rsid w:val="00087C37"/>
    <w:rsid w:val="00087C7F"/>
    <w:rsid w:val="00087DC4"/>
    <w:rsid w:val="0009010A"/>
    <w:rsid w:val="000901E5"/>
    <w:rsid w:val="0009037C"/>
    <w:rsid w:val="00091538"/>
    <w:rsid w:val="00091603"/>
    <w:rsid w:val="000917DD"/>
    <w:rsid w:val="00091D80"/>
    <w:rsid w:val="00091EC5"/>
    <w:rsid w:val="000921AD"/>
    <w:rsid w:val="00093DAB"/>
    <w:rsid w:val="000955AD"/>
    <w:rsid w:val="00095FC2"/>
    <w:rsid w:val="000974D6"/>
    <w:rsid w:val="00097F86"/>
    <w:rsid w:val="000A0093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5C"/>
    <w:rsid w:val="000B13EA"/>
    <w:rsid w:val="000B13FE"/>
    <w:rsid w:val="000B1B75"/>
    <w:rsid w:val="000B2316"/>
    <w:rsid w:val="000B2A01"/>
    <w:rsid w:val="000B349B"/>
    <w:rsid w:val="000B3A5A"/>
    <w:rsid w:val="000B3E26"/>
    <w:rsid w:val="000B4A85"/>
    <w:rsid w:val="000B4BDC"/>
    <w:rsid w:val="000B4DD4"/>
    <w:rsid w:val="000B4E47"/>
    <w:rsid w:val="000B50A5"/>
    <w:rsid w:val="000B552A"/>
    <w:rsid w:val="000B554E"/>
    <w:rsid w:val="000B5757"/>
    <w:rsid w:val="000B582A"/>
    <w:rsid w:val="000B5967"/>
    <w:rsid w:val="000B59F5"/>
    <w:rsid w:val="000B6A9A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27A"/>
    <w:rsid w:val="000C5504"/>
    <w:rsid w:val="000C576E"/>
    <w:rsid w:val="000C64EF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BA1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EE1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49B"/>
    <w:rsid w:val="000F3BBE"/>
    <w:rsid w:val="000F44B8"/>
    <w:rsid w:val="000F4BD7"/>
    <w:rsid w:val="000F50F1"/>
    <w:rsid w:val="000F519D"/>
    <w:rsid w:val="000F5304"/>
    <w:rsid w:val="000F5592"/>
    <w:rsid w:val="000F5857"/>
    <w:rsid w:val="000F5B05"/>
    <w:rsid w:val="000F5CBE"/>
    <w:rsid w:val="000F6AD4"/>
    <w:rsid w:val="000F6AEC"/>
    <w:rsid w:val="000F6B91"/>
    <w:rsid w:val="000F6BD6"/>
    <w:rsid w:val="000F6DA8"/>
    <w:rsid w:val="000F6E0A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BC2"/>
    <w:rsid w:val="00111CB5"/>
    <w:rsid w:val="00111F78"/>
    <w:rsid w:val="001127B6"/>
    <w:rsid w:val="001138C4"/>
    <w:rsid w:val="001139EE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91E"/>
    <w:rsid w:val="00123C30"/>
    <w:rsid w:val="00123D19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B4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004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52"/>
    <w:rsid w:val="00160553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6B2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77CD8"/>
    <w:rsid w:val="0018010C"/>
    <w:rsid w:val="00180247"/>
    <w:rsid w:val="001809D2"/>
    <w:rsid w:val="00180A5D"/>
    <w:rsid w:val="001810D6"/>
    <w:rsid w:val="001816AD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5F87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844"/>
    <w:rsid w:val="00192080"/>
    <w:rsid w:val="00192631"/>
    <w:rsid w:val="001928AA"/>
    <w:rsid w:val="001928F8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063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00D"/>
    <w:rsid w:val="001A6961"/>
    <w:rsid w:val="001A7B18"/>
    <w:rsid w:val="001A7B6E"/>
    <w:rsid w:val="001A7DA6"/>
    <w:rsid w:val="001A7EE6"/>
    <w:rsid w:val="001B06B9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14E"/>
    <w:rsid w:val="001B72C2"/>
    <w:rsid w:val="001B749A"/>
    <w:rsid w:val="001B7583"/>
    <w:rsid w:val="001B78B8"/>
    <w:rsid w:val="001C004D"/>
    <w:rsid w:val="001C0390"/>
    <w:rsid w:val="001C04F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CA"/>
    <w:rsid w:val="001C3F66"/>
    <w:rsid w:val="001C47A9"/>
    <w:rsid w:val="001C4A6C"/>
    <w:rsid w:val="001C53DC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1287"/>
    <w:rsid w:val="001D12E5"/>
    <w:rsid w:val="001D17C3"/>
    <w:rsid w:val="001D1BFE"/>
    <w:rsid w:val="001D1C0A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38A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1FC2"/>
    <w:rsid w:val="001E26A1"/>
    <w:rsid w:val="001E28A1"/>
    <w:rsid w:val="001E2996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1F7804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90C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46D"/>
    <w:rsid w:val="0023560A"/>
    <w:rsid w:val="00235AD9"/>
    <w:rsid w:val="00235CF0"/>
    <w:rsid w:val="00235DB6"/>
    <w:rsid w:val="00235F00"/>
    <w:rsid w:val="00235F09"/>
    <w:rsid w:val="002361A6"/>
    <w:rsid w:val="0023626E"/>
    <w:rsid w:val="00236699"/>
    <w:rsid w:val="00236D63"/>
    <w:rsid w:val="00236FC3"/>
    <w:rsid w:val="0023742F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5BB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30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EEB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46B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80046"/>
    <w:rsid w:val="002800E6"/>
    <w:rsid w:val="002806BD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9B2"/>
    <w:rsid w:val="00285D2B"/>
    <w:rsid w:val="00285E60"/>
    <w:rsid w:val="00285F4B"/>
    <w:rsid w:val="00286113"/>
    <w:rsid w:val="002863F3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2E06"/>
    <w:rsid w:val="00293BD6"/>
    <w:rsid w:val="00293C2D"/>
    <w:rsid w:val="00293C96"/>
    <w:rsid w:val="002940BD"/>
    <w:rsid w:val="00294A77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6B78"/>
    <w:rsid w:val="002A72F5"/>
    <w:rsid w:val="002B0253"/>
    <w:rsid w:val="002B0E38"/>
    <w:rsid w:val="002B0E74"/>
    <w:rsid w:val="002B17C6"/>
    <w:rsid w:val="002B18DB"/>
    <w:rsid w:val="002B1C90"/>
    <w:rsid w:val="002B25DD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271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6B8"/>
    <w:rsid w:val="002D1910"/>
    <w:rsid w:val="002D1C9F"/>
    <w:rsid w:val="002D1CE7"/>
    <w:rsid w:val="002D203F"/>
    <w:rsid w:val="002D20FD"/>
    <w:rsid w:val="002D24AC"/>
    <w:rsid w:val="002D24FC"/>
    <w:rsid w:val="002D2AE5"/>
    <w:rsid w:val="002D39A1"/>
    <w:rsid w:val="002D3DEB"/>
    <w:rsid w:val="002D4043"/>
    <w:rsid w:val="002D4837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635"/>
    <w:rsid w:val="002D7865"/>
    <w:rsid w:val="002E0292"/>
    <w:rsid w:val="002E0733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832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8EE"/>
    <w:rsid w:val="002F39A6"/>
    <w:rsid w:val="002F3B2A"/>
    <w:rsid w:val="002F49BE"/>
    <w:rsid w:val="002F4D2B"/>
    <w:rsid w:val="002F4EF6"/>
    <w:rsid w:val="002F555A"/>
    <w:rsid w:val="002F5705"/>
    <w:rsid w:val="002F5C68"/>
    <w:rsid w:val="002F5F05"/>
    <w:rsid w:val="002F63F7"/>
    <w:rsid w:val="002F711C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D4C"/>
    <w:rsid w:val="0030717B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A78"/>
    <w:rsid w:val="00312B60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FC"/>
    <w:rsid w:val="00315274"/>
    <w:rsid w:val="003155DF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208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5DB3"/>
    <w:rsid w:val="00346A35"/>
    <w:rsid w:val="003471C0"/>
    <w:rsid w:val="00347B96"/>
    <w:rsid w:val="00347D28"/>
    <w:rsid w:val="003513AE"/>
    <w:rsid w:val="00352851"/>
    <w:rsid w:val="003535A9"/>
    <w:rsid w:val="00353BD1"/>
    <w:rsid w:val="00353C7E"/>
    <w:rsid w:val="00353DDB"/>
    <w:rsid w:val="0035471D"/>
    <w:rsid w:val="00354E66"/>
    <w:rsid w:val="00355728"/>
    <w:rsid w:val="00355AB6"/>
    <w:rsid w:val="00355C43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60464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2D71"/>
    <w:rsid w:val="00363193"/>
    <w:rsid w:val="00363613"/>
    <w:rsid w:val="00363A19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352"/>
    <w:rsid w:val="0036746D"/>
    <w:rsid w:val="003675E2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609"/>
    <w:rsid w:val="0039198F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544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23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2DC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11D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395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5E1C"/>
    <w:rsid w:val="003C68C7"/>
    <w:rsid w:val="003C6DA6"/>
    <w:rsid w:val="003C6F77"/>
    <w:rsid w:val="003C7412"/>
    <w:rsid w:val="003C796B"/>
    <w:rsid w:val="003D0501"/>
    <w:rsid w:val="003D07F3"/>
    <w:rsid w:val="003D0A00"/>
    <w:rsid w:val="003D0A5C"/>
    <w:rsid w:val="003D1203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737F"/>
    <w:rsid w:val="003F768A"/>
    <w:rsid w:val="00400962"/>
    <w:rsid w:val="0040114D"/>
    <w:rsid w:val="004011BE"/>
    <w:rsid w:val="004013A6"/>
    <w:rsid w:val="00401D19"/>
    <w:rsid w:val="0040216B"/>
    <w:rsid w:val="00402C01"/>
    <w:rsid w:val="00402E5B"/>
    <w:rsid w:val="004033B4"/>
    <w:rsid w:val="004056A9"/>
    <w:rsid w:val="00406658"/>
    <w:rsid w:val="00406E61"/>
    <w:rsid w:val="0040704B"/>
    <w:rsid w:val="00407083"/>
    <w:rsid w:val="0040779D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879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3B3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73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8A0"/>
    <w:rsid w:val="00437DF2"/>
    <w:rsid w:val="00437F87"/>
    <w:rsid w:val="00440F39"/>
    <w:rsid w:val="00441945"/>
    <w:rsid w:val="00441E5D"/>
    <w:rsid w:val="00442221"/>
    <w:rsid w:val="00442675"/>
    <w:rsid w:val="004429BD"/>
    <w:rsid w:val="00442BD4"/>
    <w:rsid w:val="00442E0C"/>
    <w:rsid w:val="00442E4F"/>
    <w:rsid w:val="00442E85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BBE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C9F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5EF"/>
    <w:rsid w:val="004849C9"/>
    <w:rsid w:val="00484EAA"/>
    <w:rsid w:val="004853AC"/>
    <w:rsid w:val="00485686"/>
    <w:rsid w:val="004858F7"/>
    <w:rsid w:val="0048617C"/>
    <w:rsid w:val="00486494"/>
    <w:rsid w:val="00486DB6"/>
    <w:rsid w:val="00486FE2"/>
    <w:rsid w:val="004873C2"/>
    <w:rsid w:val="004875E8"/>
    <w:rsid w:val="00487D30"/>
    <w:rsid w:val="0049032D"/>
    <w:rsid w:val="0049044D"/>
    <w:rsid w:val="0049116F"/>
    <w:rsid w:val="00491350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173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2268"/>
    <w:rsid w:val="004A28BC"/>
    <w:rsid w:val="004A2A92"/>
    <w:rsid w:val="004A2EFD"/>
    <w:rsid w:val="004A344F"/>
    <w:rsid w:val="004A356A"/>
    <w:rsid w:val="004A3623"/>
    <w:rsid w:val="004A36BF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AA0"/>
    <w:rsid w:val="004B1F3C"/>
    <w:rsid w:val="004B2581"/>
    <w:rsid w:val="004B29DB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042"/>
    <w:rsid w:val="004B60E6"/>
    <w:rsid w:val="004B6861"/>
    <w:rsid w:val="004B7452"/>
    <w:rsid w:val="004B77C5"/>
    <w:rsid w:val="004B79B2"/>
    <w:rsid w:val="004C1717"/>
    <w:rsid w:val="004C1737"/>
    <w:rsid w:val="004C1A26"/>
    <w:rsid w:val="004C209E"/>
    <w:rsid w:val="004C20F4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4F6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025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4F7B"/>
    <w:rsid w:val="004E51FB"/>
    <w:rsid w:val="004E59CE"/>
    <w:rsid w:val="004E68E7"/>
    <w:rsid w:val="004E699E"/>
    <w:rsid w:val="004E7168"/>
    <w:rsid w:val="004E7C6B"/>
    <w:rsid w:val="004E7D70"/>
    <w:rsid w:val="004F0216"/>
    <w:rsid w:val="004F036B"/>
    <w:rsid w:val="004F0AE3"/>
    <w:rsid w:val="004F1771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683"/>
    <w:rsid w:val="004F4D72"/>
    <w:rsid w:val="004F5C62"/>
    <w:rsid w:val="004F652D"/>
    <w:rsid w:val="004F6599"/>
    <w:rsid w:val="004F782B"/>
    <w:rsid w:val="004F7AF8"/>
    <w:rsid w:val="004F7DA5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E50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6A1F"/>
    <w:rsid w:val="00506B8D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29E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75F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2F7C"/>
    <w:rsid w:val="005430D8"/>
    <w:rsid w:val="005431D2"/>
    <w:rsid w:val="0054328A"/>
    <w:rsid w:val="00543EC1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5DE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EA4"/>
    <w:rsid w:val="0055510F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84"/>
    <w:rsid w:val="00563396"/>
    <w:rsid w:val="005635EB"/>
    <w:rsid w:val="005636B7"/>
    <w:rsid w:val="005638F4"/>
    <w:rsid w:val="0056419F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4F24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1D5F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5D9D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6DD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54B"/>
    <w:rsid w:val="005C2CD7"/>
    <w:rsid w:val="005C3245"/>
    <w:rsid w:val="005C3430"/>
    <w:rsid w:val="005C34A9"/>
    <w:rsid w:val="005C3925"/>
    <w:rsid w:val="005C3D00"/>
    <w:rsid w:val="005C3D19"/>
    <w:rsid w:val="005C3EFB"/>
    <w:rsid w:val="005C3FE8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08E0"/>
    <w:rsid w:val="005D1E47"/>
    <w:rsid w:val="005D20EF"/>
    <w:rsid w:val="005D368C"/>
    <w:rsid w:val="005D37A1"/>
    <w:rsid w:val="005D4073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6B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42D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A9A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8C7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AC"/>
    <w:rsid w:val="00685AF1"/>
    <w:rsid w:val="00685F1C"/>
    <w:rsid w:val="0068601E"/>
    <w:rsid w:val="0068631C"/>
    <w:rsid w:val="00686638"/>
    <w:rsid w:val="00686A0D"/>
    <w:rsid w:val="00686B02"/>
    <w:rsid w:val="00686E93"/>
    <w:rsid w:val="006874F3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056"/>
    <w:rsid w:val="00695244"/>
    <w:rsid w:val="00696633"/>
    <w:rsid w:val="00696AE6"/>
    <w:rsid w:val="0069703C"/>
    <w:rsid w:val="00697420"/>
    <w:rsid w:val="0069746C"/>
    <w:rsid w:val="006975BD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7D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AD7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378"/>
    <w:rsid w:val="006C1471"/>
    <w:rsid w:val="006C1810"/>
    <w:rsid w:val="006C1F09"/>
    <w:rsid w:val="006C1FB0"/>
    <w:rsid w:val="006C20BB"/>
    <w:rsid w:val="006C3108"/>
    <w:rsid w:val="006C3271"/>
    <w:rsid w:val="006C37A6"/>
    <w:rsid w:val="006C475A"/>
    <w:rsid w:val="006C4884"/>
    <w:rsid w:val="006C55B9"/>
    <w:rsid w:val="006C594C"/>
    <w:rsid w:val="006C5EC1"/>
    <w:rsid w:val="006C6213"/>
    <w:rsid w:val="006C6AE2"/>
    <w:rsid w:val="006C7034"/>
    <w:rsid w:val="006C75F9"/>
    <w:rsid w:val="006C7819"/>
    <w:rsid w:val="006C7A71"/>
    <w:rsid w:val="006D0604"/>
    <w:rsid w:val="006D1419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1CC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3EE7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944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112"/>
    <w:rsid w:val="007056B3"/>
    <w:rsid w:val="00705735"/>
    <w:rsid w:val="00705958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D7"/>
    <w:rsid w:val="00722633"/>
    <w:rsid w:val="00722C8F"/>
    <w:rsid w:val="00723111"/>
    <w:rsid w:val="007239A0"/>
    <w:rsid w:val="00724F55"/>
    <w:rsid w:val="00725E72"/>
    <w:rsid w:val="0072613C"/>
    <w:rsid w:val="00726543"/>
    <w:rsid w:val="00726D52"/>
    <w:rsid w:val="00726D7A"/>
    <w:rsid w:val="00726F5E"/>
    <w:rsid w:val="00727521"/>
    <w:rsid w:val="00727737"/>
    <w:rsid w:val="007278BB"/>
    <w:rsid w:val="00727AD3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2F7"/>
    <w:rsid w:val="00732447"/>
    <w:rsid w:val="007327ED"/>
    <w:rsid w:val="00732AAD"/>
    <w:rsid w:val="00732F56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F46"/>
    <w:rsid w:val="0075552C"/>
    <w:rsid w:val="007555B8"/>
    <w:rsid w:val="00755AB3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6CD"/>
    <w:rsid w:val="00762875"/>
    <w:rsid w:val="00762DC5"/>
    <w:rsid w:val="00763477"/>
    <w:rsid w:val="00763B9F"/>
    <w:rsid w:val="00763D9C"/>
    <w:rsid w:val="00764600"/>
    <w:rsid w:val="007658F0"/>
    <w:rsid w:val="00765A69"/>
    <w:rsid w:val="00765D18"/>
    <w:rsid w:val="00765E8E"/>
    <w:rsid w:val="007668AC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263B"/>
    <w:rsid w:val="007827C7"/>
    <w:rsid w:val="007828B2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1E"/>
    <w:rsid w:val="00790B6F"/>
    <w:rsid w:val="0079187E"/>
    <w:rsid w:val="00791934"/>
    <w:rsid w:val="00791D51"/>
    <w:rsid w:val="00792046"/>
    <w:rsid w:val="0079210B"/>
    <w:rsid w:val="007921DE"/>
    <w:rsid w:val="00792345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83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426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3A"/>
    <w:rsid w:val="007D0C68"/>
    <w:rsid w:val="007D0F20"/>
    <w:rsid w:val="007D18B5"/>
    <w:rsid w:val="007D1C29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8EA"/>
    <w:rsid w:val="007E6F8D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348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278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6F5F"/>
    <w:rsid w:val="008272B9"/>
    <w:rsid w:val="00827BBA"/>
    <w:rsid w:val="0083061E"/>
    <w:rsid w:val="0083072C"/>
    <w:rsid w:val="00831163"/>
    <w:rsid w:val="00831778"/>
    <w:rsid w:val="008318DD"/>
    <w:rsid w:val="00831B9A"/>
    <w:rsid w:val="008321CC"/>
    <w:rsid w:val="008326BA"/>
    <w:rsid w:val="008328AF"/>
    <w:rsid w:val="008328E7"/>
    <w:rsid w:val="00832ADB"/>
    <w:rsid w:val="008332C6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3A4"/>
    <w:rsid w:val="008444C2"/>
    <w:rsid w:val="00844A3D"/>
    <w:rsid w:val="00844FB6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B0D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51C"/>
    <w:rsid w:val="008659A5"/>
    <w:rsid w:val="00865C14"/>
    <w:rsid w:val="00865EF9"/>
    <w:rsid w:val="00865F02"/>
    <w:rsid w:val="008667CE"/>
    <w:rsid w:val="00866BB3"/>
    <w:rsid w:val="00866D5E"/>
    <w:rsid w:val="00867186"/>
    <w:rsid w:val="00867263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2375"/>
    <w:rsid w:val="0087238C"/>
    <w:rsid w:val="00872481"/>
    <w:rsid w:val="008726D1"/>
    <w:rsid w:val="00872869"/>
    <w:rsid w:val="00873091"/>
    <w:rsid w:val="00873106"/>
    <w:rsid w:val="008731A1"/>
    <w:rsid w:val="008748E9"/>
    <w:rsid w:val="00874B99"/>
    <w:rsid w:val="00874E5D"/>
    <w:rsid w:val="00874F22"/>
    <w:rsid w:val="00874F5F"/>
    <w:rsid w:val="00875079"/>
    <w:rsid w:val="00875234"/>
    <w:rsid w:val="008757DF"/>
    <w:rsid w:val="00875E5C"/>
    <w:rsid w:val="00876300"/>
    <w:rsid w:val="008764C1"/>
    <w:rsid w:val="00876C19"/>
    <w:rsid w:val="00876F72"/>
    <w:rsid w:val="0087725C"/>
    <w:rsid w:val="00877341"/>
    <w:rsid w:val="008775A4"/>
    <w:rsid w:val="00877A3D"/>
    <w:rsid w:val="00880A69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84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4400"/>
    <w:rsid w:val="008B5650"/>
    <w:rsid w:val="008B58FA"/>
    <w:rsid w:val="008B5E4B"/>
    <w:rsid w:val="008B5F76"/>
    <w:rsid w:val="008B6318"/>
    <w:rsid w:val="008B6445"/>
    <w:rsid w:val="008B65F8"/>
    <w:rsid w:val="008B68C6"/>
    <w:rsid w:val="008B6E1C"/>
    <w:rsid w:val="008B6EEA"/>
    <w:rsid w:val="008B787E"/>
    <w:rsid w:val="008C0054"/>
    <w:rsid w:val="008C0069"/>
    <w:rsid w:val="008C05EB"/>
    <w:rsid w:val="008C06F9"/>
    <w:rsid w:val="008C0CA3"/>
    <w:rsid w:val="008C1898"/>
    <w:rsid w:val="008C1931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063"/>
    <w:rsid w:val="008D050E"/>
    <w:rsid w:val="008D1676"/>
    <w:rsid w:val="008D17A4"/>
    <w:rsid w:val="008D1C4B"/>
    <w:rsid w:val="008D204C"/>
    <w:rsid w:val="008D2D6D"/>
    <w:rsid w:val="008D2D7B"/>
    <w:rsid w:val="008D2EA6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3CEC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579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106B1"/>
    <w:rsid w:val="00910DF2"/>
    <w:rsid w:val="00911AF7"/>
    <w:rsid w:val="00912041"/>
    <w:rsid w:val="00912078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F2"/>
    <w:rsid w:val="0091672E"/>
    <w:rsid w:val="009168A6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2A1"/>
    <w:rsid w:val="0093376D"/>
    <w:rsid w:val="00933D97"/>
    <w:rsid w:val="00933FB5"/>
    <w:rsid w:val="0093501F"/>
    <w:rsid w:val="00935446"/>
    <w:rsid w:val="00935660"/>
    <w:rsid w:val="009357A9"/>
    <w:rsid w:val="009359CE"/>
    <w:rsid w:val="00935CC6"/>
    <w:rsid w:val="009365FB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DA2"/>
    <w:rsid w:val="00955E59"/>
    <w:rsid w:val="0095643B"/>
    <w:rsid w:val="0095658E"/>
    <w:rsid w:val="00956B68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5E8"/>
    <w:rsid w:val="00984772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F22"/>
    <w:rsid w:val="00997335"/>
    <w:rsid w:val="009974B9"/>
    <w:rsid w:val="00997DBF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C27"/>
    <w:rsid w:val="009B3E85"/>
    <w:rsid w:val="009B3FB2"/>
    <w:rsid w:val="009B4A0B"/>
    <w:rsid w:val="009B4CA0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8CE"/>
    <w:rsid w:val="009C59FB"/>
    <w:rsid w:val="009C5A19"/>
    <w:rsid w:val="009C5C61"/>
    <w:rsid w:val="009C5DF9"/>
    <w:rsid w:val="009C6C9C"/>
    <w:rsid w:val="009C6D91"/>
    <w:rsid w:val="009C711E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5E52"/>
    <w:rsid w:val="009D63B3"/>
    <w:rsid w:val="009D6504"/>
    <w:rsid w:val="009D6AAC"/>
    <w:rsid w:val="009D6B30"/>
    <w:rsid w:val="009D6DF9"/>
    <w:rsid w:val="009D7102"/>
    <w:rsid w:val="009D73F1"/>
    <w:rsid w:val="009D7C84"/>
    <w:rsid w:val="009E0B13"/>
    <w:rsid w:val="009E0F31"/>
    <w:rsid w:val="009E0F3D"/>
    <w:rsid w:val="009E1255"/>
    <w:rsid w:val="009E16CF"/>
    <w:rsid w:val="009E1BBD"/>
    <w:rsid w:val="009E2145"/>
    <w:rsid w:val="009E223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DDC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7782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47C"/>
    <w:rsid w:val="00A338B7"/>
    <w:rsid w:val="00A33927"/>
    <w:rsid w:val="00A3396A"/>
    <w:rsid w:val="00A33B41"/>
    <w:rsid w:val="00A33B69"/>
    <w:rsid w:val="00A33BD6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414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07"/>
    <w:rsid w:val="00A57374"/>
    <w:rsid w:val="00A579E4"/>
    <w:rsid w:val="00A57C40"/>
    <w:rsid w:val="00A57CF4"/>
    <w:rsid w:val="00A6003A"/>
    <w:rsid w:val="00A604A2"/>
    <w:rsid w:val="00A6110F"/>
    <w:rsid w:val="00A6124A"/>
    <w:rsid w:val="00A61B85"/>
    <w:rsid w:val="00A62338"/>
    <w:rsid w:val="00A627C6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631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32D"/>
    <w:rsid w:val="00A96419"/>
    <w:rsid w:val="00A965AF"/>
    <w:rsid w:val="00A97326"/>
    <w:rsid w:val="00A97B47"/>
    <w:rsid w:val="00A97C16"/>
    <w:rsid w:val="00A97E39"/>
    <w:rsid w:val="00AA0265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A2B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04EC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9E4"/>
    <w:rsid w:val="00AD4A3D"/>
    <w:rsid w:val="00AD520D"/>
    <w:rsid w:val="00AD584A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B18"/>
    <w:rsid w:val="00AE2E2C"/>
    <w:rsid w:val="00AE2FCB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87F"/>
    <w:rsid w:val="00AF39F4"/>
    <w:rsid w:val="00AF3B7C"/>
    <w:rsid w:val="00AF40EF"/>
    <w:rsid w:val="00AF417C"/>
    <w:rsid w:val="00AF46ED"/>
    <w:rsid w:val="00AF4B54"/>
    <w:rsid w:val="00AF4C4A"/>
    <w:rsid w:val="00AF5C70"/>
    <w:rsid w:val="00AF617C"/>
    <w:rsid w:val="00AF68FB"/>
    <w:rsid w:val="00AF6BD5"/>
    <w:rsid w:val="00AF6C80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1077A"/>
    <w:rsid w:val="00B10F1A"/>
    <w:rsid w:val="00B111FB"/>
    <w:rsid w:val="00B117E3"/>
    <w:rsid w:val="00B12393"/>
    <w:rsid w:val="00B12D99"/>
    <w:rsid w:val="00B132AF"/>
    <w:rsid w:val="00B1396B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226"/>
    <w:rsid w:val="00B27650"/>
    <w:rsid w:val="00B277C3"/>
    <w:rsid w:val="00B27DDC"/>
    <w:rsid w:val="00B30229"/>
    <w:rsid w:val="00B30239"/>
    <w:rsid w:val="00B30615"/>
    <w:rsid w:val="00B306F1"/>
    <w:rsid w:val="00B31158"/>
    <w:rsid w:val="00B31227"/>
    <w:rsid w:val="00B313D1"/>
    <w:rsid w:val="00B321A7"/>
    <w:rsid w:val="00B3232D"/>
    <w:rsid w:val="00B332BE"/>
    <w:rsid w:val="00B33AB0"/>
    <w:rsid w:val="00B34277"/>
    <w:rsid w:val="00B34C1C"/>
    <w:rsid w:val="00B35008"/>
    <w:rsid w:val="00B35420"/>
    <w:rsid w:val="00B35461"/>
    <w:rsid w:val="00B362CA"/>
    <w:rsid w:val="00B364F8"/>
    <w:rsid w:val="00B36BC2"/>
    <w:rsid w:val="00B36C1B"/>
    <w:rsid w:val="00B36D65"/>
    <w:rsid w:val="00B36D67"/>
    <w:rsid w:val="00B36E0B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99E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2D66"/>
    <w:rsid w:val="00B53512"/>
    <w:rsid w:val="00B53660"/>
    <w:rsid w:val="00B53801"/>
    <w:rsid w:val="00B53965"/>
    <w:rsid w:val="00B539AA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DC9"/>
    <w:rsid w:val="00B60DD1"/>
    <w:rsid w:val="00B6105F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8F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4F1F"/>
    <w:rsid w:val="00B8500B"/>
    <w:rsid w:val="00B8537B"/>
    <w:rsid w:val="00B85CDB"/>
    <w:rsid w:val="00B85DF0"/>
    <w:rsid w:val="00B86766"/>
    <w:rsid w:val="00B86966"/>
    <w:rsid w:val="00B86D07"/>
    <w:rsid w:val="00B87828"/>
    <w:rsid w:val="00B87E00"/>
    <w:rsid w:val="00B9001C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5B5"/>
    <w:rsid w:val="00B92679"/>
    <w:rsid w:val="00B92A30"/>
    <w:rsid w:val="00B9377F"/>
    <w:rsid w:val="00B93C4D"/>
    <w:rsid w:val="00B93CEF"/>
    <w:rsid w:val="00B93EA9"/>
    <w:rsid w:val="00B941BE"/>
    <w:rsid w:val="00B94503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8F7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15B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52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6CEA"/>
    <w:rsid w:val="00BC7179"/>
    <w:rsid w:val="00BC787E"/>
    <w:rsid w:val="00BC7CB5"/>
    <w:rsid w:val="00BD05B2"/>
    <w:rsid w:val="00BD06E8"/>
    <w:rsid w:val="00BD0F32"/>
    <w:rsid w:val="00BD1350"/>
    <w:rsid w:val="00BD2452"/>
    <w:rsid w:val="00BD2466"/>
    <w:rsid w:val="00BD268C"/>
    <w:rsid w:val="00BD2B12"/>
    <w:rsid w:val="00BD2EFB"/>
    <w:rsid w:val="00BD2FED"/>
    <w:rsid w:val="00BD31E8"/>
    <w:rsid w:val="00BD382B"/>
    <w:rsid w:val="00BD3D80"/>
    <w:rsid w:val="00BD3FA9"/>
    <w:rsid w:val="00BD4078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A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37"/>
    <w:rsid w:val="00C01B78"/>
    <w:rsid w:val="00C020EA"/>
    <w:rsid w:val="00C02364"/>
    <w:rsid w:val="00C0264F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B08"/>
    <w:rsid w:val="00C10F30"/>
    <w:rsid w:val="00C112AF"/>
    <w:rsid w:val="00C1155A"/>
    <w:rsid w:val="00C11608"/>
    <w:rsid w:val="00C1179E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5ED6"/>
    <w:rsid w:val="00C16290"/>
    <w:rsid w:val="00C16349"/>
    <w:rsid w:val="00C16585"/>
    <w:rsid w:val="00C16CC6"/>
    <w:rsid w:val="00C17052"/>
    <w:rsid w:val="00C1722E"/>
    <w:rsid w:val="00C175C1"/>
    <w:rsid w:val="00C206B6"/>
    <w:rsid w:val="00C209FA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4094"/>
    <w:rsid w:val="00C240B6"/>
    <w:rsid w:val="00C24199"/>
    <w:rsid w:val="00C24B82"/>
    <w:rsid w:val="00C25162"/>
    <w:rsid w:val="00C255BD"/>
    <w:rsid w:val="00C259D9"/>
    <w:rsid w:val="00C25B41"/>
    <w:rsid w:val="00C25FE0"/>
    <w:rsid w:val="00C26068"/>
    <w:rsid w:val="00C261AA"/>
    <w:rsid w:val="00C267DE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0D3"/>
    <w:rsid w:val="00C3333E"/>
    <w:rsid w:val="00C335A9"/>
    <w:rsid w:val="00C33AFC"/>
    <w:rsid w:val="00C341C0"/>
    <w:rsid w:val="00C341D3"/>
    <w:rsid w:val="00C34470"/>
    <w:rsid w:val="00C355C3"/>
    <w:rsid w:val="00C35DD8"/>
    <w:rsid w:val="00C361B6"/>
    <w:rsid w:val="00C36425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2F3"/>
    <w:rsid w:val="00C56A75"/>
    <w:rsid w:val="00C56B00"/>
    <w:rsid w:val="00C56E56"/>
    <w:rsid w:val="00C57581"/>
    <w:rsid w:val="00C5764B"/>
    <w:rsid w:val="00C60134"/>
    <w:rsid w:val="00C60911"/>
    <w:rsid w:val="00C60F28"/>
    <w:rsid w:val="00C612B2"/>
    <w:rsid w:val="00C614B5"/>
    <w:rsid w:val="00C6190F"/>
    <w:rsid w:val="00C61A46"/>
    <w:rsid w:val="00C61A47"/>
    <w:rsid w:val="00C62D2A"/>
    <w:rsid w:val="00C6308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493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583A"/>
    <w:rsid w:val="00C75A55"/>
    <w:rsid w:val="00C75A99"/>
    <w:rsid w:val="00C75C1E"/>
    <w:rsid w:val="00C76B5D"/>
    <w:rsid w:val="00C76D9D"/>
    <w:rsid w:val="00C77E72"/>
    <w:rsid w:val="00C80055"/>
    <w:rsid w:val="00C80097"/>
    <w:rsid w:val="00C805E2"/>
    <w:rsid w:val="00C80656"/>
    <w:rsid w:val="00C806F2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815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2E6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781"/>
    <w:rsid w:val="00CB7A40"/>
    <w:rsid w:val="00CB7C1C"/>
    <w:rsid w:val="00CC0491"/>
    <w:rsid w:val="00CC083F"/>
    <w:rsid w:val="00CC0D0E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B22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9CD"/>
    <w:rsid w:val="00D03A46"/>
    <w:rsid w:val="00D041E2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74C7"/>
    <w:rsid w:val="00D075D2"/>
    <w:rsid w:val="00D07B70"/>
    <w:rsid w:val="00D07BF6"/>
    <w:rsid w:val="00D07E27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6BA"/>
    <w:rsid w:val="00D117CF"/>
    <w:rsid w:val="00D11A9D"/>
    <w:rsid w:val="00D11D6C"/>
    <w:rsid w:val="00D11F91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87"/>
    <w:rsid w:val="00D221F3"/>
    <w:rsid w:val="00D2277D"/>
    <w:rsid w:val="00D22CDB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4AE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305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0FB8"/>
    <w:rsid w:val="00D51095"/>
    <w:rsid w:val="00D5139B"/>
    <w:rsid w:val="00D51AE8"/>
    <w:rsid w:val="00D521F5"/>
    <w:rsid w:val="00D52373"/>
    <w:rsid w:val="00D5295E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10"/>
    <w:rsid w:val="00D743DD"/>
    <w:rsid w:val="00D743F3"/>
    <w:rsid w:val="00D743FA"/>
    <w:rsid w:val="00D745AC"/>
    <w:rsid w:val="00D74C6E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80F00"/>
    <w:rsid w:val="00D80F32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AC2"/>
    <w:rsid w:val="00D94C33"/>
    <w:rsid w:val="00D95F26"/>
    <w:rsid w:val="00D96175"/>
    <w:rsid w:val="00D96281"/>
    <w:rsid w:val="00D96CB1"/>
    <w:rsid w:val="00D97023"/>
    <w:rsid w:val="00D9717D"/>
    <w:rsid w:val="00D971A3"/>
    <w:rsid w:val="00D974C1"/>
    <w:rsid w:val="00D97520"/>
    <w:rsid w:val="00DA02A1"/>
    <w:rsid w:val="00DA02C8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2F2"/>
    <w:rsid w:val="00DA4770"/>
    <w:rsid w:val="00DA4E4E"/>
    <w:rsid w:val="00DA54B4"/>
    <w:rsid w:val="00DA59ED"/>
    <w:rsid w:val="00DA5FDF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2CB8"/>
    <w:rsid w:val="00DC3CDE"/>
    <w:rsid w:val="00DC4197"/>
    <w:rsid w:val="00DC4EFB"/>
    <w:rsid w:val="00DC555B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ADE"/>
    <w:rsid w:val="00DD1BD0"/>
    <w:rsid w:val="00DD1CB1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4DB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17A3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52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6EA1"/>
    <w:rsid w:val="00DE76EE"/>
    <w:rsid w:val="00DF00E5"/>
    <w:rsid w:val="00DF0731"/>
    <w:rsid w:val="00DF0DA9"/>
    <w:rsid w:val="00DF0E60"/>
    <w:rsid w:val="00DF126B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24F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199B"/>
    <w:rsid w:val="00E021CB"/>
    <w:rsid w:val="00E0224E"/>
    <w:rsid w:val="00E023B4"/>
    <w:rsid w:val="00E02B85"/>
    <w:rsid w:val="00E03233"/>
    <w:rsid w:val="00E034E8"/>
    <w:rsid w:val="00E0357B"/>
    <w:rsid w:val="00E036CB"/>
    <w:rsid w:val="00E03E9A"/>
    <w:rsid w:val="00E042FC"/>
    <w:rsid w:val="00E04D95"/>
    <w:rsid w:val="00E05200"/>
    <w:rsid w:val="00E05A03"/>
    <w:rsid w:val="00E05AB7"/>
    <w:rsid w:val="00E05C58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FC1"/>
    <w:rsid w:val="00E12B8A"/>
    <w:rsid w:val="00E12C33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719"/>
    <w:rsid w:val="00E15D39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C80"/>
    <w:rsid w:val="00E20EB4"/>
    <w:rsid w:val="00E214BE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1EDC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028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55ED"/>
    <w:rsid w:val="00E5568B"/>
    <w:rsid w:val="00E56136"/>
    <w:rsid w:val="00E56393"/>
    <w:rsid w:val="00E566B1"/>
    <w:rsid w:val="00E56ACB"/>
    <w:rsid w:val="00E56B51"/>
    <w:rsid w:val="00E56CE1"/>
    <w:rsid w:val="00E56F09"/>
    <w:rsid w:val="00E56FC7"/>
    <w:rsid w:val="00E570C5"/>
    <w:rsid w:val="00E573FE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086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4F19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1B8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54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A01"/>
    <w:rsid w:val="00EC0E20"/>
    <w:rsid w:val="00EC1360"/>
    <w:rsid w:val="00EC16B8"/>
    <w:rsid w:val="00EC1D34"/>
    <w:rsid w:val="00EC22FE"/>
    <w:rsid w:val="00EC2908"/>
    <w:rsid w:val="00EC29CA"/>
    <w:rsid w:val="00EC31EB"/>
    <w:rsid w:val="00EC3A52"/>
    <w:rsid w:val="00EC3BAE"/>
    <w:rsid w:val="00EC4071"/>
    <w:rsid w:val="00EC43B6"/>
    <w:rsid w:val="00EC4B98"/>
    <w:rsid w:val="00EC4DD6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904"/>
    <w:rsid w:val="00EE3A30"/>
    <w:rsid w:val="00EE3F24"/>
    <w:rsid w:val="00EE4274"/>
    <w:rsid w:val="00EE4A46"/>
    <w:rsid w:val="00EE4C44"/>
    <w:rsid w:val="00EE5156"/>
    <w:rsid w:val="00EE5298"/>
    <w:rsid w:val="00EE5344"/>
    <w:rsid w:val="00EE5CC1"/>
    <w:rsid w:val="00EE6336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86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1FE0"/>
    <w:rsid w:val="00F0245C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B9E"/>
    <w:rsid w:val="00F06F28"/>
    <w:rsid w:val="00F07167"/>
    <w:rsid w:val="00F10263"/>
    <w:rsid w:val="00F102E7"/>
    <w:rsid w:val="00F10B7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E6"/>
    <w:rsid w:val="00F20E11"/>
    <w:rsid w:val="00F20F32"/>
    <w:rsid w:val="00F22DD0"/>
    <w:rsid w:val="00F22EA3"/>
    <w:rsid w:val="00F235E6"/>
    <w:rsid w:val="00F236BC"/>
    <w:rsid w:val="00F23701"/>
    <w:rsid w:val="00F2399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1D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5511"/>
    <w:rsid w:val="00F45B0F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3F97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CC4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DD6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4A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6B0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91"/>
    <w:rsid w:val="00FB0EDE"/>
    <w:rsid w:val="00FB10E1"/>
    <w:rsid w:val="00FB112E"/>
    <w:rsid w:val="00FB168F"/>
    <w:rsid w:val="00FB16E3"/>
    <w:rsid w:val="00FB17C0"/>
    <w:rsid w:val="00FB1954"/>
    <w:rsid w:val="00FB1D46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578"/>
    <w:rsid w:val="00FC5A1B"/>
    <w:rsid w:val="00FC5B2D"/>
    <w:rsid w:val="00FC5C74"/>
    <w:rsid w:val="00FC607E"/>
    <w:rsid w:val="00FC6B73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311D"/>
    <w:rsid w:val="00FD3503"/>
    <w:rsid w:val="00FD399D"/>
    <w:rsid w:val="00FD39BB"/>
    <w:rsid w:val="00FD3C44"/>
    <w:rsid w:val="00FD3E6D"/>
    <w:rsid w:val="00FD4155"/>
    <w:rsid w:val="00FD432D"/>
    <w:rsid w:val="00FD441C"/>
    <w:rsid w:val="00FD47BC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64AB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8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aliases w:val="header odd,header entry,HE"/>
    <w:basedOn w:val="Normal"/>
    <w:link w:val="HeaderChar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D55AF9"/>
  </w:style>
  <w:style w:type="paragraph" w:styleId="Index2">
    <w:name w:val="index 2"/>
    <w:basedOn w:val="Normal"/>
    <w:next w:val="Normal"/>
    <w:uiPriority w:val="99"/>
    <w:semiHidden/>
    <w:rsid w:val="00D55AF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uiPriority w:val="99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uiPriority w:val="39"/>
    <w:semiHidden/>
    <w:rsid w:val="00D55AF9"/>
  </w:style>
  <w:style w:type="paragraph" w:styleId="TOC5">
    <w:name w:val="toc 5"/>
    <w:basedOn w:val="TOC4"/>
    <w:uiPriority w:val="39"/>
    <w:semiHidden/>
    <w:rsid w:val="00D55AF9"/>
  </w:style>
  <w:style w:type="paragraph" w:styleId="TOC6">
    <w:name w:val="toc 6"/>
    <w:basedOn w:val="TOC4"/>
    <w:uiPriority w:val="39"/>
    <w:semiHidden/>
    <w:rsid w:val="00D55AF9"/>
  </w:style>
  <w:style w:type="paragraph" w:styleId="TOC7">
    <w:name w:val="toc 7"/>
    <w:basedOn w:val="TOC4"/>
    <w:uiPriority w:val="39"/>
    <w:semiHidden/>
    <w:rsid w:val="00D55AF9"/>
  </w:style>
  <w:style w:type="paragraph" w:styleId="TOC8">
    <w:name w:val="toc 8"/>
    <w:basedOn w:val="TOC4"/>
    <w:uiPriority w:val="39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99287B"/>
  </w:style>
  <w:style w:type="paragraph" w:customStyle="1" w:styleId="TSBHeaderRight14">
    <w:name w:val="TSBHeaderRight14"/>
    <w:basedOn w:val="Normal"/>
    <w:qFormat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qFormat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unhideWhenUsed/>
    <w:qFormat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  <w:style w:type="paragraph" w:customStyle="1" w:styleId="paragraph">
    <w:name w:val="paragraph"/>
    <w:basedOn w:val="Normal"/>
    <w:rsid w:val="00EF5A86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eop">
    <w:name w:val="eop"/>
    <w:basedOn w:val="DefaultParagraphFont"/>
    <w:rsid w:val="00EF5A8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1378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6C1378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Heading1Centered">
    <w:name w:val="Heading 1 Centered"/>
    <w:basedOn w:val="Heading1"/>
    <w:rsid w:val="006C13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eastAsia="MS Mincho"/>
      <w:bCs/>
    </w:rPr>
  </w:style>
  <w:style w:type="paragraph" w:customStyle="1" w:styleId="LSDeadline">
    <w:name w:val="LSDeadline"/>
    <w:basedOn w:val="LSForAction"/>
    <w:next w:val="Normal"/>
    <w:rsid w:val="006C13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Source">
    <w:name w:val="LSSource"/>
    <w:basedOn w:val="LSForAction"/>
    <w:next w:val="Normal"/>
    <w:rsid w:val="006C13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Calibri"/>
      <w:bCs w:val="0"/>
      <w:szCs w:val="20"/>
      <w:lang w:eastAsia="en-US"/>
    </w:rPr>
  </w:style>
  <w:style w:type="paragraph" w:customStyle="1" w:styleId="LSTitle">
    <w:name w:val="LSTitle"/>
    <w:basedOn w:val="LSForAction"/>
    <w:next w:val="Normal"/>
    <w:rsid w:val="006C13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Calibri"/>
      <w:bCs w:val="0"/>
      <w:szCs w:val="20"/>
      <w:lang w:eastAsia="en-US"/>
    </w:rPr>
  </w:style>
  <w:style w:type="paragraph" w:customStyle="1" w:styleId="NormalITU">
    <w:name w:val="Normal_ITU"/>
    <w:basedOn w:val="Normal"/>
    <w:rsid w:val="006C1378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LSForComment">
    <w:name w:val="LSForComment"/>
    <w:basedOn w:val="LSForAction"/>
    <w:next w:val="Normal"/>
    <w:rsid w:val="006C13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C13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customStyle="1" w:styleId="Hashtag1">
    <w:name w:val="Hashtag1"/>
    <w:basedOn w:val="DefaultParagraphFont"/>
    <w:uiPriority w:val="99"/>
    <w:semiHidden/>
    <w:unhideWhenUsed/>
    <w:rsid w:val="006C1378"/>
    <w:rPr>
      <w:color w:val="2B579A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6C1378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1378"/>
    <w:rPr>
      <w:u w:val="dotted"/>
    </w:rPr>
  </w:style>
  <w:style w:type="character" w:customStyle="1" w:styleId="rynqvb">
    <w:name w:val="rynqvb"/>
    <w:basedOn w:val="DefaultParagraphFont"/>
    <w:rsid w:val="00E6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22-TSAG-230530-TD-GEN-019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4" ma:contentTypeDescription="Create a new document." ma:contentTypeScope="" ma:versionID="0d4e85eb9d341337df6277c90f96824f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48667b90e4df8a209af05101f3850035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A52DE-CC22-4375-B19F-1B41E361C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4360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3</cp:revision>
  <cp:lastPrinted>2020-02-09T20:50:00Z</cp:lastPrinted>
  <dcterms:created xsi:type="dcterms:W3CDTF">2024-01-12T10:07:00Z</dcterms:created>
  <dcterms:modified xsi:type="dcterms:W3CDTF">2024-01-12T10:08:00Z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0x010100AA4D4F99BC495543B753BE144031AD66</vt:lpwstr>
  </property>
</Properties>
</file>