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E76F9" w:rsidRPr="00B032FC" w14:paraId="131F35DB" w14:textId="77777777" w:rsidTr="006C683E">
        <w:trPr>
          <w:cantSplit/>
        </w:trPr>
        <w:tc>
          <w:tcPr>
            <w:tcW w:w="1191" w:type="dxa"/>
            <w:vMerge w:val="restart"/>
          </w:tcPr>
          <w:p w14:paraId="58A1377F" w14:textId="77777777" w:rsidR="006E76F9" w:rsidRPr="00B032FC" w:rsidRDefault="006E76F9" w:rsidP="006C683E">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6E552DCF" wp14:editId="54CB3EC8">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3BDAF866" w14:textId="77777777" w:rsidR="006E76F9" w:rsidRPr="00B032FC" w:rsidRDefault="006E76F9" w:rsidP="006C683E">
            <w:pPr>
              <w:rPr>
                <w:sz w:val="16"/>
                <w:szCs w:val="16"/>
              </w:rPr>
            </w:pPr>
            <w:r>
              <w:rPr>
                <w:rFonts w:hint="eastAsia"/>
                <w:sz w:val="16"/>
                <w:szCs w:val="16"/>
                <w:lang w:eastAsia="zh-CN"/>
              </w:rPr>
              <w:t>国际电信联盟</w:t>
            </w:r>
          </w:p>
          <w:p w14:paraId="5A784528" w14:textId="77777777" w:rsidR="006E76F9" w:rsidRPr="00B032FC" w:rsidRDefault="006E76F9" w:rsidP="006C683E">
            <w:pPr>
              <w:rPr>
                <w:b/>
                <w:bCs/>
                <w:sz w:val="26"/>
                <w:szCs w:val="26"/>
              </w:rPr>
            </w:pPr>
            <w:r>
              <w:rPr>
                <w:rFonts w:hint="eastAsia"/>
                <w:b/>
                <w:bCs/>
                <w:sz w:val="26"/>
                <w:szCs w:val="26"/>
                <w:lang w:eastAsia="zh-CN"/>
              </w:rPr>
              <w:t>电信标准化部门</w:t>
            </w:r>
          </w:p>
          <w:p w14:paraId="53020325" w14:textId="77777777" w:rsidR="006E76F9" w:rsidRPr="00B032FC" w:rsidRDefault="006E76F9" w:rsidP="006C683E">
            <w:pPr>
              <w:rPr>
                <w:sz w:val="20"/>
              </w:rPr>
            </w:pPr>
            <w:bookmarkStart w:id="5" w:name="dstudyperiod"/>
            <w:r w:rsidRPr="00B032FC">
              <w:rPr>
                <w:sz w:val="20"/>
              </w:rPr>
              <w:t>2022-</w:t>
            </w:r>
            <w:bookmarkEnd w:id="5"/>
            <w:r w:rsidRPr="00B032FC">
              <w:rPr>
                <w:sz w:val="20"/>
              </w:rPr>
              <w:t>2024</w:t>
            </w:r>
            <w:r>
              <w:rPr>
                <w:rFonts w:hint="eastAsia"/>
                <w:sz w:val="20"/>
                <w:lang w:eastAsia="zh-CN"/>
              </w:rPr>
              <w:t>研究期</w:t>
            </w:r>
          </w:p>
        </w:tc>
        <w:tc>
          <w:tcPr>
            <w:tcW w:w="4681" w:type="dxa"/>
            <w:vAlign w:val="center"/>
          </w:tcPr>
          <w:p w14:paraId="0F3F86B3" w14:textId="0EFA0E2F" w:rsidR="006E76F9" w:rsidRPr="00B032FC" w:rsidRDefault="006E76F9" w:rsidP="006C683E">
            <w:pPr>
              <w:pStyle w:val="Docnumber"/>
            </w:pPr>
            <w:r w:rsidRPr="00B032FC">
              <w:t>TSAG-TD</w:t>
            </w:r>
            <w:r w:rsidRPr="00BB7AB2">
              <w:t>409</w:t>
            </w:r>
            <w:r>
              <w:t>-C</w:t>
            </w:r>
          </w:p>
        </w:tc>
      </w:tr>
      <w:tr w:rsidR="006E76F9" w:rsidRPr="00B032FC" w14:paraId="2ADD37A8" w14:textId="77777777" w:rsidTr="006C683E">
        <w:trPr>
          <w:cantSplit/>
        </w:trPr>
        <w:tc>
          <w:tcPr>
            <w:tcW w:w="1191" w:type="dxa"/>
            <w:vMerge/>
          </w:tcPr>
          <w:p w14:paraId="2F61C835" w14:textId="77777777" w:rsidR="006E76F9" w:rsidRPr="00B032FC" w:rsidRDefault="006E76F9" w:rsidP="006C683E">
            <w:pPr>
              <w:rPr>
                <w:smallCaps/>
                <w:sz w:val="20"/>
              </w:rPr>
            </w:pPr>
            <w:bookmarkStart w:id="6" w:name="dsg" w:colFirst="2" w:colLast="2"/>
            <w:bookmarkEnd w:id="0"/>
          </w:p>
        </w:tc>
        <w:tc>
          <w:tcPr>
            <w:tcW w:w="4051" w:type="dxa"/>
            <w:gridSpan w:val="3"/>
            <w:vMerge/>
          </w:tcPr>
          <w:p w14:paraId="554A7531" w14:textId="77777777" w:rsidR="006E76F9" w:rsidRPr="00B032FC" w:rsidRDefault="006E76F9" w:rsidP="006C683E">
            <w:pPr>
              <w:rPr>
                <w:smallCaps/>
                <w:sz w:val="20"/>
              </w:rPr>
            </w:pPr>
          </w:p>
        </w:tc>
        <w:tc>
          <w:tcPr>
            <w:tcW w:w="4681" w:type="dxa"/>
          </w:tcPr>
          <w:p w14:paraId="247EADC5" w14:textId="77777777" w:rsidR="006E76F9" w:rsidRPr="00B032FC" w:rsidRDefault="006E76F9" w:rsidP="006C683E">
            <w:pPr>
              <w:jc w:val="right"/>
              <w:rPr>
                <w:b/>
                <w:bCs/>
                <w:smallCaps/>
                <w:sz w:val="28"/>
                <w:szCs w:val="28"/>
              </w:rPr>
            </w:pPr>
            <w:r w:rsidRPr="00B032FC">
              <w:rPr>
                <w:b/>
                <w:bCs/>
                <w:smallCaps/>
                <w:sz w:val="28"/>
                <w:szCs w:val="28"/>
              </w:rPr>
              <w:t>TSAG</w:t>
            </w:r>
          </w:p>
        </w:tc>
      </w:tr>
      <w:bookmarkEnd w:id="6"/>
      <w:tr w:rsidR="006E76F9" w:rsidRPr="00B032FC" w14:paraId="5F58C9EA" w14:textId="77777777" w:rsidTr="006C683E">
        <w:trPr>
          <w:cantSplit/>
        </w:trPr>
        <w:tc>
          <w:tcPr>
            <w:tcW w:w="1191" w:type="dxa"/>
            <w:vMerge/>
            <w:tcBorders>
              <w:bottom w:val="single" w:sz="12" w:space="0" w:color="auto"/>
            </w:tcBorders>
          </w:tcPr>
          <w:p w14:paraId="03AD00C0" w14:textId="77777777" w:rsidR="006E76F9" w:rsidRPr="00B032FC" w:rsidRDefault="006E76F9" w:rsidP="006C683E">
            <w:pPr>
              <w:rPr>
                <w:b/>
                <w:bCs/>
                <w:sz w:val="26"/>
              </w:rPr>
            </w:pPr>
          </w:p>
        </w:tc>
        <w:tc>
          <w:tcPr>
            <w:tcW w:w="4051" w:type="dxa"/>
            <w:gridSpan w:val="3"/>
            <w:vMerge/>
            <w:tcBorders>
              <w:bottom w:val="single" w:sz="12" w:space="0" w:color="auto"/>
            </w:tcBorders>
          </w:tcPr>
          <w:p w14:paraId="1F027BA0" w14:textId="77777777" w:rsidR="006E76F9" w:rsidRPr="00B032FC" w:rsidRDefault="006E76F9" w:rsidP="006C683E">
            <w:pPr>
              <w:rPr>
                <w:b/>
                <w:bCs/>
                <w:sz w:val="26"/>
              </w:rPr>
            </w:pPr>
          </w:p>
        </w:tc>
        <w:tc>
          <w:tcPr>
            <w:tcW w:w="4681" w:type="dxa"/>
            <w:tcBorders>
              <w:bottom w:val="single" w:sz="12" w:space="0" w:color="auto"/>
            </w:tcBorders>
            <w:vAlign w:val="center"/>
          </w:tcPr>
          <w:p w14:paraId="3D4D739B" w14:textId="77777777" w:rsidR="006E76F9" w:rsidRPr="00C151A0" w:rsidRDefault="006E76F9" w:rsidP="006C683E">
            <w:pPr>
              <w:jc w:val="right"/>
              <w:rPr>
                <w:rFonts w:ascii="SimSun" w:eastAsia="SimSun" w:hAnsi="SimSun"/>
                <w:b/>
                <w:bCs/>
                <w:sz w:val="28"/>
                <w:szCs w:val="28"/>
              </w:rPr>
            </w:pPr>
            <w:r w:rsidRPr="00C151A0">
              <w:rPr>
                <w:rFonts w:ascii="SimSun" w:eastAsia="SimSun" w:hAnsi="SimSun" w:hint="eastAsia"/>
                <w:b/>
                <w:bCs/>
                <w:sz w:val="28"/>
                <w:szCs w:val="28"/>
                <w:lang w:eastAsia="zh-CN"/>
              </w:rPr>
              <w:t>原文：英文</w:t>
            </w:r>
          </w:p>
        </w:tc>
      </w:tr>
      <w:tr w:rsidR="006E76F9" w:rsidRPr="00B032FC" w14:paraId="4B4CE3CC" w14:textId="77777777" w:rsidTr="006C683E">
        <w:trPr>
          <w:cantSplit/>
        </w:trPr>
        <w:tc>
          <w:tcPr>
            <w:tcW w:w="1617" w:type="dxa"/>
            <w:gridSpan w:val="3"/>
          </w:tcPr>
          <w:p w14:paraId="6C46F038" w14:textId="77777777" w:rsidR="006E76F9" w:rsidRPr="00C151A0" w:rsidRDefault="006E76F9" w:rsidP="006C683E">
            <w:pPr>
              <w:rPr>
                <w:rFonts w:ascii="SimSun" w:eastAsia="SimSun" w:hAnsi="SimSun"/>
                <w:b/>
                <w:bCs/>
              </w:rPr>
            </w:pPr>
            <w:bookmarkStart w:id="7" w:name="dbluepink" w:colFirst="1" w:colLast="1"/>
            <w:bookmarkStart w:id="8" w:name="dmeeting" w:colFirst="2" w:colLast="2"/>
            <w:r w:rsidRPr="00C151A0">
              <w:rPr>
                <w:rFonts w:ascii="SimSun" w:eastAsia="SimSun" w:hAnsi="SimSun" w:hint="eastAsia"/>
                <w:b/>
                <w:bCs/>
                <w:lang w:eastAsia="zh-CN"/>
              </w:rPr>
              <w:t>课题：</w:t>
            </w:r>
          </w:p>
        </w:tc>
        <w:tc>
          <w:tcPr>
            <w:tcW w:w="3625" w:type="dxa"/>
          </w:tcPr>
          <w:p w14:paraId="787A88DB" w14:textId="77777777" w:rsidR="006E76F9" w:rsidRPr="006E32BF" w:rsidRDefault="006E76F9" w:rsidP="006C683E">
            <w:pPr>
              <w:rPr>
                <w:rFonts w:eastAsia="Yu Mincho"/>
              </w:rPr>
            </w:pPr>
            <w:r w:rsidRPr="00C151A0">
              <w:rPr>
                <w:rFonts w:ascii="SimSun" w:eastAsia="SimSun" w:hAnsi="SimSun" w:hint="eastAsia"/>
              </w:rPr>
              <w:t>不适用</w:t>
            </w:r>
          </w:p>
        </w:tc>
        <w:tc>
          <w:tcPr>
            <w:tcW w:w="4681" w:type="dxa"/>
          </w:tcPr>
          <w:p w14:paraId="0FE124C9" w14:textId="77777777" w:rsidR="006E76F9" w:rsidRPr="006E76F9" w:rsidRDefault="006E76F9" w:rsidP="006C683E">
            <w:pPr>
              <w:jc w:val="right"/>
              <w:rPr>
                <w:lang w:eastAsia="zh-CN"/>
              </w:rPr>
            </w:pPr>
            <w:r w:rsidRPr="006E76F9">
              <w:rPr>
                <w:rFonts w:eastAsia="SimSun"/>
              </w:rPr>
              <w:t>2024</w:t>
            </w:r>
            <w:r w:rsidRPr="006E76F9">
              <w:rPr>
                <w:rFonts w:eastAsia="SimSun"/>
              </w:rPr>
              <w:t>年</w:t>
            </w:r>
            <w:r w:rsidRPr="006E76F9">
              <w:rPr>
                <w:rFonts w:eastAsia="SimSun"/>
              </w:rPr>
              <w:t>1</w:t>
            </w:r>
            <w:r w:rsidRPr="006E76F9">
              <w:rPr>
                <w:rFonts w:eastAsia="SimSun"/>
              </w:rPr>
              <w:t>月</w:t>
            </w:r>
            <w:r w:rsidRPr="006E76F9">
              <w:rPr>
                <w:rFonts w:eastAsia="SimSun"/>
              </w:rPr>
              <w:t>22-26</w:t>
            </w:r>
            <w:r w:rsidRPr="006E76F9">
              <w:rPr>
                <w:rFonts w:eastAsia="SimSun"/>
              </w:rPr>
              <w:t>日，日内瓦</w:t>
            </w:r>
          </w:p>
        </w:tc>
      </w:tr>
      <w:tr w:rsidR="006E76F9" w:rsidRPr="00B032FC" w14:paraId="2D3B6587" w14:textId="77777777" w:rsidTr="006C683E">
        <w:trPr>
          <w:cantSplit/>
        </w:trPr>
        <w:tc>
          <w:tcPr>
            <w:tcW w:w="9923" w:type="dxa"/>
            <w:gridSpan w:val="5"/>
          </w:tcPr>
          <w:p w14:paraId="5FCBEC76" w14:textId="77777777" w:rsidR="006E76F9" w:rsidRPr="006E76F9" w:rsidRDefault="006E76F9" w:rsidP="006C683E">
            <w:pPr>
              <w:jc w:val="center"/>
              <w:rPr>
                <w:rFonts w:eastAsia="SimSun"/>
                <w:b/>
                <w:bCs/>
              </w:rPr>
            </w:pPr>
            <w:bookmarkStart w:id="9" w:name="ddoctype" w:colFirst="0" w:colLast="0"/>
            <w:bookmarkEnd w:id="7"/>
            <w:bookmarkEnd w:id="8"/>
            <w:r w:rsidRPr="006E76F9">
              <w:rPr>
                <w:rFonts w:eastAsia="SimSun"/>
                <w:b/>
                <w:bCs/>
              </w:rPr>
              <w:t>TD</w:t>
            </w:r>
          </w:p>
        </w:tc>
      </w:tr>
      <w:tr w:rsidR="006E76F9" w:rsidRPr="00B032FC" w14:paraId="47C333F2" w14:textId="77777777" w:rsidTr="006C683E">
        <w:trPr>
          <w:cantSplit/>
        </w:trPr>
        <w:tc>
          <w:tcPr>
            <w:tcW w:w="1617" w:type="dxa"/>
            <w:gridSpan w:val="3"/>
          </w:tcPr>
          <w:p w14:paraId="5AB2ACC8" w14:textId="10EC1EE8" w:rsidR="006E76F9" w:rsidRPr="00C151A0" w:rsidRDefault="006E76F9" w:rsidP="006C683E">
            <w:pPr>
              <w:rPr>
                <w:rFonts w:ascii="SimSun" w:eastAsia="SimSun" w:hAnsi="SimSun"/>
                <w:b/>
                <w:bCs/>
              </w:rPr>
            </w:pPr>
            <w:bookmarkStart w:id="10" w:name="dsource" w:colFirst="1" w:colLast="1"/>
            <w:bookmarkEnd w:id="9"/>
            <w:r w:rsidRPr="00C151A0">
              <w:rPr>
                <w:rFonts w:ascii="SimSun" w:eastAsia="SimSun" w:hAnsi="SimSun" w:hint="eastAsia"/>
                <w:b/>
                <w:bCs/>
                <w:lang w:eastAsia="zh-CN"/>
              </w:rPr>
              <w:t>来源：</w:t>
            </w:r>
          </w:p>
        </w:tc>
        <w:tc>
          <w:tcPr>
            <w:tcW w:w="8306" w:type="dxa"/>
            <w:gridSpan w:val="2"/>
          </w:tcPr>
          <w:p w14:paraId="139B4C1A" w14:textId="77777777" w:rsidR="006E76F9" w:rsidRPr="00B032FC" w:rsidRDefault="006E76F9" w:rsidP="006C683E">
            <w:pPr>
              <w:rPr>
                <w:lang w:eastAsia="zh-CN"/>
              </w:rPr>
            </w:pPr>
            <w:r w:rsidRPr="00C151A0">
              <w:rPr>
                <w:rFonts w:ascii="SimSun" w:eastAsia="SimSun" w:hAnsi="SimSun" w:hint="eastAsia"/>
              </w:rPr>
              <w:t>电信标准化局</w:t>
            </w:r>
            <w:r>
              <w:rPr>
                <w:rFonts w:hint="eastAsia"/>
                <w:lang w:eastAsia="zh-CN"/>
              </w:rPr>
              <w:t>（</w:t>
            </w:r>
            <w:r w:rsidRPr="00B032FC">
              <w:t>TSB</w:t>
            </w:r>
            <w:r>
              <w:rPr>
                <w:rFonts w:hint="eastAsia"/>
                <w:lang w:eastAsia="zh-CN"/>
              </w:rPr>
              <w:t>）</w:t>
            </w:r>
            <w:r w:rsidRPr="00C151A0">
              <w:rPr>
                <w:rFonts w:ascii="SimSun" w:eastAsia="SimSun" w:hAnsi="SimSun" w:hint="eastAsia"/>
              </w:rPr>
              <w:t>主任</w:t>
            </w:r>
          </w:p>
        </w:tc>
      </w:tr>
      <w:tr w:rsidR="006E76F9" w:rsidRPr="00B032FC" w14:paraId="41F99193" w14:textId="77777777" w:rsidTr="006C683E">
        <w:trPr>
          <w:cantSplit/>
        </w:trPr>
        <w:tc>
          <w:tcPr>
            <w:tcW w:w="1617" w:type="dxa"/>
            <w:gridSpan w:val="3"/>
          </w:tcPr>
          <w:p w14:paraId="26ACB517" w14:textId="0802A5F7" w:rsidR="006E76F9" w:rsidRPr="00C151A0" w:rsidRDefault="006E76F9" w:rsidP="006C683E">
            <w:pPr>
              <w:rPr>
                <w:rFonts w:ascii="SimSun" w:eastAsia="SimSun" w:hAnsi="SimSun"/>
              </w:rPr>
            </w:pPr>
            <w:bookmarkStart w:id="11" w:name="dtitle1" w:colFirst="1" w:colLast="1"/>
            <w:bookmarkEnd w:id="10"/>
            <w:r w:rsidRPr="00C151A0">
              <w:rPr>
                <w:rFonts w:ascii="SimSun" w:eastAsia="SimSun" w:hAnsi="SimSun" w:hint="eastAsia"/>
                <w:b/>
                <w:bCs/>
                <w:lang w:eastAsia="zh-CN"/>
              </w:rPr>
              <w:t>标题：</w:t>
            </w:r>
          </w:p>
        </w:tc>
        <w:tc>
          <w:tcPr>
            <w:tcW w:w="8306" w:type="dxa"/>
            <w:gridSpan w:val="2"/>
          </w:tcPr>
          <w:p w14:paraId="4AABF597" w14:textId="77777777" w:rsidR="006E76F9" w:rsidRPr="00B032FC" w:rsidRDefault="006E76F9" w:rsidP="006C683E">
            <w:r w:rsidRPr="006E32BF">
              <w:rPr>
                <w:rFonts w:hint="eastAsia"/>
              </w:rPr>
              <w:t>ITU-T</w:t>
            </w:r>
            <w:r w:rsidRPr="006E32BF">
              <w:rPr>
                <w:rFonts w:hint="eastAsia"/>
              </w:rPr>
              <w:t>活动报告（</w:t>
            </w:r>
            <w:r w:rsidRPr="006E32BF">
              <w:rPr>
                <w:rFonts w:hint="eastAsia"/>
              </w:rPr>
              <w:t>2023</w:t>
            </w:r>
            <w:r w:rsidRPr="006E32BF">
              <w:rPr>
                <w:rFonts w:hint="eastAsia"/>
              </w:rPr>
              <w:t>年</w:t>
            </w:r>
            <w:r w:rsidRPr="006E32BF">
              <w:rPr>
                <w:rFonts w:hint="eastAsia"/>
              </w:rPr>
              <w:t>5</w:t>
            </w:r>
            <w:r w:rsidRPr="006E32BF">
              <w:rPr>
                <w:rFonts w:hint="eastAsia"/>
              </w:rPr>
              <w:t>月至</w:t>
            </w:r>
            <w:r w:rsidRPr="006E32BF">
              <w:rPr>
                <w:rFonts w:hint="eastAsia"/>
              </w:rPr>
              <w:t>12</w:t>
            </w:r>
            <w:r w:rsidRPr="006E32BF">
              <w:rPr>
                <w:rFonts w:hint="eastAsia"/>
              </w:rPr>
              <w:t>月）</w:t>
            </w:r>
          </w:p>
        </w:tc>
      </w:tr>
      <w:bookmarkEnd w:id="1"/>
      <w:bookmarkEnd w:id="11"/>
      <w:tr w:rsidR="006E76F9" w:rsidRPr="00C62DE1" w14:paraId="6C7C90C3" w14:textId="77777777" w:rsidTr="006C683E">
        <w:trPr>
          <w:cantSplit/>
        </w:trPr>
        <w:tc>
          <w:tcPr>
            <w:tcW w:w="1606" w:type="dxa"/>
            <w:gridSpan w:val="2"/>
            <w:tcBorders>
              <w:top w:val="single" w:sz="8" w:space="0" w:color="auto"/>
              <w:bottom w:val="single" w:sz="8" w:space="0" w:color="auto"/>
            </w:tcBorders>
          </w:tcPr>
          <w:p w14:paraId="1E528793" w14:textId="38B98DD4" w:rsidR="006E76F9" w:rsidRPr="00C151A0" w:rsidRDefault="006E76F9" w:rsidP="006C683E">
            <w:pPr>
              <w:rPr>
                <w:rFonts w:ascii="SimSun" w:eastAsia="SimSun" w:hAnsi="SimSun"/>
                <w:b/>
                <w:bCs/>
              </w:rPr>
            </w:pPr>
            <w:r w:rsidRPr="00C151A0">
              <w:rPr>
                <w:rFonts w:ascii="SimSun" w:eastAsia="SimSun" w:hAnsi="SimSun" w:hint="eastAsia"/>
                <w:b/>
                <w:bCs/>
                <w:lang w:eastAsia="zh-CN"/>
              </w:rPr>
              <w:t>联系人：</w:t>
            </w:r>
          </w:p>
        </w:tc>
        <w:tc>
          <w:tcPr>
            <w:tcW w:w="3636" w:type="dxa"/>
            <w:gridSpan w:val="2"/>
            <w:tcBorders>
              <w:top w:val="single" w:sz="8" w:space="0" w:color="auto"/>
              <w:bottom w:val="single" w:sz="8" w:space="0" w:color="auto"/>
            </w:tcBorders>
          </w:tcPr>
          <w:p w14:paraId="5F27DDB4" w14:textId="77777777" w:rsidR="006E76F9" w:rsidRPr="00B032FC" w:rsidRDefault="006E76F9" w:rsidP="006C683E">
            <w:r w:rsidRPr="00B032FC">
              <w:t>TSB</w:t>
            </w:r>
            <w:r w:rsidRPr="00C151A0">
              <w:rPr>
                <w:rFonts w:ascii="SimSun" w:eastAsia="SimSun" w:hAnsi="SimSun" w:hint="eastAsia"/>
              </w:rPr>
              <w:t>宣传官员</w:t>
            </w:r>
            <w:r>
              <w:t xml:space="preserve">Matthew Dalais </w:t>
            </w:r>
          </w:p>
        </w:tc>
        <w:tc>
          <w:tcPr>
            <w:tcW w:w="4681" w:type="dxa"/>
            <w:tcBorders>
              <w:top w:val="single" w:sz="8" w:space="0" w:color="auto"/>
              <w:bottom w:val="single" w:sz="8" w:space="0" w:color="auto"/>
            </w:tcBorders>
          </w:tcPr>
          <w:p w14:paraId="1771314A" w14:textId="1B290AE4" w:rsidR="006E76F9" w:rsidRPr="00770357" w:rsidRDefault="006E76F9" w:rsidP="006C683E">
            <w:pPr>
              <w:spacing w:after="40"/>
              <w:rPr>
                <w:lang w:val="de-DE"/>
              </w:rPr>
            </w:pPr>
            <w:r>
              <w:rPr>
                <w:rFonts w:hint="eastAsia"/>
                <w:lang w:val="de-DE" w:eastAsia="zh-CN"/>
              </w:rPr>
              <w:t>电子邮件：</w:t>
            </w:r>
            <w:hyperlink r:id="rId12" w:history="1">
              <w:r w:rsidRPr="00770357">
                <w:rPr>
                  <w:rStyle w:val="Hyperlink"/>
                  <w:lang w:val="de-DE"/>
                </w:rPr>
                <w:t>matthew.dalais@itu.int</w:t>
              </w:r>
            </w:hyperlink>
            <w:r w:rsidRPr="00770357">
              <w:rPr>
                <w:lang w:val="de-DE"/>
              </w:rPr>
              <w:t xml:space="preserve"> </w:t>
            </w:r>
          </w:p>
        </w:tc>
      </w:tr>
    </w:tbl>
    <w:p w14:paraId="01CA817B" w14:textId="77777777" w:rsidR="006E76F9" w:rsidRPr="003253DC" w:rsidRDefault="006E76F9" w:rsidP="006E76F9">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E76F9" w:rsidRPr="00444359" w14:paraId="21B4C71F" w14:textId="77777777" w:rsidTr="006C683E">
        <w:trPr>
          <w:cantSplit/>
        </w:trPr>
        <w:tc>
          <w:tcPr>
            <w:tcW w:w="1607" w:type="dxa"/>
          </w:tcPr>
          <w:p w14:paraId="50D5E9E1" w14:textId="52946A42" w:rsidR="006E76F9" w:rsidRPr="00B032FC" w:rsidRDefault="006E76F9" w:rsidP="006C683E">
            <w:pPr>
              <w:rPr>
                <w:b/>
                <w:bCs/>
              </w:rPr>
            </w:pPr>
            <w:r w:rsidRPr="00C151A0">
              <w:rPr>
                <w:rFonts w:ascii="SimSun" w:eastAsia="SimSun" w:hAnsi="SimSun" w:hint="eastAsia"/>
                <w:b/>
                <w:bCs/>
                <w:lang w:eastAsia="zh-CN"/>
              </w:rPr>
              <w:t>摘要：</w:t>
            </w:r>
          </w:p>
        </w:tc>
        <w:sdt>
          <w:sdtPr>
            <w:rPr>
              <w:rFonts w:eastAsia="SimSun"/>
            </w:rPr>
            <w:alias w:val="Abstract"/>
            <w:tag w:val="Abstract"/>
            <w:id w:val="1199126545"/>
            <w:placeholder>
              <w:docPart w:val="DF7ECF2474A04A58AC1F735DCFB4C2A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97A3E4C" w14:textId="77777777" w:rsidR="006E76F9" w:rsidRPr="006E76F9" w:rsidRDefault="006E76F9" w:rsidP="006C683E">
                <w:r w:rsidRPr="006E76F9">
                  <w:rPr>
                    <w:rFonts w:eastAsia="SimSun"/>
                  </w:rPr>
                  <w:t>本报告总结了</w:t>
                </w:r>
                <w:r w:rsidRPr="006E76F9">
                  <w:rPr>
                    <w:rFonts w:eastAsia="SimSun"/>
                  </w:rPr>
                  <w:t>TSB</w:t>
                </w:r>
                <w:r w:rsidRPr="006E76F9">
                  <w:rPr>
                    <w:rFonts w:eastAsia="SimSun"/>
                  </w:rPr>
                  <w:t>在</w:t>
                </w:r>
                <w:r w:rsidRPr="006E76F9">
                  <w:rPr>
                    <w:rFonts w:eastAsia="SimSun"/>
                  </w:rPr>
                  <w:t>2023</w:t>
                </w:r>
                <w:r w:rsidRPr="006E76F9">
                  <w:rPr>
                    <w:rFonts w:eastAsia="SimSun"/>
                  </w:rPr>
                  <w:t>年</w:t>
                </w:r>
                <w:r w:rsidRPr="006E76F9">
                  <w:rPr>
                    <w:rFonts w:eastAsia="SimSun"/>
                  </w:rPr>
                  <w:t>5</w:t>
                </w:r>
                <w:r w:rsidRPr="006E76F9">
                  <w:rPr>
                    <w:rFonts w:eastAsia="SimSun"/>
                  </w:rPr>
                  <w:t>月至</w:t>
                </w:r>
                <w:r w:rsidRPr="006E76F9">
                  <w:rPr>
                    <w:rFonts w:eastAsia="SimSun"/>
                  </w:rPr>
                  <w:t>12</w:t>
                </w:r>
                <w:r w:rsidRPr="006E76F9">
                  <w:rPr>
                    <w:rFonts w:eastAsia="SimSun"/>
                  </w:rPr>
                  <w:t>月期间为</w:t>
                </w:r>
                <w:r w:rsidRPr="006E76F9">
                  <w:rPr>
                    <w:rFonts w:eastAsia="SimSun"/>
                  </w:rPr>
                  <w:t>ITU-T</w:t>
                </w:r>
                <w:r w:rsidRPr="006E76F9">
                  <w:rPr>
                    <w:rFonts w:eastAsia="SimSun"/>
                  </w:rPr>
                  <w:t>活动提供的便利。</w:t>
                </w:r>
              </w:p>
            </w:tc>
          </w:sdtContent>
        </w:sdt>
      </w:tr>
    </w:tbl>
    <w:p w14:paraId="2F47BE1D" w14:textId="77777777" w:rsidR="006E76F9" w:rsidRPr="00C32576" w:rsidRDefault="006E76F9" w:rsidP="006E76F9"/>
    <w:p w14:paraId="28DD5614" w14:textId="0D95E3D7" w:rsidR="00136E7B" w:rsidRPr="00C32576" w:rsidRDefault="00136E7B" w:rsidP="00136E7B">
      <w:pPr>
        <w:pageBreakBefore/>
        <w:jc w:val="center"/>
      </w:pPr>
      <w:r w:rsidRPr="00C32576">
        <w:lastRenderedPageBreak/>
        <w:t>CONTENTS</w:t>
      </w:r>
    </w:p>
    <w:p w14:paraId="3FB9904B" w14:textId="5522E9BD" w:rsidR="005F0369" w:rsidRDefault="00136E7B">
      <w:pPr>
        <w:pStyle w:val="TOC1"/>
        <w:rPr>
          <w:rFonts w:asciiTheme="minorHAnsi" w:eastAsiaTheme="minorEastAsia" w:hAnsiTheme="minorHAnsi" w:cstheme="minorBidi"/>
          <w:kern w:val="2"/>
          <w:sz w:val="22"/>
          <w:szCs w:val="22"/>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56392403" w:history="1">
        <w:r w:rsidR="005F0369" w:rsidRPr="005121E7">
          <w:rPr>
            <w:rStyle w:val="Hyperlink"/>
          </w:rPr>
          <w:t>Executive Summary</w:t>
        </w:r>
        <w:r w:rsidR="005F0369">
          <w:rPr>
            <w:webHidden/>
          </w:rPr>
          <w:tab/>
        </w:r>
        <w:r w:rsidR="005F0369">
          <w:rPr>
            <w:webHidden/>
          </w:rPr>
          <w:fldChar w:fldCharType="begin"/>
        </w:r>
        <w:r w:rsidR="005F0369">
          <w:rPr>
            <w:webHidden/>
          </w:rPr>
          <w:instrText xml:space="preserve"> PAGEREF _Toc156392403 \h </w:instrText>
        </w:r>
        <w:r w:rsidR="005F0369">
          <w:rPr>
            <w:webHidden/>
          </w:rPr>
        </w:r>
        <w:r w:rsidR="005F0369">
          <w:rPr>
            <w:webHidden/>
          </w:rPr>
          <w:fldChar w:fldCharType="separate"/>
        </w:r>
        <w:r w:rsidR="005F0369">
          <w:rPr>
            <w:webHidden/>
          </w:rPr>
          <w:t>4</w:t>
        </w:r>
        <w:r w:rsidR="005F0369">
          <w:rPr>
            <w:webHidden/>
          </w:rPr>
          <w:fldChar w:fldCharType="end"/>
        </w:r>
      </w:hyperlink>
    </w:p>
    <w:p w14:paraId="4CE15ACC" w14:textId="3D58A77B"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04" w:history="1">
        <w:r w:rsidR="005F0369" w:rsidRPr="005121E7">
          <w:rPr>
            <w:rStyle w:val="Hyperlink"/>
          </w:rPr>
          <w:t>Annex – Full report of activities in ITU-T in the study period</w:t>
        </w:r>
        <w:r w:rsidR="005F0369">
          <w:rPr>
            <w:webHidden/>
          </w:rPr>
          <w:tab/>
        </w:r>
        <w:r w:rsidR="005F0369">
          <w:rPr>
            <w:webHidden/>
          </w:rPr>
          <w:fldChar w:fldCharType="begin"/>
        </w:r>
        <w:r w:rsidR="005F0369">
          <w:rPr>
            <w:webHidden/>
          </w:rPr>
          <w:instrText xml:space="preserve"> PAGEREF _Toc156392404 \h </w:instrText>
        </w:r>
        <w:r w:rsidR="005F0369">
          <w:rPr>
            <w:webHidden/>
          </w:rPr>
        </w:r>
        <w:r w:rsidR="005F0369">
          <w:rPr>
            <w:webHidden/>
          </w:rPr>
          <w:fldChar w:fldCharType="separate"/>
        </w:r>
        <w:r w:rsidR="005F0369">
          <w:rPr>
            <w:webHidden/>
          </w:rPr>
          <w:t>6</w:t>
        </w:r>
        <w:r w:rsidR="005F0369">
          <w:rPr>
            <w:webHidden/>
          </w:rPr>
          <w:fldChar w:fldCharType="end"/>
        </w:r>
      </w:hyperlink>
    </w:p>
    <w:p w14:paraId="7C651DDF" w14:textId="56E9EB96"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05" w:history="1">
        <w:r w:rsidR="005F0369" w:rsidRPr="005121E7">
          <w:rPr>
            <w:rStyle w:val="Hyperlink"/>
          </w:rPr>
          <w:t>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study groups</w:t>
        </w:r>
        <w:r w:rsidR="005F0369">
          <w:rPr>
            <w:webHidden/>
          </w:rPr>
          <w:tab/>
        </w:r>
        <w:r w:rsidR="005F0369">
          <w:rPr>
            <w:webHidden/>
          </w:rPr>
          <w:fldChar w:fldCharType="begin"/>
        </w:r>
        <w:r w:rsidR="005F0369">
          <w:rPr>
            <w:webHidden/>
          </w:rPr>
          <w:instrText xml:space="preserve"> PAGEREF _Toc156392405 \h </w:instrText>
        </w:r>
        <w:r w:rsidR="005F0369">
          <w:rPr>
            <w:webHidden/>
          </w:rPr>
        </w:r>
        <w:r w:rsidR="005F0369">
          <w:rPr>
            <w:webHidden/>
          </w:rPr>
          <w:fldChar w:fldCharType="separate"/>
        </w:r>
        <w:r w:rsidR="005F0369">
          <w:rPr>
            <w:webHidden/>
          </w:rPr>
          <w:t>6</w:t>
        </w:r>
        <w:r w:rsidR="005F0369">
          <w:rPr>
            <w:webHidden/>
          </w:rPr>
          <w:fldChar w:fldCharType="end"/>
        </w:r>
      </w:hyperlink>
    </w:p>
    <w:p w14:paraId="4E37E514" w14:textId="18C92D11"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6" w:history="1">
        <w:r w:rsidR="005F0369" w:rsidRPr="005121E7">
          <w:rPr>
            <w:rStyle w:val="Hyperlink"/>
          </w:rPr>
          <w:t>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Standards approved and study group meetings</w:t>
        </w:r>
        <w:r w:rsidR="005F0369">
          <w:rPr>
            <w:webHidden/>
          </w:rPr>
          <w:tab/>
        </w:r>
        <w:r w:rsidR="005F0369">
          <w:rPr>
            <w:webHidden/>
          </w:rPr>
          <w:fldChar w:fldCharType="begin"/>
        </w:r>
        <w:r w:rsidR="005F0369">
          <w:rPr>
            <w:webHidden/>
          </w:rPr>
          <w:instrText xml:space="preserve"> PAGEREF _Toc156392406 \h </w:instrText>
        </w:r>
        <w:r w:rsidR="005F0369">
          <w:rPr>
            <w:webHidden/>
          </w:rPr>
        </w:r>
        <w:r w:rsidR="005F0369">
          <w:rPr>
            <w:webHidden/>
          </w:rPr>
          <w:fldChar w:fldCharType="separate"/>
        </w:r>
        <w:r w:rsidR="005F0369">
          <w:rPr>
            <w:webHidden/>
          </w:rPr>
          <w:t>6</w:t>
        </w:r>
        <w:r w:rsidR="005F0369">
          <w:rPr>
            <w:webHidden/>
          </w:rPr>
          <w:fldChar w:fldCharType="end"/>
        </w:r>
      </w:hyperlink>
    </w:p>
    <w:p w14:paraId="515C0DDA" w14:textId="3F198929"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7" w:history="1">
        <w:r w:rsidR="005F0369" w:rsidRPr="005121E7">
          <w:rPr>
            <w:rStyle w:val="Hyperlink"/>
          </w:rPr>
          <w:t>1.2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Non-attendance of chairmen and vice-chairmen</w:t>
        </w:r>
        <w:r w:rsidR="005F0369">
          <w:rPr>
            <w:webHidden/>
          </w:rPr>
          <w:tab/>
        </w:r>
        <w:r w:rsidR="005F0369">
          <w:rPr>
            <w:webHidden/>
          </w:rPr>
          <w:fldChar w:fldCharType="begin"/>
        </w:r>
        <w:r w:rsidR="005F0369">
          <w:rPr>
            <w:webHidden/>
          </w:rPr>
          <w:instrText xml:space="preserve"> PAGEREF _Toc156392407 \h </w:instrText>
        </w:r>
        <w:r w:rsidR="005F0369">
          <w:rPr>
            <w:webHidden/>
          </w:rPr>
        </w:r>
        <w:r w:rsidR="005F0369">
          <w:rPr>
            <w:webHidden/>
          </w:rPr>
          <w:fldChar w:fldCharType="separate"/>
        </w:r>
        <w:r w:rsidR="005F0369">
          <w:rPr>
            <w:webHidden/>
          </w:rPr>
          <w:t>6</w:t>
        </w:r>
        <w:r w:rsidR="005F0369">
          <w:rPr>
            <w:webHidden/>
          </w:rPr>
          <w:fldChar w:fldCharType="end"/>
        </w:r>
      </w:hyperlink>
    </w:p>
    <w:p w14:paraId="538C3903" w14:textId="28ECE817"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08" w:history="1">
        <w:r w:rsidR="005F0369" w:rsidRPr="005121E7">
          <w:rPr>
            <w:rStyle w:val="Hyperlink"/>
          </w:rPr>
          <w:t>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focus groups</w:t>
        </w:r>
        <w:r w:rsidR="005F0369">
          <w:rPr>
            <w:webHidden/>
          </w:rPr>
          <w:tab/>
        </w:r>
        <w:r w:rsidR="005F0369">
          <w:rPr>
            <w:webHidden/>
          </w:rPr>
          <w:fldChar w:fldCharType="begin"/>
        </w:r>
        <w:r w:rsidR="005F0369">
          <w:rPr>
            <w:webHidden/>
          </w:rPr>
          <w:instrText xml:space="preserve"> PAGEREF _Toc156392408 \h </w:instrText>
        </w:r>
        <w:r w:rsidR="005F0369">
          <w:rPr>
            <w:webHidden/>
          </w:rPr>
        </w:r>
        <w:r w:rsidR="005F0369">
          <w:rPr>
            <w:webHidden/>
          </w:rPr>
          <w:fldChar w:fldCharType="separate"/>
        </w:r>
        <w:r w:rsidR="005F0369">
          <w:rPr>
            <w:webHidden/>
          </w:rPr>
          <w:t>7</w:t>
        </w:r>
        <w:r w:rsidR="005F0369">
          <w:rPr>
            <w:webHidden/>
          </w:rPr>
          <w:fldChar w:fldCharType="end"/>
        </w:r>
      </w:hyperlink>
    </w:p>
    <w:p w14:paraId="4574199B" w14:textId="67DAE020"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09" w:history="1">
        <w:r w:rsidR="005F0369" w:rsidRPr="005121E7">
          <w:rPr>
            <w:rStyle w:val="Hyperlink"/>
          </w:rPr>
          <w:t>2.1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Active groups</w:t>
        </w:r>
        <w:r w:rsidR="005F0369">
          <w:rPr>
            <w:webHidden/>
          </w:rPr>
          <w:tab/>
        </w:r>
        <w:r w:rsidR="005F0369">
          <w:rPr>
            <w:webHidden/>
          </w:rPr>
          <w:fldChar w:fldCharType="begin"/>
        </w:r>
        <w:r w:rsidR="005F0369">
          <w:rPr>
            <w:webHidden/>
          </w:rPr>
          <w:instrText xml:space="preserve"> PAGEREF _Toc156392409 \h </w:instrText>
        </w:r>
        <w:r w:rsidR="005F0369">
          <w:rPr>
            <w:webHidden/>
          </w:rPr>
        </w:r>
        <w:r w:rsidR="005F0369">
          <w:rPr>
            <w:webHidden/>
          </w:rPr>
          <w:fldChar w:fldCharType="separate"/>
        </w:r>
        <w:r w:rsidR="005F0369">
          <w:rPr>
            <w:webHidden/>
          </w:rPr>
          <w:t>7</w:t>
        </w:r>
        <w:r w:rsidR="005F0369">
          <w:rPr>
            <w:webHidden/>
          </w:rPr>
          <w:fldChar w:fldCharType="end"/>
        </w:r>
      </w:hyperlink>
    </w:p>
    <w:p w14:paraId="12073045" w14:textId="1E2AD52A"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0" w:history="1">
        <w:r w:rsidR="005F0369" w:rsidRPr="005121E7">
          <w:rPr>
            <w:rStyle w:val="Hyperlink"/>
          </w:rPr>
          <w:t>2.2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Concluded groups</w:t>
        </w:r>
        <w:r w:rsidR="005F0369">
          <w:rPr>
            <w:webHidden/>
          </w:rPr>
          <w:tab/>
        </w:r>
        <w:r w:rsidR="005F0369">
          <w:rPr>
            <w:webHidden/>
          </w:rPr>
          <w:fldChar w:fldCharType="begin"/>
        </w:r>
        <w:r w:rsidR="005F0369">
          <w:rPr>
            <w:webHidden/>
          </w:rPr>
          <w:instrText xml:space="preserve"> PAGEREF _Toc156392410 \h </w:instrText>
        </w:r>
        <w:r w:rsidR="005F0369">
          <w:rPr>
            <w:webHidden/>
          </w:rPr>
        </w:r>
        <w:r w:rsidR="005F0369">
          <w:rPr>
            <w:webHidden/>
          </w:rPr>
          <w:fldChar w:fldCharType="separate"/>
        </w:r>
        <w:r w:rsidR="005F0369">
          <w:rPr>
            <w:webHidden/>
          </w:rPr>
          <w:t>8</w:t>
        </w:r>
        <w:r w:rsidR="005F0369">
          <w:rPr>
            <w:webHidden/>
          </w:rPr>
          <w:fldChar w:fldCharType="end"/>
        </w:r>
      </w:hyperlink>
    </w:p>
    <w:p w14:paraId="38D37C31" w14:textId="765784BA"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11" w:history="1">
        <w:r w:rsidR="005F0369" w:rsidRPr="005121E7">
          <w:rPr>
            <w:rStyle w:val="Hyperlink"/>
          </w:rPr>
          <w:t>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Workshops, symposia and webinars</w:t>
        </w:r>
        <w:r w:rsidR="005F0369">
          <w:rPr>
            <w:webHidden/>
          </w:rPr>
          <w:tab/>
        </w:r>
        <w:r w:rsidR="005F0369">
          <w:rPr>
            <w:webHidden/>
          </w:rPr>
          <w:fldChar w:fldCharType="begin"/>
        </w:r>
        <w:r w:rsidR="005F0369">
          <w:rPr>
            <w:webHidden/>
          </w:rPr>
          <w:instrText xml:space="preserve"> PAGEREF _Toc156392411 \h </w:instrText>
        </w:r>
        <w:r w:rsidR="005F0369">
          <w:rPr>
            <w:webHidden/>
          </w:rPr>
        </w:r>
        <w:r w:rsidR="005F0369">
          <w:rPr>
            <w:webHidden/>
          </w:rPr>
          <w:fldChar w:fldCharType="separate"/>
        </w:r>
        <w:r w:rsidR="005F0369">
          <w:rPr>
            <w:webHidden/>
          </w:rPr>
          <w:t>8</w:t>
        </w:r>
        <w:r w:rsidR="005F0369">
          <w:rPr>
            <w:webHidden/>
          </w:rPr>
          <w:fldChar w:fldCharType="end"/>
        </w:r>
      </w:hyperlink>
    </w:p>
    <w:p w14:paraId="24503553" w14:textId="670AABBA"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12" w:history="1">
        <w:r w:rsidR="005F0369" w:rsidRPr="005121E7">
          <w:rPr>
            <w:rStyle w:val="Hyperlink"/>
          </w:rPr>
          <w:t>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Virtual meetings</w:t>
        </w:r>
        <w:r w:rsidR="005F0369">
          <w:rPr>
            <w:webHidden/>
          </w:rPr>
          <w:tab/>
        </w:r>
        <w:r w:rsidR="005F0369">
          <w:rPr>
            <w:webHidden/>
          </w:rPr>
          <w:fldChar w:fldCharType="begin"/>
        </w:r>
        <w:r w:rsidR="005F0369">
          <w:rPr>
            <w:webHidden/>
          </w:rPr>
          <w:instrText xml:space="preserve"> PAGEREF _Toc156392412 \h </w:instrText>
        </w:r>
        <w:r w:rsidR="005F0369">
          <w:rPr>
            <w:webHidden/>
          </w:rPr>
        </w:r>
        <w:r w:rsidR="005F0369">
          <w:rPr>
            <w:webHidden/>
          </w:rPr>
          <w:fldChar w:fldCharType="separate"/>
        </w:r>
        <w:r w:rsidR="005F0369">
          <w:rPr>
            <w:webHidden/>
          </w:rPr>
          <w:t>8</w:t>
        </w:r>
        <w:r w:rsidR="005F0369">
          <w:rPr>
            <w:webHidden/>
          </w:rPr>
          <w:fldChar w:fldCharType="end"/>
        </w:r>
      </w:hyperlink>
    </w:p>
    <w:p w14:paraId="341A7C9B" w14:textId="673F6BF3"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13" w:history="1">
        <w:r w:rsidR="005F0369" w:rsidRPr="005121E7">
          <w:rPr>
            <w:rStyle w:val="Hyperlink"/>
          </w:rPr>
          <w:t>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Collaboration initiatives</w:t>
        </w:r>
        <w:r w:rsidR="005F0369">
          <w:rPr>
            <w:webHidden/>
          </w:rPr>
          <w:tab/>
        </w:r>
        <w:r w:rsidR="005F0369">
          <w:rPr>
            <w:webHidden/>
          </w:rPr>
          <w:fldChar w:fldCharType="begin"/>
        </w:r>
        <w:r w:rsidR="005F0369">
          <w:rPr>
            <w:webHidden/>
          </w:rPr>
          <w:instrText xml:space="preserve"> PAGEREF _Toc156392413 \h </w:instrText>
        </w:r>
        <w:r w:rsidR="005F0369">
          <w:rPr>
            <w:webHidden/>
          </w:rPr>
        </w:r>
        <w:r w:rsidR="005F0369">
          <w:rPr>
            <w:webHidden/>
          </w:rPr>
          <w:fldChar w:fldCharType="separate"/>
        </w:r>
        <w:r w:rsidR="005F0369">
          <w:rPr>
            <w:webHidden/>
          </w:rPr>
          <w:t>9</w:t>
        </w:r>
        <w:r w:rsidR="005F0369">
          <w:rPr>
            <w:webHidden/>
          </w:rPr>
          <w:fldChar w:fldCharType="end"/>
        </w:r>
      </w:hyperlink>
    </w:p>
    <w:p w14:paraId="772B1CC6" w14:textId="60CEC684"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4" w:history="1">
        <w:r w:rsidR="005F0369" w:rsidRPr="005121E7">
          <w:rPr>
            <w:rStyle w:val="Hyperlink"/>
          </w:rPr>
          <w:t>5.1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Artificial intelligence and machine learning</w:t>
        </w:r>
        <w:r w:rsidR="005F0369">
          <w:rPr>
            <w:webHidden/>
          </w:rPr>
          <w:tab/>
        </w:r>
        <w:r w:rsidR="005F0369">
          <w:rPr>
            <w:webHidden/>
          </w:rPr>
          <w:fldChar w:fldCharType="begin"/>
        </w:r>
        <w:r w:rsidR="005F0369">
          <w:rPr>
            <w:webHidden/>
          </w:rPr>
          <w:instrText xml:space="preserve"> PAGEREF _Toc156392414 \h </w:instrText>
        </w:r>
        <w:r w:rsidR="005F0369">
          <w:rPr>
            <w:webHidden/>
          </w:rPr>
        </w:r>
        <w:r w:rsidR="005F0369">
          <w:rPr>
            <w:webHidden/>
          </w:rPr>
          <w:fldChar w:fldCharType="separate"/>
        </w:r>
        <w:r w:rsidR="005F0369">
          <w:rPr>
            <w:webHidden/>
          </w:rPr>
          <w:t>9</w:t>
        </w:r>
        <w:r w:rsidR="005F0369">
          <w:rPr>
            <w:webHidden/>
          </w:rPr>
          <w:fldChar w:fldCharType="end"/>
        </w:r>
      </w:hyperlink>
    </w:p>
    <w:p w14:paraId="4BFBC94C" w14:textId="75C02A9D"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5" w:history="1">
        <w:r w:rsidR="005F0369" w:rsidRPr="005121E7">
          <w:rPr>
            <w:rStyle w:val="Hyperlink"/>
          </w:rPr>
          <w:t>5.2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Artificial intelligence for health</w:t>
        </w:r>
        <w:r w:rsidR="005F0369">
          <w:rPr>
            <w:webHidden/>
          </w:rPr>
          <w:tab/>
        </w:r>
        <w:r w:rsidR="005F0369">
          <w:rPr>
            <w:webHidden/>
          </w:rPr>
          <w:fldChar w:fldCharType="begin"/>
        </w:r>
        <w:r w:rsidR="005F0369">
          <w:rPr>
            <w:webHidden/>
          </w:rPr>
          <w:instrText xml:space="preserve"> PAGEREF _Toc156392415 \h </w:instrText>
        </w:r>
        <w:r w:rsidR="005F0369">
          <w:rPr>
            <w:webHidden/>
          </w:rPr>
        </w:r>
        <w:r w:rsidR="005F0369">
          <w:rPr>
            <w:webHidden/>
          </w:rPr>
          <w:fldChar w:fldCharType="separate"/>
        </w:r>
        <w:r w:rsidR="005F0369">
          <w:rPr>
            <w:webHidden/>
          </w:rPr>
          <w:t>11</w:t>
        </w:r>
        <w:r w:rsidR="005F0369">
          <w:rPr>
            <w:webHidden/>
          </w:rPr>
          <w:fldChar w:fldCharType="end"/>
        </w:r>
      </w:hyperlink>
    </w:p>
    <w:p w14:paraId="15663BB5" w14:textId="79AD1B2D"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6" w:history="1">
        <w:r w:rsidR="005F0369" w:rsidRPr="005121E7">
          <w:rPr>
            <w:rStyle w:val="Hyperlink"/>
          </w:rPr>
          <w:t>5.3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Digital financial inclusion and fintech</w:t>
        </w:r>
        <w:r w:rsidR="005F0369">
          <w:rPr>
            <w:webHidden/>
          </w:rPr>
          <w:tab/>
        </w:r>
        <w:r w:rsidR="005F0369">
          <w:rPr>
            <w:webHidden/>
          </w:rPr>
          <w:fldChar w:fldCharType="begin"/>
        </w:r>
        <w:r w:rsidR="005F0369">
          <w:rPr>
            <w:webHidden/>
          </w:rPr>
          <w:instrText xml:space="preserve"> PAGEREF _Toc156392416 \h </w:instrText>
        </w:r>
        <w:r w:rsidR="005F0369">
          <w:rPr>
            <w:webHidden/>
          </w:rPr>
        </w:r>
        <w:r w:rsidR="005F0369">
          <w:rPr>
            <w:webHidden/>
          </w:rPr>
          <w:fldChar w:fldCharType="separate"/>
        </w:r>
        <w:r w:rsidR="005F0369">
          <w:rPr>
            <w:webHidden/>
          </w:rPr>
          <w:t>11</w:t>
        </w:r>
        <w:r w:rsidR="005F0369">
          <w:rPr>
            <w:webHidden/>
          </w:rPr>
          <w:fldChar w:fldCharType="end"/>
        </w:r>
      </w:hyperlink>
    </w:p>
    <w:p w14:paraId="0E0D5318" w14:textId="7ABEABCA"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7" w:history="1">
        <w:r w:rsidR="005F0369" w:rsidRPr="005121E7">
          <w:rPr>
            <w:rStyle w:val="Hyperlink"/>
          </w:rPr>
          <w:t>5.4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Digital transformation for smart cities and communities</w:t>
        </w:r>
        <w:r w:rsidR="005F0369">
          <w:rPr>
            <w:webHidden/>
          </w:rPr>
          <w:tab/>
        </w:r>
        <w:r w:rsidR="005F0369">
          <w:rPr>
            <w:webHidden/>
          </w:rPr>
          <w:fldChar w:fldCharType="begin"/>
        </w:r>
        <w:r w:rsidR="005F0369">
          <w:rPr>
            <w:webHidden/>
          </w:rPr>
          <w:instrText xml:space="preserve"> PAGEREF _Toc156392417 \h </w:instrText>
        </w:r>
        <w:r w:rsidR="005F0369">
          <w:rPr>
            <w:webHidden/>
          </w:rPr>
        </w:r>
        <w:r w:rsidR="005F0369">
          <w:rPr>
            <w:webHidden/>
          </w:rPr>
          <w:fldChar w:fldCharType="separate"/>
        </w:r>
        <w:r w:rsidR="005F0369">
          <w:rPr>
            <w:webHidden/>
          </w:rPr>
          <w:t>13</w:t>
        </w:r>
        <w:r w:rsidR="005F0369">
          <w:rPr>
            <w:webHidden/>
          </w:rPr>
          <w:fldChar w:fldCharType="end"/>
        </w:r>
      </w:hyperlink>
    </w:p>
    <w:p w14:paraId="30396602" w14:textId="55CB84AE"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8" w:history="1">
        <w:r w:rsidR="005F0369" w:rsidRPr="005121E7">
          <w:rPr>
            <w:rStyle w:val="Hyperlink"/>
          </w:rPr>
          <w:t>5.5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Intelligent transport systems</w:t>
        </w:r>
        <w:r w:rsidR="005F0369">
          <w:rPr>
            <w:webHidden/>
          </w:rPr>
          <w:tab/>
        </w:r>
        <w:r w:rsidR="005F0369">
          <w:rPr>
            <w:webHidden/>
          </w:rPr>
          <w:fldChar w:fldCharType="begin"/>
        </w:r>
        <w:r w:rsidR="005F0369">
          <w:rPr>
            <w:webHidden/>
          </w:rPr>
          <w:instrText xml:space="preserve"> PAGEREF _Toc156392418 \h </w:instrText>
        </w:r>
        <w:r w:rsidR="005F0369">
          <w:rPr>
            <w:webHidden/>
          </w:rPr>
        </w:r>
        <w:r w:rsidR="005F0369">
          <w:rPr>
            <w:webHidden/>
          </w:rPr>
          <w:fldChar w:fldCharType="separate"/>
        </w:r>
        <w:r w:rsidR="005F0369">
          <w:rPr>
            <w:webHidden/>
          </w:rPr>
          <w:t>14</w:t>
        </w:r>
        <w:r w:rsidR="005F0369">
          <w:rPr>
            <w:webHidden/>
          </w:rPr>
          <w:fldChar w:fldCharType="end"/>
        </w:r>
      </w:hyperlink>
    </w:p>
    <w:p w14:paraId="250B2D99" w14:textId="193DABB7"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19" w:history="1">
        <w:r w:rsidR="005F0369" w:rsidRPr="005121E7">
          <w:rPr>
            <w:rStyle w:val="Hyperlink"/>
          </w:rPr>
          <w:t>5.6</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CTO and CxO meetings</w:t>
        </w:r>
        <w:r w:rsidR="005F0369">
          <w:rPr>
            <w:webHidden/>
          </w:rPr>
          <w:tab/>
        </w:r>
        <w:r w:rsidR="005F0369">
          <w:rPr>
            <w:webHidden/>
          </w:rPr>
          <w:fldChar w:fldCharType="begin"/>
        </w:r>
        <w:r w:rsidR="005F0369">
          <w:rPr>
            <w:webHidden/>
          </w:rPr>
          <w:instrText xml:space="preserve"> PAGEREF _Toc156392419 \h </w:instrText>
        </w:r>
        <w:r w:rsidR="005F0369">
          <w:rPr>
            <w:webHidden/>
          </w:rPr>
        </w:r>
        <w:r w:rsidR="005F0369">
          <w:rPr>
            <w:webHidden/>
          </w:rPr>
          <w:fldChar w:fldCharType="separate"/>
        </w:r>
        <w:r w:rsidR="005F0369">
          <w:rPr>
            <w:webHidden/>
          </w:rPr>
          <w:t>15</w:t>
        </w:r>
        <w:r w:rsidR="005F0369">
          <w:rPr>
            <w:webHidden/>
          </w:rPr>
          <w:fldChar w:fldCharType="end"/>
        </w:r>
      </w:hyperlink>
    </w:p>
    <w:p w14:paraId="38E11C60" w14:textId="5200C3D5"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0" w:history="1">
        <w:r w:rsidR="005F0369" w:rsidRPr="005121E7">
          <w:rPr>
            <w:rStyle w:val="Hyperlink"/>
          </w:rPr>
          <w:t>5.7</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Green digital action at COP28</w:t>
        </w:r>
        <w:r w:rsidR="005F0369">
          <w:rPr>
            <w:webHidden/>
          </w:rPr>
          <w:tab/>
        </w:r>
        <w:r w:rsidR="005F0369">
          <w:rPr>
            <w:webHidden/>
          </w:rPr>
          <w:fldChar w:fldCharType="begin"/>
        </w:r>
        <w:r w:rsidR="005F0369">
          <w:rPr>
            <w:webHidden/>
          </w:rPr>
          <w:instrText xml:space="preserve"> PAGEREF _Toc156392420 \h </w:instrText>
        </w:r>
        <w:r w:rsidR="005F0369">
          <w:rPr>
            <w:webHidden/>
          </w:rPr>
        </w:r>
        <w:r w:rsidR="005F0369">
          <w:rPr>
            <w:webHidden/>
          </w:rPr>
          <w:fldChar w:fldCharType="separate"/>
        </w:r>
        <w:r w:rsidR="005F0369">
          <w:rPr>
            <w:webHidden/>
          </w:rPr>
          <w:t>15</w:t>
        </w:r>
        <w:r w:rsidR="005F0369">
          <w:rPr>
            <w:webHidden/>
          </w:rPr>
          <w:fldChar w:fldCharType="end"/>
        </w:r>
      </w:hyperlink>
    </w:p>
    <w:p w14:paraId="2F0A67E4" w14:textId="1E43A538"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21" w:history="1">
        <w:r w:rsidR="005F0369" w:rsidRPr="005121E7">
          <w:rPr>
            <w:rStyle w:val="Hyperlink"/>
          </w:rPr>
          <w:t>6</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Academia</w:t>
        </w:r>
        <w:r w:rsidR="005F0369">
          <w:rPr>
            <w:webHidden/>
          </w:rPr>
          <w:tab/>
        </w:r>
        <w:r w:rsidR="005F0369">
          <w:rPr>
            <w:webHidden/>
          </w:rPr>
          <w:fldChar w:fldCharType="begin"/>
        </w:r>
        <w:r w:rsidR="005F0369">
          <w:rPr>
            <w:webHidden/>
          </w:rPr>
          <w:instrText xml:space="preserve"> PAGEREF _Toc156392421 \h </w:instrText>
        </w:r>
        <w:r w:rsidR="005F0369">
          <w:rPr>
            <w:webHidden/>
          </w:rPr>
        </w:r>
        <w:r w:rsidR="005F0369">
          <w:rPr>
            <w:webHidden/>
          </w:rPr>
          <w:fldChar w:fldCharType="separate"/>
        </w:r>
        <w:r w:rsidR="005F0369">
          <w:rPr>
            <w:webHidden/>
          </w:rPr>
          <w:t>16</w:t>
        </w:r>
        <w:r w:rsidR="005F0369">
          <w:rPr>
            <w:webHidden/>
          </w:rPr>
          <w:fldChar w:fldCharType="end"/>
        </w:r>
      </w:hyperlink>
    </w:p>
    <w:p w14:paraId="3D406793" w14:textId="7CE884ED"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2" w:history="1">
        <w:r w:rsidR="005F0369" w:rsidRPr="005121E7">
          <w:rPr>
            <w:rStyle w:val="Hyperlink"/>
          </w:rPr>
          <w:t>6.1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 Journal</w:t>
        </w:r>
        <w:r w:rsidR="005F0369">
          <w:rPr>
            <w:webHidden/>
          </w:rPr>
          <w:tab/>
        </w:r>
        <w:r w:rsidR="005F0369">
          <w:rPr>
            <w:webHidden/>
          </w:rPr>
          <w:fldChar w:fldCharType="begin"/>
        </w:r>
        <w:r w:rsidR="005F0369">
          <w:rPr>
            <w:webHidden/>
          </w:rPr>
          <w:instrText xml:space="preserve"> PAGEREF _Toc156392422 \h </w:instrText>
        </w:r>
        <w:r w:rsidR="005F0369">
          <w:rPr>
            <w:webHidden/>
          </w:rPr>
        </w:r>
        <w:r w:rsidR="005F0369">
          <w:rPr>
            <w:webHidden/>
          </w:rPr>
          <w:fldChar w:fldCharType="separate"/>
        </w:r>
        <w:r w:rsidR="005F0369">
          <w:rPr>
            <w:webHidden/>
          </w:rPr>
          <w:t>16</w:t>
        </w:r>
        <w:r w:rsidR="005F0369">
          <w:rPr>
            <w:webHidden/>
          </w:rPr>
          <w:fldChar w:fldCharType="end"/>
        </w:r>
      </w:hyperlink>
    </w:p>
    <w:p w14:paraId="6AD252C2" w14:textId="6035A313"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3" w:history="1">
        <w:r w:rsidR="005F0369" w:rsidRPr="005121E7">
          <w:rPr>
            <w:rStyle w:val="Hyperlink"/>
          </w:rPr>
          <w:t>6.2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 Kaleidoscope academic conferences</w:t>
        </w:r>
        <w:r w:rsidR="005F0369">
          <w:rPr>
            <w:webHidden/>
          </w:rPr>
          <w:tab/>
        </w:r>
        <w:r w:rsidR="005F0369">
          <w:rPr>
            <w:webHidden/>
          </w:rPr>
          <w:fldChar w:fldCharType="begin"/>
        </w:r>
        <w:r w:rsidR="005F0369">
          <w:rPr>
            <w:webHidden/>
          </w:rPr>
          <w:instrText xml:space="preserve"> PAGEREF _Toc156392423 \h </w:instrText>
        </w:r>
        <w:r w:rsidR="005F0369">
          <w:rPr>
            <w:webHidden/>
          </w:rPr>
        </w:r>
        <w:r w:rsidR="005F0369">
          <w:rPr>
            <w:webHidden/>
          </w:rPr>
          <w:fldChar w:fldCharType="separate"/>
        </w:r>
        <w:r w:rsidR="005F0369">
          <w:rPr>
            <w:webHidden/>
          </w:rPr>
          <w:t>17</w:t>
        </w:r>
        <w:r w:rsidR="005F0369">
          <w:rPr>
            <w:webHidden/>
          </w:rPr>
          <w:fldChar w:fldCharType="end"/>
        </w:r>
      </w:hyperlink>
    </w:p>
    <w:p w14:paraId="21BDCCF2" w14:textId="07D09FEF"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24" w:history="1">
        <w:r w:rsidR="005F0369" w:rsidRPr="005121E7">
          <w:rPr>
            <w:rStyle w:val="Hyperlink"/>
          </w:rPr>
          <w:t>7</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Cooperation and coordination</w:t>
        </w:r>
        <w:r w:rsidR="005F0369">
          <w:rPr>
            <w:webHidden/>
          </w:rPr>
          <w:tab/>
        </w:r>
        <w:r w:rsidR="005F0369">
          <w:rPr>
            <w:webHidden/>
          </w:rPr>
          <w:fldChar w:fldCharType="begin"/>
        </w:r>
        <w:r w:rsidR="005F0369">
          <w:rPr>
            <w:webHidden/>
          </w:rPr>
          <w:instrText xml:space="preserve"> PAGEREF _Toc156392424 \h </w:instrText>
        </w:r>
        <w:r w:rsidR="005F0369">
          <w:rPr>
            <w:webHidden/>
          </w:rPr>
        </w:r>
        <w:r w:rsidR="005F0369">
          <w:rPr>
            <w:webHidden/>
          </w:rPr>
          <w:fldChar w:fldCharType="separate"/>
        </w:r>
        <w:r w:rsidR="005F0369">
          <w:rPr>
            <w:webHidden/>
          </w:rPr>
          <w:t>17</w:t>
        </w:r>
        <w:r w:rsidR="005F0369">
          <w:rPr>
            <w:webHidden/>
          </w:rPr>
          <w:fldChar w:fldCharType="end"/>
        </w:r>
      </w:hyperlink>
    </w:p>
    <w:p w14:paraId="096C2C1F" w14:textId="3A238694"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5" w:history="1">
        <w:r w:rsidR="005F0369" w:rsidRPr="005121E7">
          <w:rPr>
            <w:rStyle w:val="Hyperlink"/>
          </w:rPr>
          <w:t>7.1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International standardization bodies</w:t>
        </w:r>
        <w:r w:rsidR="005F0369">
          <w:rPr>
            <w:webHidden/>
          </w:rPr>
          <w:tab/>
        </w:r>
        <w:r w:rsidR="005F0369">
          <w:rPr>
            <w:webHidden/>
          </w:rPr>
          <w:fldChar w:fldCharType="begin"/>
        </w:r>
        <w:r w:rsidR="005F0369">
          <w:rPr>
            <w:webHidden/>
          </w:rPr>
          <w:instrText xml:space="preserve"> PAGEREF _Toc156392425 \h </w:instrText>
        </w:r>
        <w:r w:rsidR="005F0369">
          <w:rPr>
            <w:webHidden/>
          </w:rPr>
        </w:r>
        <w:r w:rsidR="005F0369">
          <w:rPr>
            <w:webHidden/>
          </w:rPr>
          <w:fldChar w:fldCharType="separate"/>
        </w:r>
        <w:r w:rsidR="005F0369">
          <w:rPr>
            <w:webHidden/>
          </w:rPr>
          <w:t>17</w:t>
        </w:r>
        <w:r w:rsidR="005F0369">
          <w:rPr>
            <w:webHidden/>
          </w:rPr>
          <w:fldChar w:fldCharType="end"/>
        </w:r>
      </w:hyperlink>
    </w:p>
    <w:p w14:paraId="15E54A53" w14:textId="5E6E61AB"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6" w:history="1">
        <w:r w:rsidR="005F0369" w:rsidRPr="005121E7">
          <w:rPr>
            <w:rStyle w:val="Hyperlink"/>
          </w:rPr>
          <w:t>7.2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National and regional standardization bodies</w:t>
        </w:r>
        <w:r w:rsidR="005F0369">
          <w:rPr>
            <w:webHidden/>
          </w:rPr>
          <w:tab/>
        </w:r>
        <w:r w:rsidR="005F0369">
          <w:rPr>
            <w:webHidden/>
          </w:rPr>
          <w:fldChar w:fldCharType="begin"/>
        </w:r>
        <w:r w:rsidR="005F0369">
          <w:rPr>
            <w:webHidden/>
          </w:rPr>
          <w:instrText xml:space="preserve"> PAGEREF _Toc156392426 \h </w:instrText>
        </w:r>
        <w:r w:rsidR="005F0369">
          <w:rPr>
            <w:webHidden/>
          </w:rPr>
        </w:r>
        <w:r w:rsidR="005F0369">
          <w:rPr>
            <w:webHidden/>
          </w:rPr>
          <w:fldChar w:fldCharType="separate"/>
        </w:r>
        <w:r w:rsidR="005F0369">
          <w:rPr>
            <w:webHidden/>
          </w:rPr>
          <w:t>18</w:t>
        </w:r>
        <w:r w:rsidR="005F0369">
          <w:rPr>
            <w:webHidden/>
          </w:rPr>
          <w:fldChar w:fldCharType="end"/>
        </w:r>
      </w:hyperlink>
    </w:p>
    <w:p w14:paraId="18611A50" w14:textId="4434C076"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7" w:history="1">
        <w:r w:rsidR="005F0369" w:rsidRPr="005121E7">
          <w:rPr>
            <w:rStyle w:val="Hyperlink"/>
          </w:rPr>
          <w:t>7.3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bCs/>
            <w:lang w:eastAsia="ja-JP"/>
          </w:rPr>
          <w:t>TSB and ITU regional and area offices</w:t>
        </w:r>
        <w:r w:rsidR="005F0369">
          <w:rPr>
            <w:webHidden/>
          </w:rPr>
          <w:tab/>
        </w:r>
        <w:r w:rsidR="005F0369">
          <w:rPr>
            <w:webHidden/>
          </w:rPr>
          <w:fldChar w:fldCharType="begin"/>
        </w:r>
        <w:r w:rsidR="005F0369">
          <w:rPr>
            <w:webHidden/>
          </w:rPr>
          <w:instrText xml:space="preserve"> PAGEREF _Toc156392427 \h </w:instrText>
        </w:r>
        <w:r w:rsidR="005F0369">
          <w:rPr>
            <w:webHidden/>
          </w:rPr>
        </w:r>
        <w:r w:rsidR="005F0369">
          <w:rPr>
            <w:webHidden/>
          </w:rPr>
          <w:fldChar w:fldCharType="separate"/>
        </w:r>
        <w:r w:rsidR="005F0369">
          <w:rPr>
            <w:webHidden/>
          </w:rPr>
          <w:t>18</w:t>
        </w:r>
        <w:r w:rsidR="005F0369">
          <w:rPr>
            <w:webHidden/>
          </w:rPr>
          <w:fldChar w:fldCharType="end"/>
        </w:r>
      </w:hyperlink>
    </w:p>
    <w:p w14:paraId="603B1F77" w14:textId="6F1AAF0C"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8" w:history="1">
        <w:r w:rsidR="005F0369" w:rsidRPr="005121E7">
          <w:rPr>
            <w:rStyle w:val="Hyperlink"/>
            <w:lang w:val="en-US"/>
          </w:rPr>
          <w:t>7.4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lang w:val="en-US"/>
          </w:rPr>
          <w:t>ITU Sectors</w:t>
        </w:r>
        <w:r w:rsidR="005F0369">
          <w:rPr>
            <w:webHidden/>
          </w:rPr>
          <w:tab/>
        </w:r>
        <w:r w:rsidR="005F0369">
          <w:rPr>
            <w:webHidden/>
          </w:rPr>
          <w:fldChar w:fldCharType="begin"/>
        </w:r>
        <w:r w:rsidR="005F0369">
          <w:rPr>
            <w:webHidden/>
          </w:rPr>
          <w:instrText xml:space="preserve"> PAGEREF _Toc156392428 \h </w:instrText>
        </w:r>
        <w:r w:rsidR="005F0369">
          <w:rPr>
            <w:webHidden/>
          </w:rPr>
        </w:r>
        <w:r w:rsidR="005F0369">
          <w:rPr>
            <w:webHidden/>
          </w:rPr>
          <w:fldChar w:fldCharType="separate"/>
        </w:r>
        <w:r w:rsidR="005F0369">
          <w:rPr>
            <w:webHidden/>
          </w:rPr>
          <w:t>18</w:t>
        </w:r>
        <w:r w:rsidR="005F0369">
          <w:rPr>
            <w:webHidden/>
          </w:rPr>
          <w:fldChar w:fldCharType="end"/>
        </w:r>
      </w:hyperlink>
    </w:p>
    <w:p w14:paraId="5732FF1B" w14:textId="1F02DF45"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29" w:history="1">
        <w:r w:rsidR="005F0369" w:rsidRPr="005121E7">
          <w:rPr>
            <w:rStyle w:val="Hyperlink"/>
          </w:rPr>
          <w:t>7.5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External cooperation</w:t>
        </w:r>
        <w:r w:rsidR="005F0369">
          <w:rPr>
            <w:webHidden/>
          </w:rPr>
          <w:tab/>
        </w:r>
        <w:r w:rsidR="005F0369">
          <w:rPr>
            <w:webHidden/>
          </w:rPr>
          <w:fldChar w:fldCharType="begin"/>
        </w:r>
        <w:r w:rsidR="005F0369">
          <w:rPr>
            <w:webHidden/>
          </w:rPr>
          <w:instrText xml:space="preserve"> PAGEREF _Toc156392429 \h </w:instrText>
        </w:r>
        <w:r w:rsidR="005F0369">
          <w:rPr>
            <w:webHidden/>
          </w:rPr>
        </w:r>
        <w:r w:rsidR="005F0369">
          <w:rPr>
            <w:webHidden/>
          </w:rPr>
          <w:fldChar w:fldCharType="separate"/>
        </w:r>
        <w:r w:rsidR="005F0369">
          <w:rPr>
            <w:webHidden/>
          </w:rPr>
          <w:t>19</w:t>
        </w:r>
        <w:r w:rsidR="005F0369">
          <w:rPr>
            <w:webHidden/>
          </w:rPr>
          <w:fldChar w:fldCharType="end"/>
        </w:r>
      </w:hyperlink>
    </w:p>
    <w:p w14:paraId="5A7197B5" w14:textId="6A69641E"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0" w:history="1">
        <w:r w:rsidR="005F0369" w:rsidRPr="005121E7">
          <w:rPr>
            <w:rStyle w:val="Hyperlink"/>
          </w:rPr>
          <w:t>8</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Conformity and interoperability programme</w:t>
        </w:r>
        <w:r w:rsidR="005F0369">
          <w:rPr>
            <w:webHidden/>
          </w:rPr>
          <w:tab/>
        </w:r>
        <w:r w:rsidR="005F0369">
          <w:rPr>
            <w:webHidden/>
          </w:rPr>
          <w:fldChar w:fldCharType="begin"/>
        </w:r>
        <w:r w:rsidR="005F0369">
          <w:rPr>
            <w:webHidden/>
          </w:rPr>
          <w:instrText xml:space="preserve"> PAGEREF _Toc156392430 \h </w:instrText>
        </w:r>
        <w:r w:rsidR="005F0369">
          <w:rPr>
            <w:webHidden/>
          </w:rPr>
        </w:r>
        <w:r w:rsidR="005F0369">
          <w:rPr>
            <w:webHidden/>
          </w:rPr>
          <w:fldChar w:fldCharType="separate"/>
        </w:r>
        <w:r w:rsidR="005F0369">
          <w:rPr>
            <w:webHidden/>
          </w:rPr>
          <w:t>20</w:t>
        </w:r>
        <w:r w:rsidR="005F0369">
          <w:rPr>
            <w:webHidden/>
          </w:rPr>
          <w:fldChar w:fldCharType="end"/>
        </w:r>
      </w:hyperlink>
    </w:p>
    <w:p w14:paraId="52D5DFFB" w14:textId="41FA4FC8"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1" w:history="1">
        <w:r w:rsidR="005F0369" w:rsidRPr="005121E7">
          <w:rPr>
            <w:rStyle w:val="Hyperlink"/>
          </w:rPr>
          <w:t>9</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Mainstreaming accessibility</w:t>
        </w:r>
        <w:r w:rsidR="005F0369">
          <w:rPr>
            <w:webHidden/>
          </w:rPr>
          <w:tab/>
        </w:r>
        <w:r w:rsidR="005F0369">
          <w:rPr>
            <w:webHidden/>
          </w:rPr>
          <w:fldChar w:fldCharType="begin"/>
        </w:r>
        <w:r w:rsidR="005F0369">
          <w:rPr>
            <w:webHidden/>
          </w:rPr>
          <w:instrText xml:space="preserve"> PAGEREF _Toc156392431 \h </w:instrText>
        </w:r>
        <w:r w:rsidR="005F0369">
          <w:rPr>
            <w:webHidden/>
          </w:rPr>
        </w:r>
        <w:r w:rsidR="005F0369">
          <w:rPr>
            <w:webHidden/>
          </w:rPr>
          <w:fldChar w:fldCharType="separate"/>
        </w:r>
        <w:r w:rsidR="005F0369">
          <w:rPr>
            <w:webHidden/>
          </w:rPr>
          <w:t>21</w:t>
        </w:r>
        <w:r w:rsidR="005F0369">
          <w:rPr>
            <w:webHidden/>
          </w:rPr>
          <w:fldChar w:fldCharType="end"/>
        </w:r>
      </w:hyperlink>
    </w:p>
    <w:p w14:paraId="71FE893B" w14:textId="6B7914EF"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2" w:history="1">
        <w:r w:rsidR="005F0369" w:rsidRPr="005121E7">
          <w:rPr>
            <w:rStyle w:val="Hyperlink"/>
            <w:rFonts w:asciiTheme="majorBidi" w:hAnsiTheme="majorBidi" w:cstheme="majorBidi"/>
          </w:rPr>
          <w:t>10</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Fonts w:asciiTheme="majorBidi" w:hAnsiTheme="majorBidi" w:cstheme="majorBidi"/>
          </w:rPr>
          <w:t>Intellectual property rights</w:t>
        </w:r>
        <w:r w:rsidR="005F0369">
          <w:rPr>
            <w:webHidden/>
          </w:rPr>
          <w:tab/>
        </w:r>
        <w:r w:rsidR="005F0369">
          <w:rPr>
            <w:webHidden/>
          </w:rPr>
          <w:fldChar w:fldCharType="begin"/>
        </w:r>
        <w:r w:rsidR="005F0369">
          <w:rPr>
            <w:webHidden/>
          </w:rPr>
          <w:instrText xml:space="preserve"> PAGEREF _Toc156392432 \h </w:instrText>
        </w:r>
        <w:r w:rsidR="005F0369">
          <w:rPr>
            <w:webHidden/>
          </w:rPr>
        </w:r>
        <w:r w:rsidR="005F0369">
          <w:rPr>
            <w:webHidden/>
          </w:rPr>
          <w:fldChar w:fldCharType="separate"/>
        </w:r>
        <w:r w:rsidR="005F0369">
          <w:rPr>
            <w:webHidden/>
          </w:rPr>
          <w:t>21</w:t>
        </w:r>
        <w:r w:rsidR="005F0369">
          <w:rPr>
            <w:webHidden/>
          </w:rPr>
          <w:fldChar w:fldCharType="end"/>
        </w:r>
      </w:hyperlink>
    </w:p>
    <w:p w14:paraId="4CE38F99" w14:textId="7085DAC5"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3" w:history="1">
        <w:r w:rsidR="005F0369" w:rsidRPr="005121E7">
          <w:rPr>
            <w:rStyle w:val="Hyperlink"/>
          </w:rPr>
          <w:t>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Membership</w:t>
        </w:r>
        <w:r w:rsidR="005F0369">
          <w:rPr>
            <w:webHidden/>
          </w:rPr>
          <w:tab/>
        </w:r>
        <w:r w:rsidR="005F0369">
          <w:rPr>
            <w:webHidden/>
          </w:rPr>
          <w:fldChar w:fldCharType="begin"/>
        </w:r>
        <w:r w:rsidR="005F0369">
          <w:rPr>
            <w:webHidden/>
          </w:rPr>
          <w:instrText xml:space="preserve"> PAGEREF _Toc156392433 \h </w:instrText>
        </w:r>
        <w:r w:rsidR="005F0369">
          <w:rPr>
            <w:webHidden/>
          </w:rPr>
        </w:r>
        <w:r w:rsidR="005F0369">
          <w:rPr>
            <w:webHidden/>
          </w:rPr>
          <w:fldChar w:fldCharType="separate"/>
        </w:r>
        <w:r w:rsidR="005F0369">
          <w:rPr>
            <w:webHidden/>
          </w:rPr>
          <w:t>22</w:t>
        </w:r>
        <w:r w:rsidR="005F0369">
          <w:rPr>
            <w:webHidden/>
          </w:rPr>
          <w:fldChar w:fldCharType="end"/>
        </w:r>
      </w:hyperlink>
    </w:p>
    <w:p w14:paraId="5108C177" w14:textId="668745C0"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4" w:history="1">
        <w:r w:rsidR="005F0369" w:rsidRPr="005121E7">
          <w:rPr>
            <w:rStyle w:val="Hyperlink"/>
          </w:rPr>
          <w:t>12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Bridging the standardization gap</w:t>
        </w:r>
        <w:r w:rsidR="005F0369">
          <w:rPr>
            <w:webHidden/>
          </w:rPr>
          <w:tab/>
        </w:r>
        <w:r w:rsidR="005F0369">
          <w:rPr>
            <w:webHidden/>
          </w:rPr>
          <w:fldChar w:fldCharType="begin"/>
        </w:r>
        <w:r w:rsidR="005F0369">
          <w:rPr>
            <w:webHidden/>
          </w:rPr>
          <w:instrText xml:space="preserve"> PAGEREF _Toc156392434 \h </w:instrText>
        </w:r>
        <w:r w:rsidR="005F0369">
          <w:rPr>
            <w:webHidden/>
          </w:rPr>
        </w:r>
        <w:r w:rsidR="005F0369">
          <w:rPr>
            <w:webHidden/>
          </w:rPr>
          <w:fldChar w:fldCharType="separate"/>
        </w:r>
        <w:r w:rsidR="005F0369">
          <w:rPr>
            <w:webHidden/>
          </w:rPr>
          <w:t>23</w:t>
        </w:r>
        <w:r w:rsidR="005F0369">
          <w:rPr>
            <w:webHidden/>
          </w:rPr>
          <w:fldChar w:fldCharType="end"/>
        </w:r>
      </w:hyperlink>
    </w:p>
    <w:p w14:paraId="57F2C6C0" w14:textId="68418947"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5" w:history="1">
        <w:r w:rsidR="005F0369" w:rsidRPr="005121E7">
          <w:rPr>
            <w:rStyle w:val="Hyperlink"/>
          </w:rPr>
          <w:t>13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Gender</w:t>
        </w:r>
        <w:r w:rsidR="005F0369">
          <w:rPr>
            <w:webHidden/>
          </w:rPr>
          <w:tab/>
        </w:r>
        <w:r w:rsidR="005F0369">
          <w:rPr>
            <w:webHidden/>
          </w:rPr>
          <w:fldChar w:fldCharType="begin"/>
        </w:r>
        <w:r w:rsidR="005F0369">
          <w:rPr>
            <w:webHidden/>
          </w:rPr>
          <w:instrText xml:space="preserve"> PAGEREF _Toc156392435 \h </w:instrText>
        </w:r>
        <w:r w:rsidR="005F0369">
          <w:rPr>
            <w:webHidden/>
          </w:rPr>
        </w:r>
        <w:r w:rsidR="005F0369">
          <w:rPr>
            <w:webHidden/>
          </w:rPr>
          <w:fldChar w:fldCharType="separate"/>
        </w:r>
        <w:r w:rsidR="005F0369">
          <w:rPr>
            <w:webHidden/>
          </w:rPr>
          <w:t>26</w:t>
        </w:r>
        <w:r w:rsidR="005F0369">
          <w:rPr>
            <w:webHidden/>
          </w:rPr>
          <w:fldChar w:fldCharType="end"/>
        </w:r>
      </w:hyperlink>
    </w:p>
    <w:p w14:paraId="17BF8965" w14:textId="7D18786C"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36" w:history="1">
        <w:r w:rsidR="005F0369" w:rsidRPr="005121E7">
          <w:rPr>
            <w:rStyle w:val="Hyperlink"/>
          </w:rPr>
          <w:t>14</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Publications</w:t>
        </w:r>
        <w:r w:rsidR="005F0369">
          <w:rPr>
            <w:webHidden/>
          </w:rPr>
          <w:tab/>
        </w:r>
        <w:r w:rsidR="005F0369">
          <w:rPr>
            <w:webHidden/>
          </w:rPr>
          <w:fldChar w:fldCharType="begin"/>
        </w:r>
        <w:r w:rsidR="005F0369">
          <w:rPr>
            <w:webHidden/>
          </w:rPr>
          <w:instrText xml:space="preserve"> PAGEREF _Toc156392436 \h </w:instrText>
        </w:r>
        <w:r w:rsidR="005F0369">
          <w:rPr>
            <w:webHidden/>
          </w:rPr>
        </w:r>
        <w:r w:rsidR="005F0369">
          <w:rPr>
            <w:webHidden/>
          </w:rPr>
          <w:fldChar w:fldCharType="separate"/>
        </w:r>
        <w:r w:rsidR="005F0369">
          <w:rPr>
            <w:webHidden/>
          </w:rPr>
          <w:t>28</w:t>
        </w:r>
        <w:r w:rsidR="005F0369">
          <w:rPr>
            <w:webHidden/>
          </w:rPr>
          <w:fldChar w:fldCharType="end"/>
        </w:r>
      </w:hyperlink>
    </w:p>
    <w:p w14:paraId="2A06B2C5" w14:textId="68B55389"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7" w:history="1">
        <w:r w:rsidR="005F0369" w:rsidRPr="005121E7">
          <w:rPr>
            <w:rStyle w:val="Hyperlink"/>
          </w:rPr>
          <w:t>14.1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Recommendations and supplements</w:t>
        </w:r>
        <w:r w:rsidR="005F0369">
          <w:rPr>
            <w:webHidden/>
          </w:rPr>
          <w:tab/>
        </w:r>
        <w:r w:rsidR="005F0369">
          <w:rPr>
            <w:webHidden/>
          </w:rPr>
          <w:fldChar w:fldCharType="begin"/>
        </w:r>
        <w:r w:rsidR="005F0369">
          <w:rPr>
            <w:webHidden/>
          </w:rPr>
          <w:instrText xml:space="preserve"> PAGEREF _Toc156392437 \h </w:instrText>
        </w:r>
        <w:r w:rsidR="005F0369">
          <w:rPr>
            <w:webHidden/>
          </w:rPr>
        </w:r>
        <w:r w:rsidR="005F0369">
          <w:rPr>
            <w:webHidden/>
          </w:rPr>
          <w:fldChar w:fldCharType="separate"/>
        </w:r>
        <w:r w:rsidR="005F0369">
          <w:rPr>
            <w:webHidden/>
          </w:rPr>
          <w:t>28</w:t>
        </w:r>
        <w:r w:rsidR="005F0369">
          <w:rPr>
            <w:webHidden/>
          </w:rPr>
          <w:fldChar w:fldCharType="end"/>
        </w:r>
      </w:hyperlink>
    </w:p>
    <w:p w14:paraId="5E05098E" w14:textId="2074E649"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8" w:history="1">
        <w:r w:rsidR="005F0369" w:rsidRPr="005121E7">
          <w:rPr>
            <w:rStyle w:val="Hyperlink"/>
          </w:rPr>
          <w:t>14.1.1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Recommendations deleted between WTSAs</w:t>
        </w:r>
        <w:r w:rsidR="005F0369">
          <w:rPr>
            <w:webHidden/>
          </w:rPr>
          <w:tab/>
        </w:r>
        <w:r w:rsidR="005F0369">
          <w:rPr>
            <w:webHidden/>
          </w:rPr>
          <w:fldChar w:fldCharType="begin"/>
        </w:r>
        <w:r w:rsidR="005F0369">
          <w:rPr>
            <w:webHidden/>
          </w:rPr>
          <w:instrText xml:space="preserve"> PAGEREF _Toc156392438 \h </w:instrText>
        </w:r>
        <w:r w:rsidR="005F0369">
          <w:rPr>
            <w:webHidden/>
          </w:rPr>
        </w:r>
        <w:r w:rsidR="005F0369">
          <w:rPr>
            <w:webHidden/>
          </w:rPr>
          <w:fldChar w:fldCharType="separate"/>
        </w:r>
        <w:r w:rsidR="005F0369">
          <w:rPr>
            <w:webHidden/>
          </w:rPr>
          <w:t>29</w:t>
        </w:r>
        <w:r w:rsidR="005F0369">
          <w:rPr>
            <w:webHidden/>
          </w:rPr>
          <w:fldChar w:fldCharType="end"/>
        </w:r>
      </w:hyperlink>
    </w:p>
    <w:p w14:paraId="024C6C33" w14:textId="2DE9D47B"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39" w:history="1">
        <w:r w:rsidR="005F0369" w:rsidRPr="005121E7">
          <w:rPr>
            <w:rStyle w:val="Hyperlink"/>
          </w:rPr>
          <w:t>14.2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Official languages on an equal footing</w:t>
        </w:r>
        <w:r w:rsidR="005F0369">
          <w:rPr>
            <w:webHidden/>
          </w:rPr>
          <w:tab/>
        </w:r>
        <w:r w:rsidR="005F0369">
          <w:rPr>
            <w:webHidden/>
          </w:rPr>
          <w:fldChar w:fldCharType="begin"/>
        </w:r>
        <w:r w:rsidR="005F0369">
          <w:rPr>
            <w:webHidden/>
          </w:rPr>
          <w:instrText xml:space="preserve"> PAGEREF _Toc156392439 \h </w:instrText>
        </w:r>
        <w:r w:rsidR="005F0369">
          <w:rPr>
            <w:webHidden/>
          </w:rPr>
        </w:r>
        <w:r w:rsidR="005F0369">
          <w:rPr>
            <w:webHidden/>
          </w:rPr>
          <w:fldChar w:fldCharType="separate"/>
        </w:r>
        <w:r w:rsidR="005F0369">
          <w:rPr>
            <w:webHidden/>
          </w:rPr>
          <w:t>30</w:t>
        </w:r>
        <w:r w:rsidR="005F0369">
          <w:rPr>
            <w:webHidden/>
          </w:rPr>
          <w:fldChar w:fldCharType="end"/>
        </w:r>
      </w:hyperlink>
    </w:p>
    <w:p w14:paraId="48DF8B50" w14:textId="0C4523FC"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40" w:history="1">
        <w:r w:rsidR="005F0369" w:rsidRPr="005121E7">
          <w:rPr>
            <w:rStyle w:val="Hyperlink"/>
          </w:rPr>
          <w:t>15</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Electronic working methods and tools</w:t>
        </w:r>
        <w:r w:rsidR="005F0369">
          <w:rPr>
            <w:webHidden/>
          </w:rPr>
          <w:tab/>
        </w:r>
        <w:r w:rsidR="005F0369">
          <w:rPr>
            <w:webHidden/>
          </w:rPr>
          <w:fldChar w:fldCharType="begin"/>
        </w:r>
        <w:r w:rsidR="005F0369">
          <w:rPr>
            <w:webHidden/>
          </w:rPr>
          <w:instrText xml:space="preserve"> PAGEREF _Toc156392440 \h </w:instrText>
        </w:r>
        <w:r w:rsidR="005F0369">
          <w:rPr>
            <w:webHidden/>
          </w:rPr>
        </w:r>
        <w:r w:rsidR="005F0369">
          <w:rPr>
            <w:webHidden/>
          </w:rPr>
          <w:fldChar w:fldCharType="separate"/>
        </w:r>
        <w:r w:rsidR="005F0369">
          <w:rPr>
            <w:webHidden/>
          </w:rPr>
          <w:t>30</w:t>
        </w:r>
        <w:r w:rsidR="005F0369">
          <w:rPr>
            <w:webHidden/>
          </w:rPr>
          <w:fldChar w:fldCharType="end"/>
        </w:r>
      </w:hyperlink>
    </w:p>
    <w:p w14:paraId="42F04B0A" w14:textId="38345567"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1" w:history="1">
        <w:r w:rsidR="005F0369" w:rsidRPr="005121E7">
          <w:rPr>
            <w:rStyle w:val="Hyperlink"/>
          </w:rPr>
          <w:t>15.1</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ITU-T website</w:t>
        </w:r>
        <w:r w:rsidR="005F0369">
          <w:rPr>
            <w:webHidden/>
          </w:rPr>
          <w:tab/>
        </w:r>
        <w:r w:rsidR="005F0369">
          <w:rPr>
            <w:webHidden/>
          </w:rPr>
          <w:fldChar w:fldCharType="begin"/>
        </w:r>
        <w:r w:rsidR="005F0369">
          <w:rPr>
            <w:webHidden/>
          </w:rPr>
          <w:instrText xml:space="preserve"> PAGEREF _Toc156392441 \h </w:instrText>
        </w:r>
        <w:r w:rsidR="005F0369">
          <w:rPr>
            <w:webHidden/>
          </w:rPr>
        </w:r>
        <w:r w:rsidR="005F0369">
          <w:rPr>
            <w:webHidden/>
          </w:rPr>
          <w:fldChar w:fldCharType="separate"/>
        </w:r>
        <w:r w:rsidR="005F0369">
          <w:rPr>
            <w:webHidden/>
          </w:rPr>
          <w:t>30</w:t>
        </w:r>
        <w:r w:rsidR="005F0369">
          <w:rPr>
            <w:webHidden/>
          </w:rPr>
          <w:fldChar w:fldCharType="end"/>
        </w:r>
      </w:hyperlink>
    </w:p>
    <w:p w14:paraId="177B9A59" w14:textId="6FDFA6B6"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2" w:history="1">
        <w:r w:rsidR="005F0369" w:rsidRPr="005121E7">
          <w:rPr>
            <w:rStyle w:val="Hyperlink"/>
          </w:rPr>
          <w:t>15.2</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Tools and applications</w:t>
        </w:r>
        <w:r w:rsidR="005F0369">
          <w:rPr>
            <w:webHidden/>
          </w:rPr>
          <w:tab/>
        </w:r>
        <w:r w:rsidR="005F0369">
          <w:rPr>
            <w:webHidden/>
          </w:rPr>
          <w:fldChar w:fldCharType="begin"/>
        </w:r>
        <w:r w:rsidR="005F0369">
          <w:rPr>
            <w:webHidden/>
          </w:rPr>
          <w:instrText xml:space="preserve"> PAGEREF _Toc156392442 \h </w:instrText>
        </w:r>
        <w:r w:rsidR="005F0369">
          <w:rPr>
            <w:webHidden/>
          </w:rPr>
        </w:r>
        <w:r w:rsidR="005F0369">
          <w:rPr>
            <w:webHidden/>
          </w:rPr>
          <w:fldChar w:fldCharType="separate"/>
        </w:r>
        <w:r w:rsidR="005F0369">
          <w:rPr>
            <w:webHidden/>
          </w:rPr>
          <w:t>31</w:t>
        </w:r>
        <w:r w:rsidR="005F0369">
          <w:rPr>
            <w:webHidden/>
          </w:rPr>
          <w:fldChar w:fldCharType="end"/>
        </w:r>
      </w:hyperlink>
    </w:p>
    <w:p w14:paraId="7BDD0864" w14:textId="198C803A" w:rsidR="005F0369" w:rsidRDefault="00BB63EF">
      <w:pPr>
        <w:pStyle w:val="TOC2"/>
        <w:tabs>
          <w:tab w:val="left" w:pos="1531"/>
        </w:tabs>
        <w:rPr>
          <w:rFonts w:asciiTheme="minorHAnsi" w:eastAsiaTheme="minorEastAsia" w:hAnsiTheme="minorHAnsi" w:cstheme="minorBidi"/>
          <w:kern w:val="2"/>
          <w:sz w:val="22"/>
          <w:szCs w:val="22"/>
          <w:lang w:eastAsia="en-GB"/>
          <w14:ligatures w14:val="standardContextual"/>
        </w:rPr>
      </w:pPr>
      <w:hyperlink w:anchor="_Toc156392443" w:history="1">
        <w:r w:rsidR="005F0369" w:rsidRPr="005121E7">
          <w:rPr>
            <w:rStyle w:val="Hyperlink"/>
          </w:rPr>
          <w:t>15.3</w:t>
        </w:r>
        <w:r w:rsidR="005F0369">
          <w:rPr>
            <w:rFonts w:asciiTheme="minorHAnsi" w:eastAsiaTheme="minorEastAsia" w:hAnsiTheme="minorHAnsi" w:cstheme="minorBidi"/>
            <w:kern w:val="2"/>
            <w:sz w:val="22"/>
            <w:szCs w:val="22"/>
            <w:lang w:eastAsia="en-GB"/>
            <w14:ligatures w14:val="standardContextual"/>
          </w:rPr>
          <w:tab/>
        </w:r>
        <w:r w:rsidR="005F0369" w:rsidRPr="005121E7">
          <w:rPr>
            <w:rStyle w:val="Hyperlink"/>
          </w:rPr>
          <w:t>Web applications</w:t>
        </w:r>
        <w:r w:rsidR="005F0369">
          <w:rPr>
            <w:webHidden/>
          </w:rPr>
          <w:tab/>
        </w:r>
        <w:r w:rsidR="005F0369">
          <w:rPr>
            <w:webHidden/>
          </w:rPr>
          <w:fldChar w:fldCharType="begin"/>
        </w:r>
        <w:r w:rsidR="005F0369">
          <w:rPr>
            <w:webHidden/>
          </w:rPr>
          <w:instrText xml:space="preserve"> PAGEREF _Toc156392443 \h </w:instrText>
        </w:r>
        <w:r w:rsidR="005F0369">
          <w:rPr>
            <w:webHidden/>
          </w:rPr>
        </w:r>
        <w:r w:rsidR="005F0369">
          <w:rPr>
            <w:webHidden/>
          </w:rPr>
          <w:fldChar w:fldCharType="separate"/>
        </w:r>
        <w:r w:rsidR="005F0369">
          <w:rPr>
            <w:webHidden/>
          </w:rPr>
          <w:t>31</w:t>
        </w:r>
        <w:r w:rsidR="005F0369">
          <w:rPr>
            <w:webHidden/>
          </w:rPr>
          <w:fldChar w:fldCharType="end"/>
        </w:r>
      </w:hyperlink>
    </w:p>
    <w:p w14:paraId="6997F024" w14:textId="3606B6BF" w:rsidR="005F0369" w:rsidRDefault="00BB63EF">
      <w:pPr>
        <w:pStyle w:val="TOC1"/>
        <w:rPr>
          <w:rFonts w:asciiTheme="minorHAnsi" w:eastAsiaTheme="minorEastAsia" w:hAnsiTheme="minorHAnsi" w:cstheme="minorBidi"/>
          <w:kern w:val="2"/>
          <w:sz w:val="22"/>
          <w:szCs w:val="22"/>
          <w:lang w:eastAsia="en-GB"/>
          <w14:ligatures w14:val="standardContextual"/>
        </w:rPr>
      </w:pPr>
      <w:hyperlink w:anchor="_Toc156392444" w:history="1">
        <w:r w:rsidR="005F0369" w:rsidRPr="005121E7">
          <w:rPr>
            <w:rStyle w:val="Hyperlink"/>
          </w:rPr>
          <w:t>Appendix I – List of approved texts and texts undergoing approval</w:t>
        </w:r>
        <w:r w:rsidR="005F0369">
          <w:rPr>
            <w:webHidden/>
          </w:rPr>
          <w:tab/>
        </w:r>
        <w:r w:rsidR="005F0369">
          <w:rPr>
            <w:webHidden/>
          </w:rPr>
          <w:fldChar w:fldCharType="begin"/>
        </w:r>
        <w:r w:rsidR="005F0369">
          <w:rPr>
            <w:webHidden/>
          </w:rPr>
          <w:instrText xml:space="preserve"> PAGEREF _Toc156392444 \h </w:instrText>
        </w:r>
        <w:r w:rsidR="005F0369">
          <w:rPr>
            <w:webHidden/>
          </w:rPr>
        </w:r>
        <w:r w:rsidR="005F0369">
          <w:rPr>
            <w:webHidden/>
          </w:rPr>
          <w:fldChar w:fldCharType="separate"/>
        </w:r>
        <w:r w:rsidR="005F0369">
          <w:rPr>
            <w:webHidden/>
          </w:rPr>
          <w:t>35</w:t>
        </w:r>
        <w:r w:rsidR="005F0369">
          <w:rPr>
            <w:webHidden/>
          </w:rPr>
          <w:fldChar w:fldCharType="end"/>
        </w:r>
      </w:hyperlink>
    </w:p>
    <w:p w14:paraId="79602B41" w14:textId="04E49330"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679C4B55" w14:textId="77777777" w:rsidR="004E4C9C" w:rsidRPr="000B1097" w:rsidRDefault="004E4C9C" w:rsidP="004E4C9C">
      <w:pPr>
        <w:pStyle w:val="Heading1"/>
        <w:pageBreakBefore/>
        <w:jc w:val="center"/>
        <w:rPr>
          <w:lang w:eastAsia="zh-CN"/>
        </w:rPr>
      </w:pPr>
      <w:bookmarkStart w:id="12" w:name="_Toc480527765"/>
      <w:bookmarkStart w:id="13" w:name="_Toc156392404"/>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Pr>
          <w:rFonts w:ascii="SimSun" w:eastAsia="SimSun" w:hAnsi="SimSun" w:cs="SimSun" w:hint="eastAsia"/>
          <w:lang w:eastAsia="zh-CN"/>
        </w:rPr>
        <w:lastRenderedPageBreak/>
        <w:t>内容提要</w:t>
      </w:r>
    </w:p>
    <w:p w14:paraId="7202FB54" w14:textId="661830AF" w:rsidR="004E4C9C" w:rsidRPr="004E4C9C" w:rsidRDefault="004E4C9C" w:rsidP="004E4C9C">
      <w:pPr>
        <w:ind w:firstLineChars="200" w:firstLine="480"/>
      </w:pPr>
      <w:r w:rsidRPr="004E4C9C">
        <w:rPr>
          <w:rFonts w:hint="eastAsia"/>
        </w:rPr>
        <w:t>自</w:t>
      </w:r>
      <w:r w:rsidRPr="004E4C9C">
        <w:rPr>
          <w:rFonts w:hint="eastAsia"/>
        </w:rPr>
        <w:t>2023</w:t>
      </w:r>
      <w:r w:rsidRPr="004E4C9C">
        <w:rPr>
          <w:rFonts w:hint="eastAsia"/>
        </w:rPr>
        <w:t>年</w:t>
      </w:r>
      <w:r w:rsidRPr="004E4C9C">
        <w:rPr>
          <w:rFonts w:hint="eastAsia"/>
        </w:rPr>
        <w:t>5</w:t>
      </w:r>
      <w:r w:rsidRPr="004E4C9C">
        <w:rPr>
          <w:rFonts w:hint="eastAsia"/>
        </w:rPr>
        <w:t>月至</w:t>
      </w:r>
      <w:r w:rsidRPr="004E4C9C">
        <w:rPr>
          <w:rFonts w:hint="eastAsia"/>
        </w:rPr>
        <w:t>12</w:t>
      </w:r>
      <w:r w:rsidRPr="004E4C9C">
        <w:rPr>
          <w:rFonts w:hint="eastAsia"/>
        </w:rPr>
        <w:t>月</w:t>
      </w:r>
      <w:r w:rsidRPr="004E4C9C">
        <w:rPr>
          <w:rFonts w:hint="eastAsia"/>
        </w:rPr>
        <w:t>18</w:t>
      </w:r>
      <w:r w:rsidRPr="004E4C9C">
        <w:rPr>
          <w:rFonts w:hint="eastAsia"/>
        </w:rPr>
        <w:t>日，国际电联批准了</w:t>
      </w:r>
      <w:r w:rsidRPr="004E4C9C">
        <w:rPr>
          <w:rFonts w:hint="eastAsia"/>
        </w:rPr>
        <w:t>200</w:t>
      </w:r>
      <w:r w:rsidRPr="004E4C9C">
        <w:rPr>
          <w:rFonts w:hint="eastAsia"/>
        </w:rPr>
        <w:t>份新的和经修订的</w:t>
      </w:r>
      <w:r w:rsidRPr="004E4C9C">
        <w:rPr>
          <w:rFonts w:hint="eastAsia"/>
        </w:rPr>
        <w:t>ITU-T</w:t>
      </w:r>
      <w:r w:rsidRPr="004E4C9C">
        <w:rPr>
          <w:rFonts w:hint="eastAsia"/>
        </w:rPr>
        <w:t>建议书及相关案文。本报告的附录列出了这些案文以及正在批准中的案文并对其内容进行了总结。</w:t>
      </w:r>
      <w:r w:rsidRPr="004E4C9C">
        <w:rPr>
          <w:rFonts w:hint="eastAsia"/>
        </w:rPr>
        <w:t>ITU-T</w:t>
      </w:r>
      <w:r w:rsidRPr="004E4C9C">
        <w:rPr>
          <w:rFonts w:hint="eastAsia"/>
        </w:rPr>
        <w:t>各研究组会议的内容提要可在相关</w:t>
      </w:r>
      <w:hyperlink r:id="rId13" w:history="1">
        <w:r w:rsidRPr="004E4C9C">
          <w:rPr>
            <w:rStyle w:val="Hyperlink"/>
            <w:rFonts w:hint="eastAsia"/>
          </w:rPr>
          <w:t>主页</w:t>
        </w:r>
      </w:hyperlink>
      <w:r w:rsidRPr="004E4C9C">
        <w:rPr>
          <w:rFonts w:hint="eastAsia"/>
        </w:rPr>
        <w:t>上查阅。见</w:t>
      </w:r>
      <w:hyperlink w:anchor="_1_ITU-T_Study" w:history="1">
        <w:r w:rsidRPr="004E4C9C">
          <w:rPr>
            <w:rStyle w:val="Hyperlink"/>
            <w:rFonts w:hint="eastAsia"/>
          </w:rPr>
          <w:t>第</w:t>
        </w:r>
        <w:r>
          <w:rPr>
            <w:rStyle w:val="Hyperlink"/>
            <w:rFonts w:hint="eastAsia"/>
            <w:lang w:eastAsia="zh-CN"/>
          </w:rPr>
          <w:t>1</w:t>
        </w:r>
        <w:r>
          <w:rPr>
            <w:rStyle w:val="Hyperlink"/>
            <w:rFonts w:hint="eastAsia"/>
            <w:lang w:eastAsia="zh-CN"/>
          </w:rPr>
          <w:t>节</w:t>
        </w:r>
      </w:hyperlink>
      <w:r w:rsidRPr="004E4C9C">
        <w:rPr>
          <w:rFonts w:hint="eastAsia"/>
        </w:rPr>
        <w:t>。</w:t>
      </w:r>
    </w:p>
    <w:p w14:paraId="7770C497" w14:textId="51E12B28" w:rsidR="004E4C9C" w:rsidRPr="004E4C9C" w:rsidRDefault="004E4C9C" w:rsidP="004E4C9C">
      <w:pPr>
        <w:ind w:firstLineChars="200" w:firstLine="480"/>
      </w:pPr>
      <w:r w:rsidRPr="004E4C9C">
        <w:rPr>
          <w:rFonts w:hint="eastAsia"/>
        </w:rPr>
        <w:t>六个</w:t>
      </w:r>
      <w:r w:rsidRPr="004E4C9C">
        <w:rPr>
          <w:rFonts w:hint="eastAsia"/>
        </w:rPr>
        <w:t>ITU-T</w:t>
      </w:r>
      <w:r w:rsidRPr="004E4C9C">
        <w:rPr>
          <w:rFonts w:hint="eastAsia"/>
        </w:rPr>
        <w:t>焦点组正在开展工作。有关</w:t>
      </w:r>
      <w:r w:rsidRPr="004E4C9C">
        <w:rPr>
          <w:rFonts w:hint="eastAsia"/>
        </w:rPr>
        <w:t>ITU-T</w:t>
      </w:r>
      <w:r w:rsidRPr="004E4C9C">
        <w:rPr>
          <w:rFonts w:hint="eastAsia"/>
        </w:rPr>
        <w:t>各焦点组的活动和实际成果信息见其</w:t>
      </w:r>
      <w:r w:rsidRPr="004E4C9C">
        <w:fldChar w:fldCharType="begin"/>
      </w:r>
      <w:r w:rsidRPr="004E4C9C">
        <w:instrText>HYPERLINK "https://www.itu.int/en/ITU-T/focusgroups/Pages/default.aspx"</w:instrText>
      </w:r>
      <w:r w:rsidRPr="004E4C9C">
        <w:fldChar w:fldCharType="separate"/>
      </w:r>
      <w:r w:rsidRPr="004E4C9C">
        <w:rPr>
          <w:rStyle w:val="Hyperlink"/>
          <w:rFonts w:hint="eastAsia"/>
        </w:rPr>
        <w:t>主页</w:t>
      </w:r>
      <w:r w:rsidRPr="004E4C9C">
        <w:fldChar w:fldCharType="end"/>
      </w:r>
      <w:r w:rsidRPr="004E4C9C">
        <w:rPr>
          <w:rFonts w:hint="eastAsia"/>
        </w:rPr>
        <w:t>，各组及其时间段的索引见</w:t>
      </w:r>
      <w:hyperlink w:anchor="_2_ITU-T_Focus" w:history="1">
        <w:r w:rsidRPr="004E4C9C">
          <w:rPr>
            <w:rStyle w:val="Hyperlink"/>
            <w:rFonts w:hint="eastAsia"/>
          </w:rPr>
          <w:t>第</w:t>
        </w:r>
        <w:r>
          <w:rPr>
            <w:rStyle w:val="Hyperlink"/>
            <w:rFonts w:hint="eastAsia"/>
            <w:lang w:eastAsia="zh-CN"/>
          </w:rPr>
          <w:t>2</w:t>
        </w:r>
        <w:r>
          <w:rPr>
            <w:rStyle w:val="Hyperlink"/>
            <w:rFonts w:hint="eastAsia"/>
            <w:lang w:eastAsia="zh-CN"/>
          </w:rPr>
          <w:t>节</w:t>
        </w:r>
      </w:hyperlink>
      <w:r w:rsidRPr="004E4C9C">
        <w:rPr>
          <w:rFonts w:hint="eastAsia"/>
        </w:rPr>
        <w:t>。</w:t>
      </w:r>
    </w:p>
    <w:p w14:paraId="3C32D775" w14:textId="3EB420DF" w:rsidR="004E4C9C" w:rsidRPr="004E4C9C" w:rsidRDefault="004E4C9C" w:rsidP="004E4C9C">
      <w:pPr>
        <w:ind w:firstLineChars="200" w:firstLine="480"/>
      </w:pPr>
      <w:r w:rsidRPr="004E4C9C">
        <w:rPr>
          <w:rFonts w:hint="eastAsia"/>
        </w:rPr>
        <w:t>在报告期内，除了几乎每天都在安排全年举办的</w:t>
      </w:r>
      <w:r w:rsidRPr="004E4C9C">
        <w:fldChar w:fldCharType="begin"/>
      </w:r>
      <w:r w:rsidRPr="004E4C9C">
        <w:instrText>HYPERLINK "https://aiforgood.itu.int/"</w:instrText>
      </w:r>
      <w:r w:rsidRPr="004E4C9C">
        <w:fldChar w:fldCharType="separate"/>
      </w:r>
      <w:r w:rsidRPr="004E4C9C">
        <w:rPr>
          <w:rStyle w:val="Hyperlink"/>
          <w:rFonts w:hint="eastAsia"/>
        </w:rPr>
        <w:t>人工智能惠及人类</w:t>
      </w:r>
      <w:r w:rsidRPr="004E4C9C">
        <w:fldChar w:fldCharType="end"/>
      </w:r>
      <w:r w:rsidRPr="004E4C9C">
        <w:rPr>
          <w:rFonts w:hint="eastAsia"/>
        </w:rPr>
        <w:t>数字平台外，还举办了</w:t>
      </w:r>
      <w:r w:rsidRPr="004E4C9C">
        <w:rPr>
          <w:rFonts w:hint="eastAsia"/>
        </w:rPr>
        <w:t>73</w:t>
      </w:r>
      <w:r w:rsidRPr="004E4C9C">
        <w:rPr>
          <w:rFonts w:hint="eastAsia"/>
        </w:rPr>
        <w:t>次</w:t>
      </w:r>
      <w:r w:rsidRPr="004E4C9C">
        <w:rPr>
          <w:rFonts w:hint="eastAsia"/>
        </w:rPr>
        <w:t>ITU-T</w:t>
      </w:r>
      <w:hyperlink r:id="rId14" w:history="1">
        <w:r w:rsidRPr="004E4C9C">
          <w:rPr>
            <w:rStyle w:val="Hyperlink"/>
            <w:rFonts w:hint="eastAsia"/>
          </w:rPr>
          <w:t>讲习班和专题研讨会</w:t>
        </w:r>
      </w:hyperlink>
      <w:r w:rsidRPr="004E4C9C">
        <w:rPr>
          <w:rFonts w:hint="eastAsia"/>
        </w:rPr>
        <w:t>。见</w:t>
      </w:r>
      <w:hyperlink w:anchor="_3_Workshops_and" w:history="1">
        <w:r w:rsidRPr="004E4C9C">
          <w:rPr>
            <w:rStyle w:val="Hyperlink"/>
            <w:rFonts w:hint="eastAsia"/>
          </w:rPr>
          <w:t>第</w:t>
        </w:r>
        <w:r>
          <w:rPr>
            <w:rStyle w:val="Hyperlink"/>
            <w:rFonts w:hint="eastAsia"/>
            <w:lang w:eastAsia="zh-CN"/>
          </w:rPr>
          <w:t>3</w:t>
        </w:r>
        <w:r>
          <w:rPr>
            <w:rStyle w:val="Hyperlink"/>
            <w:rFonts w:hint="eastAsia"/>
            <w:lang w:eastAsia="zh-CN"/>
          </w:rPr>
          <w:t>节</w:t>
        </w:r>
      </w:hyperlink>
      <w:r w:rsidRPr="004E4C9C">
        <w:rPr>
          <w:rFonts w:hint="eastAsia"/>
        </w:rPr>
        <w:t>。</w:t>
      </w:r>
      <w:r w:rsidRPr="004E4C9C">
        <w:rPr>
          <w:rFonts w:hint="eastAsia"/>
        </w:rPr>
        <w:t>TSB</w:t>
      </w:r>
      <w:r w:rsidRPr="004E4C9C">
        <w:rPr>
          <w:rFonts w:hint="eastAsia"/>
        </w:rPr>
        <w:t>于</w:t>
      </w:r>
      <w:r w:rsidRPr="004E4C9C">
        <w:rPr>
          <w:rFonts w:hint="eastAsia"/>
        </w:rPr>
        <w:t>2023</w:t>
      </w:r>
      <w:r w:rsidRPr="004E4C9C">
        <w:rPr>
          <w:rFonts w:hint="eastAsia"/>
        </w:rPr>
        <w:t>年促成了</w:t>
      </w:r>
      <w:r w:rsidRPr="00986416">
        <w:t>4,143</w:t>
      </w:r>
      <w:r w:rsidRPr="004E4C9C">
        <w:rPr>
          <w:rFonts w:hint="eastAsia"/>
        </w:rPr>
        <w:t>次电子会议，</w:t>
      </w:r>
      <w:r w:rsidRPr="00986416">
        <w:t>68,734</w:t>
      </w:r>
      <w:r w:rsidRPr="004E4C9C">
        <w:rPr>
          <w:rFonts w:hint="eastAsia"/>
        </w:rPr>
        <w:t>次连接。见</w:t>
      </w:r>
      <w:r w:rsidRPr="004E4C9C">
        <w:fldChar w:fldCharType="begin"/>
      </w:r>
      <w:r w:rsidRPr="004E4C9C">
        <w:instrText>HYPERLINK \l "_4_Virtual_meetings"</w:instrText>
      </w:r>
      <w:r w:rsidRPr="004E4C9C">
        <w:fldChar w:fldCharType="separate"/>
      </w:r>
      <w:r w:rsidRPr="004E4C9C">
        <w:rPr>
          <w:rStyle w:val="Hyperlink"/>
          <w:rFonts w:hint="eastAsia"/>
        </w:rPr>
        <w:t>第</w:t>
      </w:r>
      <w:r>
        <w:rPr>
          <w:rStyle w:val="Hyperlink"/>
          <w:rFonts w:hint="eastAsia"/>
          <w:lang w:eastAsia="zh-CN"/>
        </w:rPr>
        <w:t>4</w:t>
      </w:r>
      <w:r>
        <w:rPr>
          <w:rStyle w:val="Hyperlink"/>
          <w:rFonts w:hint="eastAsia"/>
          <w:lang w:eastAsia="zh-CN"/>
        </w:rPr>
        <w:t>节</w:t>
      </w:r>
      <w:r w:rsidRPr="004E4C9C">
        <w:fldChar w:fldCharType="end"/>
      </w:r>
      <w:r w:rsidRPr="004E4C9C">
        <w:rPr>
          <w:rFonts w:hint="eastAsia"/>
        </w:rPr>
        <w:t>。</w:t>
      </w:r>
    </w:p>
    <w:p w14:paraId="05806E10" w14:textId="14FB0F52" w:rsidR="004E4C9C" w:rsidRPr="004E4C9C" w:rsidRDefault="004E4C9C" w:rsidP="004E4C9C">
      <w:pPr>
        <w:ind w:firstLineChars="200" w:firstLine="480"/>
      </w:pPr>
      <w:r w:rsidRPr="004E4C9C">
        <w:rPr>
          <w:rFonts w:hint="eastAsia"/>
        </w:rPr>
        <w:t>ITU-T</w:t>
      </w:r>
      <w:r w:rsidRPr="004E4C9C">
        <w:rPr>
          <w:rFonts w:hint="eastAsia"/>
        </w:rPr>
        <w:t>拥有</w:t>
      </w:r>
      <w:r w:rsidRPr="004E4C9C">
        <w:rPr>
          <w:rFonts w:hint="eastAsia"/>
        </w:rPr>
        <w:t>272</w:t>
      </w:r>
      <w:r w:rsidRPr="004E4C9C">
        <w:rPr>
          <w:rFonts w:hint="eastAsia"/>
        </w:rPr>
        <w:t>个部门成员和</w:t>
      </w:r>
      <w:r w:rsidRPr="004E4C9C">
        <w:rPr>
          <w:rFonts w:hint="eastAsia"/>
        </w:rPr>
        <w:t>227</w:t>
      </w:r>
      <w:r w:rsidRPr="004E4C9C">
        <w:rPr>
          <w:rFonts w:hint="eastAsia"/>
        </w:rPr>
        <w:t>个部门准成员。国际电联学术成员总数为</w:t>
      </w:r>
      <w:r w:rsidRPr="004E4C9C">
        <w:rPr>
          <w:rFonts w:hint="eastAsia"/>
        </w:rPr>
        <w:t>169</w:t>
      </w:r>
      <w:r w:rsidRPr="004E4C9C">
        <w:rPr>
          <w:rFonts w:hint="eastAsia"/>
        </w:rPr>
        <w:t>个。</w:t>
      </w:r>
      <w:r w:rsidRPr="004E4C9C">
        <w:rPr>
          <w:rFonts w:hint="eastAsia"/>
        </w:rPr>
        <w:t>66</w:t>
      </w:r>
      <w:r w:rsidRPr="004E4C9C">
        <w:rPr>
          <w:rFonts w:hint="eastAsia"/>
        </w:rPr>
        <w:t>个</w:t>
      </w:r>
      <w:r w:rsidRPr="004E4C9C">
        <w:rPr>
          <w:rFonts w:hint="eastAsia"/>
        </w:rPr>
        <w:t>ITU-T</w:t>
      </w:r>
      <w:r w:rsidRPr="004E4C9C">
        <w:rPr>
          <w:rFonts w:hint="eastAsia"/>
        </w:rPr>
        <w:t>部门准成员根据</w:t>
      </w:r>
      <w:r w:rsidRPr="004E4C9C">
        <w:rPr>
          <w:rFonts w:hint="eastAsia"/>
        </w:rPr>
        <w:t>2020</w:t>
      </w:r>
      <w:r w:rsidRPr="004E4C9C">
        <w:rPr>
          <w:rFonts w:hint="eastAsia"/>
        </w:rPr>
        <w:t>年</w:t>
      </w:r>
      <w:r w:rsidRPr="004E4C9C">
        <w:rPr>
          <w:rFonts w:hint="eastAsia"/>
        </w:rPr>
        <w:t>1</w:t>
      </w:r>
      <w:r w:rsidRPr="004E4C9C">
        <w:rPr>
          <w:rFonts w:hint="eastAsia"/>
        </w:rPr>
        <w:t>月</w:t>
      </w:r>
      <w:r w:rsidRPr="004E4C9C">
        <w:rPr>
          <w:rFonts w:hint="eastAsia"/>
        </w:rPr>
        <w:t>31</w:t>
      </w:r>
      <w:r w:rsidRPr="004E4C9C">
        <w:rPr>
          <w:rFonts w:hint="eastAsia"/>
        </w:rPr>
        <w:t>日生效的中小企业下调会费结构参与活动。见</w:t>
      </w:r>
      <w:r w:rsidRPr="004E4C9C">
        <w:fldChar w:fldCharType="begin"/>
      </w:r>
      <w:r w:rsidRPr="004E4C9C">
        <w:instrText>HYPERLINK \l "_11_Membership"</w:instrText>
      </w:r>
      <w:r w:rsidRPr="004E4C9C">
        <w:fldChar w:fldCharType="separate"/>
      </w:r>
      <w:r w:rsidRPr="004E4C9C">
        <w:rPr>
          <w:rStyle w:val="Hyperlink"/>
          <w:rFonts w:hint="eastAsia"/>
        </w:rPr>
        <w:t>第</w:t>
      </w:r>
      <w:r>
        <w:rPr>
          <w:rStyle w:val="Hyperlink"/>
          <w:rFonts w:hint="eastAsia"/>
          <w:lang w:eastAsia="zh-CN"/>
        </w:rPr>
        <w:t>1</w:t>
      </w:r>
      <w:r>
        <w:rPr>
          <w:rStyle w:val="Hyperlink"/>
          <w:lang w:eastAsia="zh-CN"/>
        </w:rPr>
        <w:t>1</w:t>
      </w:r>
      <w:r>
        <w:rPr>
          <w:rStyle w:val="Hyperlink"/>
          <w:rFonts w:hint="eastAsia"/>
          <w:lang w:eastAsia="zh-CN"/>
        </w:rPr>
        <w:t>节</w:t>
      </w:r>
      <w:r w:rsidRPr="004E4C9C">
        <w:fldChar w:fldCharType="end"/>
      </w:r>
      <w:r w:rsidRPr="004E4C9C">
        <w:rPr>
          <w:rFonts w:hint="eastAsia"/>
        </w:rPr>
        <w:t>。</w:t>
      </w:r>
    </w:p>
    <w:p w14:paraId="2B0B0506" w14:textId="58438AE4" w:rsidR="004E4C9C" w:rsidRPr="004E4C9C" w:rsidRDefault="004E4C9C" w:rsidP="004E4C9C">
      <w:pPr>
        <w:ind w:firstLineChars="200" w:firstLine="480"/>
      </w:pPr>
      <w:r w:rsidRPr="004E4C9C">
        <w:rPr>
          <w:rFonts w:hint="eastAsia"/>
        </w:rPr>
        <w:t>除国际电联基础设施服务外，电信标准化局不断强化现有应用并开发新应用，酌情采用开源和机器学习解决方案，以进一步扩大其正在进行的数字化转型。见</w:t>
      </w:r>
      <w:hyperlink w:anchor="_15_Services_and" w:history="1">
        <w:r w:rsidRPr="004E4C9C">
          <w:rPr>
            <w:rStyle w:val="Hyperlink"/>
            <w:rFonts w:hint="eastAsia"/>
          </w:rPr>
          <w:t>第</w:t>
        </w:r>
        <w:r w:rsidRPr="004E4C9C">
          <w:rPr>
            <w:rStyle w:val="Hyperlink"/>
          </w:rPr>
          <w:t>1</w:t>
        </w:r>
        <w:r>
          <w:rPr>
            <w:rStyle w:val="Hyperlink"/>
          </w:rPr>
          <w:t>5</w:t>
        </w:r>
        <w:r>
          <w:rPr>
            <w:rStyle w:val="Hyperlink"/>
            <w:rFonts w:hint="eastAsia"/>
            <w:lang w:eastAsia="zh-CN"/>
          </w:rPr>
          <w:t>节</w:t>
        </w:r>
      </w:hyperlink>
      <w:r w:rsidRPr="004E4C9C">
        <w:rPr>
          <w:rFonts w:hint="eastAsia"/>
        </w:rPr>
        <w:t>。</w:t>
      </w:r>
    </w:p>
    <w:p w14:paraId="60CC8D45" w14:textId="33B2CFF0" w:rsidR="004E4C9C" w:rsidRPr="004E4C9C" w:rsidRDefault="004E4C9C" w:rsidP="004E4C9C">
      <w:pPr>
        <w:ind w:firstLineChars="200" w:firstLine="480"/>
      </w:pPr>
      <w:r w:rsidRPr="004E4C9C">
        <w:rPr>
          <w:rFonts w:hint="eastAsia"/>
        </w:rPr>
        <w:t>2023</w:t>
      </w:r>
      <w:r w:rsidRPr="004E4C9C">
        <w:rPr>
          <w:rFonts w:hint="eastAsia"/>
        </w:rPr>
        <w:t>年</w:t>
      </w:r>
      <w:r w:rsidRPr="004E4C9C">
        <w:rPr>
          <w:rFonts w:hint="eastAsia"/>
        </w:rPr>
        <w:t>7</w:t>
      </w:r>
      <w:r w:rsidRPr="004E4C9C">
        <w:rPr>
          <w:rFonts w:hint="eastAsia"/>
        </w:rPr>
        <w:t>月</w:t>
      </w:r>
      <w:r w:rsidRPr="004E4C9C">
        <w:rPr>
          <w:rFonts w:hint="eastAsia"/>
        </w:rPr>
        <w:t>6</w:t>
      </w:r>
      <w:r w:rsidRPr="004E4C9C">
        <w:rPr>
          <w:rFonts w:hint="eastAsia"/>
        </w:rPr>
        <w:t>日至</w:t>
      </w:r>
      <w:r w:rsidRPr="004E4C9C">
        <w:rPr>
          <w:rFonts w:hint="eastAsia"/>
        </w:rPr>
        <w:t>7</w:t>
      </w:r>
      <w:r w:rsidRPr="004E4C9C">
        <w:rPr>
          <w:rFonts w:hint="eastAsia"/>
        </w:rPr>
        <w:t>日在日内瓦举行的</w:t>
      </w:r>
      <w:r w:rsidRPr="004E4C9C">
        <w:fldChar w:fldCharType="begin"/>
      </w:r>
      <w:r w:rsidRPr="004E4C9C">
        <w:instrText>HYPERLINK "https://aiforgood.itu.int/"</w:instrText>
      </w:r>
      <w:r w:rsidRPr="004E4C9C">
        <w:fldChar w:fldCharType="separate"/>
      </w:r>
      <w:r w:rsidRPr="004E4C9C">
        <w:rPr>
          <w:rStyle w:val="Hyperlink"/>
          <w:rFonts w:hint="eastAsia"/>
        </w:rPr>
        <w:t>人工智能惠及人类全球峰会</w:t>
      </w:r>
      <w:r w:rsidRPr="004E4C9C">
        <w:fldChar w:fldCharType="end"/>
      </w:r>
      <w:r w:rsidRPr="004E4C9C">
        <w:rPr>
          <w:rFonts w:hint="eastAsia"/>
        </w:rPr>
        <w:t>邀请了人工智能和人道主义行动领域的世界知名专家，并举办了世界上最大的人形机器人和专业机器人聚会。在此之前，</w:t>
      </w:r>
      <w:r w:rsidRPr="004E4C9C">
        <w:rPr>
          <w:rFonts w:hint="eastAsia"/>
        </w:rPr>
        <w:t>7</w:t>
      </w:r>
      <w:r w:rsidRPr="004E4C9C">
        <w:rPr>
          <w:rFonts w:hint="eastAsia"/>
        </w:rPr>
        <w:t>月</w:t>
      </w:r>
      <w:r w:rsidRPr="004E4C9C">
        <w:rPr>
          <w:rFonts w:hint="eastAsia"/>
        </w:rPr>
        <w:t>4</w:t>
      </w:r>
      <w:r w:rsidRPr="004E4C9C">
        <w:rPr>
          <w:rFonts w:hint="eastAsia"/>
        </w:rPr>
        <w:t>日至</w:t>
      </w:r>
      <w:r w:rsidRPr="004E4C9C">
        <w:rPr>
          <w:rFonts w:hint="eastAsia"/>
        </w:rPr>
        <w:t>5</w:t>
      </w:r>
      <w:r w:rsidRPr="004E4C9C">
        <w:rPr>
          <w:rFonts w:hint="eastAsia"/>
        </w:rPr>
        <w:t>日举办了机器学习讲习班，利用了人工智能惠及人类发现计划的专业知识。下一届</w:t>
      </w:r>
      <w:r w:rsidRPr="004E4C9C">
        <w:fldChar w:fldCharType="begin"/>
      </w:r>
      <w:r w:rsidRPr="004E4C9C">
        <w:instrText>HYPERLINK "https://aiforgood.itu.int/"</w:instrText>
      </w:r>
      <w:r w:rsidRPr="004E4C9C">
        <w:fldChar w:fldCharType="separate"/>
      </w:r>
      <w:r w:rsidRPr="004E4C9C">
        <w:rPr>
          <w:rStyle w:val="Hyperlink"/>
          <w:rFonts w:hint="eastAsia"/>
        </w:rPr>
        <w:t>人工智能惠及人类全球峰会</w:t>
      </w:r>
      <w:r w:rsidRPr="004E4C9C">
        <w:fldChar w:fldCharType="end"/>
      </w:r>
      <w:r w:rsidRPr="004E4C9C">
        <w:rPr>
          <w:rFonts w:hint="eastAsia"/>
        </w:rPr>
        <w:t>将于</w:t>
      </w:r>
      <w:r w:rsidRPr="004E4C9C">
        <w:rPr>
          <w:rFonts w:hint="eastAsia"/>
        </w:rPr>
        <w:t>2024</w:t>
      </w:r>
      <w:r w:rsidRPr="004E4C9C">
        <w:rPr>
          <w:rFonts w:hint="eastAsia"/>
        </w:rPr>
        <w:t>年</w:t>
      </w:r>
      <w:r w:rsidRPr="004E4C9C">
        <w:rPr>
          <w:rFonts w:hint="eastAsia"/>
        </w:rPr>
        <w:t>5</w:t>
      </w:r>
      <w:r w:rsidRPr="004E4C9C">
        <w:rPr>
          <w:rFonts w:hint="eastAsia"/>
        </w:rPr>
        <w:t>月</w:t>
      </w:r>
      <w:r w:rsidRPr="004E4C9C">
        <w:rPr>
          <w:rFonts w:hint="eastAsia"/>
        </w:rPr>
        <w:t>30</w:t>
      </w:r>
      <w:r w:rsidRPr="004E4C9C">
        <w:rPr>
          <w:rFonts w:hint="eastAsia"/>
        </w:rPr>
        <w:t>日至</w:t>
      </w:r>
      <w:r w:rsidRPr="004E4C9C">
        <w:rPr>
          <w:rFonts w:hint="eastAsia"/>
        </w:rPr>
        <w:t>31</w:t>
      </w:r>
      <w:r w:rsidRPr="004E4C9C">
        <w:rPr>
          <w:rFonts w:hint="eastAsia"/>
        </w:rPr>
        <w:t>日在日内瓦举行，之前将于</w:t>
      </w:r>
      <w:r w:rsidRPr="004E4C9C">
        <w:rPr>
          <w:rFonts w:hint="eastAsia"/>
        </w:rPr>
        <w:t>5</w:t>
      </w:r>
      <w:r w:rsidRPr="004E4C9C">
        <w:rPr>
          <w:rFonts w:hint="eastAsia"/>
        </w:rPr>
        <w:t>月</w:t>
      </w:r>
      <w:r w:rsidRPr="004E4C9C">
        <w:rPr>
          <w:rFonts w:hint="eastAsia"/>
        </w:rPr>
        <w:t>29</w:t>
      </w:r>
      <w:r w:rsidRPr="004E4C9C">
        <w:rPr>
          <w:rFonts w:hint="eastAsia"/>
        </w:rPr>
        <w:t>日就全球人工智能治理问题进行讨论。</w:t>
      </w:r>
      <w:r w:rsidRPr="004E4C9C">
        <w:rPr>
          <w:rFonts w:hint="eastAsia"/>
        </w:rPr>
        <w:t>2024</w:t>
      </w:r>
      <w:r w:rsidRPr="004E4C9C">
        <w:rPr>
          <w:rFonts w:hint="eastAsia"/>
        </w:rPr>
        <w:t>年的峰会将与</w:t>
      </w:r>
      <w:r w:rsidRPr="004E4C9C">
        <w:rPr>
          <w:rFonts w:hint="eastAsia"/>
        </w:rPr>
        <w:t>5</w:t>
      </w:r>
      <w:r w:rsidRPr="004E4C9C">
        <w:rPr>
          <w:rFonts w:hint="eastAsia"/>
        </w:rPr>
        <w:t>月</w:t>
      </w:r>
      <w:r w:rsidRPr="004E4C9C">
        <w:rPr>
          <w:rFonts w:hint="eastAsia"/>
        </w:rPr>
        <w:t>27-31</w:t>
      </w:r>
      <w:r w:rsidRPr="004E4C9C">
        <w:rPr>
          <w:rFonts w:hint="eastAsia"/>
        </w:rPr>
        <w:t>日在日内瓦召开的</w:t>
      </w:r>
      <w:r w:rsidRPr="004E4C9C">
        <w:fldChar w:fldCharType="begin"/>
      </w:r>
      <w:r w:rsidRPr="004E4C9C">
        <w:instrText>HYPERLINK "https://www.itu.int/en/itu-wsis/Pages/default.aspx"</w:instrText>
      </w:r>
      <w:r w:rsidRPr="004E4C9C">
        <w:fldChar w:fldCharType="separate"/>
      </w:r>
      <w:r w:rsidRPr="004E4C9C">
        <w:rPr>
          <w:rStyle w:val="Hyperlink"/>
          <w:rFonts w:hint="eastAsia"/>
        </w:rPr>
        <w:t>信息社会世界峰会（</w:t>
      </w:r>
      <w:r w:rsidRPr="004E4C9C">
        <w:rPr>
          <w:rStyle w:val="Hyperlink"/>
          <w:rFonts w:hint="eastAsia"/>
        </w:rPr>
        <w:t>WSIS</w:t>
      </w:r>
      <w:r w:rsidRPr="004E4C9C">
        <w:rPr>
          <w:rStyle w:val="Hyperlink"/>
          <w:rFonts w:hint="eastAsia"/>
        </w:rPr>
        <w:t>）</w:t>
      </w:r>
      <w:r w:rsidRPr="004E4C9C">
        <w:rPr>
          <w:rStyle w:val="Hyperlink"/>
          <w:rFonts w:hint="eastAsia"/>
        </w:rPr>
        <w:t>+20</w:t>
      </w:r>
      <w:r w:rsidRPr="004E4C9C">
        <w:rPr>
          <w:rStyle w:val="Hyperlink"/>
          <w:rFonts w:hint="eastAsia"/>
        </w:rPr>
        <w:t>会议</w:t>
      </w:r>
      <w:r w:rsidRPr="004E4C9C">
        <w:fldChar w:fldCharType="end"/>
      </w:r>
      <w:r w:rsidRPr="004E4C9C">
        <w:rPr>
          <w:rFonts w:hint="eastAsia"/>
        </w:rPr>
        <w:t>同期举行，以确保就数字发展问题实现互补。自</w:t>
      </w:r>
      <w:r w:rsidRPr="004E4C9C">
        <w:rPr>
          <w:rFonts w:hint="eastAsia"/>
        </w:rPr>
        <w:t>2</w:t>
      </w:r>
      <w:r>
        <w:t>022</w:t>
      </w:r>
      <w:r w:rsidRPr="004E4C9C">
        <w:rPr>
          <w:rFonts w:hint="eastAsia"/>
        </w:rPr>
        <w:t>年</w:t>
      </w:r>
      <w:r w:rsidRPr="004E4C9C">
        <w:rPr>
          <w:rFonts w:hint="eastAsia"/>
        </w:rPr>
        <w:t>2</w:t>
      </w:r>
      <w:r w:rsidRPr="004E4C9C">
        <w:rPr>
          <w:rFonts w:hint="eastAsia"/>
        </w:rPr>
        <w:t>月推出以来，已有超过</w:t>
      </w:r>
      <w:r w:rsidRPr="004E4C9C">
        <w:rPr>
          <w:rFonts w:hint="eastAsia"/>
        </w:rPr>
        <w:t>25,000</w:t>
      </w:r>
      <w:r w:rsidRPr="004E4C9C">
        <w:rPr>
          <w:rFonts w:hint="eastAsia"/>
        </w:rPr>
        <w:t>人在</w:t>
      </w:r>
      <w:r w:rsidRPr="004E4C9C">
        <w:fldChar w:fldCharType="begin"/>
      </w:r>
      <w:r w:rsidRPr="004E4C9C">
        <w:instrText>HYPERLINK "https://aiforgood.itu.int/neural-network/"</w:instrText>
      </w:r>
      <w:r w:rsidRPr="004E4C9C">
        <w:fldChar w:fldCharType="separate"/>
      </w:r>
      <w:r w:rsidRPr="004E4C9C">
        <w:rPr>
          <w:rStyle w:val="Hyperlink"/>
          <w:rFonts w:hint="eastAsia"/>
        </w:rPr>
        <w:t>人工智能惠及人类神经网络</w:t>
      </w:r>
      <w:r w:rsidRPr="004E4C9C">
        <w:fldChar w:fldCharType="end"/>
      </w:r>
      <w:r w:rsidRPr="004E4C9C">
        <w:rPr>
          <w:rFonts w:hint="eastAsia"/>
        </w:rPr>
        <w:t>上创建了个人资料。见</w:t>
      </w:r>
      <w:hyperlink w:anchor="_5.1_Artificial_intelligence" w:history="1">
        <w:r w:rsidRPr="004E4C9C">
          <w:rPr>
            <w:rStyle w:val="Hyperlink"/>
            <w:rFonts w:hint="eastAsia"/>
          </w:rPr>
          <w:t>第</w:t>
        </w:r>
        <w:r w:rsidRPr="004E4C9C">
          <w:rPr>
            <w:rStyle w:val="Hyperlink"/>
          </w:rPr>
          <w:t>5.</w:t>
        </w:r>
        <w:r>
          <w:rPr>
            <w:rStyle w:val="Hyperlink"/>
          </w:rPr>
          <w:t>1</w:t>
        </w:r>
        <w:r>
          <w:rPr>
            <w:rStyle w:val="Hyperlink"/>
            <w:rFonts w:hint="eastAsia"/>
            <w:lang w:eastAsia="zh-CN"/>
          </w:rPr>
          <w:t>节</w:t>
        </w:r>
      </w:hyperlink>
      <w:r w:rsidRPr="004E4C9C">
        <w:rPr>
          <w:rFonts w:hint="eastAsia"/>
        </w:rPr>
        <w:t>。</w:t>
      </w:r>
    </w:p>
    <w:p w14:paraId="225484F5" w14:textId="2E7F10D5" w:rsidR="004E4C9C" w:rsidRPr="004E4C9C" w:rsidRDefault="004E4C9C" w:rsidP="004E4C9C">
      <w:pPr>
        <w:ind w:firstLineChars="200" w:firstLine="480"/>
      </w:pPr>
      <w:r w:rsidRPr="004E4C9C">
        <w:rPr>
          <w:rFonts w:hint="eastAsia"/>
        </w:rPr>
        <w:t>作为</w:t>
      </w:r>
      <w:r w:rsidRPr="004E4C9C">
        <w:rPr>
          <w:rFonts w:hint="eastAsia"/>
        </w:rPr>
        <w:t>2023</w:t>
      </w:r>
      <w:r w:rsidRPr="004E4C9C">
        <w:rPr>
          <w:rFonts w:hint="eastAsia"/>
        </w:rPr>
        <w:t>年全年焦点的</w:t>
      </w:r>
      <w:r w:rsidRPr="004E4C9C">
        <w:fldChar w:fldCharType="begin"/>
      </w:r>
      <w:r w:rsidRPr="004E4C9C">
        <w:rPr>
          <w:rFonts w:hint="eastAsia"/>
        </w:rPr>
        <w:instrText>HYPERLINK "https://aiforgood.itu.int/about-ai-for-good/aiml-in-5g-challenge/"</w:instrText>
      </w:r>
      <w:r w:rsidRPr="004E4C9C">
        <w:fldChar w:fldCharType="separate"/>
      </w:r>
      <w:r w:rsidRPr="004E4C9C">
        <w:rPr>
          <w:rStyle w:val="Hyperlink"/>
          <w:rFonts w:hint="eastAsia"/>
        </w:rPr>
        <w:t>第四届国际电联</w:t>
      </w:r>
      <w:r w:rsidRPr="004E4C9C">
        <w:rPr>
          <w:rStyle w:val="Hyperlink"/>
          <w:rFonts w:hint="eastAsia"/>
        </w:rPr>
        <w:t>5G</w:t>
      </w:r>
      <w:r w:rsidRPr="004E4C9C">
        <w:rPr>
          <w:rStyle w:val="Hyperlink"/>
          <w:rFonts w:hint="eastAsia"/>
        </w:rPr>
        <w:t>人工智能</w:t>
      </w:r>
      <w:r w:rsidRPr="004E4C9C">
        <w:rPr>
          <w:rStyle w:val="Hyperlink"/>
          <w:rFonts w:hint="eastAsia"/>
        </w:rPr>
        <w:t>/</w:t>
      </w:r>
      <w:r w:rsidRPr="004E4C9C">
        <w:rPr>
          <w:rStyle w:val="Hyperlink"/>
          <w:rFonts w:hint="eastAsia"/>
        </w:rPr>
        <w:t>机器学习挑战赛</w:t>
      </w:r>
      <w:r w:rsidRPr="004E4C9C">
        <w:fldChar w:fldCharType="end"/>
      </w:r>
      <w:r w:rsidRPr="004E4C9C">
        <w:rPr>
          <w:rFonts w:hint="eastAsia"/>
        </w:rPr>
        <w:t>（包括作为</w:t>
      </w:r>
      <w:hyperlink r:id="rId15" w:history="1">
        <w:r w:rsidRPr="004E4C9C">
          <w:rPr>
            <w:rStyle w:val="Hyperlink"/>
            <w:rFonts w:hint="eastAsia"/>
          </w:rPr>
          <w:t>一系列人工智能惠及人类网络研讨会</w:t>
        </w:r>
      </w:hyperlink>
      <w:r w:rsidRPr="004E4C9C">
        <w:rPr>
          <w:rFonts w:hint="eastAsia"/>
        </w:rPr>
        <w:t>的部分）将在</w:t>
      </w:r>
      <w:r w:rsidRPr="004E4C9C">
        <w:rPr>
          <w:rFonts w:hint="eastAsia"/>
        </w:rPr>
        <w:t>2023</w:t>
      </w:r>
      <w:r w:rsidRPr="004E4C9C">
        <w:rPr>
          <w:rFonts w:hint="eastAsia"/>
        </w:rPr>
        <w:t>年</w:t>
      </w:r>
      <w:r w:rsidRPr="004E4C9C">
        <w:rPr>
          <w:rFonts w:hint="eastAsia"/>
        </w:rPr>
        <w:t>10</w:t>
      </w:r>
      <w:r w:rsidRPr="004E4C9C">
        <w:rPr>
          <w:rFonts w:hint="eastAsia"/>
        </w:rPr>
        <w:t>月和</w:t>
      </w:r>
      <w:r w:rsidRPr="004E4C9C">
        <w:rPr>
          <w:rFonts w:hint="eastAsia"/>
        </w:rPr>
        <w:t>12</w:t>
      </w:r>
      <w:r w:rsidRPr="004E4C9C">
        <w:rPr>
          <w:rFonts w:hint="eastAsia"/>
        </w:rPr>
        <w:t>月的决赛中落下帷幕。在</w:t>
      </w:r>
      <w:r w:rsidRPr="004E4C9C">
        <w:rPr>
          <w:rFonts w:hint="eastAsia"/>
        </w:rPr>
        <w:t>2023</w:t>
      </w:r>
      <w:r w:rsidRPr="004E4C9C">
        <w:rPr>
          <w:rFonts w:hint="eastAsia"/>
        </w:rPr>
        <w:t>年的国际电联</w:t>
      </w:r>
      <w:r w:rsidRPr="004E4C9C">
        <w:rPr>
          <w:rFonts w:hint="eastAsia"/>
        </w:rPr>
        <w:t>5G</w:t>
      </w:r>
      <w:r w:rsidRPr="004E4C9C">
        <w:rPr>
          <w:rFonts w:hint="eastAsia"/>
        </w:rPr>
        <w:t>人工智能</w:t>
      </w:r>
      <w:r w:rsidRPr="004E4C9C">
        <w:rPr>
          <w:rFonts w:hint="eastAsia"/>
        </w:rPr>
        <w:t>/</w:t>
      </w:r>
      <w:r w:rsidRPr="004E4C9C">
        <w:rPr>
          <w:rFonts w:hint="eastAsia"/>
        </w:rPr>
        <w:t>机器学习挑战赛中，参赛者总共提交了超过</w:t>
      </w:r>
      <w:r w:rsidRPr="004E4C9C">
        <w:rPr>
          <w:rFonts w:hint="eastAsia"/>
        </w:rPr>
        <w:t>21,000</w:t>
      </w:r>
      <w:r w:rsidRPr="004E4C9C">
        <w:rPr>
          <w:rFonts w:hint="eastAsia"/>
        </w:rPr>
        <w:t>份参赛作品。</w:t>
      </w:r>
      <w:r w:rsidRPr="004E4C9C">
        <w:rPr>
          <w:rFonts w:hint="eastAsia"/>
        </w:rPr>
        <w:t>2023</w:t>
      </w:r>
      <w:r w:rsidRPr="004E4C9C">
        <w:rPr>
          <w:rFonts w:hint="eastAsia"/>
        </w:rPr>
        <w:t>年超过</w:t>
      </w:r>
      <w:r w:rsidRPr="004E4C9C">
        <w:rPr>
          <w:rFonts w:hint="eastAsia"/>
        </w:rPr>
        <w:t>70%</w:t>
      </w:r>
      <w:r w:rsidRPr="004E4C9C">
        <w:rPr>
          <w:rFonts w:hint="eastAsia"/>
        </w:rPr>
        <w:t>的参与者是学生，其中绝大多数来自非洲。见</w:t>
      </w:r>
      <w:r w:rsidRPr="004E4C9C">
        <w:fldChar w:fldCharType="begin"/>
      </w:r>
      <w:r w:rsidRPr="004E4C9C">
        <w:instrText>HYPERLINK \l "_5.1_Artificial_intelligence"</w:instrText>
      </w:r>
      <w:r w:rsidRPr="004E4C9C">
        <w:fldChar w:fldCharType="separate"/>
      </w:r>
      <w:r w:rsidRPr="004E4C9C">
        <w:rPr>
          <w:rStyle w:val="Hyperlink"/>
          <w:rFonts w:hint="eastAsia"/>
        </w:rPr>
        <w:t>第</w:t>
      </w:r>
      <w:r w:rsidRPr="004E4C9C">
        <w:rPr>
          <w:rStyle w:val="Hyperlink"/>
        </w:rPr>
        <w:t>5.</w:t>
      </w:r>
      <w:r>
        <w:rPr>
          <w:rStyle w:val="Hyperlink"/>
        </w:rPr>
        <w:t>1</w:t>
      </w:r>
      <w:r>
        <w:rPr>
          <w:rStyle w:val="Hyperlink"/>
          <w:rFonts w:hint="eastAsia"/>
          <w:lang w:eastAsia="zh-CN"/>
        </w:rPr>
        <w:t>节</w:t>
      </w:r>
      <w:r w:rsidRPr="004E4C9C">
        <w:fldChar w:fldCharType="end"/>
      </w:r>
      <w:r w:rsidRPr="004E4C9C">
        <w:rPr>
          <w:rFonts w:hint="eastAsia"/>
        </w:rPr>
        <w:t>。</w:t>
      </w:r>
    </w:p>
    <w:p w14:paraId="1F7D6C45" w14:textId="6247B39D" w:rsidR="004E4C9C" w:rsidRPr="004E4C9C" w:rsidRDefault="004E4C9C" w:rsidP="004E4C9C">
      <w:pPr>
        <w:ind w:firstLineChars="200" w:firstLine="480"/>
      </w:pPr>
      <w:r w:rsidRPr="004E4C9C">
        <w:rPr>
          <w:rFonts w:hint="eastAsia"/>
        </w:rPr>
        <w:t>由国际电联、世界卫生组织和世界产权组织推动的新的</w:t>
      </w:r>
      <w:hyperlink r:id="rId16" w:history="1">
        <w:r w:rsidRPr="004E4C9C">
          <w:rPr>
            <w:rStyle w:val="Hyperlink"/>
            <w:rFonts w:hint="eastAsia"/>
          </w:rPr>
          <w:t>全球人工智能促进医疗卫生发展举措</w:t>
        </w:r>
      </w:hyperlink>
      <w:r w:rsidRPr="004E4C9C">
        <w:rPr>
          <w:rFonts w:hint="eastAsia"/>
        </w:rPr>
        <w:t>旨在制定技术标准和政策指导，促进知识和数据共享并支持在采用人工智能医疗解决方案方面做出有据可依的决策。启动该举措是在</w:t>
      </w:r>
      <w:r w:rsidRPr="004E4C9C">
        <w:rPr>
          <w:rFonts w:hint="eastAsia"/>
        </w:rPr>
        <w:t>2023</w:t>
      </w:r>
      <w:r w:rsidRPr="004E4C9C">
        <w:rPr>
          <w:rFonts w:hint="eastAsia"/>
        </w:rPr>
        <w:t>年人工智能惠及人类全球峰会上宣布的。其</w:t>
      </w:r>
      <w:r w:rsidRPr="004E4C9C">
        <w:fldChar w:fldCharType="begin"/>
      </w:r>
      <w:r w:rsidRPr="004E4C9C">
        <w:rPr>
          <w:rFonts w:hint="eastAsia"/>
        </w:rPr>
        <w:instrText>HYPERLINK "https://www.itu.int/en/ITU-T/focusgroups/ai4h/Pages/default.aspx"</w:instrText>
      </w:r>
      <w:r w:rsidRPr="004E4C9C">
        <w:fldChar w:fldCharType="separate"/>
      </w:r>
      <w:r w:rsidRPr="004E4C9C">
        <w:rPr>
          <w:rStyle w:val="Hyperlink"/>
          <w:rFonts w:hint="eastAsia"/>
        </w:rPr>
        <w:t>首次会议</w:t>
      </w:r>
      <w:r w:rsidRPr="004E4C9C">
        <w:fldChar w:fldCharType="end"/>
      </w:r>
      <w:r w:rsidRPr="004E4C9C">
        <w:rPr>
          <w:rFonts w:hint="eastAsia"/>
        </w:rPr>
        <w:t>于</w:t>
      </w:r>
      <w:r w:rsidRPr="004E4C9C">
        <w:rPr>
          <w:rFonts w:hint="eastAsia"/>
        </w:rPr>
        <w:t>2023</w:t>
      </w:r>
      <w:r w:rsidRPr="004E4C9C">
        <w:rPr>
          <w:rFonts w:hint="eastAsia"/>
        </w:rPr>
        <w:t>年</w:t>
      </w:r>
      <w:r w:rsidRPr="004E4C9C">
        <w:rPr>
          <w:rFonts w:hint="eastAsia"/>
        </w:rPr>
        <w:t>10</w:t>
      </w:r>
      <w:r w:rsidRPr="004E4C9C">
        <w:rPr>
          <w:rFonts w:hint="eastAsia"/>
        </w:rPr>
        <w:t>月</w:t>
      </w:r>
      <w:r w:rsidRPr="004E4C9C">
        <w:rPr>
          <w:rFonts w:hint="eastAsia"/>
        </w:rPr>
        <w:t>30</w:t>
      </w:r>
      <w:r w:rsidRPr="004E4C9C">
        <w:rPr>
          <w:rFonts w:hint="eastAsia"/>
        </w:rPr>
        <w:t>日至</w:t>
      </w:r>
      <w:r w:rsidRPr="004E4C9C">
        <w:rPr>
          <w:rFonts w:hint="eastAsia"/>
        </w:rPr>
        <w:t>11</w:t>
      </w:r>
      <w:r w:rsidRPr="004E4C9C">
        <w:rPr>
          <w:rFonts w:hint="eastAsia"/>
        </w:rPr>
        <w:t>月</w:t>
      </w:r>
      <w:r w:rsidRPr="004E4C9C">
        <w:rPr>
          <w:rFonts w:hint="eastAsia"/>
        </w:rPr>
        <w:t>2</w:t>
      </w:r>
      <w:r w:rsidRPr="004E4C9C">
        <w:rPr>
          <w:rFonts w:hint="eastAsia"/>
        </w:rPr>
        <w:t>日在沙特阿拉伯利雅得举行。该举措依托于</w:t>
      </w:r>
      <w:r w:rsidRPr="004E4C9C">
        <w:fldChar w:fldCharType="begin"/>
      </w:r>
      <w:r w:rsidRPr="004E4C9C">
        <w:rPr>
          <w:rFonts w:hint="eastAsia"/>
        </w:rPr>
        <w:instrText>HYPERLINK "https://www.itu.int/en/ITU-T/focusgroups/ai4h/Pages/default.aspx"</w:instrText>
      </w:r>
      <w:r w:rsidRPr="004E4C9C">
        <w:fldChar w:fldCharType="separate"/>
      </w:r>
      <w:r w:rsidRPr="004E4C9C">
        <w:rPr>
          <w:rStyle w:val="Hyperlink"/>
          <w:rFonts w:hint="eastAsia"/>
        </w:rPr>
        <w:t>国际电联</w:t>
      </w:r>
      <w:r w:rsidRPr="004E4C9C">
        <w:rPr>
          <w:rStyle w:val="Hyperlink"/>
          <w:rFonts w:hint="eastAsia"/>
        </w:rPr>
        <w:t>-</w:t>
      </w:r>
      <w:r w:rsidRPr="004E4C9C">
        <w:rPr>
          <w:rStyle w:val="Hyperlink"/>
          <w:rFonts w:hint="eastAsia"/>
        </w:rPr>
        <w:t>世界卫生组织人工智能促医疗发展焦点组</w:t>
      </w:r>
      <w:r w:rsidRPr="004E4C9C">
        <w:fldChar w:fldCharType="end"/>
      </w:r>
      <w:r w:rsidRPr="004E4C9C">
        <w:rPr>
          <w:rFonts w:hint="eastAsia"/>
        </w:rPr>
        <w:t>的工作势头。见</w:t>
      </w:r>
      <w:hyperlink w:anchor="_5.2_Artificial_intelligence" w:history="1">
        <w:r w:rsidRPr="004E4C9C">
          <w:rPr>
            <w:rStyle w:val="Hyperlink"/>
            <w:rFonts w:hint="eastAsia"/>
          </w:rPr>
          <w:t>第</w:t>
        </w:r>
        <w:r w:rsidRPr="004E4C9C">
          <w:rPr>
            <w:rStyle w:val="Hyperlink"/>
          </w:rPr>
          <w:t>5.</w:t>
        </w:r>
        <w:r>
          <w:rPr>
            <w:rStyle w:val="Hyperlink"/>
          </w:rPr>
          <w:t>2</w:t>
        </w:r>
        <w:r>
          <w:rPr>
            <w:rStyle w:val="Hyperlink"/>
            <w:rFonts w:hint="eastAsia"/>
            <w:lang w:eastAsia="zh-CN"/>
          </w:rPr>
          <w:t>节</w:t>
        </w:r>
      </w:hyperlink>
      <w:r w:rsidRPr="004E4C9C">
        <w:rPr>
          <w:rFonts w:hint="eastAsia"/>
        </w:rPr>
        <w:t>。</w:t>
      </w:r>
    </w:p>
    <w:p w14:paraId="29AF4E90" w14:textId="16A79BA1" w:rsidR="004E4C9C" w:rsidRPr="004E4C9C" w:rsidRDefault="00BB63EF" w:rsidP="004E4C9C">
      <w:pPr>
        <w:ind w:firstLineChars="200" w:firstLine="480"/>
      </w:pPr>
      <w:hyperlink r:id="rId17" w:history="1">
        <w:r w:rsidR="004E4C9C" w:rsidRPr="004E4C9C">
          <w:rPr>
            <w:rStyle w:val="Hyperlink"/>
            <w:rFonts w:hint="eastAsia"/>
          </w:rPr>
          <w:t>国际电联数字金融服务（</w:t>
        </w:r>
        <w:r w:rsidR="004E4C9C" w:rsidRPr="004E4C9C">
          <w:rPr>
            <w:rStyle w:val="Hyperlink"/>
            <w:rFonts w:hint="eastAsia"/>
          </w:rPr>
          <w:t>DFS</w:t>
        </w:r>
        <w:r w:rsidR="004E4C9C" w:rsidRPr="004E4C9C">
          <w:rPr>
            <w:rStyle w:val="Hyperlink"/>
            <w:rFonts w:hint="eastAsia"/>
          </w:rPr>
          <w:t>）安全诊所</w:t>
        </w:r>
      </w:hyperlink>
      <w:r w:rsidR="004E4C9C" w:rsidRPr="004E4C9C">
        <w:rPr>
          <w:rFonts w:hint="eastAsia"/>
        </w:rPr>
        <w:t>为监管机构和</w:t>
      </w:r>
      <w:r w:rsidR="004E4C9C" w:rsidRPr="004E4C9C">
        <w:rPr>
          <w:rFonts w:hint="eastAsia"/>
        </w:rPr>
        <w:t>DFS</w:t>
      </w:r>
      <w:r w:rsidR="004E4C9C" w:rsidRPr="004E4C9C">
        <w:rPr>
          <w:rFonts w:hint="eastAsia"/>
        </w:rPr>
        <w:t>提供商采用根据</w:t>
      </w:r>
      <w:r w:rsidR="004E4C9C" w:rsidRPr="004E4C9C">
        <w:fldChar w:fldCharType="begin"/>
      </w:r>
      <w:r w:rsidR="004E4C9C" w:rsidRPr="004E4C9C">
        <w:rPr>
          <w:rFonts w:hint="eastAsia"/>
        </w:rPr>
        <w:instrText>HYPERLINK "https://figi.itu.int/itu-dfs-security-clinics/"</w:instrText>
      </w:r>
      <w:r w:rsidR="004E4C9C" w:rsidRPr="004E4C9C">
        <w:fldChar w:fldCharType="separate"/>
      </w:r>
      <w:r w:rsidR="004E4C9C" w:rsidRPr="004E4C9C">
        <w:rPr>
          <w:rStyle w:val="Hyperlink"/>
          <w:rFonts w:hint="eastAsia"/>
        </w:rPr>
        <w:t>金融包容性全球举措（</w:t>
      </w:r>
      <w:r w:rsidR="004E4C9C" w:rsidRPr="004E4C9C">
        <w:rPr>
          <w:rStyle w:val="Hyperlink"/>
          <w:rFonts w:hint="eastAsia"/>
        </w:rPr>
        <w:t>FIGI</w:t>
      </w:r>
      <w:r w:rsidR="004E4C9C" w:rsidRPr="004E4C9C">
        <w:rPr>
          <w:rStyle w:val="Hyperlink"/>
          <w:rFonts w:hint="eastAsia"/>
        </w:rPr>
        <w:t>）</w:t>
      </w:r>
      <w:r w:rsidR="004E4C9C" w:rsidRPr="004E4C9C">
        <w:fldChar w:fldCharType="end"/>
      </w:r>
      <w:r w:rsidR="004E4C9C" w:rsidRPr="004E4C9C">
        <w:rPr>
          <w:rFonts w:hint="eastAsia"/>
        </w:rPr>
        <w:t>制定的安全性最佳做法提供指导。</w:t>
      </w:r>
      <w:r w:rsidR="004E4C9C" w:rsidRPr="004E4C9C">
        <w:fldChar w:fldCharType="begin"/>
      </w:r>
      <w:r w:rsidR="004E4C9C" w:rsidRPr="004E4C9C">
        <w:rPr>
          <w:rFonts w:hint="eastAsia"/>
        </w:rPr>
        <w:instrText>HYPERLINK "https://figi.itu.int/figi-resources/dfs-security-lab/"</w:instrText>
      </w:r>
      <w:r w:rsidR="004E4C9C" w:rsidRPr="004E4C9C">
        <w:fldChar w:fldCharType="separate"/>
      </w:r>
      <w:r w:rsidR="004E4C9C" w:rsidRPr="004E4C9C">
        <w:rPr>
          <w:rStyle w:val="Hyperlink"/>
          <w:rFonts w:hint="eastAsia"/>
        </w:rPr>
        <w:t>国际电联</w:t>
      </w:r>
      <w:r w:rsidR="004E4C9C" w:rsidRPr="004E4C9C">
        <w:rPr>
          <w:rStyle w:val="Hyperlink"/>
          <w:rFonts w:hint="eastAsia"/>
        </w:rPr>
        <w:t>DFS</w:t>
      </w:r>
      <w:r w:rsidR="004E4C9C" w:rsidRPr="004E4C9C">
        <w:rPr>
          <w:rStyle w:val="Hyperlink"/>
          <w:rFonts w:hint="eastAsia"/>
        </w:rPr>
        <w:t>安全实验室</w:t>
      </w:r>
      <w:r w:rsidR="004E4C9C" w:rsidRPr="004E4C9C">
        <w:fldChar w:fldCharType="end"/>
      </w:r>
      <w:r w:rsidR="004E4C9C" w:rsidRPr="004E4C9C">
        <w:rPr>
          <w:rFonts w:hint="eastAsia"/>
        </w:rPr>
        <w:t>帮助利益攸关方验证这些最佳做法是否得到遵守。越来越多的国家和区域性组织正在采用</w:t>
      </w:r>
      <w:r w:rsidR="004E4C9C" w:rsidRPr="004E4C9C">
        <w:rPr>
          <w:rFonts w:hint="eastAsia"/>
        </w:rPr>
        <w:t>FIGI</w:t>
      </w:r>
      <w:r w:rsidR="004E4C9C" w:rsidRPr="004E4C9C">
        <w:rPr>
          <w:rFonts w:hint="eastAsia"/>
        </w:rPr>
        <w:t>制定的</w:t>
      </w:r>
      <w:r w:rsidR="004E4C9C" w:rsidRPr="004E4C9C">
        <w:rPr>
          <w:rFonts w:hint="eastAsia"/>
        </w:rPr>
        <w:t>DFS</w:t>
      </w:r>
      <w:r w:rsidR="004E4C9C" w:rsidRPr="004E4C9C">
        <w:rPr>
          <w:rFonts w:hint="eastAsia"/>
        </w:rPr>
        <w:t>安全建议书，并在国际电联知识传递活动的支持下建立自己的</w:t>
      </w:r>
      <w:r w:rsidR="004E4C9C" w:rsidRPr="004E4C9C">
        <w:rPr>
          <w:rFonts w:hint="eastAsia"/>
        </w:rPr>
        <w:t>DFS</w:t>
      </w:r>
      <w:r w:rsidR="004E4C9C" w:rsidRPr="004E4C9C">
        <w:rPr>
          <w:rFonts w:hint="eastAsia"/>
        </w:rPr>
        <w:t>安全实验室。</w:t>
      </w:r>
      <w:r w:rsidR="004E4C9C" w:rsidRPr="004E4C9C">
        <w:rPr>
          <w:rFonts w:hint="eastAsia"/>
        </w:rPr>
        <w:t>2023</w:t>
      </w:r>
      <w:r w:rsidR="004E4C9C" w:rsidRPr="004E4C9C">
        <w:rPr>
          <w:rFonts w:hint="eastAsia"/>
        </w:rPr>
        <w:t>年</w:t>
      </w:r>
      <w:r w:rsidR="004E4C9C" w:rsidRPr="004E4C9C">
        <w:rPr>
          <w:rFonts w:hint="eastAsia"/>
        </w:rPr>
        <w:t>10</w:t>
      </w:r>
      <w:r w:rsidR="004E4C9C" w:rsidRPr="004E4C9C">
        <w:rPr>
          <w:rFonts w:hint="eastAsia"/>
        </w:rPr>
        <w:t>月发布了新的、</w:t>
      </w:r>
      <w:r w:rsidR="004E4C9C" w:rsidRPr="004E4C9C">
        <w:fldChar w:fldCharType="begin"/>
      </w:r>
      <w:r w:rsidR="004E4C9C" w:rsidRPr="004E4C9C">
        <w:rPr>
          <w:rFonts w:hint="eastAsia"/>
        </w:rPr>
        <w:instrText>HYPERLINK "https://www.itu.int/en/ITU-T/dfs/Documents/ITU%20Cyber%20Security%20Resilience%20Assessment%20toolkit%20for%20DFS%20Critical%20Infrastructure.pdf"</w:instrText>
      </w:r>
      <w:r w:rsidR="004E4C9C" w:rsidRPr="004E4C9C">
        <w:fldChar w:fldCharType="separate"/>
      </w:r>
      <w:r w:rsidR="004E4C9C" w:rsidRPr="004E4C9C">
        <w:rPr>
          <w:rStyle w:val="Hyperlink"/>
          <w:rFonts w:hint="eastAsia"/>
        </w:rPr>
        <w:t>适用于</w:t>
      </w:r>
      <w:r w:rsidR="004E4C9C" w:rsidRPr="004E4C9C">
        <w:rPr>
          <w:rStyle w:val="Hyperlink"/>
          <w:rFonts w:hint="eastAsia"/>
        </w:rPr>
        <w:t>DFS</w:t>
      </w:r>
      <w:r w:rsidR="004E4C9C" w:rsidRPr="004E4C9C">
        <w:rPr>
          <w:rStyle w:val="Hyperlink"/>
          <w:rFonts w:hint="eastAsia"/>
        </w:rPr>
        <w:t>关键基础设施的国际电联网络安全复原力评估工具包</w:t>
      </w:r>
      <w:r w:rsidR="004E4C9C" w:rsidRPr="004E4C9C">
        <w:fldChar w:fldCharType="end"/>
      </w:r>
      <w:r w:rsidR="004E4C9C" w:rsidRPr="004E4C9C">
        <w:rPr>
          <w:rFonts w:hint="eastAsia"/>
        </w:rPr>
        <w:t>。见</w:t>
      </w:r>
      <w:hyperlink w:anchor="_5.3_Digital_financial" w:history="1">
        <w:r w:rsidR="004E4C9C" w:rsidRPr="004E4C9C">
          <w:rPr>
            <w:rStyle w:val="Hyperlink"/>
            <w:rFonts w:hint="eastAsia"/>
          </w:rPr>
          <w:t>第</w:t>
        </w:r>
        <w:r w:rsidR="004E4C9C" w:rsidRPr="004E4C9C">
          <w:rPr>
            <w:rStyle w:val="Hyperlink"/>
          </w:rPr>
          <w:t>5.</w:t>
        </w:r>
        <w:r w:rsidR="004E4C9C">
          <w:rPr>
            <w:rStyle w:val="Hyperlink"/>
          </w:rPr>
          <w:t>3</w:t>
        </w:r>
        <w:r w:rsidR="004E4C9C">
          <w:rPr>
            <w:rStyle w:val="Hyperlink"/>
            <w:rFonts w:hint="eastAsia"/>
            <w:lang w:eastAsia="zh-CN"/>
          </w:rPr>
          <w:t>节</w:t>
        </w:r>
      </w:hyperlink>
      <w:r w:rsidR="004E4C9C" w:rsidRPr="004E4C9C">
        <w:rPr>
          <w:rFonts w:hint="eastAsia"/>
        </w:rPr>
        <w:t>。</w:t>
      </w:r>
    </w:p>
    <w:p w14:paraId="4565A654" w14:textId="7E6C731A" w:rsidR="004E4C9C" w:rsidRPr="004E4C9C" w:rsidRDefault="00BB63EF" w:rsidP="004E4C9C">
      <w:pPr>
        <w:ind w:firstLineChars="200" w:firstLine="480"/>
      </w:pPr>
      <w:hyperlink r:id="rId18" w:history="1">
        <w:r w:rsidR="004E4C9C" w:rsidRPr="004E4C9C">
          <w:rPr>
            <w:rStyle w:val="Hyperlink"/>
            <w:rFonts w:hint="eastAsia"/>
          </w:rPr>
          <w:t>共建可持续智慧城市（</w:t>
        </w:r>
        <w:r w:rsidR="004E4C9C" w:rsidRPr="004E4C9C">
          <w:rPr>
            <w:rStyle w:val="Hyperlink"/>
            <w:rFonts w:hint="eastAsia"/>
          </w:rPr>
          <w:t>U4SSC</w:t>
        </w:r>
        <w:r w:rsidR="004E4C9C" w:rsidRPr="004E4C9C">
          <w:rPr>
            <w:rStyle w:val="Hyperlink"/>
            <w:rFonts w:hint="eastAsia"/>
          </w:rPr>
          <w:t>）</w:t>
        </w:r>
      </w:hyperlink>
      <w:r w:rsidR="004E4C9C" w:rsidRPr="004E4C9C">
        <w:rPr>
          <w:rFonts w:hint="eastAsia"/>
        </w:rPr>
        <w:t>倡议得到了</w:t>
      </w:r>
      <w:r w:rsidR="004E4C9C" w:rsidRPr="004E4C9C">
        <w:rPr>
          <w:rFonts w:hint="eastAsia"/>
        </w:rPr>
        <w:t>19</w:t>
      </w:r>
      <w:r w:rsidR="004E4C9C" w:rsidRPr="004E4C9C">
        <w:rPr>
          <w:rFonts w:hint="eastAsia"/>
        </w:rPr>
        <w:t>个联合国机构的支持，旨在实现可持续发展目标</w:t>
      </w:r>
      <w:r w:rsidR="004E4C9C" w:rsidRPr="004E4C9C">
        <w:rPr>
          <w:rFonts w:hint="eastAsia"/>
        </w:rPr>
        <w:t>11</w:t>
      </w:r>
      <w:r w:rsidR="004E4C9C" w:rsidRPr="004E4C9C">
        <w:rPr>
          <w:rFonts w:hint="eastAsia"/>
        </w:rPr>
        <w:t>（</w:t>
      </w:r>
      <w:r w:rsidR="004E4C9C" w:rsidRPr="004E4C9C">
        <w:rPr>
          <w:rFonts w:hint="eastAsia"/>
        </w:rPr>
        <w:t>SDG11</w:t>
      </w:r>
      <w:r w:rsidR="004E4C9C" w:rsidRPr="004E4C9C">
        <w:rPr>
          <w:rFonts w:hint="eastAsia"/>
        </w:rPr>
        <w:t>）（</w:t>
      </w:r>
      <w:r w:rsidR="004E4C9C" w:rsidRPr="004E4C9C">
        <w:rPr>
          <w:rFonts w:ascii="SimSun" w:eastAsia="SimSun" w:hAnsi="SimSun" w:hint="eastAsia"/>
        </w:rPr>
        <w:t>“</w:t>
      </w:r>
      <w:r w:rsidR="004E4C9C" w:rsidRPr="004E4C9C">
        <w:rPr>
          <w:rFonts w:hint="eastAsia"/>
        </w:rPr>
        <w:t>使城市和人居具有包容性、安全性、适应性和可持续性</w:t>
      </w:r>
      <w:r w:rsidR="004E4C9C" w:rsidRPr="004E4C9C">
        <w:rPr>
          <w:rFonts w:ascii="SimSun" w:eastAsia="SimSun" w:hAnsi="SimSun" w:hint="eastAsia"/>
        </w:rPr>
        <w:t>”</w:t>
      </w:r>
      <w:r w:rsidR="004E4C9C">
        <w:rPr>
          <w:rFonts w:ascii="SimSun" w:eastAsia="SimSun" w:hAnsi="SimSun" w:hint="eastAsia"/>
          <w:lang w:eastAsia="zh-CN"/>
        </w:rPr>
        <w:t>）</w:t>
      </w:r>
      <w:r w:rsidR="004E4C9C" w:rsidRPr="004E4C9C">
        <w:rPr>
          <w:rFonts w:hint="eastAsia"/>
        </w:rPr>
        <w:t>。已有</w:t>
      </w:r>
      <w:r w:rsidR="004E4C9C" w:rsidRPr="004E4C9C">
        <w:rPr>
          <w:rFonts w:hint="eastAsia"/>
        </w:rPr>
        <w:t>150</w:t>
      </w:r>
      <w:r w:rsidR="004E4C9C" w:rsidRPr="004E4C9C">
        <w:rPr>
          <w:rFonts w:hint="eastAsia"/>
        </w:rPr>
        <w:t>多个城市采用了基于国际电联标准的</w:t>
      </w:r>
      <w:r w:rsidR="004E4C9C" w:rsidRPr="004E4C9C">
        <w:fldChar w:fldCharType="begin"/>
      </w:r>
      <w:r w:rsidR="004E4C9C" w:rsidRPr="004E4C9C">
        <w:rPr>
          <w:rFonts w:hint="eastAsia"/>
        </w:rPr>
        <w:instrText>HYPERLINK "https://www.itu.int/en/ITU-T/ssc/united/Pages/publication-U4SSC-KPIs.aspx"</w:instrText>
      </w:r>
      <w:r w:rsidR="004E4C9C" w:rsidRPr="004E4C9C">
        <w:fldChar w:fldCharType="separate"/>
      </w:r>
      <w:proofErr w:type="spellStart"/>
      <w:r w:rsidR="004E4C9C" w:rsidRPr="004E4C9C">
        <w:rPr>
          <w:rStyle w:val="Hyperlink"/>
          <w:rFonts w:hint="eastAsia"/>
        </w:rPr>
        <w:t>U4SSC</w:t>
      </w:r>
      <w:proofErr w:type="spellEnd"/>
      <w:r w:rsidR="004E4C9C" w:rsidRPr="004E4C9C">
        <w:rPr>
          <w:rStyle w:val="Hyperlink"/>
          <w:rFonts w:hint="eastAsia"/>
        </w:rPr>
        <w:t>关键绩效指标</w:t>
      </w:r>
      <w:r w:rsidR="004E4C9C" w:rsidRPr="004E4C9C">
        <w:fldChar w:fldCharType="end"/>
      </w:r>
      <w:r w:rsidR="004E4C9C" w:rsidRPr="004E4C9C">
        <w:rPr>
          <w:rFonts w:hint="eastAsia"/>
        </w:rPr>
        <w:t>。这些评估的结果通过</w:t>
      </w:r>
      <w:hyperlink r:id="rId19" w:history="1">
        <w:r w:rsidR="004E4C9C" w:rsidRPr="004E4C9C">
          <w:rPr>
            <w:rStyle w:val="Hyperlink"/>
            <w:rFonts w:hint="eastAsia"/>
          </w:rPr>
          <w:t>城市快照、情况说明书、验证报告和案例研究</w:t>
        </w:r>
      </w:hyperlink>
      <w:r w:rsidR="004E4C9C" w:rsidRPr="004E4C9C">
        <w:rPr>
          <w:rFonts w:hint="eastAsia"/>
        </w:rPr>
        <w:t>进行共享。</w:t>
      </w:r>
      <w:hyperlink r:id="rId20" w:history="1">
        <w:proofErr w:type="spellStart"/>
        <w:r w:rsidR="004E4C9C" w:rsidRPr="004E4C9C">
          <w:rPr>
            <w:rStyle w:val="Hyperlink"/>
            <w:rFonts w:hint="eastAsia"/>
          </w:rPr>
          <w:t>U4SSC</w:t>
        </w:r>
        <w:proofErr w:type="spellEnd"/>
        <w:r w:rsidR="004E4C9C" w:rsidRPr="004E4C9C">
          <w:rPr>
            <w:rStyle w:val="Hyperlink"/>
            <w:rFonts w:hint="eastAsia"/>
          </w:rPr>
          <w:t>第七次会议</w:t>
        </w:r>
      </w:hyperlink>
      <w:r w:rsidR="004E4C9C" w:rsidRPr="004E4C9C">
        <w:rPr>
          <w:rFonts w:hint="eastAsia"/>
        </w:rPr>
        <w:t>于</w:t>
      </w:r>
      <w:r w:rsidR="004E4C9C" w:rsidRPr="004E4C9C">
        <w:rPr>
          <w:rFonts w:hint="eastAsia"/>
        </w:rPr>
        <w:t>2023</w:t>
      </w:r>
      <w:r w:rsidR="004E4C9C" w:rsidRPr="004E4C9C">
        <w:rPr>
          <w:rFonts w:hint="eastAsia"/>
        </w:rPr>
        <w:t>年</w:t>
      </w:r>
      <w:r w:rsidR="004E4C9C" w:rsidRPr="004E4C9C">
        <w:rPr>
          <w:rFonts w:hint="eastAsia"/>
        </w:rPr>
        <w:t>6</w:t>
      </w:r>
      <w:r w:rsidR="004E4C9C" w:rsidRPr="004E4C9C">
        <w:rPr>
          <w:rFonts w:hint="eastAsia"/>
        </w:rPr>
        <w:t>月</w:t>
      </w:r>
      <w:r w:rsidR="004E4C9C" w:rsidRPr="004E4C9C">
        <w:rPr>
          <w:rFonts w:hint="eastAsia"/>
        </w:rPr>
        <w:t>20</w:t>
      </w:r>
      <w:r w:rsidR="004E4C9C" w:rsidRPr="004E4C9C">
        <w:rPr>
          <w:rFonts w:hint="eastAsia"/>
        </w:rPr>
        <w:t>日在线召开。会议亮点包括任命新的</w:t>
      </w:r>
      <w:r w:rsidR="004E4C9C" w:rsidRPr="004E4C9C">
        <w:fldChar w:fldCharType="begin"/>
      </w:r>
      <w:r w:rsidR="004E4C9C" w:rsidRPr="004E4C9C">
        <w:rPr>
          <w:rFonts w:hint="eastAsia"/>
        </w:rPr>
        <w:instrText>HYPERLINK "https://u4ssc.itu.int/u4ssc-management-team/"</w:instrText>
      </w:r>
      <w:r w:rsidR="004E4C9C" w:rsidRPr="004E4C9C">
        <w:fldChar w:fldCharType="separate"/>
      </w:r>
      <w:proofErr w:type="spellStart"/>
      <w:r w:rsidR="004E4C9C" w:rsidRPr="004E4C9C">
        <w:rPr>
          <w:rStyle w:val="Hyperlink"/>
          <w:rFonts w:hint="eastAsia"/>
        </w:rPr>
        <w:t>U4SSC</w:t>
      </w:r>
      <w:proofErr w:type="spellEnd"/>
      <w:r w:rsidR="004E4C9C" w:rsidRPr="004E4C9C">
        <w:rPr>
          <w:rStyle w:val="Hyperlink"/>
          <w:rFonts w:hint="eastAsia"/>
        </w:rPr>
        <w:t>管理团队</w:t>
      </w:r>
      <w:r w:rsidR="004E4C9C" w:rsidRPr="004E4C9C">
        <w:fldChar w:fldCharType="end"/>
      </w:r>
      <w:r w:rsidR="004E4C9C" w:rsidRPr="004E4C9C">
        <w:rPr>
          <w:rFonts w:hint="eastAsia"/>
        </w:rPr>
        <w:t>并宣布在加纳</w:t>
      </w:r>
      <w:proofErr w:type="spellStart"/>
      <w:r w:rsidR="004E4C9C" w:rsidRPr="004E4C9C">
        <w:rPr>
          <w:rFonts w:hint="eastAsia"/>
        </w:rPr>
        <w:t>Kyebi</w:t>
      </w:r>
      <w:proofErr w:type="spellEnd"/>
      <w:r w:rsidR="004E4C9C" w:rsidRPr="004E4C9C">
        <w:rPr>
          <w:rFonts w:hint="eastAsia"/>
        </w:rPr>
        <w:t>建立新的</w:t>
      </w:r>
      <w:r w:rsidR="004E4C9C" w:rsidRPr="004E4C9C">
        <w:rPr>
          <w:rFonts w:hint="eastAsia"/>
        </w:rPr>
        <w:lastRenderedPageBreak/>
        <w:t>U4SSC</w:t>
      </w:r>
      <w:r w:rsidR="004E4C9C" w:rsidRPr="004E4C9C">
        <w:rPr>
          <w:rFonts w:hint="eastAsia"/>
        </w:rPr>
        <w:t>国家中心。</w:t>
      </w:r>
      <w:r w:rsidR="004E4C9C" w:rsidRPr="004E4C9C">
        <w:rPr>
          <w:rFonts w:hint="eastAsia"/>
        </w:rPr>
        <w:t>2023</w:t>
      </w:r>
      <w:r w:rsidR="004E4C9C" w:rsidRPr="004E4C9C">
        <w:rPr>
          <w:rFonts w:hint="eastAsia"/>
        </w:rPr>
        <w:t>年发布了三份关于智慧城市的</w:t>
      </w:r>
      <w:r w:rsidR="004E4C9C" w:rsidRPr="004E4C9C">
        <w:fldChar w:fldCharType="begin"/>
      </w:r>
      <w:r w:rsidR="004E4C9C" w:rsidRPr="004E4C9C">
        <w:rPr>
          <w:rFonts w:hint="eastAsia"/>
        </w:rPr>
        <w:instrText>HYPERLINK "https://u4ssc.itu.int/publications/"</w:instrText>
      </w:r>
      <w:r w:rsidR="004E4C9C" w:rsidRPr="004E4C9C">
        <w:fldChar w:fldCharType="separate"/>
      </w:r>
      <w:proofErr w:type="spellStart"/>
      <w:r w:rsidR="004E4C9C" w:rsidRPr="004E4C9C">
        <w:rPr>
          <w:rStyle w:val="Hyperlink"/>
          <w:rFonts w:hint="eastAsia"/>
        </w:rPr>
        <w:t>U4SSC</w:t>
      </w:r>
      <w:proofErr w:type="spellEnd"/>
      <w:r w:rsidR="004E4C9C" w:rsidRPr="004E4C9C">
        <w:rPr>
          <w:rStyle w:val="Hyperlink"/>
          <w:rFonts w:hint="eastAsia"/>
        </w:rPr>
        <w:t>报告</w:t>
      </w:r>
      <w:r w:rsidR="004E4C9C" w:rsidRPr="004E4C9C">
        <w:fldChar w:fldCharType="end"/>
      </w:r>
      <w:r w:rsidR="004E4C9C" w:rsidRPr="004E4C9C">
        <w:rPr>
          <w:rFonts w:hint="eastAsia"/>
        </w:rPr>
        <w:t>和四份</w:t>
      </w:r>
      <w:hyperlink r:id="rId21" w:history="1">
        <w:r w:rsidR="004E4C9C" w:rsidRPr="004E4C9C">
          <w:rPr>
            <w:rStyle w:val="Hyperlink"/>
            <w:rFonts w:hint="eastAsia"/>
          </w:rPr>
          <w:t>国际电联报告</w:t>
        </w:r>
      </w:hyperlink>
      <w:r w:rsidR="004E4C9C" w:rsidRPr="004E4C9C">
        <w:rPr>
          <w:rFonts w:hint="eastAsia"/>
        </w:rPr>
        <w:t>。</w:t>
      </w:r>
      <w:r w:rsidR="004E4C9C" w:rsidRPr="004E4C9C">
        <w:rPr>
          <w:rFonts w:hint="eastAsia"/>
        </w:rPr>
        <w:t>2023</w:t>
      </w:r>
      <w:r w:rsidR="004E4C9C" w:rsidRPr="004E4C9C">
        <w:rPr>
          <w:rFonts w:hint="eastAsia"/>
        </w:rPr>
        <w:t>年，</w:t>
      </w:r>
      <w:r w:rsidR="004E4C9C" w:rsidRPr="004E4C9C">
        <w:fldChar w:fldCharType="begin"/>
      </w:r>
      <w:r w:rsidR="004E4C9C" w:rsidRPr="004E4C9C">
        <w:rPr>
          <w:rFonts w:hint="eastAsia"/>
        </w:rPr>
        <w:instrText>HYPERLINK "https://www.itu.int/cities/standards4dt/"</w:instrText>
      </w:r>
      <w:r w:rsidR="004E4C9C" w:rsidRPr="004E4C9C">
        <w:fldChar w:fldCharType="separate"/>
      </w:r>
      <w:r w:rsidR="004E4C9C" w:rsidRPr="004E4C9C">
        <w:rPr>
          <w:rStyle w:val="Hyperlink"/>
          <w:rFonts w:hint="eastAsia"/>
        </w:rPr>
        <w:t>国际电联有关数字化转型的网络研讨会系列</w:t>
      </w:r>
      <w:r w:rsidR="004E4C9C" w:rsidRPr="004E4C9C">
        <w:fldChar w:fldCharType="end"/>
      </w:r>
      <w:r w:rsidR="004E4C9C" w:rsidRPr="004E4C9C">
        <w:rPr>
          <w:rFonts w:hint="eastAsia"/>
        </w:rPr>
        <w:t>共举办了</w:t>
      </w:r>
      <w:r w:rsidR="004E4C9C" w:rsidRPr="004E4C9C">
        <w:rPr>
          <w:rFonts w:hint="eastAsia"/>
        </w:rPr>
        <w:t>19</w:t>
      </w:r>
      <w:r w:rsidR="004E4C9C" w:rsidRPr="004E4C9C">
        <w:rPr>
          <w:rFonts w:hint="eastAsia"/>
        </w:rPr>
        <w:t>场网络研讨会。见</w:t>
      </w:r>
      <w:r w:rsidR="004E4C9C" w:rsidRPr="004E4C9C">
        <w:fldChar w:fldCharType="begin"/>
      </w:r>
      <w:r w:rsidR="004E4C9C" w:rsidRPr="004E4C9C">
        <w:instrText>HYPERLINK \l "_5.4_Digital_transformation"</w:instrText>
      </w:r>
      <w:r w:rsidR="004E4C9C" w:rsidRPr="004E4C9C">
        <w:fldChar w:fldCharType="separate"/>
      </w:r>
      <w:r w:rsidR="004E4C9C" w:rsidRPr="004E4C9C">
        <w:rPr>
          <w:rStyle w:val="Hyperlink"/>
          <w:rFonts w:hint="eastAsia"/>
        </w:rPr>
        <w:t>第</w:t>
      </w:r>
      <w:r w:rsidR="004E4C9C" w:rsidRPr="004E4C9C">
        <w:rPr>
          <w:rStyle w:val="Hyperlink"/>
        </w:rPr>
        <w:t>5.</w:t>
      </w:r>
      <w:r w:rsidR="004E4C9C">
        <w:rPr>
          <w:rStyle w:val="Hyperlink"/>
        </w:rPr>
        <w:t>4</w:t>
      </w:r>
      <w:r w:rsidR="004E4C9C">
        <w:rPr>
          <w:rStyle w:val="Hyperlink"/>
          <w:rFonts w:hint="eastAsia"/>
          <w:lang w:eastAsia="zh-CN"/>
        </w:rPr>
        <w:t>节</w:t>
      </w:r>
      <w:r w:rsidR="004E4C9C" w:rsidRPr="004E4C9C">
        <w:fldChar w:fldCharType="end"/>
      </w:r>
      <w:r w:rsidR="004E4C9C" w:rsidRPr="004E4C9C">
        <w:rPr>
          <w:rFonts w:hint="eastAsia"/>
        </w:rPr>
        <w:t>。</w:t>
      </w:r>
    </w:p>
    <w:p w14:paraId="67AAD14F" w14:textId="7F582FF0" w:rsidR="004E4C9C" w:rsidRPr="004E4C9C" w:rsidRDefault="004E4C9C" w:rsidP="004E4C9C">
      <w:pPr>
        <w:ind w:firstLineChars="200" w:firstLine="480"/>
      </w:pPr>
      <w:r w:rsidRPr="004E4C9C">
        <w:rPr>
          <w:rFonts w:hint="eastAsia"/>
        </w:rPr>
        <w:t>首届区域性</w:t>
      </w:r>
      <w:hyperlink r:id="rId22" w:history="1">
        <w:r w:rsidRPr="004E4C9C">
          <w:rPr>
            <w:rStyle w:val="Hyperlink"/>
            <w:rFonts w:hint="eastAsia"/>
          </w:rPr>
          <w:t>国际电联</w:t>
        </w:r>
        <w:r w:rsidRPr="004E4C9C">
          <w:rPr>
            <w:rStyle w:val="Hyperlink"/>
            <w:rFonts w:hint="eastAsia"/>
          </w:rPr>
          <w:t>-</w:t>
        </w:r>
        <w:r w:rsidRPr="004E4C9C">
          <w:rPr>
            <w:rStyle w:val="Hyperlink"/>
            <w:rFonts w:hint="eastAsia"/>
          </w:rPr>
          <w:t>联合国欧洲经济委员会未来联网汽车专题研讨会</w:t>
        </w:r>
      </w:hyperlink>
      <w:r w:rsidRPr="004E4C9C">
        <w:rPr>
          <w:rFonts w:hint="eastAsia"/>
        </w:rPr>
        <w:t>于</w:t>
      </w:r>
      <w:r w:rsidRPr="004E4C9C">
        <w:rPr>
          <w:rFonts w:hint="eastAsia"/>
        </w:rPr>
        <w:t>2023</w:t>
      </w:r>
      <w:r w:rsidRPr="004E4C9C">
        <w:rPr>
          <w:rFonts w:hint="eastAsia"/>
        </w:rPr>
        <w:t>年</w:t>
      </w:r>
      <w:r w:rsidRPr="004E4C9C">
        <w:rPr>
          <w:rFonts w:hint="eastAsia"/>
        </w:rPr>
        <w:t>10</w:t>
      </w:r>
      <w:r w:rsidRPr="004E4C9C">
        <w:rPr>
          <w:rFonts w:hint="eastAsia"/>
        </w:rPr>
        <w:t>月</w:t>
      </w:r>
      <w:r w:rsidRPr="004E4C9C">
        <w:rPr>
          <w:rFonts w:hint="eastAsia"/>
        </w:rPr>
        <w:t>6</w:t>
      </w:r>
      <w:r w:rsidRPr="004E4C9C">
        <w:rPr>
          <w:rFonts w:hint="eastAsia"/>
        </w:rPr>
        <w:t>日在卡塔尔多哈举行，与日内瓦国际车展一同移至多哈。讨论的重点是海湾合作委员会（</w:t>
      </w:r>
      <w:r w:rsidRPr="004E4C9C">
        <w:rPr>
          <w:rFonts w:hint="eastAsia"/>
        </w:rPr>
        <w:t>GCC</w:t>
      </w:r>
      <w:r w:rsidRPr="004E4C9C">
        <w:rPr>
          <w:rFonts w:hint="eastAsia"/>
        </w:rPr>
        <w:t>）国家面临的机遇和挑战。年度旗舰专题研讨会将于</w:t>
      </w:r>
      <w:r w:rsidRPr="004E4C9C">
        <w:rPr>
          <w:rFonts w:hint="eastAsia"/>
        </w:rPr>
        <w:t>2024</w:t>
      </w:r>
      <w:r w:rsidRPr="004E4C9C">
        <w:rPr>
          <w:rFonts w:hint="eastAsia"/>
        </w:rPr>
        <w:t>年</w:t>
      </w:r>
      <w:r w:rsidRPr="004E4C9C">
        <w:rPr>
          <w:rFonts w:hint="eastAsia"/>
        </w:rPr>
        <w:t>3</w:t>
      </w:r>
      <w:r w:rsidRPr="004E4C9C">
        <w:rPr>
          <w:rFonts w:hint="eastAsia"/>
        </w:rPr>
        <w:t>月</w:t>
      </w:r>
      <w:r w:rsidRPr="004E4C9C">
        <w:rPr>
          <w:rFonts w:hint="eastAsia"/>
        </w:rPr>
        <w:t>11</w:t>
      </w:r>
      <w:r w:rsidRPr="004E4C9C">
        <w:rPr>
          <w:rFonts w:hint="eastAsia"/>
        </w:rPr>
        <w:t>日至</w:t>
      </w:r>
      <w:r w:rsidRPr="004E4C9C">
        <w:rPr>
          <w:rFonts w:hint="eastAsia"/>
        </w:rPr>
        <w:t>14</w:t>
      </w:r>
      <w:r w:rsidRPr="004E4C9C">
        <w:rPr>
          <w:rFonts w:hint="eastAsia"/>
        </w:rPr>
        <w:t>日在线举行。由国际电联牵头的</w:t>
      </w:r>
      <w:r w:rsidRPr="004E4C9C">
        <w:fldChar w:fldCharType="begin"/>
      </w:r>
      <w:r w:rsidRPr="004E4C9C">
        <w:rPr>
          <w:rFonts w:hint="eastAsia"/>
        </w:rPr>
        <w:instrText>HYPERLINK "https://www.itu.int/en/ITU-T/extcoop/cits/Pages/default.aspx"</w:instrText>
      </w:r>
      <w:r w:rsidRPr="004E4C9C">
        <w:fldChar w:fldCharType="separate"/>
      </w:r>
      <w:r w:rsidRPr="004E4C9C">
        <w:rPr>
          <w:rStyle w:val="Hyperlink"/>
          <w:rFonts w:hint="eastAsia"/>
        </w:rPr>
        <w:t>ITS</w:t>
      </w:r>
      <w:r w:rsidRPr="004E4C9C">
        <w:rPr>
          <w:rStyle w:val="Hyperlink"/>
          <w:rFonts w:hint="eastAsia"/>
        </w:rPr>
        <w:t>通信标准协作组织（</w:t>
      </w:r>
      <w:r w:rsidRPr="004E4C9C">
        <w:rPr>
          <w:rStyle w:val="Hyperlink"/>
          <w:rFonts w:hint="eastAsia"/>
        </w:rPr>
        <w:t>CITS</w:t>
      </w:r>
      <w:r w:rsidRPr="004E4C9C">
        <w:rPr>
          <w:rStyle w:val="Hyperlink"/>
          <w:rFonts w:hint="eastAsia"/>
        </w:rPr>
        <w:t>）</w:t>
      </w:r>
      <w:r w:rsidRPr="004E4C9C">
        <w:fldChar w:fldCharType="end"/>
      </w:r>
      <w:r w:rsidRPr="004E4C9C">
        <w:rPr>
          <w:rFonts w:hint="eastAsia"/>
        </w:rPr>
        <w:t>成立了一个新的</w:t>
      </w:r>
      <w:r w:rsidRPr="004E4C9C">
        <w:fldChar w:fldCharType="begin"/>
      </w:r>
      <w:r w:rsidRPr="004E4C9C">
        <w:rPr>
          <w:rFonts w:hint="eastAsia"/>
        </w:rPr>
        <w:instrText>HYPERLINK "https://www.itu.int/en/ITU-T/extcoop/cits/Pages/egcomad.aspx"</w:instrText>
      </w:r>
      <w:r w:rsidRPr="004E4C9C">
        <w:fldChar w:fldCharType="separate"/>
      </w:r>
      <w:r w:rsidRPr="004E4C9C">
        <w:rPr>
          <w:rStyle w:val="Hyperlink"/>
          <w:rFonts w:hint="eastAsia"/>
        </w:rPr>
        <w:t>关于自动驾驶通信技术的专家组</w:t>
      </w:r>
      <w:r w:rsidRPr="004E4C9C">
        <w:fldChar w:fldCharType="end"/>
      </w:r>
      <w:r w:rsidRPr="004E4C9C">
        <w:rPr>
          <w:rFonts w:hint="eastAsia"/>
        </w:rPr>
        <w:t>。见</w:t>
      </w:r>
      <w:hyperlink w:anchor="_5.5_Intelligent_transport" w:history="1">
        <w:r w:rsidRPr="004E4C9C">
          <w:rPr>
            <w:rStyle w:val="Hyperlink"/>
            <w:rFonts w:hint="eastAsia"/>
          </w:rPr>
          <w:t>第</w:t>
        </w:r>
        <w:r w:rsidRPr="004E4C9C">
          <w:rPr>
            <w:rStyle w:val="Hyperlink"/>
          </w:rPr>
          <w:t>5.</w:t>
        </w:r>
        <w:r>
          <w:rPr>
            <w:rStyle w:val="Hyperlink"/>
          </w:rPr>
          <w:t>5</w:t>
        </w:r>
        <w:r>
          <w:rPr>
            <w:rStyle w:val="Hyperlink"/>
            <w:rFonts w:hint="eastAsia"/>
            <w:lang w:eastAsia="zh-CN"/>
          </w:rPr>
          <w:t>节</w:t>
        </w:r>
      </w:hyperlink>
      <w:r w:rsidRPr="004E4C9C">
        <w:rPr>
          <w:rFonts w:hint="eastAsia"/>
        </w:rPr>
        <w:t>。</w:t>
      </w:r>
    </w:p>
    <w:p w14:paraId="1F2CBA03" w14:textId="535B7292" w:rsidR="004E4C9C" w:rsidRPr="004E4C9C" w:rsidRDefault="004E4C9C" w:rsidP="004E4C9C">
      <w:pPr>
        <w:ind w:firstLineChars="200" w:firstLine="480"/>
      </w:pPr>
      <w:r w:rsidRPr="004E4C9C">
        <w:rPr>
          <w:rFonts w:hint="eastAsia"/>
        </w:rPr>
        <w:t>2023</w:t>
      </w:r>
      <w:r w:rsidRPr="004E4C9C">
        <w:rPr>
          <w:rFonts w:hint="eastAsia"/>
        </w:rPr>
        <w:t>年</w:t>
      </w:r>
      <w:r w:rsidRPr="004E4C9C">
        <w:rPr>
          <w:rFonts w:hint="eastAsia"/>
        </w:rPr>
        <w:t>12</w:t>
      </w:r>
      <w:r w:rsidRPr="004E4C9C">
        <w:rPr>
          <w:rFonts w:hint="eastAsia"/>
        </w:rPr>
        <w:t>月</w:t>
      </w:r>
      <w:r w:rsidRPr="004E4C9C">
        <w:rPr>
          <w:rFonts w:hint="eastAsia"/>
        </w:rPr>
        <w:t>5</w:t>
      </w:r>
      <w:r w:rsidRPr="004E4C9C">
        <w:rPr>
          <w:rFonts w:hint="eastAsia"/>
        </w:rPr>
        <w:t>日，在阿联酋迪拜举行的《电信评论》领袖峰会期间举行了</w:t>
      </w:r>
      <w:r w:rsidRPr="004E4C9C">
        <w:fldChar w:fldCharType="begin"/>
      </w:r>
      <w:r w:rsidRPr="004E4C9C">
        <w:rPr>
          <w:rFonts w:hint="eastAsia"/>
        </w:rPr>
        <w:instrText>HYPERLINK "https://www.itu.int/en/ITU-T/tsbdir/CxO/Pages/CxO-20231205.aspx"</w:instrText>
      </w:r>
      <w:r w:rsidRPr="004E4C9C">
        <w:fldChar w:fldCharType="separate"/>
      </w:r>
      <w:proofErr w:type="spellStart"/>
      <w:r w:rsidRPr="004E4C9C">
        <w:rPr>
          <w:rStyle w:val="Hyperlink"/>
          <w:rFonts w:hint="eastAsia"/>
        </w:rPr>
        <w:t>CxO</w:t>
      </w:r>
      <w:proofErr w:type="spellEnd"/>
      <w:r w:rsidRPr="004E4C9C">
        <w:rPr>
          <w:rStyle w:val="Hyperlink"/>
          <w:rFonts w:hint="eastAsia"/>
        </w:rPr>
        <w:t>圆桌会议</w:t>
      </w:r>
      <w:r w:rsidRPr="004E4C9C">
        <w:fldChar w:fldCharType="end"/>
      </w:r>
      <w:r w:rsidRPr="004E4C9C">
        <w:rPr>
          <w:rFonts w:hint="eastAsia"/>
        </w:rPr>
        <w:t>，还有更多的人是通过网络参会。</w:t>
      </w:r>
      <w:proofErr w:type="spellStart"/>
      <w:r w:rsidRPr="004E4C9C">
        <w:rPr>
          <w:rFonts w:hint="eastAsia"/>
        </w:rPr>
        <w:t>CxO</w:t>
      </w:r>
      <w:proofErr w:type="spellEnd"/>
      <w:r w:rsidRPr="004E4C9C">
        <w:rPr>
          <w:rFonts w:hint="eastAsia"/>
        </w:rPr>
        <w:t>们讨论了支持</w:t>
      </w:r>
      <w:r w:rsidRPr="004E4C9C">
        <w:rPr>
          <w:rFonts w:hint="eastAsia"/>
        </w:rPr>
        <w:t>IMT-2030 (6G)</w:t>
      </w:r>
      <w:r w:rsidRPr="004E4C9C">
        <w:rPr>
          <w:rFonts w:hint="eastAsia"/>
        </w:rPr>
        <w:t>所需的光网络、人工智能和语义通信。他们还分享了对解决数字鸿沟、非地面网络、智能移动性、电力线通信、灾难响应、机器视觉技术、区块链、减少欺诈和量子信息技术的展望。见会议</w:t>
      </w:r>
      <w:hyperlink r:id="rId23" w:history="1">
        <w:r w:rsidRPr="004E4C9C">
          <w:rPr>
            <w:rStyle w:val="Hyperlink"/>
            <w:rFonts w:hint="eastAsia"/>
          </w:rPr>
          <w:t>公报</w:t>
        </w:r>
      </w:hyperlink>
      <w:r w:rsidRPr="004E4C9C">
        <w:rPr>
          <w:rFonts w:hint="eastAsia"/>
        </w:rPr>
        <w:t>和</w:t>
      </w:r>
      <w:hyperlink w:anchor="_5.6_CTO_and" w:history="1">
        <w:r w:rsidRPr="004E4C9C">
          <w:rPr>
            <w:rStyle w:val="Hyperlink"/>
            <w:rFonts w:hint="eastAsia"/>
          </w:rPr>
          <w:t>第</w:t>
        </w:r>
        <w:r w:rsidRPr="004E4C9C">
          <w:rPr>
            <w:rStyle w:val="Hyperlink"/>
          </w:rPr>
          <w:t>5.</w:t>
        </w:r>
        <w:r w:rsidR="006E76F9">
          <w:rPr>
            <w:rStyle w:val="Hyperlink"/>
          </w:rPr>
          <w:t>6</w:t>
        </w:r>
        <w:r w:rsidR="006E76F9">
          <w:rPr>
            <w:rStyle w:val="Hyperlink"/>
            <w:rFonts w:hint="eastAsia"/>
            <w:lang w:eastAsia="zh-CN"/>
          </w:rPr>
          <w:t>节</w:t>
        </w:r>
      </w:hyperlink>
      <w:r w:rsidRPr="004E4C9C">
        <w:rPr>
          <w:rFonts w:hint="eastAsia"/>
        </w:rPr>
        <w:t>。</w:t>
      </w:r>
    </w:p>
    <w:p w14:paraId="11E8D7AA" w14:textId="4330D818" w:rsidR="004E4C9C" w:rsidRPr="004E4C9C" w:rsidRDefault="004E4C9C" w:rsidP="004E4C9C">
      <w:pPr>
        <w:ind w:firstLineChars="200" w:firstLine="480"/>
      </w:pPr>
      <w:r w:rsidRPr="004E4C9C">
        <w:rPr>
          <w:rFonts w:hint="eastAsia"/>
        </w:rPr>
        <w:t>国际电联</w:t>
      </w:r>
      <w:r w:rsidRPr="004E4C9C">
        <w:fldChar w:fldCharType="begin"/>
      </w:r>
      <w:r w:rsidRPr="004E4C9C">
        <w:rPr>
          <w:rFonts w:hint="eastAsia"/>
        </w:rPr>
        <w:instrText>HYPERLINK "https://www.itu.int/initiatives/green-digital-action-atcop28/"</w:instrText>
      </w:r>
      <w:r w:rsidRPr="004E4C9C">
        <w:fldChar w:fldCharType="separate"/>
      </w:r>
      <w:r w:rsidRPr="004E4C9C">
        <w:rPr>
          <w:rStyle w:val="Hyperlink"/>
          <w:rFonts w:hint="eastAsia"/>
        </w:rPr>
        <w:t>在</w:t>
      </w:r>
      <w:r w:rsidRPr="004E4C9C">
        <w:rPr>
          <w:rStyle w:val="Hyperlink"/>
          <w:rFonts w:hint="eastAsia"/>
        </w:rPr>
        <w:t>COP28</w:t>
      </w:r>
      <w:r w:rsidRPr="004E4C9C">
        <w:rPr>
          <w:rStyle w:val="Hyperlink"/>
          <w:rFonts w:hint="eastAsia"/>
        </w:rPr>
        <w:t>期间</w:t>
      </w:r>
      <w:r w:rsidRPr="004E4C9C">
        <w:fldChar w:fldCharType="end"/>
      </w:r>
      <w:r w:rsidRPr="004E4C9C">
        <w:rPr>
          <w:rFonts w:hint="eastAsia"/>
        </w:rPr>
        <w:t>与来自政府、公司、行业协会、民间团体和其他联合国机构的合作伙伴共同召集了</w:t>
      </w:r>
      <w:hyperlink r:id="rId24" w:history="1">
        <w:r w:rsidRPr="004E4C9C">
          <w:rPr>
            <w:rStyle w:val="Hyperlink"/>
            <w:rFonts w:hint="eastAsia"/>
          </w:rPr>
          <w:t>绿色数字行动主题会议</w:t>
        </w:r>
      </w:hyperlink>
      <w:r w:rsidRPr="004E4C9C">
        <w:rPr>
          <w:rFonts w:hint="eastAsia"/>
        </w:rPr>
        <w:t>。电信标准化局</w:t>
      </w:r>
      <w:r w:rsidRPr="004E4C9C">
        <w:rPr>
          <w:rFonts w:hint="eastAsia"/>
        </w:rPr>
        <w:t>/ITU-T</w:t>
      </w:r>
      <w:r w:rsidRPr="004E4C9C">
        <w:rPr>
          <w:rFonts w:hint="eastAsia"/>
        </w:rPr>
        <w:t>在推进以标准化为重点的绿色数字行动活动中发挥了主导作用。会议的</w:t>
      </w:r>
      <w:r w:rsidRPr="004E4C9C">
        <w:fldChar w:fldCharType="begin"/>
      </w:r>
      <w:r w:rsidRPr="004E4C9C">
        <w:rPr>
          <w:rFonts w:hint="eastAsia"/>
        </w:rPr>
        <w:instrText>HYPERLINK "https://www.itu.int/initiatives/green-digital-action-atcop28/about/outcomes/"</w:instrText>
      </w:r>
      <w:r w:rsidRPr="004E4C9C">
        <w:fldChar w:fldCharType="separate"/>
      </w:r>
      <w:r w:rsidRPr="004E4C9C">
        <w:rPr>
          <w:rStyle w:val="Hyperlink"/>
          <w:rFonts w:hint="eastAsia"/>
        </w:rPr>
        <w:t>成果</w:t>
      </w:r>
      <w:r w:rsidRPr="004E4C9C">
        <w:fldChar w:fldCharType="end"/>
      </w:r>
      <w:r w:rsidRPr="004E4C9C">
        <w:rPr>
          <w:rFonts w:hint="eastAsia"/>
        </w:rPr>
        <w:t>包括国际电联、国际标准化组织和国际电工委员会就通过设计将可持续性纳入技术标准制定中的重要性发表的</w:t>
      </w:r>
      <w:hyperlink r:id="rId25" w:history="1">
        <w:r w:rsidRPr="004E4C9C">
          <w:rPr>
            <w:rStyle w:val="Hyperlink"/>
            <w:rFonts w:hint="eastAsia"/>
          </w:rPr>
          <w:t>联合声明</w:t>
        </w:r>
      </w:hyperlink>
      <w:r w:rsidRPr="004E4C9C">
        <w:rPr>
          <w:rFonts w:hint="eastAsia"/>
        </w:rPr>
        <w:t>，以及支持落实环境可持续性标准的</w:t>
      </w:r>
      <w:hyperlink r:id="rId26" w:history="1">
        <w:r w:rsidRPr="004E4C9C">
          <w:rPr>
            <w:rStyle w:val="Hyperlink"/>
            <w:rFonts w:hint="eastAsia"/>
          </w:rPr>
          <w:t>行动计划</w:t>
        </w:r>
      </w:hyperlink>
      <w:r w:rsidRPr="004E4C9C">
        <w:rPr>
          <w:rFonts w:hint="eastAsia"/>
        </w:rPr>
        <w:t>。</w:t>
      </w:r>
      <w:hyperlink r:id="rId27" w:history="1">
        <w:r w:rsidRPr="004E4C9C">
          <w:rPr>
            <w:rStyle w:val="Hyperlink"/>
            <w:rFonts w:hint="eastAsia"/>
          </w:rPr>
          <w:t>面向气候变化的人工智能</w:t>
        </w:r>
        <w:r w:rsidRPr="004E4C9C">
          <w:rPr>
            <w:rStyle w:val="Hyperlink"/>
            <w:rFonts w:hint="eastAsia"/>
          </w:rPr>
          <w:t>/</w:t>
        </w:r>
        <w:r w:rsidRPr="004E4C9C">
          <w:rPr>
            <w:rStyle w:val="Hyperlink"/>
            <w:rFonts w:hint="eastAsia"/>
          </w:rPr>
          <w:t>及其学习解决方案挑战赛</w:t>
        </w:r>
      </w:hyperlink>
      <w:r w:rsidRPr="004E4C9C">
        <w:rPr>
          <w:rFonts w:hint="eastAsia"/>
        </w:rPr>
        <w:t>也在</w:t>
      </w:r>
      <w:r w:rsidRPr="004E4C9C">
        <w:rPr>
          <w:rFonts w:hint="eastAsia"/>
        </w:rPr>
        <w:t>COP28</w:t>
      </w:r>
      <w:r w:rsidRPr="004E4C9C">
        <w:rPr>
          <w:rFonts w:hint="eastAsia"/>
        </w:rPr>
        <w:t>上达到高潮。见</w:t>
      </w:r>
      <w:r w:rsidRPr="004E4C9C">
        <w:fldChar w:fldCharType="begin"/>
      </w:r>
      <w:r w:rsidRPr="004E4C9C">
        <w:instrText>HYPERLINK \l "_5.7_Green_Digital"</w:instrText>
      </w:r>
      <w:r w:rsidRPr="004E4C9C">
        <w:fldChar w:fldCharType="separate"/>
      </w:r>
      <w:r w:rsidRPr="004E4C9C">
        <w:rPr>
          <w:rStyle w:val="Hyperlink"/>
          <w:rFonts w:hint="eastAsia"/>
        </w:rPr>
        <w:t>第</w:t>
      </w:r>
      <w:r w:rsidRPr="004E4C9C">
        <w:rPr>
          <w:rStyle w:val="Hyperlink"/>
        </w:rPr>
        <w:t>5.</w:t>
      </w:r>
      <w:r w:rsidR="006E76F9">
        <w:rPr>
          <w:rStyle w:val="Hyperlink"/>
        </w:rPr>
        <w:t>7</w:t>
      </w:r>
      <w:r w:rsidR="006E76F9">
        <w:rPr>
          <w:rStyle w:val="Hyperlink"/>
          <w:rFonts w:hint="eastAsia"/>
          <w:lang w:eastAsia="zh-CN"/>
        </w:rPr>
        <w:t>节</w:t>
      </w:r>
      <w:r w:rsidRPr="004E4C9C">
        <w:fldChar w:fldCharType="end"/>
      </w:r>
      <w:r w:rsidRPr="004E4C9C">
        <w:rPr>
          <w:rFonts w:hint="eastAsia"/>
        </w:rPr>
        <w:t>。</w:t>
      </w:r>
    </w:p>
    <w:p w14:paraId="2CA64EAE" w14:textId="6943C303" w:rsidR="004E4C9C" w:rsidRPr="004E4C9C" w:rsidRDefault="00BB63EF" w:rsidP="004E4C9C">
      <w:pPr>
        <w:ind w:firstLineChars="200" w:firstLine="480"/>
      </w:pPr>
      <w:hyperlink r:id="rId28" w:history="1">
        <w:r w:rsidR="004E4C9C" w:rsidRPr="004E4C9C">
          <w:rPr>
            <w:rStyle w:val="Hyperlink"/>
            <w:rFonts w:hint="eastAsia"/>
          </w:rPr>
          <w:t>国际电联学术成员</w:t>
        </w:r>
      </w:hyperlink>
      <w:r w:rsidR="004E4C9C" w:rsidRPr="004E4C9C">
        <w:rPr>
          <w:rFonts w:hint="eastAsia"/>
        </w:rPr>
        <w:t>、</w:t>
      </w:r>
      <w:hyperlink r:id="rId29" w:history="1">
        <w:r w:rsidR="004E4C9C" w:rsidRPr="004E4C9C">
          <w:rPr>
            <w:rStyle w:val="Hyperlink"/>
            <w:rFonts w:hint="eastAsia"/>
          </w:rPr>
          <w:t>有关未来与发展技术的《国际电联期刊》</w:t>
        </w:r>
      </w:hyperlink>
      <w:r w:rsidR="004E4C9C" w:rsidRPr="004E4C9C">
        <w:rPr>
          <w:rFonts w:hint="eastAsia"/>
        </w:rPr>
        <w:t>和</w:t>
      </w:r>
      <w:hyperlink r:id="rId30" w:history="1">
        <w:r w:rsidR="004E4C9C" w:rsidRPr="004E4C9C">
          <w:rPr>
            <w:rStyle w:val="Hyperlink"/>
            <w:rFonts w:hint="eastAsia"/>
          </w:rPr>
          <w:t>国际电联</w:t>
        </w:r>
        <w:r w:rsidR="004E4C9C" w:rsidRPr="004E4C9C">
          <w:rPr>
            <w:rStyle w:val="Hyperlink"/>
            <w:rFonts w:ascii="SimSun" w:eastAsia="SimSun" w:hAnsi="SimSun" w:hint="eastAsia"/>
          </w:rPr>
          <w:t>“</w:t>
        </w:r>
        <w:r w:rsidR="004E4C9C" w:rsidRPr="004E4C9C">
          <w:rPr>
            <w:rStyle w:val="Hyperlink"/>
            <w:rFonts w:hint="eastAsia"/>
          </w:rPr>
          <w:t>大视野</w:t>
        </w:r>
        <w:r w:rsidR="004E4C9C" w:rsidRPr="004E4C9C">
          <w:rPr>
            <w:rStyle w:val="Hyperlink"/>
            <w:rFonts w:ascii="SimSun" w:eastAsia="SimSun" w:hAnsi="SimSun" w:hint="eastAsia"/>
          </w:rPr>
          <w:t>”</w:t>
        </w:r>
        <w:r w:rsidR="004E4C9C" w:rsidRPr="004E4C9C">
          <w:rPr>
            <w:rStyle w:val="Hyperlink"/>
            <w:rFonts w:hint="eastAsia"/>
          </w:rPr>
          <w:t>大会</w:t>
        </w:r>
      </w:hyperlink>
      <w:r w:rsidR="004E4C9C" w:rsidRPr="004E4C9C">
        <w:rPr>
          <w:rFonts w:hint="eastAsia"/>
        </w:rPr>
        <w:t>形成了学术界参与国际电联工作的主要途径。《国际电联期刊》免费向读者和作者提供通信和网络方面的全面报道。《国际电联期刊》第</w:t>
      </w:r>
      <w:r w:rsidR="004E4C9C" w:rsidRPr="004E4C9C">
        <w:rPr>
          <w:rFonts w:hint="eastAsia"/>
        </w:rPr>
        <w:t>4</w:t>
      </w:r>
      <w:r w:rsidR="004E4C9C" w:rsidRPr="004E4C9C">
        <w:rPr>
          <w:rFonts w:hint="eastAsia"/>
        </w:rPr>
        <w:t>卷（</w:t>
      </w:r>
      <w:r w:rsidR="004E4C9C" w:rsidRPr="004E4C9C">
        <w:rPr>
          <w:rFonts w:hint="eastAsia"/>
        </w:rPr>
        <w:t>2023</w:t>
      </w:r>
      <w:r w:rsidR="004E4C9C" w:rsidRPr="004E4C9C">
        <w:rPr>
          <w:rFonts w:hint="eastAsia"/>
        </w:rPr>
        <w:t>年）包括四期。该期刊还包括与研究人员和行业领袖的</w:t>
      </w:r>
      <w:hyperlink r:id="rId31" w:history="1">
        <w:r w:rsidR="004E4C9C" w:rsidRPr="004E4C9C">
          <w:rPr>
            <w:rStyle w:val="Hyperlink"/>
            <w:rFonts w:hint="eastAsia"/>
          </w:rPr>
          <w:t>网络研讨会讨论录音</w:t>
        </w:r>
      </w:hyperlink>
      <w:r w:rsidR="004E4C9C" w:rsidRPr="004E4C9C">
        <w:rPr>
          <w:rFonts w:hint="eastAsia"/>
        </w:rPr>
        <w:t>，</w:t>
      </w:r>
      <w:r w:rsidR="004E4C9C" w:rsidRPr="004E4C9C">
        <w:rPr>
          <w:rFonts w:hint="eastAsia"/>
        </w:rPr>
        <w:t>2023</w:t>
      </w:r>
      <w:r w:rsidR="004E4C9C" w:rsidRPr="004E4C9C">
        <w:rPr>
          <w:rFonts w:hint="eastAsia"/>
        </w:rPr>
        <w:t>年还推出了与首席技术官的期刊网络研讨会特别系列。</w:t>
      </w:r>
      <w:r w:rsidR="004E4C9C" w:rsidRPr="004E4C9C">
        <w:rPr>
          <w:rFonts w:hint="eastAsia"/>
        </w:rPr>
        <w:t>2024</w:t>
      </w:r>
      <w:r w:rsidR="004E4C9C" w:rsidRPr="004E4C9C">
        <w:rPr>
          <w:rFonts w:hint="eastAsia"/>
        </w:rPr>
        <w:t>年大视野活动将在印度新德里与</w:t>
      </w:r>
      <w:r w:rsidR="004E4C9C" w:rsidRPr="004E4C9C">
        <w:rPr>
          <w:rFonts w:hint="eastAsia"/>
        </w:rPr>
        <w:t>WTSA-24</w:t>
      </w:r>
      <w:r w:rsidR="004E4C9C" w:rsidRPr="004E4C9C">
        <w:rPr>
          <w:rFonts w:hint="eastAsia"/>
        </w:rPr>
        <w:t>同期举办。见</w:t>
      </w:r>
      <w:r w:rsidR="004E4C9C" w:rsidRPr="004E4C9C">
        <w:fldChar w:fldCharType="begin"/>
      </w:r>
      <w:r w:rsidR="004E4C9C" w:rsidRPr="004E4C9C">
        <w:instrText>HYPERLINK \l "_6_Academia"</w:instrText>
      </w:r>
      <w:r w:rsidR="004E4C9C" w:rsidRPr="004E4C9C">
        <w:fldChar w:fldCharType="separate"/>
      </w:r>
      <w:r w:rsidR="004E4C9C" w:rsidRPr="004E4C9C">
        <w:rPr>
          <w:rStyle w:val="Hyperlink"/>
          <w:rFonts w:hint="eastAsia"/>
        </w:rPr>
        <w:t>第</w:t>
      </w:r>
      <w:r w:rsidR="006E76F9">
        <w:rPr>
          <w:rStyle w:val="Hyperlink"/>
          <w:rFonts w:hint="eastAsia"/>
          <w:lang w:eastAsia="zh-CN"/>
        </w:rPr>
        <w:t>6</w:t>
      </w:r>
      <w:r w:rsidR="006E76F9">
        <w:rPr>
          <w:rStyle w:val="Hyperlink"/>
          <w:rFonts w:hint="eastAsia"/>
          <w:lang w:eastAsia="zh-CN"/>
        </w:rPr>
        <w:t>节</w:t>
      </w:r>
      <w:r w:rsidR="004E4C9C" w:rsidRPr="004E4C9C">
        <w:fldChar w:fldCharType="end"/>
      </w:r>
      <w:r w:rsidR="004E4C9C" w:rsidRPr="004E4C9C">
        <w:rPr>
          <w:rFonts w:hint="eastAsia"/>
        </w:rPr>
        <w:t>。</w:t>
      </w:r>
    </w:p>
    <w:p w14:paraId="03252C5A" w14:textId="13D676D0" w:rsidR="004E4C9C" w:rsidRPr="004E4C9C" w:rsidRDefault="004E4C9C" w:rsidP="004E4C9C">
      <w:pPr>
        <w:ind w:firstLineChars="200" w:firstLine="480"/>
      </w:pPr>
      <w:r w:rsidRPr="004E4C9C">
        <w:rPr>
          <w:rFonts w:hint="eastAsia"/>
        </w:rPr>
        <w:t>国际电联重新构想的</w:t>
      </w:r>
      <w:hyperlink r:id="rId32" w:history="1">
        <w:r w:rsidRPr="004E4C9C">
          <w:rPr>
            <w:rStyle w:val="Hyperlink"/>
            <w:rFonts w:hint="eastAsia"/>
          </w:rPr>
          <w:t>缩小标准化差距（</w:t>
        </w:r>
        <w:r w:rsidRPr="004E4C9C">
          <w:rPr>
            <w:rStyle w:val="Hyperlink"/>
            <w:rFonts w:hint="eastAsia"/>
          </w:rPr>
          <w:t>BSG</w:t>
        </w:r>
        <w:r w:rsidRPr="004E4C9C">
          <w:rPr>
            <w:rStyle w:val="Hyperlink"/>
            <w:rFonts w:hint="eastAsia"/>
          </w:rPr>
          <w:t>）计划</w:t>
        </w:r>
      </w:hyperlink>
      <w:r w:rsidRPr="004E4C9C">
        <w:rPr>
          <w:rFonts w:hint="eastAsia"/>
        </w:rPr>
        <w:t>包括两大战略支柱</w:t>
      </w:r>
      <w:r w:rsidRPr="004E4C9C">
        <w:rPr>
          <w:rFonts w:hint="eastAsia"/>
        </w:rPr>
        <w:t xml:space="preserve"> </w:t>
      </w:r>
      <w:r w:rsidR="006E76F9">
        <w:t>–</w:t>
      </w:r>
      <w:r w:rsidRPr="004E4C9C">
        <w:rPr>
          <w:rFonts w:hint="eastAsia"/>
        </w:rPr>
        <w:t xml:space="preserve"> </w:t>
      </w:r>
      <w:r w:rsidRPr="002056CE">
        <w:rPr>
          <w:rFonts w:ascii="STKaiti" w:eastAsia="STKaiti" w:hAnsi="STKaiti" w:hint="eastAsia"/>
        </w:rPr>
        <w:t>制定</w:t>
      </w:r>
      <w:r w:rsidRPr="004E4C9C">
        <w:rPr>
          <w:rFonts w:hint="eastAsia"/>
        </w:rPr>
        <w:t>和</w:t>
      </w:r>
      <w:r w:rsidRPr="002056CE">
        <w:rPr>
          <w:rFonts w:ascii="STKaiti" w:eastAsia="STKaiti" w:hAnsi="STKaiti" w:hint="eastAsia"/>
        </w:rPr>
        <w:t>实施</w:t>
      </w:r>
      <w:r w:rsidRPr="004E4C9C">
        <w:rPr>
          <w:rFonts w:hint="eastAsia"/>
        </w:rPr>
        <w:t>，并得到资源和伙伴关系的支持。日本总务省于</w:t>
      </w:r>
      <w:r w:rsidRPr="004E4C9C">
        <w:rPr>
          <w:rFonts w:hint="eastAsia"/>
        </w:rPr>
        <w:t>2023</w:t>
      </w:r>
      <w:r w:rsidRPr="004E4C9C">
        <w:rPr>
          <w:rFonts w:hint="eastAsia"/>
        </w:rPr>
        <w:t>年资助了</w:t>
      </w:r>
      <w:r w:rsidRPr="004E4C9C">
        <w:rPr>
          <w:rFonts w:hint="eastAsia"/>
        </w:rPr>
        <w:t>BSG</w:t>
      </w:r>
      <w:r w:rsidRPr="004E4C9C">
        <w:rPr>
          <w:rFonts w:hint="eastAsia"/>
        </w:rPr>
        <w:t>计划。在报告期内举行了五次</w:t>
      </w:r>
      <w:r w:rsidRPr="004E4C9C">
        <w:rPr>
          <w:rFonts w:hint="eastAsia"/>
        </w:rPr>
        <w:t>BSG</w:t>
      </w:r>
      <w:r w:rsidRPr="004E4C9C">
        <w:rPr>
          <w:rFonts w:hint="eastAsia"/>
        </w:rPr>
        <w:t>培训。</w:t>
      </w:r>
      <w:r w:rsidRPr="004E4C9C">
        <w:rPr>
          <w:rFonts w:hint="eastAsia"/>
        </w:rPr>
        <w:t>ITU-T</w:t>
      </w:r>
      <w:r w:rsidRPr="004E4C9C">
        <w:rPr>
          <w:rFonts w:hint="eastAsia"/>
        </w:rPr>
        <w:t>最新成立的区域组</w:t>
      </w:r>
      <w:r w:rsidRPr="004E4C9C">
        <w:rPr>
          <w:rFonts w:hint="eastAsia"/>
        </w:rPr>
        <w:t>-ITU-T</w:t>
      </w:r>
      <w:r w:rsidRPr="004E4C9C">
        <w:rPr>
          <w:rFonts w:hint="eastAsia"/>
        </w:rPr>
        <w:t>第</w:t>
      </w:r>
      <w:r w:rsidRPr="004E4C9C">
        <w:rPr>
          <w:rFonts w:hint="eastAsia"/>
        </w:rPr>
        <w:t>20</w:t>
      </w:r>
      <w:r w:rsidRPr="004E4C9C">
        <w:rPr>
          <w:rFonts w:hint="eastAsia"/>
        </w:rPr>
        <w:t>研究组的亚太区域组于</w:t>
      </w:r>
      <w:r w:rsidRPr="004E4C9C">
        <w:rPr>
          <w:rFonts w:hint="eastAsia"/>
        </w:rPr>
        <w:t>2023</w:t>
      </w:r>
      <w:r w:rsidRPr="004E4C9C">
        <w:rPr>
          <w:rFonts w:hint="eastAsia"/>
        </w:rPr>
        <w:t>年</w:t>
      </w:r>
      <w:r w:rsidRPr="004E4C9C">
        <w:rPr>
          <w:rFonts w:hint="eastAsia"/>
        </w:rPr>
        <w:t>7</w:t>
      </w:r>
      <w:r w:rsidRPr="004E4C9C">
        <w:rPr>
          <w:rFonts w:hint="eastAsia"/>
        </w:rPr>
        <w:t>月召开了首次会议。</w:t>
      </w:r>
      <w:r w:rsidRPr="004E4C9C">
        <w:rPr>
          <w:rFonts w:hint="eastAsia"/>
        </w:rPr>
        <w:t xml:space="preserve">2023 </w:t>
      </w:r>
      <w:r w:rsidRPr="004E4C9C">
        <w:rPr>
          <w:rFonts w:hint="eastAsia"/>
        </w:rPr>
        <w:t>年申请了</w:t>
      </w:r>
      <w:r w:rsidRPr="004E4C9C">
        <w:rPr>
          <w:rFonts w:hint="eastAsia"/>
        </w:rPr>
        <w:t>422</w:t>
      </w:r>
      <w:r w:rsidRPr="004E4C9C">
        <w:rPr>
          <w:rFonts w:hint="eastAsia"/>
        </w:rPr>
        <w:t>份与会补贴，颁发了</w:t>
      </w:r>
      <w:r w:rsidRPr="004E4C9C">
        <w:rPr>
          <w:rFonts w:hint="eastAsia"/>
        </w:rPr>
        <w:t>152</w:t>
      </w:r>
      <w:r w:rsidRPr="004E4C9C">
        <w:rPr>
          <w:rFonts w:hint="eastAsia"/>
        </w:rPr>
        <w:t>份与会补贴。见</w:t>
      </w:r>
      <w:r w:rsidRPr="004E4C9C">
        <w:fldChar w:fldCharType="begin"/>
      </w:r>
      <w:r w:rsidRPr="004E4C9C">
        <w:instrText>HYPERLINK \l "_12_Bridging_the"</w:instrText>
      </w:r>
      <w:r w:rsidRPr="004E4C9C">
        <w:fldChar w:fldCharType="separate"/>
      </w:r>
      <w:r w:rsidRPr="004E4C9C">
        <w:rPr>
          <w:rStyle w:val="Hyperlink"/>
          <w:rFonts w:hint="eastAsia"/>
        </w:rPr>
        <w:t>第</w:t>
      </w:r>
      <w:r w:rsidRPr="004E4C9C">
        <w:rPr>
          <w:rStyle w:val="Hyperlink"/>
        </w:rPr>
        <w:t>1</w:t>
      </w:r>
      <w:r w:rsidR="006E76F9">
        <w:rPr>
          <w:rStyle w:val="Hyperlink"/>
        </w:rPr>
        <w:t>2</w:t>
      </w:r>
      <w:r w:rsidR="006E76F9">
        <w:rPr>
          <w:rStyle w:val="Hyperlink"/>
          <w:rFonts w:hint="eastAsia"/>
          <w:lang w:eastAsia="zh-CN"/>
        </w:rPr>
        <w:t>节</w:t>
      </w:r>
      <w:r w:rsidRPr="004E4C9C">
        <w:fldChar w:fldCharType="end"/>
      </w:r>
      <w:r w:rsidRPr="004E4C9C">
        <w:rPr>
          <w:rFonts w:hint="eastAsia"/>
        </w:rPr>
        <w:t>。</w:t>
      </w:r>
    </w:p>
    <w:p w14:paraId="44232295" w14:textId="6F681C80" w:rsidR="004E4C9C" w:rsidRPr="004E4C9C" w:rsidRDefault="004E4C9C" w:rsidP="004E4C9C">
      <w:pPr>
        <w:ind w:firstLineChars="200" w:firstLine="480"/>
      </w:pPr>
      <w:r w:rsidRPr="004E4C9C">
        <w:t>TSB</w:t>
      </w:r>
      <w:r w:rsidRPr="004E4C9C">
        <w:rPr>
          <w:rFonts w:hint="eastAsia"/>
        </w:rPr>
        <w:t>仍致力于将性别平等观点纳入其所有活动和计划，充分利用国际电联性别平等任务组框架和</w:t>
      </w:r>
      <w:r w:rsidR="00BB63EF">
        <w:fldChar w:fldCharType="begin"/>
      </w:r>
      <w:r w:rsidR="00BB63EF">
        <w:instrText>HYPERLINK "https://www.itu.int/en/ITU-T/NoW/Pages/default.aspx"</w:instrText>
      </w:r>
      <w:r w:rsidR="00BB63EF">
        <w:fldChar w:fldCharType="separate"/>
      </w:r>
      <w:r w:rsidRPr="004E4C9C">
        <w:rPr>
          <w:rStyle w:val="Hyperlink"/>
          <w:rFonts w:hint="eastAsia"/>
        </w:rPr>
        <w:t>ITU-T</w:t>
      </w:r>
      <w:r w:rsidRPr="004E4C9C">
        <w:rPr>
          <w:rStyle w:val="Hyperlink"/>
          <w:rFonts w:hint="eastAsia"/>
        </w:rPr>
        <w:t>中的妇女联谊会（</w:t>
      </w:r>
      <w:r w:rsidRPr="004E4C9C">
        <w:rPr>
          <w:rStyle w:val="Hyperlink"/>
          <w:rFonts w:hint="eastAsia"/>
        </w:rPr>
        <w:t>ITU-T</w:t>
      </w:r>
      <w:r w:rsidRPr="004E4C9C">
        <w:rPr>
          <w:rStyle w:val="Hyperlink"/>
          <w:rFonts w:hint="eastAsia"/>
        </w:rPr>
        <w:t>中的</w:t>
      </w:r>
      <w:proofErr w:type="spellStart"/>
      <w:r w:rsidRPr="004E4C9C">
        <w:rPr>
          <w:rStyle w:val="Hyperlink"/>
          <w:rFonts w:hint="eastAsia"/>
        </w:rPr>
        <w:t>NoW</w:t>
      </w:r>
      <w:proofErr w:type="spellEnd"/>
      <w:r w:rsidRPr="004E4C9C">
        <w:rPr>
          <w:rStyle w:val="Hyperlink"/>
          <w:rFonts w:hint="eastAsia"/>
        </w:rPr>
        <w:t>）</w:t>
      </w:r>
      <w:r w:rsidR="00BB63EF">
        <w:rPr>
          <w:rStyle w:val="Hyperlink"/>
        </w:rPr>
        <w:fldChar w:fldCharType="end"/>
      </w:r>
      <w:r w:rsidRPr="004E4C9C">
        <w:rPr>
          <w:rFonts w:hint="eastAsia"/>
        </w:rPr>
        <w:t>。概述</w:t>
      </w:r>
      <w:proofErr w:type="spellStart"/>
      <w:r w:rsidRPr="004E4C9C">
        <w:rPr>
          <w:rFonts w:hint="eastAsia"/>
        </w:rPr>
        <w:t>NoW</w:t>
      </w:r>
      <w:proofErr w:type="spellEnd"/>
      <w:r w:rsidRPr="004E4C9C">
        <w:rPr>
          <w:rFonts w:hint="eastAsia"/>
        </w:rPr>
        <w:t>使命、范围和工作计划的职责范围将提交</w:t>
      </w:r>
      <w:r w:rsidRPr="004E4C9C">
        <w:rPr>
          <w:rFonts w:hint="eastAsia"/>
        </w:rPr>
        <w:t>TSAG</w:t>
      </w:r>
      <w:r w:rsidRPr="004E4C9C">
        <w:rPr>
          <w:rFonts w:hint="eastAsia"/>
        </w:rPr>
        <w:t>本次会议审议。在</w:t>
      </w:r>
      <w:r w:rsidRPr="004E4C9C">
        <w:rPr>
          <w:rFonts w:hint="eastAsia"/>
        </w:rPr>
        <w:t>NOW4WTSA-24</w:t>
      </w:r>
      <w:r w:rsidRPr="004E4C9C">
        <w:rPr>
          <w:rFonts w:hint="eastAsia"/>
        </w:rPr>
        <w:t>宣传活动的支持下，</w:t>
      </w:r>
      <w:r w:rsidRPr="004E4C9C">
        <w:rPr>
          <w:rFonts w:hint="eastAsia"/>
        </w:rPr>
        <w:t>WTSA-24</w:t>
      </w:r>
      <w:r w:rsidRPr="004E4C9C">
        <w:rPr>
          <w:rFonts w:hint="eastAsia"/>
        </w:rPr>
        <w:t>的性别平等目标鼓励成员国承诺支持增加担任</w:t>
      </w:r>
      <w:r w:rsidRPr="004E4C9C">
        <w:rPr>
          <w:rFonts w:hint="eastAsia"/>
        </w:rPr>
        <w:t>ITU-T</w:t>
      </w:r>
      <w:r w:rsidRPr="004E4C9C">
        <w:rPr>
          <w:rFonts w:hint="eastAsia"/>
        </w:rPr>
        <w:t>领导职务的女性人数，并实现女性参与</w:t>
      </w:r>
      <w:r w:rsidRPr="004E4C9C">
        <w:rPr>
          <w:rFonts w:hint="eastAsia"/>
        </w:rPr>
        <w:t>WTSA-24</w:t>
      </w:r>
      <w:r w:rsidRPr="004E4C9C">
        <w:rPr>
          <w:rFonts w:hint="eastAsia"/>
        </w:rPr>
        <w:t>的比例达到</w:t>
      </w:r>
      <w:r w:rsidRPr="004E4C9C">
        <w:rPr>
          <w:rFonts w:hint="eastAsia"/>
        </w:rPr>
        <w:t>35%</w:t>
      </w:r>
      <w:r w:rsidRPr="004E4C9C">
        <w:rPr>
          <w:rFonts w:hint="eastAsia"/>
        </w:rPr>
        <w:t>的目标。见</w:t>
      </w:r>
      <w:hyperlink w:anchor="_13_Gender" w:history="1">
        <w:r w:rsidRPr="004E4C9C">
          <w:rPr>
            <w:rStyle w:val="Hyperlink"/>
            <w:rFonts w:hint="eastAsia"/>
          </w:rPr>
          <w:t>第</w:t>
        </w:r>
        <w:r w:rsidRPr="004E4C9C">
          <w:rPr>
            <w:rStyle w:val="Hyperlink"/>
          </w:rPr>
          <w:t>1</w:t>
        </w:r>
        <w:r w:rsidR="006E76F9">
          <w:rPr>
            <w:rStyle w:val="Hyperlink"/>
          </w:rPr>
          <w:t>3</w:t>
        </w:r>
        <w:r w:rsidR="006E76F9">
          <w:rPr>
            <w:rStyle w:val="Hyperlink"/>
            <w:rFonts w:hint="eastAsia"/>
            <w:lang w:eastAsia="zh-CN"/>
          </w:rPr>
          <w:t>节</w:t>
        </w:r>
      </w:hyperlink>
      <w:r w:rsidRPr="004E4C9C">
        <w:rPr>
          <w:rFonts w:hint="eastAsia"/>
        </w:rPr>
        <w:t>。</w:t>
      </w:r>
    </w:p>
    <w:p w14:paraId="12F27637" w14:textId="7B17F3C1" w:rsidR="004E4C9C" w:rsidRPr="004E4C9C" w:rsidRDefault="004E4C9C" w:rsidP="004E4C9C">
      <w:pPr>
        <w:ind w:firstLineChars="200" w:firstLine="480"/>
      </w:pPr>
      <w:r w:rsidRPr="004E4C9C">
        <w:rPr>
          <w:rFonts w:hint="eastAsia"/>
        </w:rPr>
        <w:t>测试实验室现在可因其在测试产品是否符合</w:t>
      </w:r>
      <w:r w:rsidRPr="004E4C9C">
        <w:rPr>
          <w:rFonts w:hint="eastAsia"/>
        </w:rPr>
        <w:t>ITU-T</w:t>
      </w:r>
      <w:r w:rsidRPr="004E4C9C">
        <w:rPr>
          <w:rFonts w:hint="eastAsia"/>
        </w:rPr>
        <w:t>建议书方面的能力而获得国际电联的正式认可。</w:t>
      </w:r>
      <w:r w:rsidRPr="004E4C9C">
        <w:fldChar w:fldCharType="begin"/>
      </w:r>
      <w:r w:rsidRPr="004E4C9C">
        <w:instrText>HYPERLINK "https://itu.int/go/tldb"</w:instrText>
      </w:r>
      <w:r w:rsidRPr="004E4C9C">
        <w:fldChar w:fldCharType="separate"/>
      </w:r>
      <w:r w:rsidRPr="004E4C9C">
        <w:rPr>
          <w:rStyle w:val="Hyperlink"/>
          <w:rFonts w:hint="eastAsia"/>
        </w:rPr>
        <w:t>国际电联测试实验室数据库</w:t>
      </w:r>
      <w:r w:rsidRPr="004E4C9C">
        <w:fldChar w:fldCharType="end"/>
      </w:r>
      <w:r w:rsidRPr="004E4C9C">
        <w:rPr>
          <w:rFonts w:hint="eastAsia"/>
        </w:rPr>
        <w:t>中列出了</w:t>
      </w:r>
      <w:r w:rsidRPr="004E4C9C">
        <w:rPr>
          <w:rFonts w:hint="eastAsia"/>
        </w:rPr>
        <w:t>12</w:t>
      </w:r>
      <w:r w:rsidRPr="004E4C9C">
        <w:rPr>
          <w:rFonts w:hint="eastAsia"/>
        </w:rPr>
        <w:t>个测试实验室，作为国际电联认可的设施。对于寻求基于标准的解决方案的买方，补充性</w:t>
      </w:r>
      <w:r w:rsidRPr="004E4C9C">
        <w:fldChar w:fldCharType="begin"/>
      </w:r>
      <w:r w:rsidRPr="004E4C9C">
        <w:instrText>HYPERLINK "http://www.itu.int/net/itu-t/cdb/ConformityDB.aspx"</w:instrText>
      </w:r>
      <w:r w:rsidRPr="004E4C9C">
        <w:fldChar w:fldCharType="separate"/>
      </w:r>
      <w:r w:rsidRPr="004E4C9C">
        <w:rPr>
          <w:rStyle w:val="Hyperlink"/>
          <w:rFonts w:hint="eastAsia"/>
        </w:rPr>
        <w:t>国际电联产品合规性数据库</w:t>
      </w:r>
      <w:r w:rsidRPr="004E4C9C">
        <w:fldChar w:fldCharType="end"/>
      </w:r>
      <w:r w:rsidRPr="004E4C9C">
        <w:rPr>
          <w:rFonts w:hint="eastAsia"/>
        </w:rPr>
        <w:t>列出了符合</w:t>
      </w:r>
      <w:r w:rsidRPr="004E4C9C">
        <w:rPr>
          <w:rFonts w:hint="eastAsia"/>
        </w:rPr>
        <w:t>ITU-T</w:t>
      </w:r>
      <w:r w:rsidRPr="004E4C9C">
        <w:rPr>
          <w:rFonts w:hint="eastAsia"/>
        </w:rPr>
        <w:t>建议书的产品。</w:t>
      </w:r>
      <w:r w:rsidRPr="004E4C9C">
        <w:t>由</w:t>
      </w:r>
      <w:hyperlink r:id="rId33" w:history="1">
        <w:r w:rsidRPr="004E4C9C">
          <w:rPr>
            <w:rStyle w:val="Hyperlink"/>
          </w:rPr>
          <w:t>ITU-T</w:t>
        </w:r>
        <w:r w:rsidRPr="004E4C9C">
          <w:rPr>
            <w:rStyle w:val="Hyperlink"/>
          </w:rPr>
          <w:t>合规性评估指导委员会</w:t>
        </w:r>
      </w:hyperlink>
      <w:r w:rsidRPr="004E4C9C">
        <w:t>支持的测试实验室认可方案是</w:t>
      </w:r>
      <w:hyperlink r:id="rId34" w:history="1">
        <w:r w:rsidRPr="004E4C9C">
          <w:rPr>
            <w:rStyle w:val="Hyperlink"/>
          </w:rPr>
          <w:t>国际电联合规性和互操作性计划</w:t>
        </w:r>
      </w:hyperlink>
      <w:r w:rsidRPr="004E4C9C">
        <w:t>下的最新举措</w:t>
      </w:r>
      <w:r w:rsidRPr="004E4C9C">
        <w:rPr>
          <w:rFonts w:hint="eastAsia"/>
        </w:rPr>
        <w:t>。见</w:t>
      </w:r>
      <w:hyperlink w:anchor="_8_Conformity_and" w:history="1">
        <w:r w:rsidRPr="004E4C9C">
          <w:rPr>
            <w:rStyle w:val="Hyperlink"/>
            <w:rFonts w:hint="eastAsia"/>
          </w:rPr>
          <w:t>第</w:t>
        </w:r>
        <w:r w:rsidR="006E76F9">
          <w:rPr>
            <w:rStyle w:val="Hyperlink"/>
            <w:rFonts w:hint="eastAsia"/>
            <w:lang w:eastAsia="zh-CN"/>
          </w:rPr>
          <w:t>8</w:t>
        </w:r>
        <w:r w:rsidR="006E76F9">
          <w:rPr>
            <w:rStyle w:val="Hyperlink"/>
            <w:rFonts w:hint="eastAsia"/>
            <w:lang w:eastAsia="zh-CN"/>
          </w:rPr>
          <w:t>节</w:t>
        </w:r>
      </w:hyperlink>
      <w:r w:rsidRPr="004E4C9C">
        <w:rPr>
          <w:rFonts w:hint="eastAsia"/>
        </w:rPr>
        <w:t>。</w:t>
      </w:r>
    </w:p>
    <w:p w14:paraId="7AADDC6A" w14:textId="00578E6C" w:rsidR="004E4C9C" w:rsidRPr="004E4C9C" w:rsidRDefault="004E4C9C" w:rsidP="004E4C9C">
      <w:pPr>
        <w:ind w:firstLineChars="200" w:firstLine="480"/>
      </w:pPr>
      <w:r w:rsidRPr="004E4C9C">
        <w:rPr>
          <w:rFonts w:hint="eastAsia"/>
        </w:rPr>
        <w:t>在本报告期出版了近</w:t>
      </w:r>
      <w:r w:rsidRPr="004E4C9C">
        <w:rPr>
          <w:rFonts w:hint="eastAsia"/>
        </w:rPr>
        <w:t>300</w:t>
      </w:r>
      <w:r w:rsidRPr="004E4C9C">
        <w:rPr>
          <w:rFonts w:hint="eastAsia"/>
        </w:rPr>
        <w:t>份</w:t>
      </w:r>
      <w:r w:rsidRPr="004E4C9C">
        <w:rPr>
          <w:rFonts w:hint="eastAsia"/>
        </w:rPr>
        <w:t>ITU-T</w:t>
      </w:r>
      <w:r w:rsidRPr="004E4C9C">
        <w:rPr>
          <w:rFonts w:hint="eastAsia"/>
        </w:rPr>
        <w:t>建议书和增补。</w:t>
      </w:r>
      <w:r w:rsidRPr="004E4C9C">
        <w:t>TSB</w:t>
      </w:r>
      <w:r w:rsidRPr="004E4C9C">
        <w:rPr>
          <w:rFonts w:hint="eastAsia"/>
        </w:rPr>
        <w:t>继续收集</w:t>
      </w:r>
      <w:r w:rsidRPr="004E4C9C">
        <w:rPr>
          <w:rFonts w:hint="eastAsia"/>
        </w:rPr>
        <w:t>ITU-T</w:t>
      </w:r>
      <w:r w:rsidRPr="004E4C9C">
        <w:rPr>
          <w:rFonts w:hint="eastAsia"/>
        </w:rPr>
        <w:t>研究组建议的所有新术语和定义，并将其录入在线</w:t>
      </w:r>
      <w:r w:rsidRPr="004E4C9C">
        <w:fldChar w:fldCharType="begin"/>
      </w:r>
      <w:r w:rsidRPr="004E4C9C">
        <w:instrText>HYPERLINK "https://www.itu.int/br_tsb_terms/" \l "/"</w:instrText>
      </w:r>
      <w:r w:rsidRPr="004E4C9C">
        <w:fldChar w:fldCharType="separate"/>
      </w:r>
      <w:r w:rsidRPr="004E4C9C">
        <w:rPr>
          <w:rStyle w:val="Hyperlink"/>
          <w:rFonts w:hint="eastAsia"/>
        </w:rPr>
        <w:t>国际电联术语和定义数据库</w:t>
      </w:r>
      <w:r w:rsidRPr="004E4C9C">
        <w:fldChar w:fldCharType="end"/>
      </w:r>
      <w:r w:rsidRPr="004E4C9C">
        <w:rPr>
          <w:rFonts w:hint="eastAsia"/>
        </w:rPr>
        <w:t>。</w:t>
      </w:r>
      <w:r w:rsidRPr="004E4C9C">
        <w:t>TSB</w:t>
      </w:r>
      <w:r w:rsidRPr="004E4C9C">
        <w:rPr>
          <w:rFonts w:hint="eastAsia"/>
        </w:rPr>
        <w:t>将继续翻译所有通过传统批准程序批准的建议书以及所有</w:t>
      </w:r>
      <w:r w:rsidRPr="004E4C9C">
        <w:rPr>
          <w:rFonts w:hint="eastAsia"/>
        </w:rPr>
        <w:t>TSAG</w:t>
      </w:r>
      <w:r w:rsidRPr="004E4C9C">
        <w:rPr>
          <w:rFonts w:hint="eastAsia"/>
        </w:rPr>
        <w:t>报告。</w:t>
      </w:r>
      <w:r w:rsidRPr="004E4C9C">
        <w:t>TSB</w:t>
      </w:r>
      <w:r w:rsidRPr="004E4C9C">
        <w:rPr>
          <w:rFonts w:hint="eastAsia"/>
        </w:rPr>
        <w:t>应要求翻译了本报告期内通过备选批准程序批准的六份建议书。见</w:t>
      </w:r>
      <w:r w:rsidRPr="004E4C9C">
        <w:fldChar w:fldCharType="begin"/>
      </w:r>
      <w:r w:rsidRPr="004E4C9C">
        <w:instrText>HYPERLINK \l "_14_Publications"</w:instrText>
      </w:r>
      <w:r w:rsidRPr="004E4C9C">
        <w:fldChar w:fldCharType="separate"/>
      </w:r>
      <w:r w:rsidRPr="004E4C9C">
        <w:rPr>
          <w:rStyle w:val="Hyperlink"/>
          <w:rFonts w:hint="eastAsia"/>
        </w:rPr>
        <w:t>第</w:t>
      </w:r>
      <w:r w:rsidRPr="004E4C9C">
        <w:rPr>
          <w:rStyle w:val="Hyperlink"/>
        </w:rPr>
        <w:t>1</w:t>
      </w:r>
      <w:r w:rsidR="006E76F9">
        <w:rPr>
          <w:rStyle w:val="Hyperlink"/>
        </w:rPr>
        <w:t>4</w:t>
      </w:r>
      <w:r w:rsidR="006E76F9">
        <w:rPr>
          <w:rStyle w:val="Hyperlink"/>
          <w:rFonts w:hint="eastAsia"/>
          <w:lang w:eastAsia="zh-CN"/>
        </w:rPr>
        <w:t>节</w:t>
      </w:r>
      <w:r w:rsidRPr="004E4C9C">
        <w:fldChar w:fldCharType="end"/>
      </w:r>
      <w:r w:rsidRPr="004E4C9C">
        <w:rPr>
          <w:rFonts w:hint="eastAsia"/>
        </w:rPr>
        <w:t>。</w:t>
      </w:r>
    </w:p>
    <w:p w14:paraId="2939E2DC" w14:textId="541EE1F4" w:rsidR="00136E7B" w:rsidRPr="00C32576" w:rsidRDefault="5EE8545A" w:rsidP="222B8D80">
      <w:pPr>
        <w:pStyle w:val="Heading1"/>
        <w:jc w:val="center"/>
        <w:rPr>
          <w:lang w:eastAsia="ja-JP"/>
        </w:rPr>
      </w:pPr>
      <w:r w:rsidRPr="00C32576">
        <w:rPr>
          <w:lang w:eastAsia="ja-JP"/>
        </w:rPr>
        <w:lastRenderedPageBreak/>
        <w:t xml:space="preserve">Annex – Full </w:t>
      </w:r>
      <w:r w:rsidR="00A9765D">
        <w:rPr>
          <w:lang w:eastAsia="ja-JP"/>
        </w:rPr>
        <w:t>r</w:t>
      </w:r>
      <w:r w:rsidRPr="00C32576">
        <w:rPr>
          <w:lang w:eastAsia="ja-JP"/>
        </w:rPr>
        <w:t xml:space="preserve">eport of activities in ITU-T </w:t>
      </w:r>
      <w:r w:rsidR="00526CBB">
        <w:rPr>
          <w:lang w:eastAsia="ja-JP"/>
        </w:rPr>
        <w:t>in the study period</w:t>
      </w:r>
      <w:bookmarkEnd w:id="12"/>
      <w:bookmarkEnd w:id="13"/>
    </w:p>
    <w:p w14:paraId="1C91FA37" w14:textId="57E744F4" w:rsidR="00A63A18" w:rsidRPr="00C32576" w:rsidRDefault="00136E7B" w:rsidP="000B3E92">
      <w:pPr>
        <w:pStyle w:val="Heading1"/>
        <w:spacing w:before="240"/>
        <w:rPr>
          <w:lang w:eastAsia="ja-JP"/>
        </w:rPr>
      </w:pPr>
      <w:bookmarkStart w:id="23" w:name="_1_Achievements_in"/>
      <w:bookmarkStart w:id="24" w:name="_1_ITU-T_Study"/>
      <w:bookmarkStart w:id="25" w:name="_Toc156392405"/>
      <w:bookmarkStart w:id="26" w:name="_Toc480527766"/>
      <w:bookmarkEnd w:id="23"/>
      <w:bookmarkEnd w:id="24"/>
      <w:r w:rsidRPr="00C32576">
        <w:rPr>
          <w:lang w:eastAsia="ja-JP"/>
        </w:rPr>
        <w:t>1</w:t>
      </w:r>
      <w:r w:rsidRPr="00C32576">
        <w:rPr>
          <w:lang w:eastAsia="ja-JP"/>
        </w:rPr>
        <w:tab/>
        <w:t xml:space="preserve">ITU-T </w:t>
      </w:r>
      <w:r w:rsidR="00B44AD8">
        <w:rPr>
          <w:lang w:eastAsia="ja-JP"/>
        </w:rPr>
        <w:t>s</w:t>
      </w:r>
      <w:r w:rsidR="00F17FE4">
        <w:rPr>
          <w:lang w:eastAsia="ja-JP"/>
        </w:rPr>
        <w:t xml:space="preserve">tudy </w:t>
      </w:r>
      <w:r w:rsidR="00B44AD8">
        <w:rPr>
          <w:lang w:eastAsia="ja-JP"/>
        </w:rPr>
        <w:t>g</w:t>
      </w:r>
      <w:r w:rsidR="00F17FE4" w:rsidRPr="00C5776F">
        <w:rPr>
          <w:lang w:eastAsia="ja-JP"/>
        </w:rPr>
        <w:t>roup</w:t>
      </w:r>
      <w:r w:rsidR="00F17FE4">
        <w:rPr>
          <w:lang w:eastAsia="ja-JP"/>
        </w:rPr>
        <w:t>s</w:t>
      </w:r>
      <w:bookmarkEnd w:id="25"/>
    </w:p>
    <w:p w14:paraId="7E71528E" w14:textId="6126D5E1" w:rsidR="005A4A98" w:rsidRDefault="005A4A98" w:rsidP="005A4A98">
      <w:pPr>
        <w:pStyle w:val="Heading2"/>
        <w:ind w:left="0" w:firstLine="0"/>
        <w:rPr>
          <w:lang w:eastAsia="ja-JP"/>
        </w:rPr>
      </w:pPr>
      <w:bookmarkStart w:id="27" w:name="_Toc156392406"/>
      <w:r>
        <w:rPr>
          <w:lang w:eastAsia="ja-JP"/>
        </w:rPr>
        <w:t>1</w:t>
      </w:r>
      <w:r w:rsidRPr="00C32576">
        <w:rPr>
          <w:lang w:eastAsia="ja-JP"/>
        </w:rPr>
        <w:t>.</w:t>
      </w:r>
      <w:r>
        <w:rPr>
          <w:lang w:eastAsia="ja-JP"/>
        </w:rPr>
        <w:t>1</w:t>
      </w:r>
      <w:r w:rsidRPr="00C32576">
        <w:rPr>
          <w:lang w:eastAsia="ja-JP"/>
        </w:rPr>
        <w:tab/>
      </w:r>
      <w:r>
        <w:rPr>
          <w:lang w:eastAsia="ja-JP"/>
        </w:rPr>
        <w:t xml:space="preserve">Standards approved and study group </w:t>
      </w:r>
      <w:proofErr w:type="gramStart"/>
      <w:r>
        <w:rPr>
          <w:lang w:eastAsia="ja-JP"/>
        </w:rPr>
        <w:t>meetings</w:t>
      </w:r>
      <w:bookmarkEnd w:id="27"/>
      <w:proofErr w:type="gramEnd"/>
    </w:p>
    <w:p w14:paraId="2FCB0627" w14:textId="2DCF22A8" w:rsidR="00DD2950" w:rsidRDefault="003D3598" w:rsidP="003D3598">
      <w:r w:rsidRPr="00C32576">
        <w:t>ITU approved</w:t>
      </w:r>
      <w:r w:rsidR="00EF6426">
        <w:t xml:space="preserve"> </w:t>
      </w:r>
      <w:r w:rsidR="00A406A6">
        <w:t xml:space="preserve">200 </w:t>
      </w:r>
      <w:r w:rsidRPr="00C32576">
        <w:t>new and revised ITU-T Recommendations</w:t>
      </w:r>
      <w:r w:rsidR="00EF6426">
        <w:t xml:space="preserve"> and related texts</w:t>
      </w:r>
      <w:r w:rsidR="00D56A4B">
        <w:t xml:space="preserve"> from to Ma</w:t>
      </w:r>
      <w:r w:rsidR="00922781">
        <w:t>y</w:t>
      </w:r>
      <w:r w:rsidR="00D56A4B">
        <w:t xml:space="preserve"> </w:t>
      </w:r>
      <w:r w:rsidR="00A406A6">
        <w:t xml:space="preserve">to 18 December </w:t>
      </w:r>
      <w:r w:rsidR="00D56A4B">
        <w:t>2023</w:t>
      </w:r>
      <w:r w:rsidR="00EF6426">
        <w:t>.</w:t>
      </w:r>
      <w:r w:rsidR="007C17D2">
        <w:t xml:space="preserve"> </w:t>
      </w:r>
      <w:r w:rsidR="003A5841">
        <w:t>Annex 1 to this report lists these texts as well as texts undergoing approval and summarizes their contents</w:t>
      </w:r>
      <w:r w:rsidR="00A406A6">
        <w:t>, as of 18 December 2023</w:t>
      </w:r>
      <w:r w:rsidR="003A5841">
        <w:t xml:space="preserve">. </w:t>
      </w:r>
      <w:r w:rsidR="00EF6426">
        <w:t xml:space="preserve">For all ITU-T Recommendations in force, see </w:t>
      </w:r>
      <w:r w:rsidR="00FC1E81">
        <w:t xml:space="preserve">the </w:t>
      </w:r>
      <w:hyperlink r:id="rId35"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36" w:history="1">
        <w:r w:rsidRPr="00EE273D">
          <w:rPr>
            <w:rStyle w:val="Hyperlink"/>
          </w:rPr>
          <w:t>homepages</w:t>
        </w:r>
      </w:hyperlink>
      <w:r w:rsidR="00950F9F">
        <w:t>.</w:t>
      </w:r>
      <w:bookmarkStart w:id="28" w:name="_1.1_AI-based_mapping"/>
      <w:bookmarkEnd w:id="28"/>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5A46572B" w14:textId="67FFB8A5" w:rsidR="000A66DC" w:rsidRDefault="00BB63EF" w:rsidP="00770357">
      <w:pPr>
        <w:numPr>
          <w:ilvl w:val="0"/>
          <w:numId w:val="21"/>
        </w:numPr>
      </w:pPr>
      <w:hyperlink r:id="rId37" w:history="1">
        <w:r w:rsidR="000A66DC" w:rsidRPr="000A66DC">
          <w:rPr>
            <w:rStyle w:val="Hyperlink"/>
          </w:rPr>
          <w:t>SG2</w:t>
        </w:r>
      </w:hyperlink>
      <w:r w:rsidR="000A66DC">
        <w:t xml:space="preserve">: </w:t>
      </w:r>
      <w:r w:rsidR="000A66DC" w:rsidRPr="000A66DC">
        <w:t>Geneva, 8-17 November 2023</w:t>
      </w:r>
    </w:p>
    <w:p w14:paraId="0C96EA63" w14:textId="0DFDBCF2" w:rsidR="006941EA" w:rsidRPr="006941EA" w:rsidRDefault="00BB63EF" w:rsidP="00770357">
      <w:pPr>
        <w:numPr>
          <w:ilvl w:val="0"/>
          <w:numId w:val="21"/>
        </w:numPr>
      </w:pPr>
      <w:hyperlink r:id="rId38" w:history="1">
        <w:r w:rsidR="006941EA" w:rsidRPr="006941EA">
          <w:rPr>
            <w:rStyle w:val="Hyperlink"/>
          </w:rPr>
          <w:t>SG3</w:t>
        </w:r>
      </w:hyperlink>
      <w:r w:rsidR="003A5841">
        <w:t xml:space="preserve">: </w:t>
      </w:r>
      <w:r w:rsidR="006941EA" w:rsidRPr="006941EA">
        <w:t>Geneva,</w:t>
      </w:r>
      <w:r w:rsidR="00AF4404">
        <w:t xml:space="preserve"> 10 </w:t>
      </w:r>
      <w:r w:rsidR="00D84240">
        <w:t>November</w:t>
      </w:r>
      <w:r w:rsidR="00AF4404">
        <w:t xml:space="preserve"> </w:t>
      </w:r>
      <w:r w:rsidR="006941EA" w:rsidRPr="006941EA">
        <w:t>202</w:t>
      </w:r>
      <w:r w:rsidR="00AF4404">
        <w:t>3</w:t>
      </w:r>
    </w:p>
    <w:p w14:paraId="14AA9ABB" w14:textId="1281E9CD" w:rsidR="006941EA" w:rsidRPr="006941EA" w:rsidRDefault="00BB63EF" w:rsidP="00770357">
      <w:pPr>
        <w:numPr>
          <w:ilvl w:val="0"/>
          <w:numId w:val="21"/>
        </w:numPr>
      </w:pPr>
      <w:hyperlink r:id="rId39" w:history="1">
        <w:r w:rsidR="006941EA" w:rsidRPr="006941EA">
          <w:rPr>
            <w:rStyle w:val="Hyperlink"/>
          </w:rPr>
          <w:t>SG5</w:t>
        </w:r>
      </w:hyperlink>
      <w:r w:rsidR="006941EA" w:rsidRPr="006941EA">
        <w:t xml:space="preserve">: </w:t>
      </w:r>
      <w:r w:rsidR="00D84240">
        <w:t>Geneva</w:t>
      </w:r>
      <w:r w:rsidR="006941EA" w:rsidRPr="006941EA">
        <w:t xml:space="preserve">, </w:t>
      </w:r>
      <w:r w:rsidR="00D84240">
        <w:t>13-22 Novem</w:t>
      </w:r>
      <w:r w:rsidR="00D73518">
        <w:t>ber 20</w:t>
      </w:r>
      <w:r w:rsidR="00D84240">
        <w:t>23</w:t>
      </w:r>
      <w:r w:rsidR="000A66DC">
        <w:t xml:space="preserve">; </w:t>
      </w:r>
      <w:r w:rsidR="000A66DC" w:rsidRPr="00D05584">
        <w:t>Sophia Antipolis, France, 13-23 June 2023</w:t>
      </w:r>
    </w:p>
    <w:p w14:paraId="6FFEA556" w14:textId="28EFE3C6" w:rsidR="006941EA" w:rsidRPr="004E4C9C" w:rsidRDefault="00BB63EF" w:rsidP="00770357">
      <w:pPr>
        <w:numPr>
          <w:ilvl w:val="0"/>
          <w:numId w:val="21"/>
        </w:numPr>
        <w:rPr>
          <w:lang w:val="pt-BR"/>
        </w:rPr>
      </w:pPr>
      <w:hyperlink r:id="rId40" w:history="1">
        <w:r w:rsidR="006941EA" w:rsidRPr="004E4C9C">
          <w:rPr>
            <w:rStyle w:val="Hyperlink"/>
            <w:lang w:val="pt-BR"/>
          </w:rPr>
          <w:t>SG9</w:t>
        </w:r>
      </w:hyperlink>
      <w:r w:rsidR="006941EA" w:rsidRPr="004E4C9C">
        <w:rPr>
          <w:lang w:val="pt-BR"/>
        </w:rPr>
        <w:t xml:space="preserve">: </w:t>
      </w:r>
      <w:r w:rsidR="00D84240" w:rsidRPr="004E4C9C">
        <w:rPr>
          <w:lang w:val="pt-BR"/>
        </w:rPr>
        <w:t xml:space="preserve">Bogotá, Colombia, 14-23 November 2023; </w:t>
      </w:r>
      <w:r w:rsidR="00D73518" w:rsidRPr="004E4C9C">
        <w:rPr>
          <w:lang w:val="pt-BR"/>
        </w:rPr>
        <w:t>Bangalore</w:t>
      </w:r>
      <w:r w:rsidR="006941EA" w:rsidRPr="004E4C9C">
        <w:rPr>
          <w:lang w:val="pt-BR"/>
        </w:rPr>
        <w:t>,</w:t>
      </w:r>
      <w:r w:rsidR="00D73518" w:rsidRPr="004E4C9C">
        <w:rPr>
          <w:lang w:val="pt-BR"/>
        </w:rPr>
        <w:t xml:space="preserve"> India, 9-18 May 2023</w:t>
      </w:r>
    </w:p>
    <w:p w14:paraId="1719D74B" w14:textId="6AD33EC4" w:rsidR="006941EA" w:rsidRPr="006941EA" w:rsidRDefault="00BB63EF" w:rsidP="00770357">
      <w:pPr>
        <w:numPr>
          <w:ilvl w:val="0"/>
          <w:numId w:val="21"/>
        </w:numPr>
      </w:pPr>
      <w:hyperlink r:id="rId41" w:history="1">
        <w:r w:rsidR="006941EA" w:rsidRPr="006941EA">
          <w:rPr>
            <w:rStyle w:val="Hyperlink"/>
          </w:rPr>
          <w:t>SG11</w:t>
        </w:r>
      </w:hyperlink>
      <w:r w:rsidR="006941EA" w:rsidRPr="006941EA">
        <w:t xml:space="preserve">: </w:t>
      </w:r>
      <w:r w:rsidR="00D84240">
        <w:t xml:space="preserve">Geneva, 10-20 October 2023; </w:t>
      </w:r>
      <w:r w:rsidR="006941EA" w:rsidRPr="00310193">
        <w:t xml:space="preserve">Geneva, </w:t>
      </w:r>
      <w:r w:rsidR="00D73518" w:rsidRPr="00310193">
        <w:t>10-19 May 2023</w:t>
      </w:r>
    </w:p>
    <w:p w14:paraId="5565263F" w14:textId="075E40D3" w:rsidR="006941EA" w:rsidRPr="006941EA" w:rsidRDefault="00BB63EF" w:rsidP="00770357">
      <w:pPr>
        <w:numPr>
          <w:ilvl w:val="0"/>
          <w:numId w:val="21"/>
        </w:numPr>
      </w:pPr>
      <w:hyperlink r:id="rId42" w:history="1">
        <w:r w:rsidR="006941EA" w:rsidRPr="006941EA">
          <w:rPr>
            <w:rStyle w:val="Hyperlink"/>
          </w:rPr>
          <w:t>SG12</w:t>
        </w:r>
      </w:hyperlink>
      <w:r w:rsidR="006941EA" w:rsidRPr="006941EA">
        <w:t>:</w:t>
      </w:r>
      <w:r w:rsidR="00D84240">
        <w:t xml:space="preserve"> Mexico City</w:t>
      </w:r>
      <w:r w:rsidR="006941EA" w:rsidRPr="006941EA">
        <w:t xml:space="preserve">, </w:t>
      </w:r>
      <w:r w:rsidR="00D84240">
        <w:t>Mexico, 19-28 September</w:t>
      </w:r>
      <w:r w:rsidR="00D73518">
        <w:t xml:space="preserve"> 2023</w:t>
      </w:r>
    </w:p>
    <w:p w14:paraId="24791C19" w14:textId="2A4E588C" w:rsidR="006941EA" w:rsidRDefault="00BB63EF" w:rsidP="00770357">
      <w:pPr>
        <w:numPr>
          <w:ilvl w:val="0"/>
          <w:numId w:val="21"/>
        </w:numPr>
      </w:pPr>
      <w:hyperlink r:id="rId43" w:history="1">
        <w:r w:rsidR="006941EA" w:rsidRPr="006941EA">
          <w:rPr>
            <w:rStyle w:val="Hyperlink"/>
          </w:rPr>
          <w:t>SG13</w:t>
        </w:r>
      </w:hyperlink>
      <w:r w:rsidR="006941EA" w:rsidRPr="006941EA">
        <w:t xml:space="preserve">: Geneva, </w:t>
      </w:r>
      <w:r w:rsidR="00D84240">
        <w:t xml:space="preserve">23 October </w:t>
      </w:r>
      <w:r w:rsidR="00D73518">
        <w:t>-</w:t>
      </w:r>
      <w:r w:rsidR="00D84240">
        <w:t xml:space="preserve"> 3</w:t>
      </w:r>
      <w:r w:rsidR="00D73518">
        <w:t xml:space="preserve"> </w:t>
      </w:r>
      <w:r w:rsidR="00D84240">
        <w:t>November</w:t>
      </w:r>
      <w:r w:rsidR="00D73518">
        <w:t xml:space="preserve"> 2023</w:t>
      </w:r>
      <w:r w:rsidR="00D84240">
        <w:t>; Geneva, 26 July 2023</w:t>
      </w:r>
    </w:p>
    <w:p w14:paraId="3CFFA543" w14:textId="484E9273" w:rsidR="00A61119" w:rsidRPr="006941EA" w:rsidRDefault="00BB63EF" w:rsidP="00770357">
      <w:pPr>
        <w:numPr>
          <w:ilvl w:val="0"/>
          <w:numId w:val="21"/>
        </w:numPr>
      </w:pPr>
      <w:hyperlink r:id="rId44" w:history="1">
        <w:r w:rsidR="00A61119" w:rsidRPr="00A61119">
          <w:rPr>
            <w:rStyle w:val="Hyperlink"/>
          </w:rPr>
          <w:t>SG16</w:t>
        </w:r>
      </w:hyperlink>
      <w:r w:rsidR="00A61119">
        <w:t>: Geneva, 10-21 July 2023</w:t>
      </w:r>
    </w:p>
    <w:p w14:paraId="5537C36C" w14:textId="45A6FBA4" w:rsidR="006941EA" w:rsidRPr="006941EA" w:rsidRDefault="00BB63EF" w:rsidP="00770357">
      <w:pPr>
        <w:numPr>
          <w:ilvl w:val="0"/>
          <w:numId w:val="21"/>
        </w:numPr>
      </w:pPr>
      <w:hyperlink r:id="rId45" w:history="1">
        <w:r w:rsidR="006941EA" w:rsidRPr="006941EA">
          <w:rPr>
            <w:rStyle w:val="Hyperlink"/>
          </w:rPr>
          <w:t>SG15</w:t>
        </w:r>
      </w:hyperlink>
      <w:r w:rsidR="006941EA" w:rsidRPr="006941EA">
        <w:t xml:space="preserve">: Geneva, </w:t>
      </w:r>
      <w:r w:rsidR="00D84240">
        <w:t>20 November - 1 December 2023</w:t>
      </w:r>
    </w:p>
    <w:p w14:paraId="5594205B" w14:textId="7C21A651" w:rsidR="006941EA" w:rsidRPr="006941EA" w:rsidRDefault="00BB63EF" w:rsidP="00770357">
      <w:pPr>
        <w:numPr>
          <w:ilvl w:val="0"/>
          <w:numId w:val="21"/>
        </w:numPr>
      </w:pPr>
      <w:hyperlink r:id="rId46" w:history="1">
        <w:r w:rsidR="006941EA" w:rsidRPr="006941EA">
          <w:rPr>
            <w:rStyle w:val="Hyperlink"/>
          </w:rPr>
          <w:t>SG17</w:t>
        </w:r>
      </w:hyperlink>
      <w:r w:rsidR="006941EA" w:rsidRPr="006941EA">
        <w:t xml:space="preserve">: </w:t>
      </w:r>
      <w:r w:rsidR="00D84240" w:rsidRPr="00D84240">
        <w:t xml:space="preserve">Goyang, </w:t>
      </w:r>
      <w:r w:rsidR="00D84240">
        <w:t xml:space="preserve">Korea (Rep. of), </w:t>
      </w:r>
      <w:r w:rsidR="00D84240" w:rsidRPr="00D84240">
        <w:t>29 August - 8 September 2023</w:t>
      </w:r>
      <w:r w:rsidR="00D84240">
        <w:t xml:space="preserve">; </w:t>
      </w:r>
      <w:r w:rsidR="00A61119">
        <w:t>online</w:t>
      </w:r>
      <w:r w:rsidR="00D84240">
        <w:t>, 8 May 2023</w:t>
      </w:r>
    </w:p>
    <w:p w14:paraId="2EAA3028" w14:textId="7238F436" w:rsidR="006941EA" w:rsidRDefault="00BB63EF" w:rsidP="00770357">
      <w:pPr>
        <w:numPr>
          <w:ilvl w:val="0"/>
          <w:numId w:val="21"/>
        </w:numPr>
      </w:pPr>
      <w:hyperlink r:id="rId47" w:history="1">
        <w:r w:rsidR="006941EA" w:rsidRPr="006941EA">
          <w:rPr>
            <w:rStyle w:val="Hyperlink"/>
          </w:rPr>
          <w:t>SG20</w:t>
        </w:r>
      </w:hyperlink>
      <w:r w:rsidR="006941EA" w:rsidRPr="006941EA">
        <w:t xml:space="preserve">: </w:t>
      </w:r>
      <w:r w:rsidR="00D84240">
        <w:t>Arusha</w:t>
      </w:r>
      <w:r w:rsidR="006941EA" w:rsidRPr="006941EA">
        <w:t xml:space="preserve">, </w:t>
      </w:r>
      <w:r w:rsidR="000A66DC">
        <w:t>Tanzania</w:t>
      </w:r>
      <w:r w:rsidR="00D84240">
        <w:t xml:space="preserve">, </w:t>
      </w:r>
      <w:r w:rsidR="00A61119">
        <w:t xml:space="preserve">13-22 September </w:t>
      </w:r>
      <w:r w:rsidR="006941EA" w:rsidRPr="006941EA">
        <w:t>202</w:t>
      </w:r>
      <w:r w:rsidR="00D73518">
        <w:t>3</w:t>
      </w:r>
    </w:p>
    <w:p w14:paraId="59BA0DC9" w14:textId="280C2780" w:rsidR="006941EA" w:rsidRDefault="006941EA" w:rsidP="006941EA">
      <w:pPr>
        <w:pStyle w:val="Heading2"/>
        <w:ind w:left="0" w:firstLine="0"/>
      </w:pPr>
      <w:bookmarkStart w:id="29" w:name="_Toc156392407"/>
      <w:r>
        <w:t>1</w:t>
      </w:r>
      <w:r w:rsidRPr="00C32576">
        <w:t>.</w:t>
      </w:r>
      <w:r w:rsidR="000E3711">
        <w:t>2</w:t>
      </w:r>
      <w:r w:rsidRPr="00C32576">
        <w:tab/>
      </w:r>
      <w:r>
        <w:t xml:space="preserve">Non-attendance of chairmen and </w:t>
      </w:r>
      <w:r w:rsidRPr="00C5776F">
        <w:t>vice-chairmen</w:t>
      </w:r>
      <w:bookmarkEnd w:id="29"/>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733F87BC" w14:textId="429A0FA0" w:rsidR="00D05584" w:rsidRDefault="00E96F5A" w:rsidP="00D05584">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No Chairs were absent from meetings in the reporting period. No Vice-Chairs were absent from meetings of SG2, SG15 and SG20 in the reporting period.</w:t>
      </w:r>
    </w:p>
    <w:p w14:paraId="1FC56533" w14:textId="77777777" w:rsidR="00BB7AB2" w:rsidRDefault="00BB7AB2" w:rsidP="00BB7AB2">
      <w:pPr>
        <w:spacing w:after="120"/>
        <w:rPr>
          <w:lang w:val="en-US"/>
        </w:rPr>
      </w:pPr>
    </w:p>
    <w:tbl>
      <w:tblPr>
        <w:tblStyle w:val="TableGrid"/>
        <w:tblW w:w="5000" w:type="pct"/>
        <w:tblLook w:val="04A0" w:firstRow="1" w:lastRow="0" w:firstColumn="1" w:lastColumn="0" w:noHBand="0" w:noVBand="1"/>
      </w:tblPr>
      <w:tblGrid>
        <w:gridCol w:w="1009"/>
        <w:gridCol w:w="3376"/>
        <w:gridCol w:w="5244"/>
      </w:tblGrid>
      <w:tr w:rsidR="00BB7AB2" w14:paraId="35BD1DC8" w14:textId="77777777" w:rsidTr="00BB7AB2">
        <w:tc>
          <w:tcPr>
            <w:tcW w:w="524" w:type="pct"/>
            <w:tcBorders>
              <w:top w:val="single" w:sz="4" w:space="0" w:color="auto"/>
              <w:left w:val="single" w:sz="4" w:space="0" w:color="auto"/>
              <w:bottom w:val="single" w:sz="4" w:space="0" w:color="auto"/>
              <w:right w:val="single" w:sz="4" w:space="0" w:color="auto"/>
            </w:tcBorders>
            <w:vAlign w:val="center"/>
            <w:hideMark/>
          </w:tcPr>
          <w:p w14:paraId="72C819C9" w14:textId="77777777" w:rsidR="00BB7AB2" w:rsidRDefault="00BB7AB2">
            <w:pPr>
              <w:jc w:val="center"/>
              <w:rPr>
                <w:b/>
                <w:bCs/>
                <w:lang w:val="en-US" w:eastAsia="en-US"/>
              </w:rPr>
            </w:pPr>
            <w:r>
              <w:rPr>
                <w:b/>
                <w:bCs/>
                <w:lang w:eastAsia="en-US"/>
              </w:rPr>
              <w:t>Study Group</w:t>
            </w:r>
          </w:p>
        </w:tc>
        <w:tc>
          <w:tcPr>
            <w:tcW w:w="1753" w:type="pct"/>
            <w:tcBorders>
              <w:top w:val="single" w:sz="4" w:space="0" w:color="auto"/>
              <w:left w:val="single" w:sz="4" w:space="0" w:color="auto"/>
              <w:bottom w:val="single" w:sz="4" w:space="0" w:color="auto"/>
              <w:right w:val="single" w:sz="4" w:space="0" w:color="auto"/>
            </w:tcBorders>
            <w:vAlign w:val="center"/>
            <w:hideMark/>
          </w:tcPr>
          <w:p w14:paraId="01922012" w14:textId="77777777" w:rsidR="00BB7AB2" w:rsidRDefault="00BB7AB2">
            <w:pPr>
              <w:jc w:val="center"/>
              <w:rPr>
                <w:b/>
                <w:bCs/>
                <w:lang w:eastAsia="en-US"/>
              </w:rPr>
            </w:pPr>
            <w:r>
              <w:rPr>
                <w:b/>
                <w:bCs/>
                <w:lang w:eastAsia="en-US"/>
              </w:rPr>
              <w:t>Meeting</w:t>
            </w:r>
          </w:p>
        </w:tc>
        <w:tc>
          <w:tcPr>
            <w:tcW w:w="2723" w:type="pct"/>
            <w:tcBorders>
              <w:top w:val="single" w:sz="4" w:space="0" w:color="auto"/>
              <w:left w:val="single" w:sz="4" w:space="0" w:color="auto"/>
              <w:bottom w:val="single" w:sz="4" w:space="0" w:color="auto"/>
              <w:right w:val="single" w:sz="4" w:space="0" w:color="auto"/>
            </w:tcBorders>
            <w:vAlign w:val="center"/>
            <w:hideMark/>
          </w:tcPr>
          <w:p w14:paraId="5DE50351" w14:textId="77777777" w:rsidR="00BB7AB2" w:rsidRDefault="00BB7AB2">
            <w:pPr>
              <w:jc w:val="center"/>
              <w:rPr>
                <w:b/>
                <w:bCs/>
                <w:lang w:eastAsia="en-US"/>
              </w:rPr>
            </w:pPr>
            <w:r>
              <w:rPr>
                <w:b/>
                <w:bCs/>
                <w:lang w:eastAsia="en-US"/>
              </w:rPr>
              <w:t>Non-attendance of</w:t>
            </w:r>
          </w:p>
        </w:tc>
      </w:tr>
      <w:tr w:rsidR="00BB7AB2" w14:paraId="5FBFFD19"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32C616A" w14:textId="77777777" w:rsidR="00BB7AB2" w:rsidRDefault="00BB7AB2">
            <w:pPr>
              <w:jc w:val="center"/>
              <w:rPr>
                <w:b/>
                <w:bCs/>
                <w:lang w:eastAsia="en-US"/>
              </w:rPr>
            </w:pPr>
            <w:r>
              <w:rPr>
                <w:lang w:eastAsia="en-US"/>
              </w:rPr>
              <w:t>SG3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8A1FE97" w14:textId="77777777" w:rsidR="00BB7AB2" w:rsidRDefault="00BB7AB2">
            <w:pPr>
              <w:rPr>
                <w:lang w:eastAsia="zh-CN"/>
              </w:rPr>
            </w:pPr>
            <w:r>
              <w:rPr>
                <w:lang w:eastAsia="en-US"/>
              </w:rPr>
              <w:t xml:space="preserve">Geneva, </w:t>
            </w:r>
            <w:r>
              <w:t>10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9B0D3F4" w14:textId="77777777" w:rsidR="00BB7AB2" w:rsidRDefault="00BB7AB2">
            <w:pPr>
              <w:rPr>
                <w:b/>
                <w:bCs/>
                <w:lang w:eastAsia="en-US"/>
              </w:rPr>
            </w:pPr>
            <w:r>
              <w:t>Karima MAHMOUDI, Tunisia</w:t>
            </w:r>
          </w:p>
        </w:tc>
      </w:tr>
      <w:tr w:rsidR="00BB7AB2" w14:paraId="7D263CBF"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635D9088" w14:textId="77777777" w:rsidR="00BB7AB2" w:rsidRDefault="00BB7AB2">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E9331"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DE173D9" w14:textId="77777777" w:rsidR="00BB7AB2" w:rsidRDefault="00BB7AB2">
            <w:pPr>
              <w:rPr>
                <w:lang w:eastAsia="zh-CN"/>
              </w:rPr>
            </w:pPr>
            <w:r>
              <w:t>Shailendra Kumar MISHRA, India</w:t>
            </w:r>
          </w:p>
        </w:tc>
      </w:tr>
      <w:tr w:rsidR="00BB7AB2" w14:paraId="3C371BDD"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3EF56166" w14:textId="77777777" w:rsidR="00BB7AB2" w:rsidRDefault="00BB7AB2">
            <w:pPr>
              <w:spacing w:before="0"/>
              <w:rPr>
                <w:rFonts w:eastAsia="SimSun"/>
                <w:b/>
                <w:bCs/>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66330"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1838202D" w14:textId="77777777" w:rsidR="00BB7AB2" w:rsidRDefault="00BB7AB2">
            <w:r>
              <w:t>Marthe UWAMARIYA, Rwanda</w:t>
            </w:r>
          </w:p>
        </w:tc>
      </w:tr>
      <w:tr w:rsidR="00BB7AB2" w14:paraId="55867C67"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2934CBFF" w14:textId="77777777" w:rsidR="00BB7AB2" w:rsidRDefault="00BB7AB2">
            <w:pPr>
              <w:jc w:val="center"/>
              <w:rPr>
                <w:lang w:eastAsia="en-US"/>
              </w:rPr>
            </w:pPr>
            <w:r>
              <w:rPr>
                <w:lang w:eastAsia="en-US"/>
              </w:rPr>
              <w:t>SG5</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982BFE3" w14:textId="77777777" w:rsidR="00BB7AB2" w:rsidRDefault="00BB7AB2">
            <w:pPr>
              <w:rPr>
                <w:lang w:eastAsia="zh-CN"/>
              </w:rPr>
            </w:pPr>
            <w:r>
              <w:t>Sophia Antipolis, France, 13-23 June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580867E4" w14:textId="77777777" w:rsidR="00BB7AB2" w:rsidRDefault="00BB7AB2">
            <w:pPr>
              <w:rPr>
                <w:lang w:eastAsia="en-US"/>
              </w:rPr>
            </w:pPr>
            <w:r>
              <w:t>Pedro BRISSON, Argentina</w:t>
            </w:r>
          </w:p>
        </w:tc>
      </w:tr>
      <w:tr w:rsidR="00BB7AB2" w14:paraId="43B24B08"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235F6EC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ACA8D"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7A94469" w14:textId="77777777" w:rsidR="00BB7AB2" w:rsidRDefault="00BB7AB2">
            <w:pPr>
              <w:rPr>
                <w:lang w:eastAsia="en-US"/>
              </w:rPr>
            </w:pPr>
            <w:r>
              <w:t>Vincent Urbain NAMRONA, Central African Rep.</w:t>
            </w:r>
          </w:p>
        </w:tc>
      </w:tr>
      <w:tr w:rsidR="00BB7AB2" w14:paraId="5AF2E09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29F55869"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D7A34"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B55F05C" w14:textId="77777777" w:rsidR="00BB7AB2" w:rsidRDefault="00BB7AB2">
            <w:pPr>
              <w:tabs>
                <w:tab w:val="clear" w:pos="794"/>
                <w:tab w:val="clear" w:pos="1588"/>
                <w:tab w:val="clear" w:pos="1985"/>
              </w:tabs>
              <w:rPr>
                <w:lang w:eastAsia="en-US"/>
              </w:rPr>
            </w:pPr>
            <w:r>
              <w:t>Saidiahrol SAIDIAKBAROV, Republic of Uzbekistan</w:t>
            </w:r>
          </w:p>
        </w:tc>
      </w:tr>
      <w:tr w:rsidR="00BB7AB2" w14:paraId="0494CD4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329F2C11" w14:textId="77777777" w:rsidR="00BB7AB2" w:rsidRDefault="00BB7AB2">
            <w:pPr>
              <w:spacing w:before="0"/>
              <w:rPr>
                <w:rFonts w:eastAsia="SimSun"/>
                <w:lang w:val="en-US" w:eastAsia="en-US"/>
              </w:rPr>
            </w:pP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F6A63E4" w14:textId="77777777" w:rsidR="00BB7AB2" w:rsidRDefault="00BB7AB2">
            <w:pPr>
              <w:rPr>
                <w:lang w:eastAsia="zh-CN"/>
              </w:rPr>
            </w:pPr>
            <w:r>
              <w:t>Geneva, 13-22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4F86E1E4" w14:textId="77777777" w:rsidR="00BB7AB2" w:rsidRDefault="00BB7AB2">
            <w:pPr>
              <w:rPr>
                <w:lang w:eastAsia="en-US"/>
              </w:rPr>
            </w:pPr>
            <w:r>
              <w:t>Vincent Urbain NAMRONA, Central African Rep.</w:t>
            </w:r>
          </w:p>
        </w:tc>
      </w:tr>
      <w:tr w:rsidR="00BB7AB2" w14:paraId="4DF49E7F"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5B941AB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F830"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7882B5E" w14:textId="77777777" w:rsidR="00BB7AB2" w:rsidRDefault="00BB7AB2">
            <w:pPr>
              <w:rPr>
                <w:lang w:eastAsia="en-US"/>
              </w:rPr>
            </w:pPr>
            <w:r>
              <w:t>Saidiahrol SAIDIAKBAROV, Republic of Uzbekistan</w:t>
            </w:r>
          </w:p>
        </w:tc>
      </w:tr>
      <w:tr w:rsidR="00BB7AB2" w14:paraId="1CB2FBA2" w14:textId="77777777" w:rsidTr="00BB7AB2">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156D0"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C39E2"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4CE58884" w14:textId="77777777" w:rsidR="00BB7AB2" w:rsidRDefault="00BB7AB2">
            <w:pPr>
              <w:snapToGrid w:val="0"/>
              <w:rPr>
                <w:lang w:eastAsia="en-US"/>
              </w:rPr>
            </w:pPr>
            <w:r>
              <w:t>Kazuhiro TAKAYA, Japan</w:t>
            </w:r>
          </w:p>
        </w:tc>
      </w:tr>
      <w:tr w:rsidR="00BB7AB2" w14:paraId="5990F9B0" w14:textId="77777777" w:rsidTr="00BB7AB2">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196C3ADD" w14:textId="77777777" w:rsidR="00BB7AB2" w:rsidRDefault="00BB7AB2">
            <w:pPr>
              <w:jc w:val="center"/>
              <w:rPr>
                <w:lang w:eastAsia="en-US"/>
              </w:rPr>
            </w:pPr>
            <w:r>
              <w:rPr>
                <w:lang w:eastAsia="en-US"/>
              </w:rPr>
              <w:t>SG9</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681AEEEC" w14:textId="77777777" w:rsidR="00BB7AB2" w:rsidRDefault="00BB7AB2">
            <w:pPr>
              <w:rPr>
                <w:lang w:eastAsia="zh-CN"/>
              </w:rPr>
            </w:pPr>
            <w:r>
              <w:t>Bogotá, Colombia, 14-23 November 2023</w:t>
            </w:r>
          </w:p>
        </w:tc>
        <w:tc>
          <w:tcPr>
            <w:tcW w:w="2723" w:type="pct"/>
            <w:tcBorders>
              <w:top w:val="single" w:sz="4" w:space="0" w:color="auto"/>
              <w:left w:val="single" w:sz="4" w:space="0" w:color="auto"/>
              <w:bottom w:val="single" w:sz="4" w:space="0" w:color="auto"/>
              <w:right w:val="single" w:sz="4" w:space="0" w:color="auto"/>
            </w:tcBorders>
            <w:hideMark/>
          </w:tcPr>
          <w:p w14:paraId="6C4CCE3D" w14:textId="77777777" w:rsidR="00BB7AB2" w:rsidRDefault="00BB7AB2">
            <w:pPr>
              <w:rPr>
                <w:rFonts w:eastAsia="Times New Roman"/>
              </w:rPr>
            </w:pPr>
            <w:r>
              <w:t>Blaise MAMADOU, Central African Rep.</w:t>
            </w:r>
          </w:p>
        </w:tc>
      </w:tr>
      <w:tr w:rsidR="00BB7AB2" w14:paraId="117D2DC9" w14:textId="77777777" w:rsidTr="00BB7AB2">
        <w:trPr>
          <w:trHeight w:val="400"/>
        </w:trPr>
        <w:tc>
          <w:tcPr>
            <w:tcW w:w="0" w:type="auto"/>
            <w:vMerge/>
            <w:tcBorders>
              <w:top w:val="single" w:sz="4" w:space="0" w:color="auto"/>
              <w:left w:val="single" w:sz="4" w:space="0" w:color="auto"/>
              <w:bottom w:val="nil"/>
              <w:right w:val="single" w:sz="4" w:space="0" w:color="auto"/>
            </w:tcBorders>
            <w:vAlign w:val="center"/>
            <w:hideMark/>
          </w:tcPr>
          <w:p w14:paraId="29C7B4C6"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ECF9E"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4F1FC95F" w14:textId="77777777" w:rsidR="00BB7AB2" w:rsidRDefault="00BB7AB2">
            <w:pPr>
              <w:rPr>
                <w:rFonts w:eastAsia="SimSun"/>
              </w:rPr>
            </w:pPr>
            <w:r>
              <w:t>Zhifan SHENG, China</w:t>
            </w:r>
          </w:p>
        </w:tc>
      </w:tr>
      <w:tr w:rsidR="00BB7AB2" w14:paraId="2447CDF3"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A523D8E" w14:textId="77777777" w:rsidR="00BB7AB2" w:rsidRDefault="00BB7AB2">
            <w:pPr>
              <w:jc w:val="center"/>
              <w:rPr>
                <w:lang w:eastAsia="en-US"/>
              </w:rPr>
            </w:pPr>
            <w:r>
              <w:rPr>
                <w:lang w:eastAsia="en-US"/>
              </w:rPr>
              <w:t>SG11</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01039A5" w14:textId="77777777" w:rsidR="00BB7AB2" w:rsidRDefault="00BB7AB2">
            <w:pPr>
              <w:rPr>
                <w:lang w:eastAsia="zh-CN"/>
              </w:rPr>
            </w:pPr>
            <w:r>
              <w:t>Geneva, 10-20 October 2023</w:t>
            </w:r>
          </w:p>
        </w:tc>
        <w:tc>
          <w:tcPr>
            <w:tcW w:w="2723" w:type="pct"/>
            <w:tcBorders>
              <w:top w:val="single" w:sz="4" w:space="0" w:color="auto"/>
              <w:left w:val="single" w:sz="4" w:space="0" w:color="auto"/>
              <w:bottom w:val="single" w:sz="4" w:space="0" w:color="auto"/>
              <w:right w:val="single" w:sz="4" w:space="0" w:color="auto"/>
            </w:tcBorders>
            <w:hideMark/>
          </w:tcPr>
          <w:p w14:paraId="5980263D" w14:textId="77777777" w:rsidR="00BB7AB2" w:rsidRDefault="00BB7AB2">
            <w:pPr>
              <w:rPr>
                <w:lang w:eastAsia="en-US"/>
              </w:rPr>
            </w:pPr>
            <w:r>
              <w:t>Ibrahim Abdalah Mohamed BALA, Sudan</w:t>
            </w:r>
          </w:p>
        </w:tc>
      </w:tr>
      <w:tr w:rsidR="00BB7AB2" w14:paraId="4E5E9A29"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71B4AA4F"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67A08"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1CB45CF3" w14:textId="77777777" w:rsidR="00BB7AB2" w:rsidRDefault="00BB7AB2">
            <w:pPr>
              <w:rPr>
                <w:lang w:eastAsia="en-US"/>
              </w:rPr>
            </w:pPr>
            <w:r>
              <w:t>Juan Matias CATTANEO, Argentina</w:t>
            </w:r>
          </w:p>
        </w:tc>
      </w:tr>
      <w:tr w:rsidR="00BB7AB2" w14:paraId="0127AA14" w14:textId="77777777" w:rsidTr="00BB7AB2">
        <w:tc>
          <w:tcPr>
            <w:tcW w:w="0" w:type="auto"/>
            <w:vMerge/>
            <w:tcBorders>
              <w:top w:val="single" w:sz="4" w:space="0" w:color="auto"/>
              <w:left w:val="single" w:sz="4" w:space="0" w:color="auto"/>
              <w:bottom w:val="single" w:sz="4" w:space="0" w:color="auto"/>
              <w:right w:val="single" w:sz="4" w:space="0" w:color="auto"/>
            </w:tcBorders>
            <w:vAlign w:val="center"/>
            <w:hideMark/>
          </w:tcPr>
          <w:p w14:paraId="1E4D0677"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C878"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220050C7" w14:textId="77777777" w:rsidR="00BB7AB2" w:rsidRDefault="00BB7AB2">
            <w:pPr>
              <w:rPr>
                <w:lang w:eastAsia="en-US"/>
              </w:rPr>
            </w:pPr>
            <w:r>
              <w:t>Arezu OROJLU, Iran</w:t>
            </w:r>
          </w:p>
        </w:tc>
      </w:tr>
      <w:tr w:rsidR="00BB7AB2" w14:paraId="1803A0BE"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9B47530" w14:textId="77777777" w:rsidR="00BB7AB2" w:rsidRDefault="00BB7AB2">
            <w:pPr>
              <w:jc w:val="center"/>
              <w:rPr>
                <w:lang w:eastAsia="en-US"/>
              </w:rPr>
            </w:pPr>
            <w:r>
              <w:rPr>
                <w:lang w:eastAsia="en-US"/>
              </w:rPr>
              <w:t>SG12</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B00ADEC" w14:textId="77777777" w:rsidR="00BB7AB2" w:rsidRDefault="00BB7AB2">
            <w:pPr>
              <w:rPr>
                <w:lang w:eastAsia="zh-CN"/>
              </w:rPr>
            </w:pPr>
            <w:r>
              <w:t>Mexico City, Mexico, 19-28 September 2023</w:t>
            </w:r>
          </w:p>
        </w:tc>
        <w:tc>
          <w:tcPr>
            <w:tcW w:w="2723" w:type="pct"/>
            <w:tcBorders>
              <w:top w:val="single" w:sz="4" w:space="0" w:color="auto"/>
              <w:left w:val="single" w:sz="4" w:space="0" w:color="auto"/>
              <w:bottom w:val="single" w:sz="4" w:space="0" w:color="auto"/>
              <w:right w:val="single" w:sz="4" w:space="0" w:color="auto"/>
            </w:tcBorders>
            <w:hideMark/>
          </w:tcPr>
          <w:p w14:paraId="741D02DC" w14:textId="77777777" w:rsidR="00BB7AB2" w:rsidRDefault="00BB7AB2">
            <w:pPr>
              <w:rPr>
                <w:lang w:eastAsia="en-US"/>
              </w:rPr>
            </w:pPr>
            <w:r>
              <w:t>Ammar ABDALLAH, Sudan</w:t>
            </w:r>
          </w:p>
        </w:tc>
      </w:tr>
      <w:tr w:rsidR="00BB7AB2" w14:paraId="0D8CBD6C" w14:textId="77777777" w:rsidTr="00BB7AB2">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560"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FF13D"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2E67112" w14:textId="77777777" w:rsidR="00BB7AB2" w:rsidRDefault="00BB7AB2">
            <w:pPr>
              <w:rPr>
                <w:lang w:eastAsia="en-US"/>
              </w:rPr>
            </w:pPr>
            <w:r>
              <w:t>Collins MBULO, Zambia</w:t>
            </w:r>
          </w:p>
        </w:tc>
      </w:tr>
      <w:tr w:rsidR="00BB7AB2" w14:paraId="2690759B"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B4B9D3E" w14:textId="77777777" w:rsidR="00BB7AB2" w:rsidRDefault="00BB7AB2">
            <w:pPr>
              <w:jc w:val="center"/>
              <w:rPr>
                <w:lang w:eastAsia="en-US"/>
              </w:rPr>
            </w:pPr>
            <w:r>
              <w:rPr>
                <w:lang w:eastAsia="en-US"/>
              </w:rPr>
              <w:t>SG13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4EDC3887" w14:textId="77777777" w:rsidR="00BB7AB2" w:rsidRDefault="00BB7AB2">
            <w:pPr>
              <w:rPr>
                <w:lang w:eastAsia="zh-CN"/>
              </w:rPr>
            </w:pPr>
            <w:r>
              <w:t>Geneva, 23 October – 3 November 2023</w:t>
            </w:r>
          </w:p>
        </w:tc>
        <w:tc>
          <w:tcPr>
            <w:tcW w:w="2723" w:type="pct"/>
            <w:tcBorders>
              <w:top w:val="single" w:sz="4" w:space="0" w:color="auto"/>
              <w:left w:val="single" w:sz="4" w:space="0" w:color="auto"/>
              <w:bottom w:val="single" w:sz="4" w:space="0" w:color="auto"/>
              <w:right w:val="single" w:sz="4" w:space="0" w:color="auto"/>
            </w:tcBorders>
            <w:hideMark/>
          </w:tcPr>
          <w:p w14:paraId="7171672F" w14:textId="77777777" w:rsidR="00BB7AB2" w:rsidRDefault="00BB7AB2">
            <w:pPr>
              <w:rPr>
                <w:lang w:eastAsia="en-US"/>
              </w:rPr>
            </w:pPr>
            <w:r>
              <w:t>Bülent ARSAL, Turkey</w:t>
            </w:r>
          </w:p>
        </w:tc>
      </w:tr>
      <w:tr w:rsidR="00BB7AB2" w14:paraId="1B2C7DC0" w14:textId="77777777" w:rsidTr="00BB7AB2">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C74C8"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8DC59"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02CA04F3" w14:textId="77777777" w:rsidR="00BB7AB2" w:rsidRDefault="00BB7AB2">
            <w:pPr>
              <w:rPr>
                <w:lang w:eastAsia="en-US"/>
              </w:rPr>
            </w:pPr>
            <w:r>
              <w:t>Anabel DEL CARMEN CISNEROS, Argentina</w:t>
            </w:r>
          </w:p>
        </w:tc>
      </w:tr>
      <w:tr w:rsidR="00BB7AB2" w14:paraId="43AC512D" w14:textId="77777777" w:rsidTr="00BB7AB2">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0ED52"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D209C"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0D8AE86" w14:textId="77777777" w:rsidR="00BB7AB2" w:rsidRDefault="00BB7AB2">
            <w:pPr>
              <w:rPr>
                <w:lang w:eastAsia="en-US"/>
              </w:rPr>
            </w:pPr>
            <w:r>
              <w:t>Yuan ZHANG, China</w:t>
            </w:r>
          </w:p>
        </w:tc>
      </w:tr>
      <w:tr w:rsidR="00BB7AB2" w14:paraId="5F715A67" w14:textId="77777777" w:rsidTr="00BB7AB2">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44B306FC" w14:textId="77777777" w:rsidR="00BB7AB2" w:rsidRDefault="00BB7AB2">
            <w:pPr>
              <w:jc w:val="center"/>
              <w:rPr>
                <w:lang w:eastAsia="en-US"/>
              </w:rPr>
            </w:pPr>
            <w:r>
              <w:rPr>
                <w:lang w:eastAsia="en-US"/>
              </w:rPr>
              <w:t>SG16</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231FD102" w14:textId="77777777" w:rsidR="00BB7AB2" w:rsidRDefault="00BB7AB2">
            <w:pPr>
              <w:rPr>
                <w:lang w:eastAsia="zh-CN"/>
              </w:rPr>
            </w:pPr>
            <w:r>
              <w:t>Geneva, 10-21 July 2023</w:t>
            </w:r>
          </w:p>
        </w:tc>
        <w:tc>
          <w:tcPr>
            <w:tcW w:w="2723" w:type="pct"/>
            <w:tcBorders>
              <w:top w:val="single" w:sz="4" w:space="0" w:color="auto"/>
              <w:left w:val="single" w:sz="4" w:space="0" w:color="auto"/>
              <w:bottom w:val="single" w:sz="4" w:space="0" w:color="auto"/>
              <w:right w:val="single" w:sz="4" w:space="0" w:color="auto"/>
            </w:tcBorders>
            <w:hideMark/>
          </w:tcPr>
          <w:p w14:paraId="16A1FCF1" w14:textId="77777777" w:rsidR="00BB7AB2" w:rsidRDefault="00BB7AB2">
            <w:pPr>
              <w:rPr>
                <w:lang w:eastAsia="en-US"/>
              </w:rPr>
            </w:pPr>
            <w:r>
              <w:t>Charles Zoé BANGA, Central African Rep.</w:t>
            </w:r>
          </w:p>
        </w:tc>
      </w:tr>
      <w:tr w:rsidR="00BB7AB2" w14:paraId="0CB1A094" w14:textId="77777777" w:rsidTr="00BB7AB2">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60BBE"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D4832"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51678DA4" w14:textId="77777777" w:rsidR="00BB7AB2" w:rsidRDefault="00BB7AB2">
            <w:pPr>
              <w:tabs>
                <w:tab w:val="clear" w:pos="794"/>
                <w:tab w:val="clear" w:pos="1588"/>
                <w:tab w:val="clear" w:pos="1985"/>
              </w:tabs>
              <w:rPr>
                <w:lang w:eastAsia="en-US"/>
              </w:rPr>
            </w:pPr>
            <w:r>
              <w:t>Akmal SAVURBAEV, Uzbekistan</w:t>
            </w:r>
          </w:p>
        </w:tc>
      </w:tr>
      <w:tr w:rsidR="00BB7AB2" w14:paraId="7D309A45" w14:textId="77777777" w:rsidTr="00BB7AB2">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569F2A2" w14:textId="77777777" w:rsidR="00BB7AB2" w:rsidRDefault="00BB7AB2">
            <w:pPr>
              <w:jc w:val="center"/>
              <w:rPr>
                <w:lang w:eastAsia="en-US"/>
              </w:rPr>
            </w:pPr>
            <w:r>
              <w:rPr>
                <w:lang w:eastAsia="en-US"/>
              </w:rPr>
              <w:t>SG17</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C8DF26B" w14:textId="77777777" w:rsidR="00BB7AB2" w:rsidRDefault="00BB7AB2">
            <w:pPr>
              <w:rPr>
                <w:lang w:eastAsia="zh-CN"/>
              </w:rPr>
            </w:pPr>
            <w:r>
              <w:t>Goyang, Korea (Rep. of), 29 August - 8 September 2023</w:t>
            </w:r>
          </w:p>
        </w:tc>
        <w:tc>
          <w:tcPr>
            <w:tcW w:w="2723" w:type="pct"/>
            <w:tcBorders>
              <w:top w:val="single" w:sz="4" w:space="0" w:color="auto"/>
              <w:left w:val="single" w:sz="4" w:space="0" w:color="auto"/>
              <w:bottom w:val="single" w:sz="4" w:space="0" w:color="auto"/>
              <w:right w:val="single" w:sz="4" w:space="0" w:color="auto"/>
            </w:tcBorders>
            <w:hideMark/>
          </w:tcPr>
          <w:p w14:paraId="0C99A3E1" w14:textId="77777777" w:rsidR="00BB7AB2" w:rsidRDefault="00BB7AB2">
            <w:pPr>
              <w:rPr>
                <w:lang w:eastAsia="en-US"/>
              </w:rPr>
            </w:pPr>
            <w:r>
              <w:t>Laial ALMANSOURY, Kuwait</w:t>
            </w:r>
          </w:p>
        </w:tc>
      </w:tr>
      <w:tr w:rsidR="00BB7AB2" w14:paraId="3213B1A3" w14:textId="77777777" w:rsidTr="00BB7AB2">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B375C"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7ACA5"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3097292F" w14:textId="77777777" w:rsidR="00BB7AB2" w:rsidRDefault="00BB7AB2">
            <w:pPr>
              <w:rPr>
                <w:lang w:eastAsia="en-US"/>
              </w:rPr>
            </w:pPr>
            <w:r>
              <w:t>Francisco Javier DÍAZ, Argentina</w:t>
            </w:r>
          </w:p>
        </w:tc>
      </w:tr>
      <w:tr w:rsidR="00BB7AB2" w14:paraId="3768B92F" w14:textId="77777777" w:rsidTr="00BB7A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29195" w14:textId="77777777" w:rsidR="00BB7AB2" w:rsidRDefault="00BB7AB2">
            <w:pPr>
              <w:spacing w:before="0"/>
              <w:rPr>
                <w:rFonts w:eastAsia="SimSu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7D306" w14:textId="77777777" w:rsidR="00BB7AB2" w:rsidRDefault="00BB7AB2">
            <w:pPr>
              <w:spacing w:before="0"/>
              <w:rPr>
                <w:rFonts w:eastAsia="SimSun"/>
                <w:lang w:val="en-US" w:eastAsia="zh-CN"/>
              </w:rPr>
            </w:pPr>
          </w:p>
        </w:tc>
        <w:tc>
          <w:tcPr>
            <w:tcW w:w="2723" w:type="pct"/>
            <w:tcBorders>
              <w:top w:val="single" w:sz="4" w:space="0" w:color="auto"/>
              <w:left w:val="single" w:sz="4" w:space="0" w:color="auto"/>
              <w:bottom w:val="single" w:sz="4" w:space="0" w:color="auto"/>
              <w:right w:val="single" w:sz="4" w:space="0" w:color="auto"/>
            </w:tcBorders>
            <w:hideMark/>
          </w:tcPr>
          <w:p w14:paraId="7D977B78" w14:textId="77777777" w:rsidR="00BB7AB2" w:rsidRDefault="00BB7AB2">
            <w:pPr>
              <w:tabs>
                <w:tab w:val="clear" w:pos="794"/>
                <w:tab w:val="clear" w:pos="1588"/>
                <w:tab w:val="clear" w:pos="1985"/>
              </w:tabs>
              <w:rPr>
                <w:lang w:eastAsia="en-US"/>
              </w:rPr>
            </w:pPr>
            <w:r>
              <w:t>Gökhan EVREN, Turkey</w:t>
            </w:r>
          </w:p>
        </w:tc>
      </w:tr>
    </w:tbl>
    <w:p w14:paraId="51BFBDF5" w14:textId="152BD707" w:rsidR="00F45943" w:rsidRDefault="00F45943" w:rsidP="00A62912">
      <w:pPr>
        <w:pStyle w:val="Heading1"/>
        <w:spacing w:before="240"/>
        <w:ind w:left="0" w:firstLine="0"/>
      </w:pPr>
      <w:bookmarkStart w:id="30" w:name="_2_ITU-T_Focus"/>
      <w:bookmarkStart w:id="31" w:name="_Toc156392408"/>
      <w:bookmarkStart w:id="32" w:name="_Hlk60057887"/>
      <w:bookmarkEnd w:id="30"/>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t>g</w:t>
      </w:r>
      <w:r w:rsidRPr="00C5776F">
        <w:t>roups</w:t>
      </w:r>
      <w:bookmarkEnd w:id="31"/>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48"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3" w:name="_2.1_Active_groups"/>
      <w:bookmarkStart w:id="34" w:name="_Toc156392409"/>
      <w:bookmarkEnd w:id="33"/>
      <w:r w:rsidRPr="00C32576">
        <w:t>2.1</w:t>
      </w:r>
      <w:r w:rsidRPr="00C32576">
        <w:tab/>
        <w:t>Active groups</w:t>
      </w:r>
      <w:bookmarkEnd w:id="34"/>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5"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170AB2" w14:paraId="25598C13" w14:textId="77777777" w:rsidTr="00826D0E">
        <w:tc>
          <w:tcPr>
            <w:tcW w:w="8959" w:type="dxa"/>
          </w:tcPr>
          <w:p w14:paraId="15155495" w14:textId="006FFEBA" w:rsidR="00170AB2" w:rsidRDefault="00BB63EF" w:rsidP="007E1768">
            <w:pPr>
              <w:shd w:val="clear" w:color="auto" w:fill="FFFFFF"/>
            </w:pPr>
            <w:hyperlink r:id="rId49" w:history="1">
              <w:r w:rsidR="00A528F4">
                <w:rPr>
                  <w:rStyle w:val="Hyperlink"/>
                  <w:lang w:eastAsia="en-US"/>
                </w:rPr>
                <w:t>C</w:t>
              </w:r>
              <w:r w:rsidR="00A528F4" w:rsidRPr="00C52A30">
                <w:rPr>
                  <w:rStyle w:val="Hyperlink"/>
                  <w:lang w:eastAsia="en-US"/>
                </w:rPr>
                <w:t>ost models for affordable data service</w:t>
              </w:r>
              <w:r w:rsidR="00A528F4">
                <w:rPr>
                  <w:rStyle w:val="Hyperlink"/>
                  <w:lang w:eastAsia="en-US"/>
                </w:rPr>
                <w:t xml:space="preserve">s </w:t>
              </w:r>
              <w:r w:rsidR="00A528F4">
                <w:rPr>
                  <w:rStyle w:val="Hyperlink"/>
                </w:rPr>
                <w:t>(FG-CD)</w:t>
              </w:r>
            </w:hyperlink>
            <w:r w:rsidR="00A528F4">
              <w:t xml:space="preserve"> </w:t>
            </w:r>
          </w:p>
        </w:tc>
        <w:tc>
          <w:tcPr>
            <w:tcW w:w="1242" w:type="dxa"/>
          </w:tcPr>
          <w:p w14:paraId="6E5A9D83" w14:textId="3547215B" w:rsidR="00170AB2" w:rsidRDefault="00A528F4" w:rsidP="007F6669">
            <w:pPr>
              <w:rPr>
                <w:lang w:eastAsia="en-US"/>
              </w:rPr>
            </w:pPr>
            <w:r>
              <w:rPr>
                <w:lang w:eastAsia="en-US"/>
              </w:rPr>
              <w:t>2023-03</w:t>
            </w:r>
          </w:p>
        </w:tc>
      </w:tr>
      <w:tr w:rsidR="00170AB2" w14:paraId="5E8003C9" w14:textId="77777777" w:rsidTr="00826D0E">
        <w:tc>
          <w:tcPr>
            <w:tcW w:w="8959" w:type="dxa"/>
          </w:tcPr>
          <w:p w14:paraId="5A1A0952" w14:textId="4E9EAB10" w:rsidR="00170AB2" w:rsidRDefault="00BB63EF" w:rsidP="007E1768">
            <w:pPr>
              <w:shd w:val="clear" w:color="auto" w:fill="FFFFFF"/>
            </w:pPr>
            <w:hyperlink r:id="rId50" w:history="1">
              <w:r w:rsidR="00170AB2" w:rsidRPr="00A528F4">
                <w:rPr>
                  <w:rStyle w:val="Hyperlink"/>
                </w:rPr>
                <w:t>Metaverse</w:t>
              </w:r>
              <w:r w:rsidR="00A528F4" w:rsidRPr="00A528F4">
                <w:rPr>
                  <w:rStyle w:val="Hyperlink"/>
                </w:rPr>
                <w:t xml:space="preserve"> (FG-MV)</w:t>
              </w:r>
            </w:hyperlink>
          </w:p>
        </w:tc>
        <w:tc>
          <w:tcPr>
            <w:tcW w:w="1242" w:type="dxa"/>
          </w:tcPr>
          <w:p w14:paraId="33E47597" w14:textId="4E64AB81" w:rsidR="00170AB2" w:rsidRDefault="00A528F4" w:rsidP="007F6669">
            <w:pPr>
              <w:rPr>
                <w:lang w:eastAsia="en-US"/>
              </w:rPr>
            </w:pPr>
            <w:r>
              <w:rPr>
                <w:lang w:eastAsia="en-US"/>
              </w:rPr>
              <w:t>2022-12</w:t>
            </w:r>
          </w:p>
        </w:tc>
      </w:tr>
      <w:tr w:rsidR="007446AA" w14:paraId="099DCE53" w14:textId="6FCBA80E" w:rsidTr="00826D0E">
        <w:tc>
          <w:tcPr>
            <w:tcW w:w="8959" w:type="dxa"/>
          </w:tcPr>
          <w:p w14:paraId="53252075" w14:textId="1A867892" w:rsidR="007446AA" w:rsidRDefault="00BB63EF" w:rsidP="007E1768">
            <w:pPr>
              <w:shd w:val="clear" w:color="auto" w:fill="FFFFFF"/>
            </w:pPr>
            <w:hyperlink r:id="rId51"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BB63EF" w:rsidP="007F6669">
            <w:pPr>
              <w:rPr>
                <w:lang w:eastAsia="en-US"/>
              </w:rPr>
            </w:pPr>
            <w:hyperlink r:id="rId52"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BB63EF" w:rsidP="007F6669">
            <w:pPr>
              <w:rPr>
                <w:lang w:eastAsia="en-US"/>
              </w:rPr>
            </w:pPr>
            <w:hyperlink r:id="rId53"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BB63EF" w:rsidP="007F6669">
            <w:pPr>
              <w:rPr>
                <w:lang w:eastAsia="en-US"/>
              </w:rPr>
            </w:pPr>
            <w:hyperlink r:id="rId54"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bl>
    <w:p w14:paraId="4728199B" w14:textId="4AF70EBA" w:rsidR="00662A03" w:rsidRDefault="00662A03" w:rsidP="000B3E92">
      <w:pPr>
        <w:pStyle w:val="Heading2"/>
        <w:ind w:left="0" w:firstLine="0"/>
      </w:pPr>
      <w:bookmarkStart w:id="36" w:name="_2.2_Concluded_groups"/>
      <w:bookmarkStart w:id="37" w:name="_Toc156392410"/>
      <w:bookmarkEnd w:id="35"/>
      <w:bookmarkEnd w:id="36"/>
      <w:r w:rsidRPr="00C32576">
        <w:t>2.</w:t>
      </w:r>
      <w:r w:rsidR="00D335E4">
        <w:t>2</w:t>
      </w:r>
      <w:r w:rsidRPr="00C32576">
        <w:tab/>
      </w:r>
      <w:r>
        <w:t xml:space="preserve">Concluded </w:t>
      </w:r>
      <w:r w:rsidRPr="00C32576">
        <w:t>groups</w:t>
      </w:r>
      <w:bookmarkEnd w:id="37"/>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lastRenderedPageBreak/>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170AB2" w14:paraId="70D1EACB" w14:textId="77777777" w:rsidTr="00034F7C">
        <w:tc>
          <w:tcPr>
            <w:tcW w:w="7650" w:type="dxa"/>
            <w:shd w:val="clear" w:color="auto" w:fill="auto"/>
          </w:tcPr>
          <w:p w14:paraId="1B12C70E" w14:textId="06471946" w:rsidR="00170AB2" w:rsidRDefault="00BB63EF" w:rsidP="00552B61">
            <w:pPr>
              <w:shd w:val="clear" w:color="auto" w:fill="FFFFFF"/>
            </w:pPr>
            <w:hyperlink r:id="rId55"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BB63EF" w:rsidP="00552B61">
            <w:pPr>
              <w:shd w:val="clear" w:color="auto" w:fill="FFFFFF"/>
            </w:pPr>
            <w:hyperlink r:id="rId56"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BB63EF" w:rsidP="00552B61">
            <w:pPr>
              <w:rPr>
                <w:lang w:eastAsia="en-US"/>
              </w:rPr>
            </w:pPr>
            <w:hyperlink r:id="rId57"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BB63EF" w:rsidP="00552B61">
            <w:hyperlink r:id="rId58"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Workshops_and"/>
      <w:bookmarkStart w:id="54" w:name="_Toc156392411"/>
      <w:bookmarkEnd w:id="14"/>
      <w:bookmarkEnd w:id="15"/>
      <w:bookmarkEnd w:id="16"/>
      <w:bookmarkEnd w:id="17"/>
      <w:bookmarkEnd w:id="18"/>
      <w:bookmarkEnd w:id="19"/>
      <w:bookmarkEnd w:id="20"/>
      <w:bookmarkEnd w:id="21"/>
      <w:bookmarkEnd w:id="22"/>
      <w:bookmarkEnd w:id="26"/>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C5776F">
        <w:rPr>
          <w:rFonts w:eastAsiaTheme="minorEastAsia"/>
        </w:rPr>
        <w:t>webinars</w:t>
      </w:r>
      <w:bookmarkEnd w:id="54"/>
    </w:p>
    <w:p w14:paraId="0A40439F" w14:textId="6EB96DD6" w:rsidR="005E1EFB" w:rsidRDefault="002D70B4" w:rsidP="005E1EFB">
      <w:r>
        <w:t>73</w:t>
      </w:r>
      <w:r w:rsidR="005E1EFB">
        <w:t xml:space="preserve"> ITU-T workshops</w:t>
      </w:r>
      <w:r>
        <w:t xml:space="preserve">, </w:t>
      </w:r>
      <w:r w:rsidR="005E1EFB">
        <w:t xml:space="preserve">symposia </w:t>
      </w:r>
      <w:r>
        <w:t xml:space="preserve">and webinars </w:t>
      </w:r>
      <w:r w:rsidR="005E1EFB">
        <w:t xml:space="preserve">were organized in the reporting period, </w:t>
      </w:r>
      <w:r w:rsidR="005E1EFB" w:rsidRPr="00C32576">
        <w:t xml:space="preserve">in addition to the weekly programming of the year-round </w:t>
      </w:r>
      <w:hyperlink r:id="rId59">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60" w:history="1">
        <w:r w:rsidR="005E1EFB" w:rsidRPr="00E9149F">
          <w:rPr>
            <w:rStyle w:val="Hyperlink"/>
          </w:rPr>
          <w:t>ITU-T events homepage</w:t>
        </w:r>
      </w:hyperlink>
      <w:r w:rsidR="005E1EFB">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5" w:name="_4_Virtual_meetings"/>
      <w:bookmarkStart w:id="56" w:name="_Toc156392412"/>
      <w:bookmarkStart w:id="57" w:name="_Hlk135236206"/>
      <w:bookmarkEnd w:id="55"/>
      <w:r>
        <w:rPr>
          <w:rFonts w:eastAsiaTheme="minorEastAsia"/>
        </w:rPr>
        <w:t>4</w:t>
      </w:r>
      <w:r w:rsidRPr="003E7B9E">
        <w:rPr>
          <w:rFonts w:eastAsiaTheme="minorEastAsia"/>
        </w:rPr>
        <w:tab/>
        <w:t xml:space="preserve">Virtual </w:t>
      </w:r>
      <w:r w:rsidRPr="00C5776F">
        <w:rPr>
          <w:rFonts w:eastAsiaTheme="minorEastAsia"/>
        </w:rPr>
        <w:t>meetings</w:t>
      </w:r>
      <w:bookmarkEnd w:id="56"/>
    </w:p>
    <w:p w14:paraId="6AB80213" w14:textId="102BDC63" w:rsidR="005E1EFB" w:rsidRDefault="005E1EFB" w:rsidP="005E1EFB">
      <w:r>
        <w:t>MyMeetings</w:t>
      </w:r>
      <w:r w:rsidR="00CC4624">
        <w:t xml:space="preserve"> </w:t>
      </w:r>
      <w:r>
        <w:t xml:space="preserve">is the main platform for ITU-T statutory meetings. </w:t>
      </w:r>
      <w:r w:rsidR="00CC4624">
        <w:t xml:space="preserve">This </w:t>
      </w:r>
      <w:r w:rsidR="00CC4624" w:rsidRPr="002A1222">
        <w:rPr>
          <w:color w:val="000000"/>
        </w:rPr>
        <w:t xml:space="preserve">ITU-T open-source solution for electronic meetings </w:t>
      </w:r>
      <w:r w:rsidR="00CC4624">
        <w:rPr>
          <w:color w:val="000000"/>
        </w:rPr>
        <w:t xml:space="preserve">wasa </w:t>
      </w:r>
      <w:r w:rsidR="00CC4624" w:rsidRPr="002A1222">
        <w:rPr>
          <w:color w:val="000000"/>
        </w:rPr>
        <w:t xml:space="preserve">introduced </w:t>
      </w:r>
      <w:r w:rsidR="00CC4624">
        <w:rPr>
          <w:color w:val="000000"/>
        </w:rPr>
        <w:t xml:space="preserve">by TSB </w:t>
      </w:r>
      <w:r w:rsidR="00CC4624" w:rsidRPr="002A1222">
        <w:rPr>
          <w:color w:val="000000"/>
        </w:rPr>
        <w:t>in January 2019</w:t>
      </w:r>
      <w:r w:rsidR="00CC4624">
        <w:rPr>
          <w:color w:val="000000"/>
        </w:rPr>
        <w:t xml:space="preserve">. </w:t>
      </w:r>
      <w:r>
        <w:t>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xml:space="preserve">, </w:t>
      </w:r>
      <w:r w:rsidR="00CC4624">
        <w:t xml:space="preserve">multilingual support, </w:t>
      </w:r>
      <w:r>
        <w:t>moderated floor request</w:t>
      </w:r>
      <w:r w:rsidR="00DE7459">
        <w:t>s</w:t>
      </w:r>
      <w:r w:rsidR="00CC4624">
        <w:t xml:space="preserve"> </w:t>
      </w:r>
      <w:r>
        <w:t>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4F00E232" w:rsidR="005E1EFB" w:rsidRDefault="005E1EFB" w:rsidP="005E1EFB">
      <w:r>
        <w:t xml:space="preserve">Statistics on e-meetings </w:t>
      </w:r>
      <w:r w:rsidR="00375546">
        <w:t xml:space="preserve">since 2018 </w:t>
      </w:r>
      <w:r>
        <w:t xml:space="preserve">are shown below. </w:t>
      </w:r>
    </w:p>
    <w:p w14:paraId="6385D449" w14:textId="0C480903"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2018: 1,558 e-meetings; 8,353 </w:t>
      </w:r>
      <w:r w:rsidR="006D651E">
        <w:rPr>
          <w:rFonts w:ascii="Times New Roman" w:hAnsi="Times New Roman"/>
          <w:sz w:val="24"/>
        </w:rPr>
        <w:t>connections</w:t>
      </w:r>
    </w:p>
    <w:p w14:paraId="202DEE81" w14:textId="62D4868D"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2019: 2,110 e-meetings; 17,657 </w:t>
      </w:r>
      <w:r w:rsidR="006D651E">
        <w:rPr>
          <w:rFonts w:ascii="Times New Roman" w:hAnsi="Times New Roman"/>
          <w:sz w:val="24"/>
        </w:rPr>
        <w:t>connections</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Pr="00BB7AB2" w:rsidRDefault="00375546" w:rsidP="00770357">
      <w:pPr>
        <w:pStyle w:val="ListParagraph"/>
        <w:numPr>
          <w:ilvl w:val="0"/>
          <w:numId w:val="20"/>
        </w:numPr>
        <w:spacing w:before="120" w:after="120"/>
        <w:rPr>
          <w:rFonts w:ascii="Times New Roman" w:hAnsi="Times New Roman"/>
          <w:sz w:val="24"/>
        </w:rPr>
      </w:pPr>
      <w:bookmarkStart w:id="58"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bookmarkEnd w:id="58"/>
    <w:p w14:paraId="3D388EE9" w14:textId="6E29E1F2" w:rsidR="005E1EFB" w:rsidRPr="00535DB5" w:rsidRDefault="00BB7AB2" w:rsidP="00535DB5">
      <w:pPr>
        <w:jc w:val="center"/>
        <w:rPr>
          <w:highlight w:val="yellow"/>
        </w:rPr>
      </w:pPr>
      <w:r>
        <w:rPr>
          <w:noProof/>
        </w:rPr>
        <w:lastRenderedPageBreak/>
        <w:drawing>
          <wp:inline distT="0" distB="0" distL="0" distR="0" wp14:anchorId="57CDFCFF" wp14:editId="14D2BA3A">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5E1EFB">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56392413"/>
      <w:bookmarkEnd w:id="57"/>
      <w:r>
        <w:rPr>
          <w:rFonts w:eastAsiaTheme="minorEastAsia"/>
        </w:rPr>
        <w:t>5</w:t>
      </w:r>
      <w:r w:rsidR="005404EF" w:rsidRPr="00C32576">
        <w:rPr>
          <w:rFonts w:eastAsiaTheme="minorEastAsia"/>
        </w:rPr>
        <w:tab/>
      </w:r>
      <w:r w:rsidR="005404EF" w:rsidRPr="00980239">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56392414"/>
      <w:bookmarkStart w:id="63" w:name="_Hlk119497450"/>
      <w:bookmarkEnd w:id="61"/>
      <w:r>
        <w:t>5</w:t>
      </w:r>
      <w:r w:rsidR="005404EF" w:rsidRPr="00C32576">
        <w:t>.1</w:t>
      </w:r>
      <w:r w:rsidR="005404EF" w:rsidRPr="00C32576">
        <w:tab/>
        <w:t xml:space="preserve">Artificial intelligence and </w:t>
      </w:r>
      <w:r w:rsidR="005404EF" w:rsidRPr="00C5776F">
        <w:t>machine learning</w:t>
      </w:r>
      <w:bookmarkEnd w:id="62"/>
    </w:p>
    <w:p w14:paraId="4045643D" w14:textId="3DBC8516" w:rsidR="0009233E" w:rsidRDefault="00BB63EF" w:rsidP="0009233E">
      <w:pPr>
        <w:pStyle w:val="NormalWeb"/>
        <w:shd w:val="clear" w:color="auto" w:fill="FFFFFF" w:themeFill="background1"/>
        <w:spacing w:before="120" w:beforeAutospacing="0" w:after="0" w:afterAutospacing="0"/>
        <w:textAlignment w:val="baseline"/>
      </w:pPr>
      <w:hyperlink r:id="rId62">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821700" w:rsidRPr="00A62912">
        <w:t>industry sponsors</w:t>
      </w:r>
      <w:r w:rsidR="00980239">
        <w:t>, and co-convened by the government of Switzerland</w:t>
      </w:r>
      <w:r w:rsidR="00821700" w:rsidRPr="00A62912">
        <w:t>.</w:t>
      </w:r>
    </w:p>
    <w:p w14:paraId="463226A6" w14:textId="700E2305" w:rsidR="00EB377F" w:rsidRPr="00EB377F" w:rsidRDefault="00EB377F" w:rsidP="0009233E">
      <w:pPr>
        <w:pStyle w:val="NormalWeb"/>
        <w:shd w:val="clear" w:color="auto" w:fill="FFFFFF" w:themeFill="background1"/>
        <w:spacing w:before="120" w:beforeAutospacing="0" w:after="0" w:afterAutospacing="0"/>
        <w:textAlignment w:val="baseline"/>
      </w:pPr>
      <w:r w:rsidRPr="00EB377F">
        <w:rPr>
          <w:b/>
          <w:bCs/>
        </w:rPr>
        <w:t xml:space="preserve">AI for Good Global Summit 2024: </w:t>
      </w:r>
      <w:r w:rsidRPr="00EB377F">
        <w:rPr>
          <w:lang w:val="en-US"/>
        </w:rPr>
        <w:t xml:space="preserve">AI innovators </w:t>
      </w:r>
      <w:r w:rsidRPr="00EB377F">
        <w:t xml:space="preserve">will reconnect with investors and humanitarians </w:t>
      </w:r>
      <w:r>
        <w:t>at the ne</w:t>
      </w:r>
      <w:r w:rsidR="00DC1B0E">
        <w:t xml:space="preserve">xt </w:t>
      </w:r>
      <w:hyperlink r:id="rId63" w:history="1">
        <w:r w:rsidRPr="005A4A98">
          <w:rPr>
            <w:rStyle w:val="Hyperlink"/>
          </w:rPr>
          <w:t>AI for Good Global Summit</w:t>
        </w:r>
      </w:hyperlink>
      <w:r>
        <w:t xml:space="preserve"> in Geneva, 30-31 May 2024, preceded by discussions on global AI governance on 29 May. The 2024 edition comes in conjunction with the </w:t>
      </w:r>
      <w:hyperlink r:id="rId64" w:history="1">
        <w:r w:rsidRPr="005A4A98">
          <w:rPr>
            <w:rStyle w:val="Hyperlink"/>
          </w:rPr>
          <w:t>World Summit on the Information Society (WSIS) +20 meeting</w:t>
        </w:r>
      </w:hyperlink>
      <w:r w:rsidR="00DC1B0E">
        <w:t xml:space="preserve"> in Geneva, 27-31 May, </w:t>
      </w:r>
      <w:r>
        <w:t>ensuring complementary perspectives on digital development.</w:t>
      </w:r>
    </w:p>
    <w:p w14:paraId="5ECE0B30" w14:textId="1732F93B" w:rsidR="00EB377F"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w:t>
      </w:r>
      <w:r w:rsidR="00EB377F">
        <w:rPr>
          <w:b/>
          <w:bCs/>
        </w:rPr>
        <w:t>3</w:t>
      </w:r>
      <w:r w:rsidRPr="00A62912">
        <w:rPr>
          <w:b/>
          <w:bCs/>
        </w:rPr>
        <w:t>:</w:t>
      </w:r>
      <w:r w:rsidR="00833FC0" w:rsidRPr="00A62912">
        <w:rPr>
          <w:b/>
          <w:bCs/>
        </w:rPr>
        <w:t xml:space="preserve"> </w:t>
      </w:r>
      <w:bookmarkStart w:id="64" w:name="_Hlk120615371"/>
      <w:r w:rsidR="00821700" w:rsidRPr="00A62912">
        <w:t xml:space="preserve">The </w:t>
      </w:r>
      <w:hyperlink r:id="rId65" w:history="1">
        <w:r w:rsidR="00821700" w:rsidRPr="00DC1B0E">
          <w:rPr>
            <w:rStyle w:val="Hyperlink"/>
          </w:rPr>
          <w:t>AI for Good Global Summit</w:t>
        </w:r>
      </w:hyperlink>
      <w:r w:rsidR="00DC1B0E">
        <w:t xml:space="preserve"> </w:t>
      </w:r>
      <w:r w:rsidR="00821700">
        <w:t>in Geneva,</w:t>
      </w:r>
      <w:r w:rsidR="005C3E5C">
        <w:t xml:space="preserve"> 6-7</w:t>
      </w:r>
      <w:r w:rsidR="00821700">
        <w:t xml:space="preserve"> July 2023,</w:t>
      </w:r>
      <w:r w:rsidR="0085720C">
        <w:t xml:space="preserve"> welcomed over 2,500 participants in Geneva and over 10,000 online. It </w:t>
      </w:r>
      <w:r w:rsidR="00821700">
        <w:t>feature</w:t>
      </w:r>
      <w:r w:rsidR="00BB7AB2">
        <w:t xml:space="preserve">d </w:t>
      </w:r>
      <w:r w:rsidR="00821700">
        <w:t xml:space="preserve">world-renowned </w:t>
      </w:r>
      <w:r w:rsidR="00833FC0">
        <w:t xml:space="preserve">experts </w:t>
      </w:r>
      <w:r w:rsidR="00821700">
        <w:t xml:space="preserve">in </w:t>
      </w:r>
      <w:r>
        <w:t>AI and humanitarian action</w:t>
      </w:r>
      <w:r w:rsidR="00561234">
        <w:t xml:space="preserve"> and the world's largest-ever gathering of humanoid and specialized robots</w:t>
      </w:r>
      <w:r>
        <w:t xml:space="preserve">. </w:t>
      </w:r>
      <w:bookmarkEnd w:id="64"/>
      <w:r>
        <w:t>This fourth summit follow</w:t>
      </w:r>
      <w:r w:rsidR="00BB7AB2">
        <w:t>ed</w:t>
      </w:r>
      <w:r>
        <w:t xml:space="preserve"> summits</w:t>
      </w:r>
      <w:r>
        <w:rPr>
          <w:bCs/>
        </w:rPr>
        <w:t xml:space="preserve"> held in Geneva in 2017, 2018 and 2019.</w:t>
      </w:r>
      <w:r w:rsidR="005C3E5C">
        <w:rPr>
          <w:bCs/>
        </w:rPr>
        <w:t xml:space="preserve"> The summit </w:t>
      </w:r>
      <w:bookmarkStart w:id="65" w:name="_Hlk120615385"/>
      <w:r w:rsidR="00BB7AB2">
        <w:rPr>
          <w:bCs/>
        </w:rPr>
        <w:t xml:space="preserve">was </w:t>
      </w:r>
      <w:r w:rsidR="005C3E5C">
        <w:rPr>
          <w:bCs/>
        </w:rPr>
        <w:t>preceded by expert-oriented ML workshops</w:t>
      </w:r>
      <w:r w:rsidR="0018643A">
        <w:rPr>
          <w:bCs/>
        </w:rPr>
        <w:t>, 4-</w:t>
      </w:r>
      <w:r w:rsidR="005C3E5C">
        <w:rPr>
          <w:bCs/>
        </w:rPr>
        <w:t>5 July, drawing on expertise from the AI for Good Discovery programme.</w:t>
      </w:r>
      <w:bookmarkEnd w:id="65"/>
      <w:r w:rsidR="0085720C">
        <w:rPr>
          <w:bCs/>
        </w:rPr>
        <w:t xml:space="preserve"> </w:t>
      </w:r>
    </w:p>
    <w:p w14:paraId="3C27838D" w14:textId="2F981388"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6" w:name="_Hlk120615411"/>
      <w:r w:rsidR="00E6527F">
        <w:rPr>
          <w:bCs/>
        </w:rPr>
        <w:t>.</w:t>
      </w:r>
      <w:bookmarkEnd w:id="66"/>
      <w:r w:rsidR="00561234">
        <w:rPr>
          <w:bCs/>
        </w:rPr>
        <w:t xml:space="preserve"> </w:t>
      </w:r>
      <w:r w:rsidR="00561234">
        <w:t>T</w:t>
      </w:r>
      <w:r>
        <w:t xml:space="preserve">he </w:t>
      </w:r>
      <w:hyperlink r:id="rId66"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7" w:name="_Hlk120617537"/>
      <w:r w:rsidR="00E6527F" w:rsidRPr="00561234">
        <w:t xml:space="preserve">Over </w:t>
      </w:r>
      <w:r w:rsidR="009862B8">
        <w:t>25</w:t>
      </w:r>
      <w:r w:rsidR="00E6527F" w:rsidRPr="00561234">
        <w:t xml:space="preserve">,000 people have created profiles on the Neural Network since its launch in February </w:t>
      </w:r>
      <w:r w:rsidR="00561234" w:rsidRPr="00561234">
        <w:t>2022</w:t>
      </w:r>
      <w:r w:rsidR="00E6527F" w:rsidRPr="00561234">
        <w:t>.</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211B2C0F"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t>
      </w:r>
      <w:r w:rsidR="00945884">
        <w:t>near-daily</w:t>
      </w:r>
      <w:r w:rsidR="0009233E" w:rsidRPr="00C32576">
        <w:t xml:space="preserve"> </w:t>
      </w:r>
      <w:hyperlink r:id="rId67">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lastRenderedPageBreak/>
        <w:t>Learn:</w:t>
      </w:r>
    </w:p>
    <w:p w14:paraId="787159DD" w14:textId="77777777" w:rsidR="0009233E" w:rsidRPr="00C32576" w:rsidRDefault="0009233E" w:rsidP="00770357">
      <w:pPr>
        <w:pStyle w:val="ListParagraph"/>
        <w:numPr>
          <w:ilvl w:val="0"/>
          <w:numId w:val="16"/>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rsidP="00770357">
      <w:pPr>
        <w:pStyle w:val="ListParagraph"/>
        <w:numPr>
          <w:ilvl w:val="0"/>
          <w:numId w:val="16"/>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rsidP="00770357">
      <w:pPr>
        <w:pStyle w:val="ListParagraph"/>
        <w:numPr>
          <w:ilvl w:val="0"/>
          <w:numId w:val="16"/>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rsidP="00770357">
      <w:pPr>
        <w:pStyle w:val="ListParagraph"/>
        <w:numPr>
          <w:ilvl w:val="0"/>
          <w:numId w:val="16"/>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rsidP="00770357">
      <w:pPr>
        <w:pStyle w:val="ListParagraph"/>
        <w:numPr>
          <w:ilvl w:val="0"/>
          <w:numId w:val="16"/>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rsidP="00770357">
      <w:pPr>
        <w:pStyle w:val="ListParagraph"/>
        <w:numPr>
          <w:ilvl w:val="0"/>
          <w:numId w:val="15"/>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rsidP="00770357">
      <w:pPr>
        <w:pStyle w:val="ListParagraph"/>
        <w:numPr>
          <w:ilvl w:val="0"/>
          <w:numId w:val="15"/>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rsidP="00770357">
      <w:pPr>
        <w:pStyle w:val="ListParagraph"/>
        <w:numPr>
          <w:ilvl w:val="0"/>
          <w:numId w:val="15"/>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rsidP="00770357">
      <w:pPr>
        <w:pStyle w:val="ListParagraph"/>
        <w:numPr>
          <w:ilvl w:val="0"/>
          <w:numId w:val="15"/>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rsidP="00770357">
      <w:pPr>
        <w:pStyle w:val="ListParagraph"/>
        <w:numPr>
          <w:ilvl w:val="0"/>
          <w:numId w:val="17"/>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rsidP="00770357">
      <w:pPr>
        <w:pStyle w:val="ListParagraph"/>
        <w:numPr>
          <w:ilvl w:val="0"/>
          <w:numId w:val="17"/>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rsidP="00770357">
      <w:pPr>
        <w:pStyle w:val="ListParagraph"/>
        <w:numPr>
          <w:ilvl w:val="0"/>
          <w:numId w:val="17"/>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rsidP="00770357">
      <w:pPr>
        <w:pStyle w:val="ListParagraph"/>
        <w:numPr>
          <w:ilvl w:val="0"/>
          <w:numId w:val="17"/>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rsidP="00770357">
      <w:pPr>
        <w:pStyle w:val="ListParagraph"/>
        <w:numPr>
          <w:ilvl w:val="0"/>
          <w:numId w:val="17"/>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0BBA2492" w14:textId="2F768784" w:rsidR="00ED4751" w:rsidRPr="00ED4751" w:rsidRDefault="0009233E" w:rsidP="00ED4751">
      <w:bookmarkStart w:id="69" w:name="_Hlk119497181"/>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r w:rsidR="00ED4751"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ED4751">
        <w:softHyphen/>
        <w:t>– to achieve goals set out by problem statements contributed by industry and academia.</w:t>
      </w:r>
    </w:p>
    <w:p w14:paraId="7F19B5C6" w14:textId="59EC7865" w:rsidR="00ED4751" w:rsidRPr="00ED4751" w:rsidRDefault="00ED4751" w:rsidP="00ED4751">
      <w:r w:rsidRPr="00ED4751">
        <w:t xml:space="preserve">These competitions have welcomed over </w:t>
      </w:r>
      <w:r w:rsidR="009862B8">
        <w:t>7</w:t>
      </w:r>
      <w:r w:rsidRPr="00ED4751">
        <w:t>,</w:t>
      </w:r>
      <w:r w:rsidR="009862B8">
        <w:t>5</w:t>
      </w:r>
      <w:r w:rsidRPr="00ED4751">
        <w:t>00 participants since their launch in 2020.</w:t>
      </w:r>
    </w:p>
    <w:p w14:paraId="185F6ABD" w14:textId="77777777" w:rsidR="00ED4751" w:rsidRPr="00ED4751" w:rsidRDefault="00ED4751" w:rsidP="00ED4751">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70" w:name="_Hlk135751286"/>
    <w:p w14:paraId="1F8E873D" w14:textId="1EBA7C08" w:rsidR="00ED4751" w:rsidRPr="00ED4751" w:rsidRDefault="00ED4751" w:rsidP="00ED4751">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w:t>
      </w:r>
      <w:r w:rsidR="009862B8">
        <w:t xml:space="preserve"> </w:t>
      </w:r>
      <w:r w:rsidRPr="00ED4751">
        <w:t xml:space="preserve">in focus throughout </w:t>
      </w:r>
      <w:r w:rsidR="009862B8">
        <w:t xml:space="preserve">2023 </w:t>
      </w:r>
      <w:r w:rsidRPr="00ED4751">
        <w:t>(including as part of a </w:t>
      </w:r>
      <w:hyperlink r:id="rId68" w:history="1">
        <w:r w:rsidRPr="00ED4751">
          <w:rPr>
            <w:rStyle w:val="Hyperlink"/>
          </w:rPr>
          <w:t>series of AI for Good webinars</w:t>
        </w:r>
      </w:hyperlink>
      <w:r w:rsidRPr="00ED4751">
        <w:rPr>
          <w:u w:val="single"/>
        </w:rPr>
        <w:t>)</w:t>
      </w:r>
      <w:r w:rsidRPr="00ED4751">
        <w:t xml:space="preserve"> – culminate</w:t>
      </w:r>
      <w:r w:rsidR="009862B8">
        <w:t>d</w:t>
      </w:r>
      <w:r w:rsidRPr="00ED4751">
        <w:t xml:space="preserve"> with Challenge Finale</w:t>
      </w:r>
      <w:r w:rsidR="009862B8">
        <w:t>s</w:t>
      </w:r>
      <w:r w:rsidRPr="00ED4751">
        <w:t xml:space="preserve"> </w:t>
      </w:r>
      <w:r w:rsidR="009862B8">
        <w:t xml:space="preserve">in October and </w:t>
      </w:r>
      <w:r w:rsidRPr="00ED4751">
        <w:t xml:space="preserve">December 2023. </w:t>
      </w:r>
      <w:r w:rsidR="009862B8" w:rsidRPr="009862B8">
        <w:t>In the 2023</w:t>
      </w:r>
      <w:r w:rsidR="009862B8">
        <w:t xml:space="preserve"> edition of the</w:t>
      </w:r>
      <w:r w:rsidR="009862B8" w:rsidRPr="009862B8">
        <w:t xml:space="preserve"> ITU AI/ML </w:t>
      </w:r>
      <w:r w:rsidR="00C23FAB">
        <w:t xml:space="preserve">in 5G </w:t>
      </w:r>
      <w:r w:rsidR="009862B8" w:rsidRPr="009862B8">
        <w:t>Challenge, participants made a combined total of more than 21</w:t>
      </w:r>
      <w:r w:rsidR="009862B8">
        <w:t>,</w:t>
      </w:r>
      <w:r w:rsidR="009862B8" w:rsidRPr="009862B8">
        <w:t>000 submissions.</w:t>
      </w:r>
    </w:p>
    <w:p w14:paraId="39E6F9F0" w14:textId="4D1D80C3" w:rsidR="00ED4751" w:rsidRPr="00ED4751" w:rsidRDefault="00ED4751" w:rsidP="00ED4751">
      <w:r w:rsidRPr="00ED4751">
        <w:t xml:space="preserve">More than </w:t>
      </w:r>
      <w:r w:rsidR="009862B8">
        <w:t xml:space="preserve">70 per cent of the participants </w:t>
      </w:r>
      <w:r w:rsidRPr="00ED4751">
        <w:t>in 202</w:t>
      </w:r>
      <w:r w:rsidR="009862B8">
        <w:t>3</w:t>
      </w:r>
      <w:r w:rsidRPr="00ED4751">
        <w:t xml:space="preserve"> were students, with a large majority</w:t>
      </w:r>
      <w:bookmarkEnd w:id="70"/>
      <w:r w:rsidR="009862B8">
        <w:t xml:space="preserve"> from Africa.</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69" w:history="1">
        <w:r w:rsidRPr="00ED4751">
          <w:rPr>
            <w:rStyle w:val="Hyperlink"/>
          </w:rPr>
          <w:t>https://github.com/ITU-AI-ML-in-5G-Challenge</w:t>
        </w:r>
      </w:hyperlink>
      <w:r w:rsidRPr="00ED4751">
        <w:t xml:space="preserve">. </w:t>
      </w:r>
    </w:p>
    <w:p w14:paraId="4CDAC5D2" w14:textId="2E0791FD" w:rsidR="00004F30" w:rsidRDefault="00ED4751" w:rsidP="009862B8">
      <w:r w:rsidRPr="00ED4751">
        <w:t xml:space="preserve">In addition, the </w:t>
      </w:r>
      <w:hyperlink r:id="rId70"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r w:rsidR="009862B8" w:rsidRPr="009862B8">
        <w:t>fourth</w:t>
      </w:r>
      <w:r w:rsidRPr="009862B8">
        <w:t xml:space="preserve"> special issue is currently </w:t>
      </w:r>
      <w:r w:rsidR="009862B8">
        <w:t>accepting submissions (</w:t>
      </w:r>
      <w:hyperlink r:id="rId71" w:history="1">
        <w:r w:rsidR="009862B8" w:rsidRPr="009862B8">
          <w:rPr>
            <w:rStyle w:val="Hyperlink"/>
          </w:rPr>
          <w:t>Call for Papers</w:t>
        </w:r>
      </w:hyperlink>
      <w:r w:rsidR="009862B8">
        <w:t>)</w:t>
      </w:r>
      <w:r w:rsidR="009862B8" w:rsidRPr="009862B8">
        <w:rPr>
          <w:bCs/>
        </w:rPr>
        <w:t xml:space="preserve">. </w:t>
      </w:r>
      <w:r w:rsidRPr="009862B8">
        <w:t xml:space="preserve"> </w:t>
      </w:r>
    </w:p>
    <w:p w14:paraId="6BED9C09" w14:textId="271AA9D8" w:rsidR="00AF18F5" w:rsidRPr="00C32576" w:rsidRDefault="00AF18F5" w:rsidP="00AF18F5">
      <w:pPr>
        <w:pStyle w:val="Heading2"/>
      </w:pPr>
      <w:bookmarkStart w:id="71" w:name="_5.2_Artificial_intelligence"/>
      <w:bookmarkStart w:id="72" w:name="_Toc156392415"/>
      <w:bookmarkEnd w:id="71"/>
      <w:r>
        <w:lastRenderedPageBreak/>
        <w:t>5</w:t>
      </w:r>
      <w:r w:rsidRPr="00C32576">
        <w:t>.</w:t>
      </w:r>
      <w:r>
        <w:t>2</w:t>
      </w:r>
      <w:r w:rsidRPr="00C32576">
        <w:tab/>
      </w:r>
      <w:r>
        <w:t>A</w:t>
      </w:r>
      <w:r w:rsidR="002F0686">
        <w:t>rtificial intelligence</w:t>
      </w:r>
      <w:r>
        <w:t xml:space="preserve"> for health</w:t>
      </w:r>
      <w:bookmarkEnd w:id="72"/>
    </w:p>
    <w:p w14:paraId="5409CF5B" w14:textId="6FB180B8" w:rsidR="00AF18F5" w:rsidRPr="00AF18F5" w:rsidRDefault="00AF18F5" w:rsidP="00AF18F5">
      <w:r>
        <w:t>The new</w:t>
      </w:r>
      <w:r w:rsidRPr="00AF18F5">
        <w:rPr>
          <w:lang w:val="en-PH"/>
        </w:rPr>
        <w:t xml:space="preserve"> </w:t>
      </w:r>
      <w:hyperlink r:id="rId72" w:history="1">
        <w:r w:rsidRPr="00AF18F5">
          <w:rPr>
            <w:rStyle w:val="Hyperlink"/>
          </w:rPr>
          <w:t>Global Initiative on AI for Health</w:t>
        </w:r>
      </w:hyperlink>
      <w:r>
        <w:t xml:space="preserve"> </w:t>
      </w:r>
      <w:r w:rsidRPr="00AF18F5">
        <w:t>driven by ITU, WHO and WIPO aims to ensure that AI fulfils its potential to support diagnosis and treatment, along with more efficient and inclusive healthcare services.</w:t>
      </w:r>
      <w:r>
        <w:t xml:space="preserve"> The initiative's launch was announced at the AI for Good Global Summit 2023</w:t>
      </w:r>
      <w:r w:rsidR="006D3365">
        <w:t>. Its</w:t>
      </w:r>
      <w:r w:rsidR="00E83330">
        <w:t xml:space="preserve"> </w:t>
      </w:r>
      <w:hyperlink r:id="rId73" w:history="1">
        <w:r w:rsidR="00E83330" w:rsidRPr="006D3365">
          <w:rPr>
            <w:rStyle w:val="Hyperlink"/>
          </w:rPr>
          <w:t>first meeting</w:t>
        </w:r>
      </w:hyperlink>
      <w:r w:rsidR="00E83330">
        <w:t xml:space="preserve"> was held in Riyadh, Saudi Arabia, 30 October </w:t>
      </w:r>
      <w:r w:rsidR="007D788D">
        <w:t>-</w:t>
      </w:r>
      <w:r w:rsidR="00E83330">
        <w:t xml:space="preserve"> 2 November 2023.</w:t>
      </w:r>
    </w:p>
    <w:p w14:paraId="5B140F68" w14:textId="7D3A0816" w:rsidR="00E83330" w:rsidRPr="00AF18F5" w:rsidRDefault="00AF18F5" w:rsidP="00AF18F5">
      <w:r w:rsidRPr="00AF18F5">
        <w:t>The global initiative aims to develop technical standards and policy guidance, facilitate knowledge and data sharing, and support evidence-based decisions on the introduction of AI solutions for health.</w:t>
      </w:r>
      <w:r w:rsidR="00E83330">
        <w:t xml:space="preserve"> It </w:t>
      </w:r>
      <w:r w:rsidR="00E83330" w:rsidRPr="00AF18F5">
        <w:t>will also promote collaborative mechanisms for AI solutions to reach underserved communities, and its scaling program</w:t>
      </w:r>
      <w:r w:rsidR="008F04A3">
        <w:t>me</w:t>
      </w:r>
      <w:r w:rsidR="00E83330" w:rsidRPr="00AF18F5">
        <w:t xml:space="preserve"> will assist low- and middle-income countries in adopting AI solutions for health.</w:t>
      </w:r>
    </w:p>
    <w:p w14:paraId="0D3769B3" w14:textId="504CA2C4" w:rsidR="00AF18F5" w:rsidRPr="009862B8" w:rsidRDefault="00E83330" w:rsidP="009862B8">
      <w:r>
        <w:t xml:space="preserve">The initiative </w:t>
      </w:r>
      <w:r w:rsidR="00AF18F5" w:rsidRPr="00AF18F5">
        <w:t xml:space="preserve">builds on the momentum of the </w:t>
      </w:r>
      <w:hyperlink r:id="rId74" w:history="1">
        <w:r w:rsidR="00AF18F5" w:rsidRPr="00AF18F5">
          <w:rPr>
            <w:rStyle w:val="Hyperlink"/>
          </w:rPr>
          <w:t>ITU-WHO Focus Group on AI for Health</w:t>
        </w:r>
      </w:hyperlink>
      <w:r w:rsidR="00AF18F5" w:rsidRPr="00AF18F5">
        <w:t>.</w:t>
      </w:r>
    </w:p>
    <w:p w14:paraId="69248795" w14:textId="711D1253" w:rsidR="005404EF" w:rsidRPr="00C32576" w:rsidRDefault="006279A8" w:rsidP="0048381E">
      <w:pPr>
        <w:pStyle w:val="Heading2"/>
      </w:pPr>
      <w:bookmarkStart w:id="73" w:name="_5.2_Digital_financial"/>
      <w:bookmarkStart w:id="74" w:name="_5.3_Digital_financial"/>
      <w:bookmarkStart w:id="75" w:name="_Toc156392416"/>
      <w:bookmarkStart w:id="76" w:name="_Hlk120017847"/>
      <w:bookmarkEnd w:id="69"/>
      <w:bookmarkEnd w:id="73"/>
      <w:bookmarkEnd w:id="74"/>
      <w:r>
        <w:t>5</w:t>
      </w:r>
      <w:r w:rsidR="005404EF" w:rsidRPr="00C32576">
        <w:t>.</w:t>
      </w:r>
      <w:r w:rsidR="00AF18F5">
        <w:t>3</w:t>
      </w:r>
      <w:r w:rsidR="005404EF" w:rsidRPr="00C32576">
        <w:tab/>
        <w:t>Digital financial inclusion</w:t>
      </w:r>
      <w:r w:rsidR="00E55E57">
        <w:t xml:space="preserve"> and fintech</w:t>
      </w:r>
      <w:bookmarkEnd w:id="75"/>
    </w:p>
    <w:p w14:paraId="18CB36EE"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75" w:history="1">
        <w:r w:rsidRPr="00D07B90">
          <w:rPr>
            <w:rStyle w:val="Hyperlink"/>
            <w:lang w:val="en-US"/>
          </w:rPr>
          <w:t>web page</w:t>
        </w:r>
      </w:hyperlink>
      <w:r w:rsidRPr="00D07B90">
        <w:rPr>
          <w:color w:val="0D0D0D" w:themeColor="text1" w:themeTint="F2"/>
          <w:lang w:val="en-US"/>
        </w:rPr>
        <w:t xml:space="preserve">.  </w:t>
      </w:r>
    </w:p>
    <w:p w14:paraId="4706F485" w14:textId="36239A50" w:rsidR="00D07B90" w:rsidRDefault="00D07B90" w:rsidP="00D07B90">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76"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w:t>
      </w:r>
      <w:r w:rsidR="00134097">
        <w:rPr>
          <w:color w:val="0D0D0D" w:themeColor="text1" w:themeTint="F2"/>
          <w:lang w:val="en-US"/>
        </w:rPr>
        <w:t xml:space="preserve">engages </w:t>
      </w:r>
      <w:r w:rsidRPr="00D07B90">
        <w:rPr>
          <w:color w:val="0D0D0D" w:themeColor="text1" w:themeTint="F2"/>
          <w:lang w:val="en-US"/>
        </w:rPr>
        <w:t xml:space="preserve">with telecom regulators of emerging economies and regional telecommunication regulatory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77"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0074A6E9" w14:textId="5CCCF088" w:rsidR="00FD24C8" w:rsidRPr="00FD24C8" w:rsidRDefault="00FD24C8" w:rsidP="00D07B90">
      <w:pPr>
        <w:rPr>
          <w:color w:val="0D0D0D" w:themeColor="text1" w:themeTint="F2"/>
        </w:rPr>
      </w:pPr>
      <w:r>
        <w:rPr>
          <w:color w:val="0D0D0D" w:themeColor="text1" w:themeTint="F2"/>
        </w:rPr>
        <w:t>To date, the c</w:t>
      </w:r>
      <w:r w:rsidRPr="00FD24C8">
        <w:rPr>
          <w:color w:val="0D0D0D" w:themeColor="text1" w:themeTint="F2"/>
        </w:rPr>
        <w:t xml:space="preserve">ountries in Africa </w:t>
      </w:r>
      <w:r>
        <w:rPr>
          <w:color w:val="0D0D0D" w:themeColor="text1" w:themeTint="F2"/>
        </w:rPr>
        <w:t xml:space="preserve">that </w:t>
      </w:r>
      <w:r w:rsidRPr="00FD24C8">
        <w:rPr>
          <w:color w:val="0D0D0D" w:themeColor="text1" w:themeTint="F2"/>
        </w:rPr>
        <w:t xml:space="preserve">have implemented the </w:t>
      </w:r>
      <w:r>
        <w:rPr>
          <w:color w:val="0D0D0D" w:themeColor="text1" w:themeTint="F2"/>
        </w:rPr>
        <w:t xml:space="preserve">recommended </w:t>
      </w:r>
      <w:r w:rsidRPr="00FD24C8">
        <w:rPr>
          <w:color w:val="0D0D0D" w:themeColor="text1" w:themeTint="F2"/>
        </w:rPr>
        <w:t xml:space="preserve">MoU between the telecom regulator and </w:t>
      </w:r>
      <w:r>
        <w:rPr>
          <w:color w:val="0D0D0D" w:themeColor="text1" w:themeTint="F2"/>
        </w:rPr>
        <w:t>c</w:t>
      </w:r>
      <w:r w:rsidRPr="00FD24C8">
        <w:rPr>
          <w:color w:val="0D0D0D" w:themeColor="text1" w:themeTint="F2"/>
        </w:rPr>
        <w:t xml:space="preserve">entral </w:t>
      </w:r>
      <w:r>
        <w:rPr>
          <w:color w:val="0D0D0D" w:themeColor="text1" w:themeTint="F2"/>
        </w:rPr>
        <w:t>b</w:t>
      </w:r>
      <w:r w:rsidRPr="00FD24C8">
        <w:rPr>
          <w:color w:val="0D0D0D" w:themeColor="text1" w:themeTint="F2"/>
        </w:rPr>
        <w:t xml:space="preserve">ank for DFS </w:t>
      </w:r>
      <w:r>
        <w:rPr>
          <w:color w:val="0D0D0D" w:themeColor="text1" w:themeTint="F2"/>
        </w:rPr>
        <w:t xml:space="preserve">security are </w:t>
      </w:r>
      <w:r w:rsidRPr="00FD24C8">
        <w:rPr>
          <w:color w:val="0D0D0D" w:themeColor="text1" w:themeTint="F2"/>
        </w:rPr>
        <w:t xml:space="preserve">Nigeria, Lesotho, Sierra Leone, Tanzania, Kenya and Zimbabwe. </w:t>
      </w:r>
    </w:p>
    <w:p w14:paraId="647FECB2" w14:textId="00780540" w:rsidR="00134097" w:rsidRDefault="00134097" w:rsidP="00D07B90">
      <w:pPr>
        <w:rPr>
          <w:color w:val="0D0D0D" w:themeColor="text1" w:themeTint="F2"/>
        </w:rPr>
      </w:pPr>
      <w:r>
        <w:rPr>
          <w:color w:val="0D0D0D" w:themeColor="text1" w:themeTint="F2"/>
          <w:lang w:val="en-US"/>
        </w:rPr>
        <w:t>T</w:t>
      </w:r>
      <w:r w:rsidRPr="00D07B90">
        <w:rPr>
          <w:color w:val="0D0D0D" w:themeColor="text1" w:themeTint="F2"/>
          <w:lang w:val="en-US"/>
        </w:rPr>
        <w:t>he East African Communications Organisation (EACO)</w:t>
      </w:r>
      <w:r>
        <w:rPr>
          <w:color w:val="0D0D0D" w:themeColor="text1" w:themeTint="F2"/>
          <w:lang w:val="en-US"/>
        </w:rPr>
        <w:t xml:space="preserve"> </w:t>
      </w:r>
      <w:r w:rsidRPr="00134097">
        <w:rPr>
          <w:color w:val="0D0D0D" w:themeColor="text1" w:themeTint="F2"/>
        </w:rPr>
        <w:t>formally adopted the recommendations during its 25</w:t>
      </w:r>
      <w:r w:rsidRPr="00C77C5E">
        <w:rPr>
          <w:color w:val="0D0D0D" w:themeColor="text1" w:themeTint="F2"/>
          <w:vertAlign w:val="superscript"/>
        </w:rPr>
        <w:t>th</w:t>
      </w:r>
      <w:r w:rsidR="00C77C5E">
        <w:rPr>
          <w:color w:val="0D0D0D" w:themeColor="text1" w:themeTint="F2"/>
        </w:rPr>
        <w:t xml:space="preserve"> </w:t>
      </w:r>
      <w:r w:rsidRPr="00134097">
        <w:rPr>
          <w:color w:val="0D0D0D" w:themeColor="text1" w:themeTint="F2"/>
        </w:rPr>
        <w:t>Congress and 28</w:t>
      </w:r>
      <w:r w:rsidRPr="00C77C5E">
        <w:rPr>
          <w:color w:val="0D0D0D" w:themeColor="text1" w:themeTint="F2"/>
          <w:vertAlign w:val="superscript"/>
        </w:rPr>
        <w:t>th</w:t>
      </w:r>
      <w:r w:rsidRPr="00134097">
        <w:rPr>
          <w:color w:val="0D0D0D" w:themeColor="text1" w:themeTint="F2"/>
        </w:rPr>
        <w:t xml:space="preserve"> Annual Assemblies held in June 2023 in Bujumbura, Burundi.</w:t>
      </w:r>
    </w:p>
    <w:p w14:paraId="7E9F5BDE" w14:textId="3D5E7EC0" w:rsidR="00134097" w:rsidRDefault="00134097" w:rsidP="00D07B90">
      <w:pPr>
        <w:rPr>
          <w:color w:val="0D0D0D" w:themeColor="text1" w:themeTint="F2"/>
        </w:rPr>
      </w:pPr>
      <w:r>
        <w:rPr>
          <w:color w:val="0D0D0D" w:themeColor="text1" w:themeTint="F2"/>
          <w:lang w:val="en-US"/>
        </w:rPr>
        <w:t xml:space="preserve">The </w:t>
      </w:r>
      <w:r w:rsidR="00D07B90" w:rsidRPr="00D07B90">
        <w:rPr>
          <w:color w:val="0D0D0D" w:themeColor="text1" w:themeTint="F2"/>
          <w:lang w:val="en-US"/>
        </w:rPr>
        <w:t>Communication Regulators Association of Southern Africa (CRASA)</w:t>
      </w:r>
      <w:r>
        <w:rPr>
          <w:color w:val="0D0D0D" w:themeColor="text1" w:themeTint="F2"/>
          <w:lang w:val="en-US"/>
        </w:rPr>
        <w:t xml:space="preserve"> </w:t>
      </w:r>
      <w:r w:rsidRPr="00134097">
        <w:rPr>
          <w:color w:val="0D0D0D" w:themeColor="text1" w:themeTint="F2"/>
        </w:rPr>
        <w:t xml:space="preserve">formally adopted the </w:t>
      </w:r>
      <w:r>
        <w:rPr>
          <w:color w:val="0D0D0D" w:themeColor="text1" w:themeTint="F2"/>
        </w:rPr>
        <w:t xml:space="preserve">recommendations </w:t>
      </w:r>
      <w:r w:rsidRPr="00134097">
        <w:rPr>
          <w:color w:val="0D0D0D" w:themeColor="text1" w:themeTint="F2"/>
        </w:rPr>
        <w:t>at its 12</w:t>
      </w:r>
      <w:r w:rsidRPr="00C77C5E">
        <w:rPr>
          <w:color w:val="0D0D0D" w:themeColor="text1" w:themeTint="F2"/>
          <w:vertAlign w:val="superscript"/>
        </w:rPr>
        <w:t>th</w:t>
      </w:r>
      <w:r w:rsidR="00C77C5E">
        <w:rPr>
          <w:color w:val="0D0D0D" w:themeColor="text1" w:themeTint="F2"/>
        </w:rPr>
        <w:t xml:space="preserve"> </w:t>
      </w:r>
      <w:r w:rsidRPr="00134097">
        <w:rPr>
          <w:color w:val="0D0D0D" w:themeColor="text1" w:themeTint="F2"/>
        </w:rPr>
        <w:t>Annual General Meeting (AGM) in March 2023 in Kinshasa,</w:t>
      </w:r>
      <w:r w:rsidR="00C77C5E">
        <w:rPr>
          <w:color w:val="0D0D0D" w:themeColor="text1" w:themeTint="F2"/>
        </w:rPr>
        <w:t xml:space="preserve"> </w:t>
      </w:r>
      <w:r w:rsidRPr="00134097">
        <w:rPr>
          <w:color w:val="0D0D0D" w:themeColor="text1" w:themeTint="F2"/>
        </w:rPr>
        <w:t>DRC</w:t>
      </w:r>
      <w:r w:rsidR="00C77C5E">
        <w:rPr>
          <w:color w:val="0D0D0D" w:themeColor="text1" w:themeTint="F2"/>
        </w:rPr>
        <w:t>.</w:t>
      </w:r>
    </w:p>
    <w:p w14:paraId="526005F2" w14:textId="21417043" w:rsidR="00134097" w:rsidRPr="00D07B90" w:rsidRDefault="00FD24C8" w:rsidP="00D07B90">
      <w:pPr>
        <w:rPr>
          <w:color w:val="0D0D0D" w:themeColor="text1" w:themeTint="F2"/>
          <w:lang w:val="en-US"/>
        </w:rPr>
      </w:pPr>
      <w:r>
        <w:rPr>
          <w:color w:val="0D0D0D" w:themeColor="text1" w:themeTint="F2"/>
        </w:rPr>
        <w:t>Discussions are ongoing with the</w:t>
      </w:r>
      <w:r w:rsidR="00D07B90" w:rsidRPr="00D07B90">
        <w:rPr>
          <w:color w:val="0D0D0D" w:themeColor="text1" w:themeTint="F2"/>
          <w:lang w:val="en-US"/>
        </w:rPr>
        <w:t xml:space="preserve"> West Africa Telecommunications Regulators Assembly (WATRA) </w:t>
      </w:r>
      <w:r>
        <w:rPr>
          <w:color w:val="0D0D0D" w:themeColor="text1" w:themeTint="F2"/>
          <w:lang w:val="en-US"/>
        </w:rPr>
        <w:t xml:space="preserve">on its potential </w:t>
      </w:r>
      <w:r w:rsidR="00D07B90" w:rsidRPr="00D07B90">
        <w:rPr>
          <w:color w:val="0D0D0D" w:themeColor="text1" w:themeTint="F2"/>
          <w:lang w:val="en-US"/>
        </w:rPr>
        <w:t>adopt</w:t>
      </w:r>
      <w:r>
        <w:rPr>
          <w:color w:val="0D0D0D" w:themeColor="text1" w:themeTint="F2"/>
          <w:lang w:val="en-US"/>
        </w:rPr>
        <w:t>ion of</w:t>
      </w:r>
      <w:r w:rsidR="00D07B90" w:rsidRPr="00D07B90">
        <w:rPr>
          <w:color w:val="0D0D0D" w:themeColor="text1" w:themeTint="F2"/>
          <w:lang w:val="en-US"/>
        </w:rPr>
        <w:t xml:space="preserve"> the security recommendations</w:t>
      </w:r>
      <w:r w:rsidR="00134097">
        <w:rPr>
          <w:color w:val="0D0D0D" w:themeColor="text1" w:themeTint="F2"/>
          <w:lang w:val="en-US"/>
        </w:rPr>
        <w:t xml:space="preserve">. </w:t>
      </w:r>
    </w:p>
    <w:p w14:paraId="45259923" w14:textId="77777777" w:rsidR="00D07B90" w:rsidRPr="00D07B90" w:rsidRDefault="00D07B90" w:rsidP="00D07B90">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78"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E70A35D" w14:textId="6ED78317" w:rsidR="00D07B90" w:rsidRPr="00D07B90" w:rsidRDefault="00D07B90" w:rsidP="00D07B90">
      <w:pPr>
        <w:rPr>
          <w:color w:val="0D0D0D" w:themeColor="text1" w:themeTint="F2"/>
        </w:rPr>
      </w:pPr>
      <w:r w:rsidRPr="00D07B90">
        <w:rPr>
          <w:color w:val="0D0D0D" w:themeColor="text1" w:themeTint="F2"/>
        </w:rPr>
        <w:t xml:space="preserve">The 2023 activities of the DFS security lab </w:t>
      </w:r>
      <w:r w:rsidR="004B166D">
        <w:rPr>
          <w:color w:val="0D0D0D" w:themeColor="text1" w:themeTint="F2"/>
        </w:rPr>
        <w:t>were</w:t>
      </w:r>
      <w:r w:rsidRPr="00D07B90">
        <w:rPr>
          <w:color w:val="0D0D0D" w:themeColor="text1" w:themeTint="F2"/>
        </w:rPr>
        <w:t xml:space="preserve"> supported by funding from Deutsche Gesellschaft für Internationale Zusammenarbei (GIZ) and </w:t>
      </w:r>
      <w:r w:rsidR="00A23A70">
        <w:rPr>
          <w:color w:val="0D0D0D" w:themeColor="text1" w:themeTint="F2"/>
        </w:rPr>
        <w:t xml:space="preserve">the Republic of </w:t>
      </w:r>
      <w:r w:rsidRPr="00D07B90">
        <w:rPr>
          <w:color w:val="0D0D0D" w:themeColor="text1" w:themeTint="F2"/>
        </w:rPr>
        <w:t>Korea's Ministry of Science and ICT.</w:t>
      </w:r>
    </w:p>
    <w:p w14:paraId="523803D8" w14:textId="77777777" w:rsidR="00D07B90" w:rsidRPr="00D07B90" w:rsidRDefault="00D07B90" w:rsidP="00D07B90">
      <w:pPr>
        <w:rPr>
          <w:color w:val="0D0D0D" w:themeColor="text1" w:themeTint="F2"/>
        </w:rPr>
      </w:pPr>
      <w:r w:rsidRPr="00D07B90">
        <w:rPr>
          <w:color w:val="0D0D0D" w:themeColor="text1" w:themeTint="F2"/>
        </w:rPr>
        <w:t xml:space="preserve">As part of the activities of the ITU DFS Security Lab, </w:t>
      </w:r>
      <w:hyperlink r:id="rId79"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003B6BEF" w14:textId="1DB07A81" w:rsidR="0044286D" w:rsidRPr="00D07B90" w:rsidRDefault="004B166D" w:rsidP="004B166D">
      <w:pPr>
        <w:rPr>
          <w:color w:val="0D0D0D" w:themeColor="text1" w:themeTint="F2"/>
        </w:rPr>
      </w:pPr>
      <w:r>
        <w:rPr>
          <w:color w:val="0D0D0D" w:themeColor="text1" w:themeTint="F2"/>
        </w:rPr>
        <w:t>Security clinics conducted by the</w:t>
      </w:r>
      <w:r w:rsidR="00D07B90" w:rsidRPr="00D07B90">
        <w:rPr>
          <w:color w:val="0D0D0D" w:themeColor="text1" w:themeTint="F2"/>
        </w:rPr>
        <w:t xml:space="preserve"> DFS Security Lab</w:t>
      </w:r>
      <w:r>
        <w:rPr>
          <w:color w:val="0D0D0D" w:themeColor="text1" w:themeTint="F2"/>
        </w:rPr>
        <w:t xml:space="preserve"> in the reporting period are listed on this </w:t>
      </w:r>
      <w:hyperlink r:id="rId80" w:history="1">
        <w:r w:rsidRPr="004B166D">
          <w:rPr>
            <w:rStyle w:val="Hyperlink"/>
          </w:rPr>
          <w:t>web page</w:t>
        </w:r>
      </w:hyperlink>
      <w:r>
        <w:rPr>
          <w:color w:val="0D0D0D" w:themeColor="text1" w:themeTint="F2"/>
        </w:rPr>
        <w:t xml:space="preserve">. </w:t>
      </w:r>
      <w:r w:rsidR="00D07B90" w:rsidRPr="00D07B90">
        <w:rPr>
          <w:color w:val="0D0D0D" w:themeColor="text1" w:themeTint="F2"/>
        </w:rPr>
        <w:t xml:space="preserve"> </w:t>
      </w:r>
    </w:p>
    <w:p w14:paraId="5197461B" w14:textId="5CFB3816" w:rsidR="00D07B90" w:rsidRDefault="00FD24C8" w:rsidP="00D07B90">
      <w:pPr>
        <w:rPr>
          <w:color w:val="0D0D0D" w:themeColor="text1" w:themeTint="F2"/>
          <w:lang w:val="en-US"/>
        </w:rPr>
      </w:pPr>
      <w:r w:rsidRPr="00FD24C8">
        <w:rPr>
          <w:b/>
          <w:bCs/>
          <w:color w:val="0D0D0D" w:themeColor="text1" w:themeTint="F2"/>
          <w:lang w:val="en-US"/>
        </w:rPr>
        <w:t>Knowledge transfer programme:</w:t>
      </w:r>
      <w:r>
        <w:rPr>
          <w:color w:val="0D0D0D" w:themeColor="text1" w:themeTint="F2"/>
          <w:lang w:val="en-US"/>
        </w:rPr>
        <w:t xml:space="preserve"> </w:t>
      </w:r>
      <w:r w:rsidR="00D07B90" w:rsidRPr="00D07B90">
        <w:rPr>
          <w:color w:val="0D0D0D" w:themeColor="text1" w:themeTint="F2"/>
          <w:lang w:val="en-US"/>
        </w:rPr>
        <w:t xml:space="preserve">As part of the activities of the DFS Security Lab, ITU also conducts </w:t>
      </w:r>
      <w:r>
        <w:rPr>
          <w:color w:val="0D0D0D" w:themeColor="text1" w:themeTint="F2"/>
          <w:lang w:val="en-US"/>
        </w:rPr>
        <w:t xml:space="preserve">a </w:t>
      </w:r>
      <w:r w:rsidR="00D07B90" w:rsidRPr="00D07B90">
        <w:rPr>
          <w:color w:val="0D0D0D" w:themeColor="text1" w:themeTint="F2"/>
          <w:lang w:val="en-US"/>
        </w:rPr>
        <w:t>knowledge transfer programme to support telecom regulators in emerging economies in establishing their own security labs and to implement the security methodology to conduct security audits of mobile payment applications based on USSD, iOS, and Android.</w:t>
      </w:r>
      <w:r>
        <w:rPr>
          <w:color w:val="0D0D0D" w:themeColor="text1" w:themeTint="F2"/>
          <w:lang w:val="en-US"/>
        </w:rPr>
        <w:t xml:space="preserve"> </w:t>
      </w:r>
    </w:p>
    <w:p w14:paraId="33F435B8" w14:textId="335A86CF" w:rsidR="00FD24C8" w:rsidRPr="00FD24C8" w:rsidRDefault="00FD24C8" w:rsidP="00FD24C8">
      <w:pPr>
        <w:rPr>
          <w:color w:val="0D0D0D" w:themeColor="text1" w:themeTint="F2"/>
        </w:rPr>
      </w:pPr>
      <w:r w:rsidRPr="00FD24C8">
        <w:rPr>
          <w:color w:val="0D0D0D" w:themeColor="text1" w:themeTint="F2"/>
        </w:rPr>
        <w:t>The programme has benefited Uganda Communications Commission (UCC), Tanzania Communication Regulatory Authority (TCRA) and SBS Peru (financial services regulator for Peru).</w:t>
      </w:r>
      <w:r>
        <w:rPr>
          <w:color w:val="0D0D0D" w:themeColor="text1" w:themeTint="F2"/>
        </w:rPr>
        <w:t xml:space="preserve"> </w:t>
      </w:r>
      <w:r w:rsidRPr="00FD24C8">
        <w:rPr>
          <w:color w:val="0D0D0D" w:themeColor="text1" w:themeTint="F2"/>
        </w:rPr>
        <w:lastRenderedPageBreak/>
        <w:t xml:space="preserve">ITU has </w:t>
      </w:r>
      <w:r>
        <w:rPr>
          <w:color w:val="0D0D0D" w:themeColor="text1" w:themeTint="F2"/>
        </w:rPr>
        <w:t xml:space="preserve">also </w:t>
      </w:r>
      <w:r w:rsidRPr="00FD24C8">
        <w:rPr>
          <w:color w:val="0D0D0D" w:themeColor="text1" w:themeTint="F2"/>
        </w:rPr>
        <w:t>received requests from Rwanda, The Gambia and Zimbabwe to perform knowledge transfer sessions.</w:t>
      </w:r>
    </w:p>
    <w:p w14:paraId="5416E902" w14:textId="1C61E6B2" w:rsidR="00FD24C8" w:rsidRPr="00FD24C8" w:rsidRDefault="00FD24C8" w:rsidP="00FD24C8">
      <w:pPr>
        <w:rPr>
          <w:color w:val="0D0D0D" w:themeColor="text1" w:themeTint="F2"/>
        </w:rPr>
      </w:pPr>
      <w:r w:rsidRPr="00FD24C8">
        <w:rPr>
          <w:b/>
          <w:bCs/>
          <w:color w:val="0D0D0D" w:themeColor="text1" w:themeTint="F2"/>
          <w:lang w:val="en-US"/>
        </w:rPr>
        <w:t>Cyber</w:t>
      </w:r>
      <w:r>
        <w:rPr>
          <w:b/>
          <w:bCs/>
          <w:color w:val="0D0D0D" w:themeColor="text1" w:themeTint="F2"/>
          <w:lang w:val="en-US"/>
        </w:rPr>
        <w:t>security</w:t>
      </w:r>
      <w:r w:rsidRPr="00FD24C8">
        <w:rPr>
          <w:b/>
          <w:bCs/>
          <w:color w:val="0D0D0D" w:themeColor="text1" w:themeTint="F2"/>
          <w:lang w:val="en-US"/>
        </w:rPr>
        <w:t xml:space="preserve"> resilience assessment toolkit</w:t>
      </w:r>
      <w:r>
        <w:rPr>
          <w:b/>
          <w:bCs/>
          <w:color w:val="0D0D0D" w:themeColor="text1" w:themeTint="F2"/>
          <w:lang w:val="en-US"/>
        </w:rPr>
        <w:t xml:space="preserve"> for DFS critical infrastructure</w:t>
      </w:r>
      <w:r w:rsidRPr="00FD24C8">
        <w:rPr>
          <w:b/>
          <w:bCs/>
          <w:color w:val="0D0D0D" w:themeColor="text1" w:themeTint="F2"/>
          <w:lang w:val="en-US"/>
        </w:rPr>
        <w:t>:</w:t>
      </w:r>
      <w:r>
        <w:rPr>
          <w:color w:val="0D0D0D" w:themeColor="text1" w:themeTint="F2"/>
          <w:lang w:val="en-US"/>
        </w:rPr>
        <w:t xml:space="preserve"> </w:t>
      </w:r>
      <w:r w:rsidRPr="00FD24C8">
        <w:rPr>
          <w:color w:val="0D0D0D" w:themeColor="text1" w:themeTint="F2"/>
        </w:rPr>
        <w:t xml:space="preserve">ITU hired the services of Deloitte after a tender exercise to develop </w:t>
      </w:r>
      <w:r>
        <w:rPr>
          <w:color w:val="0D0D0D" w:themeColor="text1" w:themeTint="F2"/>
        </w:rPr>
        <w:t xml:space="preserve">a </w:t>
      </w:r>
      <w:hyperlink r:id="rId81" w:history="1">
        <w:r w:rsidR="0074441F" w:rsidRPr="009C7A95">
          <w:rPr>
            <w:rStyle w:val="Hyperlink"/>
          </w:rPr>
          <w:t>c</w:t>
        </w:r>
        <w:r w:rsidRPr="009C7A95">
          <w:rPr>
            <w:rStyle w:val="Hyperlink"/>
          </w:rPr>
          <w:t xml:space="preserve">ybersecurity </w:t>
        </w:r>
        <w:r w:rsidR="0074441F" w:rsidRPr="009C7A95">
          <w:rPr>
            <w:rStyle w:val="Hyperlink"/>
          </w:rPr>
          <w:t>re</w:t>
        </w:r>
        <w:r w:rsidRPr="009C7A95">
          <w:rPr>
            <w:rStyle w:val="Hyperlink"/>
          </w:rPr>
          <w:t xml:space="preserve">silience </w:t>
        </w:r>
        <w:r w:rsidR="0074441F" w:rsidRPr="009C7A95">
          <w:rPr>
            <w:rStyle w:val="Hyperlink"/>
          </w:rPr>
          <w:t>a</w:t>
        </w:r>
        <w:r w:rsidRPr="009C7A95">
          <w:rPr>
            <w:rStyle w:val="Hyperlink"/>
          </w:rPr>
          <w:t xml:space="preserve">ssessment </w:t>
        </w:r>
        <w:r w:rsidR="0074441F" w:rsidRPr="009C7A95">
          <w:rPr>
            <w:rStyle w:val="Hyperlink"/>
          </w:rPr>
          <w:t>t</w:t>
        </w:r>
        <w:r w:rsidRPr="009C7A95">
          <w:rPr>
            <w:rStyle w:val="Hyperlink"/>
          </w:rPr>
          <w:t>oolkit for DFS critical infrastructure</w:t>
        </w:r>
      </w:hyperlink>
      <w:r w:rsidR="009C7A95">
        <w:rPr>
          <w:color w:val="0D0D0D" w:themeColor="text1" w:themeTint="F2"/>
        </w:rPr>
        <w:t xml:space="preserve">. The toolkit was published in October 2023. </w:t>
      </w:r>
    </w:p>
    <w:p w14:paraId="0DF5CA5F" w14:textId="77777777" w:rsidR="00FD24C8" w:rsidRDefault="00FD24C8" w:rsidP="00FD24C8">
      <w:pPr>
        <w:rPr>
          <w:color w:val="0D0D0D" w:themeColor="text1" w:themeTint="F2"/>
        </w:rPr>
      </w:pPr>
      <w:r w:rsidRPr="00FD24C8">
        <w:rPr>
          <w:color w:val="0D0D0D" w:themeColor="text1" w:themeTint="F2"/>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42671F32" w14:textId="77777777" w:rsidR="00FD24C8" w:rsidRPr="00FD24C8" w:rsidRDefault="00FD24C8" w:rsidP="00FD24C8">
      <w:pPr>
        <w:rPr>
          <w:color w:val="0D0D0D" w:themeColor="text1" w:themeTint="F2"/>
        </w:rPr>
      </w:pPr>
      <w:r w:rsidRPr="00FD24C8">
        <w:rPr>
          <w:color w:val="0D0D0D" w:themeColor="text1" w:themeTint="F2"/>
        </w:rPr>
        <w:t xml:space="preserve">The toolkit was presented at the ITU Regional Development Forum in Bangkok in September 2023. SBS Peru and TCRA have both expressed interest in the toolkit. </w:t>
      </w:r>
    </w:p>
    <w:p w14:paraId="2EEBF012" w14:textId="54A696F8" w:rsidR="00FD24C8" w:rsidRPr="00FD24C8" w:rsidRDefault="00FD24C8" w:rsidP="00FD24C8">
      <w:pPr>
        <w:rPr>
          <w:color w:val="0D0D0D" w:themeColor="text1" w:themeTint="F2"/>
        </w:rPr>
      </w:pPr>
      <w:r w:rsidRPr="00FD24C8">
        <w:rPr>
          <w:b/>
          <w:bCs/>
          <w:color w:val="0D0D0D" w:themeColor="text1" w:themeTint="F2"/>
        </w:rPr>
        <w:t>Knowledge sharing platform for DFS security:</w:t>
      </w:r>
      <w:r>
        <w:rPr>
          <w:color w:val="0D0D0D" w:themeColor="text1" w:themeTint="F2"/>
        </w:rPr>
        <w:t xml:space="preserve"> </w:t>
      </w:r>
      <w:r w:rsidR="007D0AE5">
        <w:rPr>
          <w:color w:val="0D0D0D" w:themeColor="text1" w:themeTint="F2"/>
        </w:rPr>
        <w:t xml:space="preserve">A knowledge sharing platform </w:t>
      </w:r>
      <w:r w:rsidRPr="00FD24C8">
        <w:rPr>
          <w:color w:val="0D0D0D" w:themeColor="text1" w:themeTint="F2"/>
        </w:rPr>
        <w:t xml:space="preserve">for DFS security, </w:t>
      </w:r>
      <w:r w:rsidRPr="00C23FAB">
        <w:rPr>
          <w:color w:val="0D0D0D" w:themeColor="text1" w:themeTint="F2"/>
        </w:rPr>
        <w:t>launched in November 2023</w:t>
      </w:r>
      <w:r w:rsidRPr="00FD24C8">
        <w:rPr>
          <w:color w:val="0D0D0D" w:themeColor="text1" w:themeTint="F2"/>
        </w:rPr>
        <w:t xml:space="preserve">, </w:t>
      </w:r>
      <w:r w:rsidR="007D0AE5">
        <w:rPr>
          <w:color w:val="0D0D0D" w:themeColor="text1" w:themeTint="F2"/>
        </w:rPr>
        <w:t>supports collaboration among</w:t>
      </w:r>
      <w:r w:rsidRPr="00FD24C8">
        <w:rPr>
          <w:color w:val="0D0D0D" w:themeColor="text1" w:themeTint="F2"/>
        </w:rPr>
        <w:t xml:space="preserve"> regulators</w:t>
      </w:r>
      <w:r>
        <w:rPr>
          <w:color w:val="0D0D0D" w:themeColor="text1" w:themeTint="F2"/>
        </w:rPr>
        <w:t xml:space="preserve"> and other DFS stakeholders</w:t>
      </w:r>
      <w:r w:rsidR="007D0AE5" w:rsidRPr="00D07B90">
        <w:rPr>
          <w:color w:val="0D0D0D" w:themeColor="text1" w:themeTint="F2"/>
          <w:lang w:val="en-US"/>
        </w:rPr>
        <w:t xml:space="preserve">, aiding them in the implementation of security guidelines and maintaining up-to-date best practices </w:t>
      </w:r>
      <w:r w:rsidR="007D0AE5">
        <w:rPr>
          <w:color w:val="0D0D0D" w:themeColor="text1" w:themeTint="F2"/>
          <w:lang w:val="en-US"/>
        </w:rPr>
        <w:t xml:space="preserve">for DFS security. </w:t>
      </w:r>
      <w:r w:rsidR="007D0AE5">
        <w:rPr>
          <w:color w:val="0D0D0D" w:themeColor="text1" w:themeTint="F2"/>
        </w:rPr>
        <w:t xml:space="preserve">The platform's </w:t>
      </w:r>
      <w:r w:rsidR="0074441F">
        <w:rPr>
          <w:color w:val="0D0D0D" w:themeColor="text1" w:themeTint="F2"/>
        </w:rPr>
        <w:t>enables participants to</w:t>
      </w:r>
      <w:r w:rsidR="007D0AE5">
        <w:rPr>
          <w:color w:val="0D0D0D" w:themeColor="text1" w:themeTint="F2"/>
        </w:rPr>
        <w:t xml:space="preserve">: </w:t>
      </w:r>
    </w:p>
    <w:p w14:paraId="00E41EEB" w14:textId="69FAAB74" w:rsidR="00A74AA3" w:rsidRPr="00D07B90" w:rsidRDefault="00A74AA3" w:rsidP="00770357">
      <w:pPr>
        <w:numPr>
          <w:ilvl w:val="0"/>
          <w:numId w:val="22"/>
        </w:numPr>
        <w:tabs>
          <w:tab w:val="num" w:pos="720"/>
        </w:tabs>
        <w:rPr>
          <w:color w:val="0D0D0D" w:themeColor="text1" w:themeTint="F2"/>
          <w:lang w:val="en-US"/>
        </w:rPr>
      </w:pPr>
      <w:bookmarkStart w:id="77" w:name="_Hlk156299686"/>
      <w:r w:rsidRPr="00D07B90">
        <w:rPr>
          <w:color w:val="0D0D0D" w:themeColor="text1" w:themeTint="F2"/>
          <w:lang w:val="en-US"/>
        </w:rPr>
        <w:t>Collaborate with ITU to keep up to date the DFS security assurance framework security controls and DFS security recommendations.</w:t>
      </w:r>
    </w:p>
    <w:p w14:paraId="39992B4F" w14:textId="77777777" w:rsidR="00A74AA3" w:rsidRPr="00D07B90" w:rsidRDefault="00A74AA3" w:rsidP="00770357">
      <w:pPr>
        <w:numPr>
          <w:ilvl w:val="0"/>
          <w:numId w:val="22"/>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52AB166D" w14:textId="4D837F61" w:rsidR="00A74AA3" w:rsidRPr="00D07B90" w:rsidRDefault="00A74AA3" w:rsidP="00770357">
      <w:pPr>
        <w:numPr>
          <w:ilvl w:val="0"/>
          <w:numId w:val="22"/>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bookmarkEnd w:id="77"/>
    <w:p w14:paraId="23C33FF0" w14:textId="23D74010" w:rsidR="007D0AE5" w:rsidRPr="007D0AE5" w:rsidRDefault="007D0AE5" w:rsidP="007D0AE5">
      <w:pPr>
        <w:rPr>
          <w:color w:val="0D0D0D" w:themeColor="text1" w:themeTint="F2"/>
        </w:rPr>
      </w:pPr>
      <w:r w:rsidRPr="007D0AE5">
        <w:rPr>
          <w:b/>
          <w:bCs/>
          <w:color w:val="0D0D0D" w:themeColor="text1" w:themeTint="F2"/>
        </w:rPr>
        <w:t>Partnership with FNSV</w:t>
      </w:r>
      <w:r>
        <w:rPr>
          <w:b/>
          <w:bCs/>
          <w:color w:val="0D0D0D" w:themeColor="text1" w:themeTint="F2"/>
        </w:rPr>
        <w:t xml:space="preserve"> </w:t>
      </w:r>
      <w:r w:rsidRPr="007D0AE5">
        <w:rPr>
          <w:b/>
          <w:bCs/>
          <w:color w:val="0D0D0D" w:themeColor="text1" w:themeTint="F2"/>
        </w:rPr>
        <w:t>on</w:t>
      </w:r>
      <w:r>
        <w:rPr>
          <w:b/>
          <w:bCs/>
          <w:color w:val="0D0D0D" w:themeColor="text1" w:themeTint="F2"/>
        </w:rPr>
        <w:t xml:space="preserve"> b</w:t>
      </w:r>
      <w:r w:rsidRPr="007D0AE5">
        <w:rPr>
          <w:b/>
          <w:bCs/>
          <w:color w:val="0D0D0D" w:themeColor="text1" w:themeTint="F2"/>
        </w:rPr>
        <w:t xml:space="preserve">lockchain </w:t>
      </w:r>
      <w:r>
        <w:rPr>
          <w:b/>
          <w:bCs/>
          <w:color w:val="0D0D0D" w:themeColor="text1" w:themeTint="F2"/>
        </w:rPr>
        <w:t>s</w:t>
      </w:r>
      <w:r w:rsidRPr="007D0AE5">
        <w:rPr>
          <w:b/>
          <w:bCs/>
          <w:color w:val="0D0D0D" w:themeColor="text1" w:themeTint="F2"/>
        </w:rPr>
        <w:t xml:space="preserve">ecure </w:t>
      </w:r>
      <w:r>
        <w:rPr>
          <w:b/>
          <w:bCs/>
          <w:color w:val="0D0D0D" w:themeColor="text1" w:themeTint="F2"/>
        </w:rPr>
        <w:t>a</w:t>
      </w:r>
      <w:r w:rsidRPr="007D0AE5">
        <w:rPr>
          <w:b/>
          <w:bCs/>
          <w:color w:val="0D0D0D" w:themeColor="text1" w:themeTint="F2"/>
        </w:rPr>
        <w:t>uthentication</w:t>
      </w:r>
      <w:r>
        <w:rPr>
          <w:b/>
          <w:bCs/>
          <w:color w:val="0D0D0D" w:themeColor="text1" w:themeTint="F2"/>
        </w:rPr>
        <w:t xml:space="preserve">: </w:t>
      </w:r>
      <w:r w:rsidRPr="007D0AE5">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1478AF29" w14:textId="6419D7C8" w:rsidR="007D0AE5" w:rsidRDefault="007D0AE5" w:rsidP="007D0AE5">
      <w:pPr>
        <w:rPr>
          <w:color w:val="0D0D0D" w:themeColor="text1" w:themeTint="F2"/>
        </w:rPr>
      </w:pPr>
      <w:r w:rsidRPr="007D0AE5">
        <w:rPr>
          <w:color w:val="0D0D0D" w:themeColor="text1" w:themeTint="F2"/>
        </w:rPr>
        <w:t xml:space="preserve">FNSV is currently participating in ITU-T SG17 </w:t>
      </w:r>
      <w:r>
        <w:rPr>
          <w:color w:val="0D0D0D" w:themeColor="text1" w:themeTint="F2"/>
        </w:rPr>
        <w:t>with the aim of</w:t>
      </w:r>
      <w:r w:rsidRPr="007D0AE5">
        <w:rPr>
          <w:color w:val="0D0D0D" w:themeColor="text1" w:themeTint="F2"/>
        </w:rPr>
        <w:t xml:space="preserve"> standardiz</w:t>
      </w:r>
      <w:r>
        <w:rPr>
          <w:color w:val="0D0D0D" w:themeColor="text1" w:themeTint="F2"/>
        </w:rPr>
        <w:t>ing</w:t>
      </w:r>
      <w:r w:rsidRPr="007D0AE5">
        <w:rPr>
          <w:color w:val="0D0D0D" w:themeColor="text1" w:themeTint="F2"/>
        </w:rPr>
        <w:t xml:space="preserve"> their solution on passwordless authentication using blockchain.</w:t>
      </w:r>
      <w:r>
        <w:rPr>
          <w:color w:val="0D0D0D" w:themeColor="text1" w:themeTint="F2"/>
        </w:rPr>
        <w:t xml:space="preserve"> </w:t>
      </w:r>
      <w:r w:rsidRPr="007D0AE5">
        <w:rPr>
          <w:color w:val="0D0D0D" w:themeColor="text1" w:themeTint="F2"/>
        </w:rPr>
        <w:t xml:space="preserve">Under the collaboration agreement with ITU, FNSV </w:t>
      </w:r>
      <w:r>
        <w:rPr>
          <w:color w:val="0D0D0D" w:themeColor="text1" w:themeTint="F2"/>
        </w:rPr>
        <w:t>is working</w:t>
      </w:r>
      <w:r w:rsidRPr="007D0AE5">
        <w:rPr>
          <w:color w:val="0D0D0D" w:themeColor="text1" w:themeTint="F2"/>
        </w:rPr>
        <w:t xml:space="preserve"> with the DFS Security Lab</w:t>
      </w:r>
      <w:r>
        <w:rPr>
          <w:color w:val="0D0D0D" w:themeColor="text1" w:themeTint="F2"/>
        </w:rPr>
        <w:t xml:space="preserve"> to:</w:t>
      </w:r>
    </w:p>
    <w:p w14:paraId="2A13ACE0" w14:textId="5A5BF041" w:rsidR="007D0AE5" w:rsidRPr="007D0AE5" w:rsidRDefault="007D0AE5" w:rsidP="00770357">
      <w:pPr>
        <w:numPr>
          <w:ilvl w:val="0"/>
          <w:numId w:val="22"/>
        </w:numPr>
        <w:rPr>
          <w:color w:val="0D0D0D" w:themeColor="text1" w:themeTint="F2"/>
        </w:rPr>
      </w:pPr>
      <w:r w:rsidRPr="007D0AE5">
        <w:rPr>
          <w:color w:val="0D0D0D" w:themeColor="text1" w:themeTint="F2"/>
        </w:rPr>
        <w:t>Develop</w:t>
      </w:r>
      <w:r>
        <w:rPr>
          <w:color w:val="0D0D0D" w:themeColor="text1" w:themeTint="F2"/>
        </w:rPr>
        <w:t xml:space="preserve"> </w:t>
      </w:r>
      <w:r w:rsidRPr="007D0AE5">
        <w:rPr>
          <w:color w:val="0D0D0D" w:themeColor="text1" w:themeTint="F2"/>
        </w:rPr>
        <w:t xml:space="preserve">a sandbox/testbed environment for testing passwordless authentication solutions based on blockchain for </w:t>
      </w:r>
      <w:r w:rsidR="00C77C5E">
        <w:rPr>
          <w:color w:val="0D0D0D" w:themeColor="text1" w:themeTint="F2"/>
        </w:rPr>
        <w:t xml:space="preserve">mobile </w:t>
      </w:r>
      <w:r w:rsidRPr="007D0AE5">
        <w:rPr>
          <w:color w:val="0D0D0D" w:themeColor="text1" w:themeTint="F2"/>
        </w:rPr>
        <w:t>payment applications.</w:t>
      </w:r>
    </w:p>
    <w:p w14:paraId="22FEBF33" w14:textId="0ABEE826" w:rsidR="007D0AE5" w:rsidRPr="007D0AE5" w:rsidRDefault="007D0AE5" w:rsidP="00770357">
      <w:pPr>
        <w:numPr>
          <w:ilvl w:val="0"/>
          <w:numId w:val="22"/>
        </w:numPr>
        <w:rPr>
          <w:color w:val="0D0D0D" w:themeColor="text1" w:themeTint="F2"/>
        </w:rPr>
      </w:pPr>
      <w:r>
        <w:rPr>
          <w:color w:val="0D0D0D" w:themeColor="text1" w:themeTint="F2"/>
        </w:rPr>
        <w:t>Provide</w:t>
      </w:r>
      <w:r w:rsidRPr="007D0AE5">
        <w:rPr>
          <w:color w:val="0D0D0D" w:themeColor="text1" w:themeTint="F2"/>
        </w:rPr>
        <w:t xml:space="preserve"> technical guidelines/APIs for </w:t>
      </w:r>
      <w:r>
        <w:rPr>
          <w:color w:val="0D0D0D" w:themeColor="text1" w:themeTint="F2"/>
        </w:rPr>
        <w:t xml:space="preserve">the </w:t>
      </w:r>
      <w:r w:rsidRPr="007D0AE5">
        <w:rPr>
          <w:color w:val="0D0D0D" w:themeColor="text1" w:themeTint="F2"/>
        </w:rPr>
        <w:t>deployment of solution</w:t>
      </w:r>
      <w:r>
        <w:rPr>
          <w:color w:val="0D0D0D" w:themeColor="text1" w:themeTint="F2"/>
        </w:rPr>
        <w:t>s</w:t>
      </w:r>
      <w:r w:rsidRPr="007D0AE5">
        <w:rPr>
          <w:color w:val="0D0D0D" w:themeColor="text1" w:themeTint="F2"/>
        </w:rPr>
        <w:t xml:space="preserve">, </w:t>
      </w:r>
      <w:r>
        <w:rPr>
          <w:color w:val="0D0D0D" w:themeColor="text1" w:themeTint="F2"/>
        </w:rPr>
        <w:t xml:space="preserve">supporting </w:t>
      </w:r>
      <w:r w:rsidRPr="007D0AE5">
        <w:rPr>
          <w:color w:val="0D0D0D" w:themeColor="text1" w:themeTint="F2"/>
        </w:rPr>
        <w:t xml:space="preserve">developers for the activities of the sandbox and </w:t>
      </w:r>
      <w:r>
        <w:rPr>
          <w:color w:val="0D0D0D" w:themeColor="text1" w:themeTint="F2"/>
        </w:rPr>
        <w:t xml:space="preserve">the </w:t>
      </w:r>
      <w:r w:rsidRPr="007D0AE5">
        <w:rPr>
          <w:color w:val="0D0D0D" w:themeColor="text1" w:themeTint="F2"/>
        </w:rPr>
        <w:t xml:space="preserve">testing </w:t>
      </w:r>
      <w:r>
        <w:rPr>
          <w:color w:val="0D0D0D" w:themeColor="text1" w:themeTint="F2"/>
        </w:rPr>
        <w:t xml:space="preserve">of </w:t>
      </w:r>
      <w:r w:rsidRPr="007D0AE5">
        <w:rPr>
          <w:color w:val="0D0D0D" w:themeColor="text1" w:themeTint="F2"/>
        </w:rPr>
        <w:t>authentication solutions.</w:t>
      </w:r>
    </w:p>
    <w:p w14:paraId="06177510" w14:textId="70527894" w:rsidR="007D0AE5" w:rsidRPr="007D0AE5" w:rsidRDefault="007D0AE5" w:rsidP="00770357">
      <w:pPr>
        <w:numPr>
          <w:ilvl w:val="0"/>
          <w:numId w:val="22"/>
        </w:numPr>
        <w:rPr>
          <w:color w:val="0D0D0D" w:themeColor="text1" w:themeTint="F2"/>
        </w:rPr>
      </w:pPr>
      <w:r w:rsidRPr="007D0AE5">
        <w:rPr>
          <w:color w:val="0D0D0D" w:themeColor="text1" w:themeTint="F2"/>
        </w:rPr>
        <w:t>Organiz</w:t>
      </w:r>
      <w:r>
        <w:rPr>
          <w:color w:val="0D0D0D" w:themeColor="text1" w:themeTint="F2"/>
        </w:rPr>
        <w:t>e</w:t>
      </w:r>
      <w:r w:rsidRPr="007D0AE5">
        <w:rPr>
          <w:color w:val="0D0D0D" w:themeColor="text1" w:themeTint="F2"/>
        </w:rPr>
        <w:t xml:space="preserve"> </w:t>
      </w:r>
      <w:r>
        <w:rPr>
          <w:color w:val="0D0D0D" w:themeColor="text1" w:themeTint="F2"/>
        </w:rPr>
        <w:t xml:space="preserve">and </w:t>
      </w:r>
      <w:r w:rsidRPr="007D0AE5">
        <w:rPr>
          <w:color w:val="0D0D0D" w:themeColor="text1" w:themeTint="F2"/>
        </w:rPr>
        <w:t xml:space="preserve">application challenges </w:t>
      </w:r>
      <w:r w:rsidR="00C77C5E">
        <w:rPr>
          <w:color w:val="0D0D0D" w:themeColor="text1" w:themeTint="F2"/>
        </w:rPr>
        <w:t xml:space="preserve">on strong authentication </w:t>
      </w:r>
      <w:r w:rsidRPr="007D0AE5">
        <w:rPr>
          <w:color w:val="0D0D0D" w:themeColor="text1" w:themeTint="F2"/>
        </w:rPr>
        <w:t>using the sandbox environment</w:t>
      </w:r>
      <w:r>
        <w:rPr>
          <w:color w:val="0D0D0D" w:themeColor="text1" w:themeTint="F2"/>
        </w:rPr>
        <w:t xml:space="preserve">. </w:t>
      </w:r>
    </w:p>
    <w:p w14:paraId="3B466CD5" w14:textId="04C99EEF" w:rsidR="007D0AE5" w:rsidRPr="007D0AE5" w:rsidRDefault="007D0AE5" w:rsidP="00770357">
      <w:pPr>
        <w:numPr>
          <w:ilvl w:val="0"/>
          <w:numId w:val="22"/>
        </w:numPr>
        <w:rPr>
          <w:color w:val="0D0D0D" w:themeColor="text1" w:themeTint="F2"/>
        </w:rPr>
      </w:pPr>
      <w:r>
        <w:rPr>
          <w:color w:val="0D0D0D" w:themeColor="text1" w:themeTint="F2"/>
        </w:rPr>
        <w:t>G</w:t>
      </w:r>
      <w:r w:rsidRPr="007D0AE5">
        <w:rPr>
          <w:color w:val="0D0D0D" w:themeColor="text1" w:themeTint="F2"/>
        </w:rPr>
        <w:t>uid</w:t>
      </w:r>
      <w:r>
        <w:rPr>
          <w:color w:val="0D0D0D" w:themeColor="text1" w:themeTint="F2"/>
        </w:rPr>
        <w:t xml:space="preserve">e </w:t>
      </w:r>
      <w:r w:rsidRPr="007D0AE5">
        <w:rPr>
          <w:color w:val="0D0D0D" w:themeColor="text1" w:themeTint="F2"/>
        </w:rPr>
        <w:t>developing countries on how to implement blockchain passwordless authentication solution</w:t>
      </w:r>
      <w:r>
        <w:rPr>
          <w:color w:val="0D0D0D" w:themeColor="text1" w:themeTint="F2"/>
        </w:rPr>
        <w:t>s</w:t>
      </w:r>
      <w:r w:rsidRPr="007D0AE5">
        <w:rPr>
          <w:color w:val="0D0D0D" w:themeColor="text1" w:themeTint="F2"/>
        </w:rPr>
        <w:t xml:space="preserve"> and how regulators can assess the security of such solutions and verify </w:t>
      </w:r>
      <w:r>
        <w:rPr>
          <w:color w:val="0D0D0D" w:themeColor="text1" w:themeTint="F2"/>
        </w:rPr>
        <w:t xml:space="preserve">their </w:t>
      </w:r>
      <w:r w:rsidRPr="007D0AE5">
        <w:rPr>
          <w:color w:val="0D0D0D" w:themeColor="text1" w:themeTint="F2"/>
        </w:rPr>
        <w:t xml:space="preserve">compliance </w:t>
      </w:r>
      <w:r>
        <w:rPr>
          <w:color w:val="0D0D0D" w:themeColor="text1" w:themeTint="F2"/>
        </w:rPr>
        <w:t xml:space="preserve">with </w:t>
      </w:r>
      <w:r w:rsidRPr="007D0AE5">
        <w:rPr>
          <w:color w:val="0D0D0D" w:themeColor="text1" w:themeTint="F2"/>
        </w:rPr>
        <w:t xml:space="preserve">regulations in areas such as data protection and privacy. </w:t>
      </w:r>
    </w:p>
    <w:p w14:paraId="7DF477E7" w14:textId="6D316DFB" w:rsidR="005065DB" w:rsidRDefault="007D0AE5" w:rsidP="00D07B90">
      <w:pPr>
        <w:rPr>
          <w:color w:val="0D0D0D" w:themeColor="text1" w:themeTint="F2"/>
        </w:rPr>
      </w:pPr>
      <w:r>
        <w:rPr>
          <w:b/>
          <w:bCs/>
          <w:color w:val="0D0D0D" w:themeColor="text1" w:themeTint="F2"/>
        </w:rPr>
        <w:t>ITU-T SG17</w:t>
      </w:r>
      <w:r w:rsidR="005065DB">
        <w:rPr>
          <w:b/>
          <w:bCs/>
          <w:color w:val="0D0D0D" w:themeColor="text1" w:themeTint="F2"/>
        </w:rPr>
        <w:t xml:space="preserve"> work with DFS Security Lab reports</w:t>
      </w:r>
      <w:r>
        <w:rPr>
          <w:b/>
          <w:bCs/>
          <w:color w:val="0D0D0D" w:themeColor="text1" w:themeTint="F2"/>
        </w:rPr>
        <w:t>:</w:t>
      </w:r>
      <w:r w:rsidR="005065DB">
        <w:rPr>
          <w:b/>
          <w:bCs/>
          <w:color w:val="0D0D0D" w:themeColor="text1" w:themeTint="F2"/>
        </w:rPr>
        <w:t xml:space="preserve"> </w:t>
      </w:r>
      <w:r w:rsidR="005065DB" w:rsidRPr="005065DB">
        <w:rPr>
          <w:color w:val="0D0D0D" w:themeColor="text1" w:themeTint="F2"/>
        </w:rPr>
        <w:t xml:space="preserve">ITU-T X.1150 " Security assurance framework for digital financial services" was determined in September 2023, developed by ITU-T SG17. A new standard, "Security guidelines for DFS applications based on USSD and STK", and a new supplement, "e-KYC use cases in digital financial services" are under development in ITU-T SG17. These three activities are based </w:t>
      </w:r>
      <w:r w:rsidR="005065DB">
        <w:rPr>
          <w:color w:val="0D0D0D" w:themeColor="text1" w:themeTint="F2"/>
        </w:rPr>
        <w:t xml:space="preserve">on </w:t>
      </w:r>
      <w:r w:rsidR="005065DB" w:rsidRPr="005065DB">
        <w:rPr>
          <w:color w:val="0D0D0D" w:themeColor="text1" w:themeTint="F2"/>
        </w:rPr>
        <w:t xml:space="preserve">outcomes of FIGI. </w:t>
      </w:r>
    </w:p>
    <w:p w14:paraId="14499620" w14:textId="76A87EDB" w:rsidR="00C77C5E" w:rsidRDefault="00C77C5E" w:rsidP="00D07B90">
      <w:pPr>
        <w:rPr>
          <w:b/>
          <w:bCs/>
          <w:color w:val="0D0D0D" w:themeColor="text1" w:themeTint="F2"/>
        </w:rPr>
      </w:pPr>
      <w:r w:rsidRPr="00C77C5E">
        <w:rPr>
          <w:b/>
          <w:bCs/>
          <w:color w:val="0D0D0D" w:themeColor="text1" w:themeTint="F2"/>
        </w:rPr>
        <w:t xml:space="preserve">Collaboration with UPU: </w:t>
      </w:r>
      <w:r w:rsidRPr="00C77C5E">
        <w:rPr>
          <w:color w:val="0D0D0D" w:themeColor="text1" w:themeTint="F2"/>
        </w:rPr>
        <w:t xml:space="preserve">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w:t>
      </w:r>
      <w:r>
        <w:rPr>
          <w:color w:val="0D0D0D" w:themeColor="text1" w:themeTint="F2"/>
        </w:rPr>
        <w:t>s</w:t>
      </w:r>
      <w:r w:rsidRPr="00C77C5E">
        <w:rPr>
          <w:color w:val="0D0D0D" w:themeColor="text1" w:themeTint="F2"/>
        </w:rPr>
        <w:t xml:space="preserve">ecurity </w:t>
      </w:r>
      <w:r>
        <w:rPr>
          <w:color w:val="0D0D0D" w:themeColor="text1" w:themeTint="F2"/>
        </w:rPr>
        <w:t>r</w:t>
      </w:r>
      <w:r w:rsidRPr="00C77C5E">
        <w:rPr>
          <w:color w:val="0D0D0D" w:themeColor="text1" w:themeTint="F2"/>
        </w:rPr>
        <w:t xml:space="preserve">ecommendations. For 2024, the DFS Security Lab is planning to conduct security </w:t>
      </w:r>
      <w:r w:rsidRPr="00C77C5E">
        <w:rPr>
          <w:color w:val="0D0D0D" w:themeColor="text1" w:themeTint="F2"/>
        </w:rPr>
        <w:lastRenderedPageBreak/>
        <w:t>test</w:t>
      </w:r>
      <w:r>
        <w:rPr>
          <w:color w:val="0D0D0D" w:themeColor="text1" w:themeTint="F2"/>
        </w:rPr>
        <w:t>s</w:t>
      </w:r>
      <w:r w:rsidRPr="00C77C5E">
        <w:rPr>
          <w:color w:val="0D0D0D" w:themeColor="text1" w:themeTint="F2"/>
        </w:rPr>
        <w:t xml:space="preserve"> on mobile payment applications used by </w:t>
      </w:r>
      <w:r>
        <w:rPr>
          <w:color w:val="0D0D0D" w:themeColor="text1" w:themeTint="F2"/>
        </w:rPr>
        <w:t>p</w:t>
      </w:r>
      <w:r w:rsidRPr="00C77C5E">
        <w:rPr>
          <w:color w:val="0D0D0D" w:themeColor="text1" w:themeTint="F2"/>
        </w:rPr>
        <w:t xml:space="preserve">osts and provide guidance on </w:t>
      </w:r>
      <w:r>
        <w:rPr>
          <w:color w:val="0D0D0D" w:themeColor="text1" w:themeTint="F2"/>
        </w:rPr>
        <w:t xml:space="preserve">the </w:t>
      </w:r>
      <w:r w:rsidRPr="00C77C5E">
        <w:rPr>
          <w:color w:val="0D0D0D" w:themeColor="text1" w:themeTint="F2"/>
        </w:rPr>
        <w:t>adoption of the security best practices for mobile payment apps.</w:t>
      </w:r>
    </w:p>
    <w:p w14:paraId="1A0AEB14" w14:textId="6EB63F90" w:rsidR="005404EF" w:rsidRPr="00C32576" w:rsidRDefault="006279A8" w:rsidP="0048381E">
      <w:pPr>
        <w:pStyle w:val="Heading2"/>
      </w:pPr>
      <w:bookmarkStart w:id="78" w:name="_5.3_Smart_cities"/>
      <w:bookmarkStart w:id="79" w:name="_5.4_Digital_transformation"/>
      <w:bookmarkStart w:id="80" w:name="_Toc156392417"/>
      <w:bookmarkEnd w:id="76"/>
      <w:bookmarkEnd w:id="78"/>
      <w:bookmarkEnd w:id="79"/>
      <w:r>
        <w:t>5</w:t>
      </w:r>
      <w:r w:rsidR="005404EF" w:rsidRPr="00C32576">
        <w:t>.</w:t>
      </w:r>
      <w:r w:rsidR="00AF18F5">
        <w:t>4</w:t>
      </w:r>
      <w:r w:rsidR="005404EF" w:rsidRPr="00C32576">
        <w:tab/>
      </w:r>
      <w:r w:rsidR="003246C6">
        <w:t>Digital transformation for s</w:t>
      </w:r>
      <w:r w:rsidR="005404EF" w:rsidRPr="00C32576">
        <w:t xml:space="preserve">mart cities and </w:t>
      </w:r>
      <w:r w:rsidR="005404EF" w:rsidRPr="00C5776F">
        <w:t>communities</w:t>
      </w:r>
      <w:bookmarkEnd w:id="80"/>
    </w:p>
    <w:p w14:paraId="3B784D1D" w14:textId="72DA5621" w:rsidR="00C309A5" w:rsidRDefault="00C309A5" w:rsidP="00D54EFE">
      <w:bookmarkStart w:id="81" w:name="_Hlk120615721"/>
      <w:r>
        <w:t xml:space="preserve">For an overview of </w:t>
      </w:r>
      <w:r w:rsidRPr="00C309A5">
        <w:t>initiatives, events</w:t>
      </w:r>
      <w:r>
        <w:t xml:space="preserve"> </w:t>
      </w:r>
      <w:r w:rsidRPr="00C309A5">
        <w:t xml:space="preserve">and projects on digital transformation, smart cities and metaverse undertaken by </w:t>
      </w:r>
      <w:r>
        <w:t xml:space="preserve">TSB in 2023, see </w:t>
      </w:r>
      <w:hyperlink r:id="rId82" w:history="1">
        <w:r w:rsidRPr="00C309A5">
          <w:rPr>
            <w:rStyle w:val="Hyperlink"/>
          </w:rPr>
          <w:t>web page</w:t>
        </w:r>
      </w:hyperlink>
      <w:r>
        <w:t xml:space="preserve"> and </w:t>
      </w:r>
      <w:hyperlink r:id="rId83" w:history="1">
        <w:r w:rsidRPr="00C309A5">
          <w:rPr>
            <w:rStyle w:val="Hyperlink"/>
          </w:rPr>
          <w:t>report</w:t>
        </w:r>
      </w:hyperlink>
      <w:r>
        <w:t xml:space="preserve"> covering 2023 activities. </w:t>
      </w:r>
    </w:p>
    <w:p w14:paraId="61419D66" w14:textId="15BAB582" w:rsidR="007D2B4F" w:rsidRDefault="007D2B4F" w:rsidP="00D54EFE">
      <w:r w:rsidRPr="00345800">
        <w:t>The</w:t>
      </w:r>
      <w:r>
        <w:t xml:space="preserve"> </w:t>
      </w:r>
      <w:hyperlink r:id="rId84" w:history="1">
        <w:r w:rsidRPr="00DF623F">
          <w:rPr>
            <w:rStyle w:val="Hyperlink"/>
          </w:rPr>
          <w:t>ITU webinar series on digital transformation</w:t>
        </w:r>
      </w:hyperlink>
      <w:r>
        <w:t xml:space="preserve"> featured 19 webinars in 2023 on topics ranging from the digital transformation of urban environments and fashion in the metaverse to the ethical use of technology for animals and the interplay between human rights and technology. Each webinar summary is added to an </w:t>
      </w:r>
      <w:hyperlink r:id="rId85" w:history="1">
        <w:r w:rsidRPr="007D2B4F">
          <w:rPr>
            <w:rStyle w:val="Hyperlink"/>
          </w:rPr>
          <w:t>outcome document</w:t>
        </w:r>
      </w:hyperlink>
      <w:r>
        <w:t xml:space="preserve"> offering an overview of key themes and discussions. </w:t>
      </w:r>
    </w:p>
    <w:p w14:paraId="376DE531" w14:textId="110E00CE" w:rsidR="00DE4DA1" w:rsidRDefault="00656EC4" w:rsidP="00D54EFE">
      <w:r>
        <w:t xml:space="preserve">The </w:t>
      </w:r>
      <w:hyperlink r:id="rId86">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144E30">
        <w:t>9</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1"/>
    <w:p w14:paraId="4A47C9C2" w14:textId="5B698B7C" w:rsidR="00CC593C" w:rsidRPr="0032347F" w:rsidRDefault="00C34764" w:rsidP="00D54EFE">
      <w:pPr>
        <w:rPr>
          <w:lang w:val="en-US"/>
        </w:rPr>
      </w:pPr>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87"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88" w:history="1">
        <w:r w:rsidR="00DE4DA1" w:rsidRPr="00D20714">
          <w:rPr>
            <w:rStyle w:val="Hyperlink"/>
          </w:rPr>
          <w:t>city snapshots, factsheets</w:t>
        </w:r>
        <w:r w:rsidR="000A63EC" w:rsidRPr="00D20714">
          <w:rPr>
            <w:rStyle w:val="Hyperlink"/>
          </w:rPr>
          <w:t>,</w:t>
        </w:r>
        <w:r w:rsidR="00DE4DA1" w:rsidRPr="00D20714">
          <w:rPr>
            <w:rStyle w:val="Hyperlink"/>
          </w:rPr>
          <w:t xml:space="preserve"> verification report</w:t>
        </w:r>
        <w:bookmarkStart w:id="82" w:name="_Hlk120615772"/>
        <w:r w:rsidR="00D20714" w:rsidRPr="00D20714">
          <w:rPr>
            <w:rStyle w:val="Hyperlink"/>
          </w:rPr>
          <w:t>s and case studies</w:t>
        </w:r>
      </w:hyperlink>
      <w:r w:rsidR="00E465C5">
        <w:t>.</w:t>
      </w:r>
      <w:bookmarkEnd w:id="82"/>
      <w:r w:rsidR="0032347F">
        <w:t xml:space="preserve"> </w:t>
      </w:r>
    </w:p>
    <w:p w14:paraId="2EE492A2" w14:textId="3D76110E" w:rsidR="002511AC" w:rsidRPr="00C32576" w:rsidRDefault="002511AC" w:rsidP="00D54EFE">
      <w:r>
        <w:t xml:space="preserve">The </w:t>
      </w:r>
      <w:hyperlink r:id="rId89" w:history="1">
        <w:r w:rsidRPr="002C1199">
          <w:rPr>
            <w:rStyle w:val="Hyperlink"/>
          </w:rPr>
          <w:t>seventh U4SSC meeting</w:t>
        </w:r>
      </w:hyperlink>
      <w:r>
        <w:t xml:space="preserve"> was held online on 20 June 2023, co-organized by ITU, UNECE and UN-Habitat, organizations which together provide the secretariat for U4SSC. </w:t>
      </w:r>
      <w:r w:rsidR="00375784">
        <w:t xml:space="preserve">Highlights of the meeting included the appointment of the new </w:t>
      </w:r>
      <w:hyperlink r:id="rId90" w:history="1">
        <w:r w:rsidR="00375784" w:rsidRPr="00375784">
          <w:rPr>
            <w:rStyle w:val="Hyperlink"/>
          </w:rPr>
          <w:t>U4SSC management team</w:t>
        </w:r>
      </w:hyperlink>
      <w:r w:rsidR="00375784">
        <w:t xml:space="preserve"> and the announcement of a new U4SSC Country Hub in Kyebi, Ghana. The new country hub is the first in Africa. </w:t>
      </w:r>
    </w:p>
    <w:p w14:paraId="6C9E7D6B" w14:textId="3381A284" w:rsidR="00D54EFE" w:rsidRPr="00C32576" w:rsidRDefault="00375784" w:rsidP="00D54EFE">
      <w:r>
        <w:t xml:space="preserve">In 2023, </w:t>
      </w:r>
      <w:r w:rsidR="00D54EFE" w:rsidRPr="00C32576">
        <w:t>U4SSC</w:t>
      </w:r>
      <w:r w:rsidR="005D6E14" w:rsidRPr="00C32576">
        <w:t xml:space="preserve"> </w:t>
      </w:r>
      <w:r>
        <w:t>worked across six thematic groups</w:t>
      </w:r>
      <w:r w:rsidR="00D54EFE" w:rsidRPr="00C32576">
        <w:t>:</w:t>
      </w:r>
    </w:p>
    <w:p w14:paraId="55C557C5" w14:textId="26CEF8FC"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0EC4F8D6" w14:textId="5C423FE6"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358ADC2B" w14:textId="78CC46C0"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2B2D40D4" w14:textId="46C1F151" w:rsidR="00D54EFE" w:rsidRPr="00C32576"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021CCB61" w14:textId="1DFA15BD" w:rsidR="00D54EFE" w:rsidRDefault="0032347F" w:rsidP="00770357">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01DCEAA0" w14:textId="75D6579F" w:rsidR="00E465C5" w:rsidRPr="0032347F" w:rsidRDefault="0032347F"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3" w:name="_Hlk120615835"/>
    <w:p w14:paraId="7C5E139D" w14:textId="6CEBE7E3" w:rsidR="00E465C5" w:rsidRDefault="00196157" w:rsidP="00E465C5">
      <w:r>
        <w:fldChar w:fldCharType="begin"/>
      </w:r>
      <w:r>
        <w:instrText>HYPERLINK "https://u4ssc.itu.int/publications/"</w:instrText>
      </w:r>
      <w:r>
        <w:fldChar w:fldCharType="separate"/>
      </w:r>
      <w:r w:rsidR="007D2B4F">
        <w:rPr>
          <w:rStyle w:val="Hyperlink"/>
        </w:rPr>
        <w:t>N</w:t>
      </w:r>
      <w:r w:rsidR="00E465C5" w:rsidRPr="00577F44">
        <w:rPr>
          <w:rStyle w:val="Hyperlink"/>
        </w:rPr>
        <w:t xml:space="preserve">ew </w:t>
      </w:r>
      <w:proofErr w:type="spellStart"/>
      <w:r w:rsidR="002679D0">
        <w:rPr>
          <w:rStyle w:val="Hyperlink"/>
        </w:rPr>
        <w:t>U4SSC</w:t>
      </w:r>
      <w:proofErr w:type="spellEnd"/>
      <w:r w:rsidR="002679D0">
        <w:rPr>
          <w:rStyle w:val="Hyperlink"/>
        </w:rPr>
        <w:t xml:space="preserve"> </w:t>
      </w:r>
      <w:r w:rsidR="00E465C5" w:rsidRPr="00577F44">
        <w:rPr>
          <w:rStyle w:val="Hyperlink"/>
        </w:rPr>
        <w:t>reports</w:t>
      </w:r>
      <w:r>
        <w:rPr>
          <w:rStyle w:val="Hyperlink"/>
        </w:rPr>
        <w:fldChar w:fldCharType="end"/>
      </w:r>
      <w:r w:rsidR="00E465C5">
        <w:t xml:space="preserve"> </w:t>
      </w:r>
      <w:r w:rsidR="002679D0">
        <w:t>published in</w:t>
      </w:r>
      <w:r w:rsidR="0032347F">
        <w:t xml:space="preserve"> </w:t>
      </w:r>
      <w:r w:rsidR="007D2B4F">
        <w:t>2023:</w:t>
      </w:r>
    </w:p>
    <w:p w14:paraId="7348D15A" w14:textId="38BE3D71" w:rsidR="0032347F" w:rsidRDefault="0032347F" w:rsidP="00770357">
      <w:pPr>
        <w:pStyle w:val="ListParagraph"/>
        <w:numPr>
          <w:ilvl w:val="0"/>
          <w:numId w:val="14"/>
        </w:numPr>
        <w:spacing w:before="120"/>
        <w:ind w:left="714" w:hanging="357"/>
        <w:contextualSpacing w:val="0"/>
        <w:rPr>
          <w:rFonts w:ascii="Times New Roman" w:hAnsi="Times New Roman"/>
          <w:sz w:val="24"/>
        </w:rPr>
      </w:pPr>
      <w:bookmarkStart w:id="84" w:name="_Hlk120615973"/>
      <w:bookmarkStart w:id="85" w:name="_Hlk120615853"/>
      <w:bookmarkEnd w:id="83"/>
      <w:r w:rsidRPr="0032347F">
        <w:rPr>
          <w:rFonts w:ascii="Times New Roman" w:hAnsi="Times New Roman"/>
          <w:sz w:val="24"/>
        </w:rPr>
        <w:t>Reference framework for integrated management of a smart sustainable city</w:t>
      </w:r>
      <w:r w:rsidR="00C23FAB">
        <w:rPr>
          <w:rFonts w:ascii="Times New Roman" w:hAnsi="Times New Roman"/>
          <w:sz w:val="24"/>
        </w:rPr>
        <w:t xml:space="preserve">: </w:t>
      </w:r>
      <w:r>
        <w:rPr>
          <w:rFonts w:ascii="Times New Roman" w:hAnsi="Times New Roman"/>
          <w:sz w:val="24"/>
        </w:rPr>
        <w:t xml:space="preserve">The framework </w:t>
      </w:r>
      <w:r w:rsidRPr="0032347F">
        <w:rPr>
          <w:rFonts w:ascii="Times New Roman" w:hAnsi="Times New Roman"/>
          <w:sz w:val="24"/>
        </w:rPr>
        <w:t>supports cities in identifying strategic, operational and connectivity need</w:t>
      </w:r>
      <w:r>
        <w:rPr>
          <w:rFonts w:ascii="Times New Roman" w:hAnsi="Times New Roman"/>
          <w:sz w:val="24"/>
        </w:rPr>
        <w:t>s</w:t>
      </w:r>
      <w:r w:rsidR="00C309A5">
        <w:rPr>
          <w:rFonts w:ascii="Times New Roman" w:hAnsi="Times New Roman"/>
          <w:sz w:val="24"/>
        </w:rPr>
        <w:t xml:space="preserve"> and includes a </w:t>
      </w:r>
      <w:r w:rsidRPr="0032347F">
        <w:rPr>
          <w:rFonts w:ascii="Times New Roman" w:hAnsi="Times New Roman"/>
          <w:sz w:val="24"/>
        </w:rPr>
        <w:t xml:space="preserve">high-level methodology </w:t>
      </w:r>
      <w:r w:rsidR="00C309A5">
        <w:rPr>
          <w:rFonts w:ascii="Times New Roman" w:hAnsi="Times New Roman"/>
          <w:sz w:val="24"/>
        </w:rPr>
        <w:t xml:space="preserve">to </w:t>
      </w:r>
      <w:r>
        <w:rPr>
          <w:rFonts w:ascii="Times New Roman" w:hAnsi="Times New Roman"/>
          <w:sz w:val="24"/>
        </w:rPr>
        <w:t>implement</w:t>
      </w:r>
      <w:r w:rsidR="00C309A5">
        <w:rPr>
          <w:rFonts w:ascii="Times New Roman" w:hAnsi="Times New Roman"/>
          <w:sz w:val="24"/>
        </w:rPr>
        <w:t xml:space="preserve"> </w:t>
      </w:r>
      <w:r w:rsidRPr="0032347F">
        <w:rPr>
          <w:rFonts w:ascii="Times New Roman" w:hAnsi="Times New Roman"/>
          <w:sz w:val="24"/>
        </w:rPr>
        <w:t>urban digital infrastructure</w:t>
      </w:r>
      <w:r w:rsidR="00C309A5">
        <w:rPr>
          <w:rFonts w:ascii="Times New Roman" w:hAnsi="Times New Roman"/>
          <w:sz w:val="24"/>
        </w:rPr>
        <w:t xml:space="preserve">. </w:t>
      </w:r>
    </w:p>
    <w:p w14:paraId="259EC6B7" w14:textId="5139F3B8" w:rsidR="00A42B2B" w:rsidRPr="00E465C5" w:rsidRDefault="001E1597"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Procurement guidelines for smart sustainable cities</w:t>
      </w:r>
      <w:r w:rsidR="00C23FAB">
        <w:rPr>
          <w:rFonts w:ascii="Times New Roman" w:hAnsi="Times New Roman"/>
          <w:sz w:val="24"/>
        </w:rPr>
        <w:t xml:space="preserve">: </w:t>
      </w:r>
      <w:r>
        <w:rPr>
          <w:rFonts w:ascii="Times New Roman" w:hAnsi="Times New Roman"/>
          <w:sz w:val="24"/>
        </w:rPr>
        <w:t xml:space="preserve">The guidelines support city officials and their partners in embracing </w:t>
      </w:r>
      <w:r w:rsidRPr="001E1597">
        <w:rPr>
          <w:rFonts w:ascii="Times New Roman" w:hAnsi="Times New Roman"/>
          <w:sz w:val="24"/>
        </w:rPr>
        <w:t>digital commercial approaches that support achieving the SDGs</w:t>
      </w:r>
      <w:bookmarkEnd w:id="84"/>
      <w:r w:rsidR="00A42B2B">
        <w:rPr>
          <w:rFonts w:ascii="Times New Roman" w:hAnsi="Times New Roman"/>
          <w:sz w:val="24"/>
        </w:rPr>
        <w:t>.</w:t>
      </w:r>
    </w:p>
    <w:p w14:paraId="1A1BDACE" w14:textId="44D5F6D0" w:rsidR="001E1597" w:rsidRDefault="001E1597" w:rsidP="00770357">
      <w:pPr>
        <w:pStyle w:val="ListParagraph"/>
        <w:numPr>
          <w:ilvl w:val="0"/>
          <w:numId w:val="14"/>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s</w:t>
      </w:r>
      <w:r w:rsidR="00C23FAB">
        <w:rPr>
          <w:rFonts w:ascii="Times New Roman" w:hAnsi="Times New Roman"/>
          <w:sz w:val="24"/>
        </w:rPr>
        <w:t xml:space="preserve">: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6F264A10" w14:textId="7D4F8C27" w:rsidR="003246C6" w:rsidRDefault="00BB63EF" w:rsidP="003246C6">
      <w:hyperlink r:id="rId91" w:history="1">
        <w:r w:rsidR="007D2B4F">
          <w:rPr>
            <w:rStyle w:val="Hyperlink"/>
          </w:rPr>
          <w:t>N</w:t>
        </w:r>
        <w:r w:rsidR="002679D0" w:rsidRPr="002679D0">
          <w:rPr>
            <w:rStyle w:val="Hyperlink"/>
          </w:rPr>
          <w:t>ew</w:t>
        </w:r>
        <w:r w:rsidR="002679D0">
          <w:rPr>
            <w:rStyle w:val="Hyperlink"/>
          </w:rPr>
          <w:t xml:space="preserve"> ITU</w:t>
        </w:r>
        <w:r w:rsidR="002679D0" w:rsidRPr="002679D0">
          <w:rPr>
            <w:rStyle w:val="Hyperlink"/>
          </w:rPr>
          <w:t xml:space="preserve"> reports</w:t>
        </w:r>
      </w:hyperlink>
      <w:r w:rsidR="002679D0">
        <w:t xml:space="preserve"> published in </w:t>
      </w:r>
      <w:r w:rsidR="0032347F">
        <w:t>2023</w:t>
      </w:r>
      <w:r w:rsidR="003246C6">
        <w:t>:</w:t>
      </w:r>
    </w:p>
    <w:p w14:paraId="1EB766D0" w14:textId="21BA8800" w:rsidR="00E05E52" w:rsidRDefault="00E05E52" w:rsidP="00770357">
      <w:pPr>
        <w:pStyle w:val="ListParagraph"/>
        <w:numPr>
          <w:ilvl w:val="0"/>
          <w:numId w:val="14"/>
        </w:numPr>
        <w:spacing w:before="120"/>
        <w:ind w:left="714" w:hanging="357"/>
        <w:contextualSpacing w:val="0"/>
        <w:rPr>
          <w:rFonts w:ascii="Times New Roman" w:hAnsi="Times New Roman"/>
          <w:sz w:val="24"/>
        </w:rPr>
      </w:pPr>
      <w:r w:rsidRPr="00E05E52">
        <w:rPr>
          <w:rFonts w:ascii="Times New Roman" w:hAnsi="Times New Roman"/>
          <w:sz w:val="24"/>
        </w:rPr>
        <w:t>Guide for smart and sustainable city leader</w:t>
      </w:r>
      <w:r>
        <w:rPr>
          <w:rFonts w:ascii="Times New Roman" w:hAnsi="Times New Roman"/>
          <w:sz w:val="24"/>
        </w:rPr>
        <w:t xml:space="preserve">s: The guide </w:t>
      </w:r>
      <w:r w:rsidRPr="00E05E52">
        <w:rPr>
          <w:rFonts w:ascii="Times New Roman" w:hAnsi="Times New Roman"/>
          <w:sz w:val="24"/>
        </w:rPr>
        <w:t xml:space="preserve">offers a step by-step approach to help city leaders assess their current situation, set goals, develop strategies and monitor progress towards becoming a smart and sustainable city. </w:t>
      </w:r>
    </w:p>
    <w:p w14:paraId="6AE37E64" w14:textId="4D8EA9A2" w:rsidR="00E05E52" w:rsidRDefault="00E05E52" w:rsidP="00770357">
      <w:pPr>
        <w:pStyle w:val="ListParagraph"/>
        <w:numPr>
          <w:ilvl w:val="0"/>
          <w:numId w:val="14"/>
        </w:numPr>
        <w:spacing w:before="120"/>
        <w:ind w:left="714" w:hanging="357"/>
        <w:contextualSpacing w:val="0"/>
        <w:rPr>
          <w:rFonts w:ascii="Times New Roman" w:hAnsi="Times New Roman"/>
          <w:sz w:val="24"/>
        </w:rPr>
      </w:pPr>
      <w:r w:rsidRPr="00E05E52">
        <w:rPr>
          <w:rFonts w:ascii="Times New Roman" w:hAnsi="Times New Roman"/>
          <w:sz w:val="24"/>
        </w:rPr>
        <w:lastRenderedPageBreak/>
        <w:t>Enabling digital transformation in smart sustainable cities – Master plan</w:t>
      </w:r>
      <w:r>
        <w:rPr>
          <w:rFonts w:ascii="Times New Roman" w:hAnsi="Times New Roman"/>
          <w:sz w:val="24"/>
        </w:rPr>
        <w:t>: The report p</w:t>
      </w:r>
      <w:r w:rsidRPr="00E05E52">
        <w:rPr>
          <w:rFonts w:ascii="Times New Roman" w:hAnsi="Times New Roman"/>
          <w:sz w:val="24"/>
        </w:rPr>
        <w:t>rovides a framework for cities to assess their current digital readiness, set goals</w:t>
      </w:r>
      <w:r>
        <w:rPr>
          <w:rFonts w:ascii="Times New Roman" w:hAnsi="Times New Roman"/>
          <w:sz w:val="24"/>
        </w:rPr>
        <w:t xml:space="preserve"> </w:t>
      </w:r>
      <w:r w:rsidRPr="00E05E52">
        <w:rPr>
          <w:rFonts w:ascii="Times New Roman" w:hAnsi="Times New Roman"/>
          <w:sz w:val="24"/>
        </w:rPr>
        <w:t>and develop strategies to enable digital transformation.</w:t>
      </w:r>
    </w:p>
    <w:p w14:paraId="2AF43117" w14:textId="614E9502" w:rsidR="003246C6" w:rsidRDefault="003246C6"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750BFAC5" w14:textId="0C7879BD" w:rsidR="003246C6" w:rsidRDefault="003246C6" w:rsidP="00770357">
      <w:pPr>
        <w:pStyle w:val="ListParagraph"/>
        <w:numPr>
          <w:ilvl w:val="0"/>
          <w:numId w:val="14"/>
        </w:numPr>
        <w:spacing w:before="120"/>
        <w:ind w:left="714" w:hanging="357"/>
        <w:contextualSpacing w:val="0"/>
        <w:rPr>
          <w:rFonts w:ascii="Times New Roman" w:hAnsi="Times New Roman"/>
          <w:sz w:val="24"/>
        </w:rPr>
      </w:pPr>
      <w:r w:rsidRPr="00345800">
        <w:rPr>
          <w:rFonts w:ascii="Times New Roman" w:hAnsi="Times New Roman"/>
          <w:sz w:val="24"/>
        </w:rPr>
        <w:t>Building a people-centered digital future for cities and communities:</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accessible and sustainable digital </w:t>
      </w:r>
      <w:r w:rsidR="002679D0">
        <w:rPr>
          <w:rFonts w:ascii="Times New Roman" w:hAnsi="Times New Roman"/>
          <w:sz w:val="24"/>
        </w:rPr>
        <w:t xml:space="preserve">future, offering </w:t>
      </w:r>
      <w:r w:rsidRPr="00345800">
        <w:rPr>
          <w:rFonts w:ascii="Times New Roman" w:hAnsi="Times New Roman"/>
          <w:sz w:val="24"/>
        </w:rPr>
        <w:t>an overview of</w:t>
      </w:r>
      <w:r w:rsidR="002679D0">
        <w:rPr>
          <w:rFonts w:ascii="Times New Roman" w:hAnsi="Times New Roman"/>
          <w:sz w:val="24"/>
        </w:rPr>
        <w:t xml:space="preserve"> ITU initiatives and standards supporting </w:t>
      </w:r>
      <w:r w:rsidRPr="00345800">
        <w:rPr>
          <w:rFonts w:ascii="Times New Roman" w:hAnsi="Times New Roman"/>
          <w:sz w:val="24"/>
        </w:rPr>
        <w:t>digital</w:t>
      </w:r>
      <w:r w:rsidR="002679D0">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06F0A79B" w14:textId="19D5D891" w:rsidR="003246C6" w:rsidRDefault="003246C6"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w:t>
      </w:r>
      <w:r w:rsidR="002679D0">
        <w:rPr>
          <w:rFonts w:ascii="Times New Roman" w:hAnsi="Times New Roman"/>
          <w:sz w:val="24"/>
        </w:rPr>
        <w:t xml:space="preserve">the report </w:t>
      </w:r>
      <w:r>
        <w:rPr>
          <w:rFonts w:ascii="Times New Roman" w:hAnsi="Times New Roman"/>
          <w:sz w:val="24"/>
        </w:rPr>
        <w:t xml:space="preserve">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p w14:paraId="5B720AE9" w14:textId="1FB5598B" w:rsidR="00E05E52" w:rsidRDefault="00E05E52" w:rsidP="00E05E52">
      <w:pPr>
        <w:rPr>
          <w:lang w:val="en-US"/>
        </w:rPr>
      </w:pPr>
      <w:r>
        <w:t xml:space="preserve">The </w:t>
      </w:r>
      <w:hyperlink r:id="rId92"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inclusivity</w:t>
      </w:r>
      <w:r w:rsidR="00A23A70">
        <w:rPr>
          <w:rFonts w:eastAsia="SimSun" w:cstheme="minorHAnsi"/>
          <w:lang w:val="en-US"/>
        </w:rPr>
        <w:t xml:space="preserve"> </w:t>
      </w:r>
      <w:r w:rsidRPr="00E05E52">
        <w:rPr>
          <w:rFonts w:eastAsia="SimSun" w:cstheme="minorHAnsi"/>
          <w:lang w:val="en-US"/>
        </w:rPr>
        <w:t>and enhancing service delivery</w:t>
      </w:r>
      <w:r>
        <w:rPr>
          <w:rFonts w:eastAsia="SimSun" w:cstheme="minorHAnsi"/>
          <w:lang w:val="en-US"/>
        </w:rPr>
        <w:t xml:space="preserve">. 2023 hosted the release of the latest module of the </w:t>
      </w:r>
      <w:r>
        <w:rPr>
          <w:lang w:val="en-US"/>
        </w:rPr>
        <w:t xml:space="preserve">toolkit, addressing digital agriculture, developed by ITU together with FAO. </w:t>
      </w:r>
    </w:p>
    <w:p w14:paraId="365B6A34" w14:textId="5DFD49AF" w:rsidR="00E05E52" w:rsidRDefault="00E05E52" w:rsidP="00E05E52">
      <w:pPr>
        <w:rPr>
          <w:lang w:val="en-US"/>
        </w:rPr>
      </w:pPr>
      <w:r>
        <w:rPr>
          <w:rFonts w:eastAsia="SimSun" w:cstheme="minorHAnsi"/>
          <w:lang w:val="en-US"/>
        </w:rPr>
        <w:t xml:space="preserve">The </w:t>
      </w:r>
      <w:hyperlink r:id="rId93" w:history="1">
        <w:r w:rsidRPr="00E05E52">
          <w:rPr>
            <w:rStyle w:val="Hyperlink"/>
            <w:rFonts w:eastAsia="SimSun" w:cstheme="minorHAnsi"/>
            <w:lang w:val="en-US"/>
          </w:rPr>
          <w:t>ITU digital transformation resource hub</w:t>
        </w:r>
      </w:hyperlink>
      <w:r>
        <w:rPr>
          <w:rFonts w:eastAsia="SimSun" w:cstheme="minorHAnsi"/>
          <w:lang w:val="en-US"/>
        </w:rPr>
        <w:t xml:space="preserve"> launched in 2023 </w:t>
      </w:r>
      <w:r w:rsidRPr="00E05E52">
        <w:rPr>
          <w:rFonts w:eastAsia="SimSun" w:cstheme="minorHAnsi"/>
          <w:lang w:val="en-US"/>
        </w:rPr>
        <w:t>collects the latest reports, studies and guidelines from ITU and across the web</w:t>
      </w:r>
      <w:r>
        <w:rPr>
          <w:rFonts w:eastAsia="SimSun" w:cstheme="minorHAnsi"/>
          <w:lang w:val="en-US"/>
        </w:rPr>
        <w:t xml:space="preserve">. Its resources are organized in eight </w:t>
      </w:r>
      <w:r w:rsidR="00B84019">
        <w:rPr>
          <w:rFonts w:eastAsia="SimSun" w:cstheme="minorHAnsi"/>
          <w:lang w:val="en-US"/>
        </w:rPr>
        <w:t xml:space="preserve">categories: </w:t>
      </w:r>
    </w:p>
    <w:p w14:paraId="4B668C8D" w14:textId="6BBB52F0"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Smart sustainable cities</w:t>
      </w:r>
    </w:p>
    <w:p w14:paraId="0FB66966"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health &amp; wellbeing</w:t>
      </w:r>
    </w:p>
    <w:p w14:paraId="10824A44"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AI</w:t>
      </w:r>
    </w:p>
    <w:p w14:paraId="14C1A0F0"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IoT</w:t>
      </w:r>
    </w:p>
    <w:p w14:paraId="69421D74"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Blockchain</w:t>
      </w:r>
    </w:p>
    <w:p w14:paraId="30D7105C"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twin</w:t>
      </w:r>
    </w:p>
    <w:p w14:paraId="538C5915" w14:textId="77777777" w:rsid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Metaverse</w:t>
      </w:r>
    </w:p>
    <w:p w14:paraId="21EACC41" w14:textId="53244F9B" w:rsidR="00B84019" w:rsidRPr="00B84019" w:rsidRDefault="00B84019" w:rsidP="00770357">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transformation trends</w:t>
      </w:r>
    </w:p>
    <w:p w14:paraId="075F4101" w14:textId="0E6643B4" w:rsidR="007D6E1F" w:rsidRDefault="006279A8" w:rsidP="00FD62EB">
      <w:pPr>
        <w:pStyle w:val="Heading2"/>
      </w:pPr>
      <w:bookmarkStart w:id="86" w:name="_3.4_Intelligent_transport"/>
      <w:bookmarkStart w:id="87" w:name="_5.4_Environment,_climate"/>
      <w:bookmarkStart w:id="88" w:name="_5.5_Intelligent_transport"/>
      <w:bookmarkStart w:id="89" w:name="_Toc156392418"/>
      <w:bookmarkEnd w:id="60"/>
      <w:bookmarkEnd w:id="85"/>
      <w:bookmarkEnd w:id="86"/>
      <w:bookmarkEnd w:id="87"/>
      <w:bookmarkEnd w:id="88"/>
      <w:r>
        <w:t>5</w:t>
      </w:r>
      <w:r w:rsidR="007C660F" w:rsidRPr="00C32576">
        <w:t>.</w:t>
      </w:r>
      <w:r w:rsidR="00AF18F5">
        <w:t>5</w:t>
      </w:r>
      <w:r w:rsidR="007C660F" w:rsidRPr="00C32576">
        <w:tab/>
      </w:r>
      <w:r w:rsidR="007C660F">
        <w:t>Intelligent transpor</w:t>
      </w:r>
      <w:r w:rsidR="007C660F" w:rsidRPr="00C5776F">
        <w:t>t systems</w:t>
      </w:r>
      <w:bookmarkEnd w:id="89"/>
      <w:r w:rsidR="007C660F">
        <w:t xml:space="preserve"> </w:t>
      </w:r>
      <w:bookmarkStart w:id="90" w:name="_Hlk92287189"/>
    </w:p>
    <w:p w14:paraId="4EA24429" w14:textId="24A29693" w:rsidR="00B84019" w:rsidRDefault="008B405E" w:rsidP="001E31C5">
      <w:bookmarkStart w:id="91" w:name="_Hlk120616326"/>
      <w:r>
        <w:t>The</w:t>
      </w:r>
      <w:r w:rsidR="00B84019">
        <w:t xml:space="preserve"> </w:t>
      </w:r>
      <w:hyperlink r:id="rId94"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Artificial Intelligence in ​the transport sector, sharing unique insight into associated implications for technology, business and regulation.</w:t>
      </w:r>
      <w:r w:rsidR="00B84019">
        <w:t xml:space="preserve"> Its next edition will be held online from 11 to 14 March 2024. </w:t>
      </w:r>
    </w:p>
    <w:p w14:paraId="4708D0B2" w14:textId="18DA0A27" w:rsidR="00B84019" w:rsidRDefault="00B84019" w:rsidP="001E31C5">
      <w:r>
        <w:t xml:space="preserve">The first regional edition of the symposium </w:t>
      </w:r>
      <w:r w:rsidR="0078408C">
        <w:t xml:space="preserve">was held </w:t>
      </w:r>
      <w:r>
        <w:t xml:space="preserve">on 6 October 2023 in Doha, Qatar, moving to Doha together with the </w:t>
      </w:r>
      <w:r w:rsidRPr="00B84019">
        <w:t>Geneva International Motor Show</w:t>
      </w:r>
      <w:r>
        <w:t xml:space="preserve">. The </w:t>
      </w:r>
      <w:r w:rsidR="002C1199">
        <w:t xml:space="preserve">symposium </w:t>
      </w:r>
      <w:r>
        <w:t xml:space="preserve">was organized by ITU and UNECE </w:t>
      </w:r>
      <w:r w:rsidRPr="00B84019">
        <w:t>with support from the Communications Regulatory Authority of Qatar.</w:t>
      </w:r>
      <w:r>
        <w:t xml:space="preserve"> Discussions </w:t>
      </w:r>
      <w:r w:rsidRPr="00B84019">
        <w:t>focus</w:t>
      </w:r>
      <w:r>
        <w:t>ed</w:t>
      </w:r>
      <w:r w:rsidRPr="00B84019">
        <w:t xml:space="preserve"> on opportunities and challenges for Gulf Cooperation Council (GCC) countries.</w:t>
      </w:r>
      <w:bookmarkEnd w:id="91"/>
    </w:p>
    <w:p w14:paraId="5B606D9C" w14:textId="0BDFB26F" w:rsidR="001E31C5" w:rsidRDefault="001E31C5" w:rsidP="001E31C5">
      <w:r w:rsidRPr="00C32576">
        <w:t>The</w:t>
      </w:r>
      <w:r w:rsidR="0044286D">
        <w:t xml:space="preserve"> ITU-led</w:t>
      </w:r>
      <w:r w:rsidRPr="00C32576">
        <w:t xml:space="preserve"> </w:t>
      </w:r>
      <w:hyperlink r:id="rId95"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1F39D80A" w:rsidR="00397BAB" w:rsidRPr="00C32576" w:rsidRDefault="00397BAB" w:rsidP="001E31C5">
      <w:r>
        <w:lastRenderedPageBreak/>
        <w:t xml:space="preserve">CITS has launched a new </w:t>
      </w:r>
      <w:hyperlink r:id="rId96" w:history="1">
        <w:r w:rsidRPr="00397BAB">
          <w:rPr>
            <w:rStyle w:val="Hyperlink"/>
          </w:rPr>
          <w:t>expert group on communications technology for automated driving</w:t>
        </w:r>
      </w:hyperlink>
      <w:r>
        <w:t xml:space="preserve">.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97"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98" w:history="1">
        <w:r w:rsidR="00B84019" w:rsidRPr="00397BAB">
          <w:rPr>
            <w:rStyle w:val="Hyperlink"/>
          </w:rPr>
          <w:t>web portal</w:t>
        </w:r>
      </w:hyperlink>
      <w:r w:rsidR="00B84019">
        <w:t xml:space="preserve"> on </w:t>
      </w:r>
      <w:r>
        <w:t xml:space="preserve">ITS. </w:t>
      </w:r>
    </w:p>
    <w:p w14:paraId="5A5C43A6" w14:textId="17F8A937" w:rsidR="003E2E2A" w:rsidRPr="00C32576" w:rsidRDefault="006279A8" w:rsidP="003E2E2A">
      <w:pPr>
        <w:pStyle w:val="Heading2"/>
      </w:pPr>
      <w:bookmarkStart w:id="92" w:name="_5.6_CTO_and"/>
      <w:bookmarkStart w:id="93" w:name="_Toc156392419"/>
      <w:bookmarkEnd w:id="92"/>
      <w:r>
        <w:t>5</w:t>
      </w:r>
      <w:r w:rsidR="003E2E2A" w:rsidRPr="00C32576">
        <w:t>.</w:t>
      </w:r>
      <w:r>
        <w:t>6</w:t>
      </w:r>
      <w:r w:rsidR="003E2E2A" w:rsidRPr="00C32576">
        <w:tab/>
      </w:r>
      <w:r w:rsidR="003E2E2A">
        <w:t xml:space="preserve">CTO and CxO </w:t>
      </w:r>
      <w:r w:rsidR="003E2E2A" w:rsidRPr="00C5776F">
        <w:t>meetings</w:t>
      </w:r>
      <w:bookmarkEnd w:id="93"/>
    </w:p>
    <w:p w14:paraId="1F793E73" w14:textId="3206F00C" w:rsidR="003E2E2A" w:rsidRDefault="00BB63EF" w:rsidP="003E2E2A">
      <w:hyperlink r:id="rId99"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94"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5C0B5FC4" w:rsidR="00251558" w:rsidRDefault="00FF55D2" w:rsidP="00251558">
      <w:r>
        <w:t xml:space="preserve">The </w:t>
      </w:r>
      <w:r w:rsidR="00C74C19">
        <w:t xml:space="preserve">most recent </w:t>
      </w:r>
      <w:hyperlink r:id="rId100" w:history="1">
        <w:r w:rsidR="00251558" w:rsidRPr="004C3AFB">
          <w:rPr>
            <w:rStyle w:val="Hyperlink"/>
          </w:rPr>
          <w:t xml:space="preserve">CxO </w:t>
        </w:r>
        <w:r w:rsidR="00397BAB">
          <w:rPr>
            <w:rStyle w:val="Hyperlink"/>
          </w:rPr>
          <w:t>Roundtable</w:t>
        </w:r>
      </w:hyperlink>
      <w:r>
        <w:t xml:space="preserve"> </w:t>
      </w:r>
      <w:r w:rsidR="00C74C19">
        <w:t xml:space="preserve">was </w:t>
      </w:r>
      <w:r>
        <w:t xml:space="preserve">held on </w:t>
      </w:r>
      <w:r w:rsidR="00397BAB">
        <w:t xml:space="preserve">5 December 2023 </w:t>
      </w:r>
      <w:r>
        <w:t xml:space="preserve">at the </w:t>
      </w:r>
      <w:r w:rsidR="00251558" w:rsidRPr="00251558">
        <w:t>Telecom Review Leader's Summit</w:t>
      </w:r>
      <w:r>
        <w:t xml:space="preserve"> in </w:t>
      </w:r>
      <w:r w:rsidR="00251558" w:rsidRPr="00251558">
        <w:t xml:space="preserve">Dubai, </w:t>
      </w:r>
      <w:r w:rsidR="00210841">
        <w:t>UAE</w:t>
      </w:r>
      <w:r w:rsidR="00577F44">
        <w:t xml:space="preserve">, </w:t>
      </w:r>
      <w:r w:rsidR="003D374A">
        <w:t xml:space="preserve">with additional participation online, </w:t>
      </w:r>
      <w:r w:rsidR="00577F44">
        <w:t xml:space="preserve">hosted by Telecom Review with the support </w:t>
      </w:r>
      <w:r w:rsidR="00210841">
        <w:t xml:space="preserve">of </w:t>
      </w:r>
      <w:r w:rsidR="00210841" w:rsidRPr="00210841">
        <w:t xml:space="preserve">the support of the UAE Telecommunications and Digital Government Regulatory Authority, du, Huawei and TELUS. </w:t>
      </w:r>
    </w:p>
    <w:p w14:paraId="0D6DB9B6" w14:textId="31C5F6C9" w:rsidR="00C74C19" w:rsidRDefault="00210841" w:rsidP="00251558">
      <w:r w:rsidRPr="00210841">
        <w:t>CxOs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w:t>
      </w:r>
      <w:r w:rsidR="006C6CD3">
        <w:t>,</w:t>
      </w:r>
      <w:r w:rsidRPr="00210841">
        <w:t xml:space="preserve"> and quantum information technologies</w:t>
      </w:r>
      <w:r w:rsidR="007C74BC">
        <w:t>.</w:t>
      </w:r>
      <w:r w:rsidR="007C74BC" w:rsidRPr="00D9258A">
        <w:t xml:space="preserve"> </w:t>
      </w:r>
      <w:r w:rsidR="007C74BC">
        <w:t xml:space="preserve">See </w:t>
      </w:r>
      <w:r w:rsidR="00C642DE">
        <w:t>m</w:t>
      </w:r>
      <w:r w:rsidR="007C74BC">
        <w:t>eeting</w:t>
      </w:r>
      <w:r w:rsidR="00C74C19" w:rsidRPr="00D9258A">
        <w:t xml:space="preserve"> </w:t>
      </w:r>
      <w:hyperlink r:id="rId101" w:history="1">
        <w:r w:rsidR="00C74C19" w:rsidRPr="007C74BC">
          <w:rPr>
            <w:rStyle w:val="Hyperlink"/>
          </w:rPr>
          <w:t>communiqu</w:t>
        </w:r>
        <w:r w:rsidR="00D9258A" w:rsidRPr="007C74BC">
          <w:rPr>
            <w:rStyle w:val="Hyperlink"/>
          </w:rPr>
          <w:t>é</w:t>
        </w:r>
      </w:hyperlink>
      <w:r w:rsidR="007C74BC">
        <w:t xml:space="preserve">. </w:t>
      </w:r>
    </w:p>
    <w:p w14:paraId="3D45D041" w14:textId="6A559EE3" w:rsidR="002A09A2" w:rsidRPr="00C32576" w:rsidRDefault="002A09A2" w:rsidP="002A09A2">
      <w:pPr>
        <w:pStyle w:val="Heading2"/>
      </w:pPr>
      <w:bookmarkStart w:id="95" w:name="_5.7_Green_Digital"/>
      <w:bookmarkStart w:id="96" w:name="_Toc156392420"/>
      <w:bookmarkEnd w:id="95"/>
      <w:r>
        <w:t>5</w:t>
      </w:r>
      <w:r w:rsidRPr="00C32576">
        <w:t>.</w:t>
      </w:r>
      <w:r>
        <w:t>7</w:t>
      </w:r>
      <w:r w:rsidRPr="00C32576">
        <w:tab/>
      </w:r>
      <w:r>
        <w:t xml:space="preserve">Green </w:t>
      </w:r>
      <w:r w:rsidR="00B44AD8">
        <w:t>d</w:t>
      </w:r>
      <w:r>
        <w:t xml:space="preserve">igital </w:t>
      </w:r>
      <w:r w:rsidR="00B44AD8">
        <w:t>a</w:t>
      </w:r>
      <w:r>
        <w:t xml:space="preserve">ction at </w:t>
      </w:r>
      <w:r w:rsidRPr="00C5776F">
        <w:t>COP28</w:t>
      </w:r>
      <w:bookmarkEnd w:id="96"/>
    </w:p>
    <w:p w14:paraId="4F9E16A4" w14:textId="76CEDDFB" w:rsidR="002A09A2" w:rsidRDefault="002A09A2" w:rsidP="002A09A2">
      <w:pPr>
        <w:rPr>
          <w:rFonts w:eastAsiaTheme="minorHAnsi"/>
          <w:lang w:eastAsia="en-US"/>
        </w:rPr>
      </w:pPr>
      <w:r w:rsidRPr="00801F3D">
        <w:rPr>
          <w:rFonts w:eastAsiaTheme="minorHAnsi"/>
          <w:lang w:eastAsia="en-US"/>
        </w:rPr>
        <w:t xml:space="preserve">ITU convened the </w:t>
      </w:r>
      <w:hyperlink r:id="rId102" w:history="1">
        <w:r w:rsidRPr="00777E55">
          <w:rPr>
            <w:rStyle w:val="Hyperlink"/>
            <w:rFonts w:eastAsiaTheme="minorHAnsi"/>
            <w:lang w:eastAsia="en-US"/>
          </w:rPr>
          <w:t>Green Digital Action track at COP28</w:t>
        </w:r>
      </w:hyperlink>
      <w:r w:rsidRPr="00801F3D">
        <w:rPr>
          <w:rFonts w:eastAsiaTheme="minorHAnsi"/>
          <w:lang w:eastAsia="en-US"/>
        </w:rPr>
        <w:t xml:space="preserve"> in Dubai, UAE, </w:t>
      </w:r>
      <w:r w:rsidR="00801F3D" w:rsidRPr="00801F3D">
        <w:rPr>
          <w:rFonts w:eastAsiaTheme="minorHAnsi"/>
          <w:lang w:eastAsia="en-US"/>
        </w:rPr>
        <w:t xml:space="preserve">30 November - 13 December 2023, </w:t>
      </w:r>
      <w:r w:rsidRPr="00801F3D">
        <w:rPr>
          <w:rFonts w:eastAsiaTheme="minorHAnsi"/>
          <w:lang w:eastAsia="en-US"/>
        </w:rPr>
        <w:t xml:space="preserve">together </w:t>
      </w:r>
      <w:r w:rsidR="00801F3D" w:rsidRPr="00801F3D">
        <w:rPr>
          <w:rFonts w:eastAsiaTheme="minorHAnsi"/>
          <w:lang w:eastAsia="en-US"/>
        </w:rPr>
        <w:t xml:space="preserve">with </w:t>
      </w:r>
      <w:r w:rsidRPr="00801F3D">
        <w:rPr>
          <w:rFonts w:eastAsiaTheme="minorHAnsi"/>
          <w:lang w:eastAsia="en-US"/>
        </w:rPr>
        <w:t xml:space="preserve">partners spanning governments, companies, </w:t>
      </w:r>
      <w:r w:rsidR="00801F3D" w:rsidRPr="00801F3D">
        <w:rPr>
          <w:rFonts w:eastAsiaTheme="minorHAnsi"/>
          <w:lang w:eastAsia="en-US"/>
        </w:rPr>
        <w:t xml:space="preserve">industry associations, </w:t>
      </w:r>
      <w:r w:rsidRPr="00801F3D">
        <w:rPr>
          <w:rFonts w:eastAsiaTheme="minorHAnsi"/>
          <w:lang w:eastAsia="en-US"/>
        </w:rPr>
        <w:t>civil society and fellow UN agencies</w:t>
      </w:r>
      <w:r w:rsidR="00801F3D" w:rsidRPr="00801F3D">
        <w:rPr>
          <w:rFonts w:eastAsiaTheme="minorHAnsi"/>
          <w:lang w:eastAsia="en-US"/>
        </w:rPr>
        <w:t xml:space="preserve">. </w:t>
      </w:r>
    </w:p>
    <w:p w14:paraId="6600A67F" w14:textId="786F55BB" w:rsidR="00801F3D" w:rsidRPr="00801F3D" w:rsidRDefault="00801F3D" w:rsidP="002A09A2">
      <w:pPr>
        <w:rPr>
          <w:rFonts w:eastAsiaTheme="minorHAnsi"/>
          <w:lang w:eastAsia="en-US"/>
        </w:rPr>
      </w:pPr>
      <w:r w:rsidRPr="00801F3D">
        <w:rPr>
          <w:rFonts w:eastAsiaTheme="minorHAnsi"/>
          <w:lang w:eastAsia="en-US"/>
        </w:rPr>
        <w:t xml:space="preserve">TSB/ITU-T played a leading role in the facilitation of Green Digital Action activities focused on standardization. </w:t>
      </w:r>
    </w:p>
    <w:p w14:paraId="04086910" w14:textId="77777777" w:rsidR="002A09A2" w:rsidRPr="002A09A2" w:rsidRDefault="002A09A2" w:rsidP="002A09A2">
      <w:pPr>
        <w:rPr>
          <w:rFonts w:eastAsiaTheme="minorHAnsi"/>
          <w:lang w:eastAsia="en-US"/>
        </w:rPr>
      </w:pPr>
      <w:r w:rsidRPr="002A09A2">
        <w:rPr>
          <w:rFonts w:eastAsiaTheme="minorHAnsi"/>
          <w:lang w:eastAsia="en-US"/>
        </w:rPr>
        <w:t>​</w:t>
      </w:r>
      <w:hyperlink r:id="rId103" w:history="1">
        <w:r w:rsidRPr="002A09A2">
          <w:rPr>
            <w:rStyle w:val="Hyperlink"/>
            <w:rFonts w:eastAsiaTheme="minorHAnsi"/>
            <w:lang w:eastAsia="en-US"/>
          </w:rPr>
          <w:t>Among the outcomes</w:t>
        </w:r>
      </w:hyperlink>
      <w:r w:rsidRPr="002A09A2">
        <w:rPr>
          <w:rFonts w:eastAsiaTheme="minorHAnsi"/>
          <w:lang w:eastAsia="en-US"/>
        </w:rPr>
        <w:t> of Green Digital Action at COP28 are:</w:t>
      </w:r>
    </w:p>
    <w:p w14:paraId="51B33CA4" w14:textId="77777777" w:rsidR="002A09A2" w:rsidRPr="002A09A2" w:rsidRDefault="002A09A2" w:rsidP="00770357">
      <w:pPr>
        <w:numPr>
          <w:ilvl w:val="0"/>
          <w:numId w:val="32"/>
        </w:numPr>
        <w:rPr>
          <w:rFonts w:eastAsiaTheme="minorHAnsi"/>
          <w:lang w:eastAsia="en-US"/>
        </w:rPr>
      </w:pPr>
      <w:r w:rsidRPr="002A09A2">
        <w:rPr>
          <w:rFonts w:eastAsiaTheme="minorHAnsi"/>
          <w:lang w:eastAsia="en-US"/>
        </w:rPr>
        <w:t>Corporate agreements on reducing greenhouse gas emissions following science-based targets aligned with the goal of limiting climate warming to 1.5</w:t>
      </w:r>
      <w:r w:rsidRPr="002A09A2">
        <w:rPr>
          <w:rFonts w:eastAsiaTheme="minorHAnsi"/>
          <w:vertAlign w:val="superscript"/>
          <w:lang w:eastAsia="en-US"/>
        </w:rPr>
        <w:t>o</w:t>
      </w:r>
      <w:r w:rsidRPr="002A09A2">
        <w:rPr>
          <w:rFonts w:eastAsiaTheme="minorHAnsi"/>
          <w:lang w:eastAsia="en-US"/>
        </w:rPr>
        <w:t>C, and creating transition plans as well as increasing transparency on emissions data across the tech industry.</w:t>
      </w:r>
    </w:p>
    <w:p w14:paraId="642A3166" w14:textId="77777777" w:rsidR="002A09A2" w:rsidRPr="002A09A2" w:rsidRDefault="002A09A2" w:rsidP="00770357">
      <w:pPr>
        <w:numPr>
          <w:ilvl w:val="0"/>
          <w:numId w:val="32"/>
        </w:numPr>
        <w:rPr>
          <w:rFonts w:eastAsiaTheme="minorHAnsi"/>
          <w:lang w:eastAsia="en-US"/>
        </w:rPr>
      </w:pPr>
      <w:r w:rsidRPr="002A09A2">
        <w:rPr>
          <w:rFonts w:eastAsiaTheme="minorHAnsi"/>
          <w:lang w:eastAsia="en-US"/>
        </w:rPr>
        <w:t>Cross-country collaboration to develop e-waste regulation as a key vehicle to foster a circular tech industry.</w:t>
      </w:r>
    </w:p>
    <w:p w14:paraId="41B5FD62" w14:textId="54E7808E" w:rsidR="002A09A2" w:rsidRPr="002A09A2" w:rsidRDefault="00BB63EF" w:rsidP="00770357">
      <w:pPr>
        <w:numPr>
          <w:ilvl w:val="0"/>
          <w:numId w:val="32"/>
        </w:numPr>
        <w:rPr>
          <w:rFonts w:eastAsiaTheme="minorHAnsi"/>
          <w:lang w:eastAsia="en-US"/>
        </w:rPr>
      </w:pPr>
      <w:hyperlink r:id="rId104" w:history="1">
        <w:r w:rsidR="002A09A2" w:rsidRPr="002A09A2">
          <w:rPr>
            <w:rStyle w:val="Hyperlink"/>
            <w:rFonts w:eastAsiaTheme="minorHAnsi"/>
            <w:lang w:eastAsia="en-US"/>
          </w:rPr>
          <w:t>Joint statement</w:t>
        </w:r>
      </w:hyperlink>
      <w:r w:rsidR="002A09A2" w:rsidRPr="002A09A2">
        <w:rPr>
          <w:rFonts w:eastAsiaTheme="minorHAnsi"/>
          <w:lang w:eastAsia="en-US"/>
        </w:rPr>
        <w:t xml:space="preserve"> by ITU, ISO and IEC on the importance of sustainability being built into technical standards development by design, and standards helping the world reach net-zero emissions and achieve a resource-efficient circular and low-carbon economy.</w:t>
      </w:r>
    </w:p>
    <w:p w14:paraId="7DC65E95" w14:textId="13AB03A2" w:rsidR="002A09A2" w:rsidRPr="002A09A2" w:rsidRDefault="002A09A2" w:rsidP="00770357">
      <w:pPr>
        <w:numPr>
          <w:ilvl w:val="0"/>
          <w:numId w:val="32"/>
        </w:numPr>
        <w:rPr>
          <w:rFonts w:eastAsiaTheme="minorHAnsi"/>
          <w:lang w:eastAsia="en-US"/>
        </w:rPr>
      </w:pPr>
      <w:r w:rsidRPr="002A09A2">
        <w:rPr>
          <w:rFonts w:eastAsiaTheme="minorHAnsi"/>
          <w:lang w:eastAsia="en-US"/>
        </w:rPr>
        <w:t xml:space="preserve">Strengthening of industry and country collaboration on the implementation of environmental sustainability standards through an </w:t>
      </w:r>
      <w:hyperlink r:id="rId105" w:history="1">
        <w:r w:rsidRPr="002A09A2">
          <w:rPr>
            <w:rStyle w:val="Hyperlink"/>
            <w:rFonts w:eastAsiaTheme="minorHAnsi"/>
            <w:lang w:eastAsia="en-US"/>
          </w:rPr>
          <w:t>action plan</w:t>
        </w:r>
      </w:hyperlink>
      <w:r w:rsidRPr="002A09A2">
        <w:rPr>
          <w:rFonts w:eastAsiaTheme="minorHAnsi"/>
          <w:lang w:eastAsia="en-US"/>
        </w:rPr>
        <w:t>.</w:t>
      </w:r>
    </w:p>
    <w:p w14:paraId="3E276CFF" w14:textId="77777777" w:rsidR="002A09A2" w:rsidRDefault="002A09A2" w:rsidP="00770357">
      <w:pPr>
        <w:numPr>
          <w:ilvl w:val="0"/>
          <w:numId w:val="32"/>
        </w:numPr>
        <w:rPr>
          <w:rFonts w:eastAsiaTheme="minorHAnsi"/>
          <w:lang w:eastAsia="en-US"/>
        </w:rPr>
      </w:pPr>
      <w:r w:rsidRPr="002A09A2">
        <w:rPr>
          <w:rFonts w:eastAsiaTheme="minorHAnsi"/>
          <w:lang w:eastAsia="en-US"/>
        </w:rPr>
        <w:t xml:space="preserve">Pledge from the mobile telecommunication and satellite industry to support the Early Warnings for All initiative through cell-broadcast and direct-to-device services to protect </w:t>
      </w:r>
      <w:r w:rsidRPr="002A09A2">
        <w:rPr>
          <w:rFonts w:eastAsiaTheme="minorHAnsi"/>
          <w:lang w:eastAsia="en-US"/>
        </w:rPr>
        <w:lastRenderedPageBreak/>
        <w:t>everyone through life-saving disaster alerts by 2027. A public sector pledge to implement cell-broadcast using a regulatory approach was also made.​</w:t>
      </w:r>
    </w:p>
    <w:p w14:paraId="12A702CA" w14:textId="5FA644C8" w:rsidR="00C02DCB" w:rsidRDefault="00C02DCB" w:rsidP="00C02DCB">
      <w:pPr>
        <w:rPr>
          <w:rFonts w:eastAsiaTheme="minorHAnsi"/>
          <w:lang w:eastAsia="en-US"/>
        </w:rPr>
      </w:pPr>
      <w:r>
        <w:rPr>
          <w:rFonts w:eastAsiaTheme="minorHAnsi"/>
          <w:lang w:eastAsia="en-US"/>
        </w:rPr>
        <w:t>The</w:t>
      </w:r>
      <w:r w:rsidRPr="00C02DCB">
        <w:rPr>
          <w:rFonts w:eastAsiaTheme="minorHAnsi"/>
          <w:lang w:eastAsia="en-US"/>
        </w:rPr>
        <w:t xml:space="preserve"> </w:t>
      </w:r>
      <w:hyperlink r:id="rId106" w:tgtFrame="_blank" w:history="1">
        <w:r w:rsidRPr="00C02DCB">
          <w:rPr>
            <w:rStyle w:val="Hyperlink"/>
            <w:rFonts w:eastAsiaTheme="minorHAnsi"/>
            <w:lang w:eastAsia="en-US"/>
          </w:rPr>
          <w:t>AI/ML Solutions for Climate Change challenge</w:t>
        </w:r>
      </w:hyperlink>
      <w:r w:rsidRPr="00C02DCB">
        <w:rPr>
          <w:rFonts w:eastAsiaTheme="minorHAnsi"/>
          <w:lang w:eastAsia="en-US"/>
        </w:rPr>
        <w:t> </w:t>
      </w:r>
      <w:r>
        <w:rPr>
          <w:rFonts w:eastAsiaTheme="minorHAnsi"/>
          <w:lang w:eastAsia="en-US"/>
        </w:rPr>
        <w:t xml:space="preserve">also </w:t>
      </w:r>
      <w:r w:rsidRPr="00C02DCB">
        <w:rPr>
          <w:rFonts w:eastAsiaTheme="minorHAnsi"/>
          <w:lang w:eastAsia="en-US"/>
        </w:rPr>
        <w:t>culminated at COP28</w:t>
      </w:r>
      <w:r>
        <w:rPr>
          <w:rFonts w:eastAsiaTheme="minorHAnsi"/>
          <w:lang w:eastAsia="en-US"/>
        </w:rPr>
        <w:t xml:space="preserve">. </w:t>
      </w:r>
      <w:r w:rsidRPr="00C02DCB">
        <w:rPr>
          <w:rFonts w:eastAsiaTheme="minorHAnsi"/>
          <w:lang w:eastAsia="en-US"/>
        </w:rPr>
        <w:t>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07" w:tgtFrame="_blank" w:history="1">
        <w:r w:rsidRPr="00C02DCB">
          <w:rPr>
            <w:rStyle w:val="Hyperlink"/>
            <w:rFonts w:eastAsiaTheme="minorHAnsi"/>
            <w:lang w:eastAsia="en-US"/>
          </w:rPr>
          <w:t>AI for Good Innovation Factory</w:t>
        </w:r>
      </w:hyperlink>
      <w:r w:rsidRPr="00C02DCB">
        <w:rPr>
          <w:rFonts w:eastAsiaTheme="minorHAnsi"/>
          <w:lang w:eastAsia="en-US"/>
        </w:rPr>
        <w:t> led by ITU and IAEA.</w:t>
      </w:r>
    </w:p>
    <w:p w14:paraId="27F5DABD" w14:textId="0A4B2626" w:rsidR="0002435B" w:rsidRDefault="006279A8" w:rsidP="0048381E">
      <w:pPr>
        <w:pStyle w:val="Heading1"/>
        <w:spacing w:before="240"/>
      </w:pPr>
      <w:bookmarkStart w:id="97" w:name="_4_Academia"/>
      <w:bookmarkStart w:id="98" w:name="_6_Academia"/>
      <w:bookmarkStart w:id="99" w:name="_Toc156392421"/>
      <w:bookmarkStart w:id="100" w:name="_Hlk92298430"/>
      <w:bookmarkEnd w:id="90"/>
      <w:bookmarkEnd w:id="94"/>
      <w:bookmarkEnd w:id="97"/>
      <w:bookmarkEnd w:id="98"/>
      <w:r>
        <w:t>6</w:t>
      </w:r>
      <w:r w:rsidR="0002435B" w:rsidRPr="00C32576">
        <w:tab/>
        <w:t>Acade</w:t>
      </w:r>
      <w:r w:rsidR="0002435B" w:rsidRPr="00C5776F">
        <w:t>mia</w:t>
      </w:r>
      <w:bookmarkEnd w:id="99"/>
    </w:p>
    <w:p w14:paraId="0B568CA4" w14:textId="5B635696" w:rsidR="00794706" w:rsidRPr="00794706" w:rsidRDefault="00BB63EF" w:rsidP="00794706">
      <w:hyperlink r:id="rId108" w:history="1">
        <w:r w:rsidR="00973621" w:rsidRPr="00617C11">
          <w:rPr>
            <w:rStyle w:val="Hyperlink"/>
          </w:rPr>
          <w:t>ITU Academia membership</w:t>
        </w:r>
      </w:hyperlink>
      <w:r w:rsidR="00794706">
        <w:t>, the</w:t>
      </w:r>
      <w:r w:rsidR="00794706" w:rsidRPr="00C32576">
        <w:t xml:space="preserve"> </w:t>
      </w:r>
      <w:hyperlink r:id="rId109" w:history="1">
        <w:r w:rsidR="00794706" w:rsidRPr="00C32576">
          <w:rPr>
            <w:rStyle w:val="Hyperlink"/>
          </w:rPr>
          <w:t>ITU Journal on Future and Evolving Technologies</w:t>
        </w:r>
      </w:hyperlink>
      <w:r w:rsidR="003D374A">
        <w:t xml:space="preserve">, </w:t>
      </w:r>
      <w:r w:rsidR="00F15D4B">
        <w:t xml:space="preserve">and </w:t>
      </w:r>
      <w:hyperlink r:id="rId110"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1" w:name="_Toc156392422"/>
      <w:r>
        <w:t>6</w:t>
      </w:r>
      <w:r w:rsidR="0002435B" w:rsidRPr="00C32576">
        <w:t>.1</w:t>
      </w:r>
      <w:r w:rsidR="0002435B" w:rsidRPr="00C32576">
        <w:tab/>
        <w:t>ITU Jou</w:t>
      </w:r>
      <w:r w:rsidR="0002435B" w:rsidRPr="00C5776F">
        <w:t>rnal</w:t>
      </w:r>
      <w:bookmarkEnd w:id="101"/>
    </w:p>
    <w:p w14:paraId="60F38547" w14:textId="3298CACD" w:rsidR="00F15D4B" w:rsidRDefault="00E00BE5" w:rsidP="00E00BE5">
      <w:r w:rsidRPr="00C32576">
        <w:t xml:space="preserve">The </w:t>
      </w:r>
      <w:hyperlink r:id="rId111"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p>
    <w:p w14:paraId="48B50E56" w14:textId="67B970B6" w:rsidR="00210841" w:rsidRDefault="008523F2" w:rsidP="00E00BE5">
      <w:r>
        <w:t xml:space="preserve">The journal </w:t>
      </w:r>
      <w:r w:rsidRPr="008523F2">
        <w:t>includes </w:t>
      </w:r>
      <w:hyperlink r:id="rId112"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210841">
        <w:t xml:space="preserve">The </w:t>
      </w:r>
      <w:r>
        <w:t xml:space="preserve">special series of journal webinars </w:t>
      </w:r>
      <w:r w:rsidR="00210841">
        <w:t xml:space="preserve">with industry leaders, launched in June 2023, has hosted talks from </w:t>
      </w:r>
      <w:r w:rsidR="00210841" w:rsidRPr="00210841">
        <w:t>NTT DOCOMO, O-RAN Alliance, GSMA</w:t>
      </w:r>
      <w:r w:rsidR="00210841">
        <w:t xml:space="preserve">, </w:t>
      </w:r>
      <w:r w:rsidR="00210841" w:rsidRPr="00210841">
        <w:t>Nokia</w:t>
      </w:r>
      <w:r w:rsidR="00210841">
        <w:t xml:space="preserve"> and China Mobile. </w:t>
      </w:r>
    </w:p>
    <w:p w14:paraId="0C024E22" w14:textId="48228CB8" w:rsidR="00F65E41" w:rsidRDefault="00F65E41" w:rsidP="00E00BE5">
      <w:r>
        <w:t>The latest issue of the ITU Journal (Volume 4 (2023), Issue 4) focuses on innovations to power the metaverse and AI for accessibility. It also features research on</w:t>
      </w:r>
      <w:r w:rsidRPr="00F65E41">
        <w:t> vehicle-to-everything communications, edge computing, and low-earth orbit satellite networking.</w:t>
      </w:r>
    </w:p>
    <w:p w14:paraId="66648BF1" w14:textId="2F7B461B" w:rsidR="00210841" w:rsidRDefault="00F65E41" w:rsidP="00E00BE5">
      <w:r>
        <w:t>Volume 4</w:t>
      </w:r>
      <w:r w:rsidR="00B035B9">
        <w:t>, Issue 3</w:t>
      </w:r>
      <w:r>
        <w:t xml:space="preserve"> </w:t>
      </w:r>
      <w:r w:rsidRPr="00F65E41">
        <w:t>features research on network automation</w:t>
      </w:r>
      <w:r w:rsidR="00B010C3">
        <w:t xml:space="preserve"> and the resulting network dynamism key to 5G and beyond.</w:t>
      </w:r>
      <w:r>
        <w:t xml:space="preserve"> </w:t>
      </w:r>
      <w:r w:rsidRPr="00F65E41">
        <w:t>It also shares insights on solutions developed as part of ITU’s AI/ML in 5G Challenge (third edition)</w:t>
      </w:r>
      <w:r>
        <w:t xml:space="preserve">. </w:t>
      </w:r>
    </w:p>
    <w:p w14:paraId="355F2203" w14:textId="1B91FA75" w:rsidR="00F65E41" w:rsidRDefault="00B035B9" w:rsidP="00E00BE5">
      <w:r>
        <w:t xml:space="preserve">Volume 4, Issue 2 </w:t>
      </w:r>
      <w:r w:rsidR="00F65E41" w:rsidRPr="00F65E41">
        <w:t>features research on network orchestration and security for 5G and beyond, sharing insights on advances in network intelligence and automation helping to meet rapidly evolving service demands.</w:t>
      </w:r>
    </w:p>
    <w:p w14:paraId="09591F34" w14:textId="77777777" w:rsidR="00B035B9" w:rsidRDefault="00B035B9" w:rsidP="00210841">
      <w:r>
        <w:t xml:space="preserve">Volume 4, Issue 1 </w:t>
      </w:r>
      <w:r w:rsidR="007C74BC" w:rsidRPr="007C74BC">
        <w:t>features research on innovative network solutions for future services, intelligent surfaces, and gigahertz-to-terahertz (GHz-to-THz) broadband communications for 6G non-terrestrial networks</w:t>
      </w:r>
      <w:r>
        <w:t>.</w:t>
      </w:r>
    </w:p>
    <w:p w14:paraId="09996049" w14:textId="4FB1F401" w:rsidR="00150F5F" w:rsidRDefault="00B035B9" w:rsidP="00B035B9">
      <w:r>
        <w:t xml:space="preserve">In addition to papers on other topics published in 2023, </w:t>
      </w:r>
      <w:r w:rsidR="00210841" w:rsidRPr="00210841">
        <w:t xml:space="preserve">Volume 4 </w:t>
      </w:r>
      <w:r>
        <w:t xml:space="preserve">includes papers from the </w:t>
      </w:r>
      <w:r w:rsidR="00210841" w:rsidRPr="00210841">
        <w:t>following special issues​:</w:t>
      </w:r>
      <w:bookmarkStart w:id="102" w:name="_Hlk120564161"/>
      <w:r w:rsidR="00F15D4B" w:rsidRPr="00F15D4B">
        <w:t xml:space="preserve"> </w:t>
      </w:r>
    </w:p>
    <w:p w14:paraId="5912E2F2" w14:textId="7F7C0DF3" w:rsidR="00B035B9" w:rsidRDefault="00B035B9" w:rsidP="00770357">
      <w:pPr>
        <w:numPr>
          <w:ilvl w:val="0"/>
          <w:numId w:val="19"/>
        </w:numPr>
      </w:pPr>
      <w:r>
        <w:t>Innovative network solutions for future services</w:t>
      </w:r>
    </w:p>
    <w:p w14:paraId="449932A8" w14:textId="3089518E" w:rsidR="00B035B9" w:rsidRDefault="00B035B9" w:rsidP="00770357">
      <w:pPr>
        <w:numPr>
          <w:ilvl w:val="0"/>
          <w:numId w:val="19"/>
        </w:numPr>
      </w:pPr>
      <w:r>
        <w:t>Intelligent surfaces and their applications towards wide-scale deployment</w:t>
      </w:r>
    </w:p>
    <w:p w14:paraId="44394194" w14:textId="724625EE" w:rsidR="00B035B9" w:rsidRDefault="00B035B9" w:rsidP="00770357">
      <w:pPr>
        <w:numPr>
          <w:ilvl w:val="0"/>
          <w:numId w:val="19"/>
        </w:numPr>
      </w:pPr>
      <w:r>
        <w:t>AI-driven security in 5G and beyond</w:t>
      </w:r>
    </w:p>
    <w:p w14:paraId="0087CC96" w14:textId="53852E4B" w:rsidR="00B035B9" w:rsidRDefault="00B035B9" w:rsidP="00770357">
      <w:pPr>
        <w:numPr>
          <w:ilvl w:val="0"/>
          <w:numId w:val="19"/>
        </w:numPr>
      </w:pPr>
      <w:r>
        <w:t>Network virtualization, slicing, orchestration, fog and edge platforms for 5G and 6G wireless systems</w:t>
      </w:r>
    </w:p>
    <w:p w14:paraId="0F2A890C" w14:textId="3F992CF7" w:rsidR="00B035B9" w:rsidRDefault="00B035B9" w:rsidP="00770357">
      <w:pPr>
        <w:numPr>
          <w:ilvl w:val="0"/>
          <w:numId w:val="19"/>
        </w:numPr>
      </w:pPr>
      <w:r>
        <w:t>AI and machine learning solutions in 5G and future networks</w:t>
      </w:r>
    </w:p>
    <w:p w14:paraId="6DD84B20" w14:textId="3B68EC3D" w:rsidR="00B035B9" w:rsidRDefault="00B035B9" w:rsidP="00770357">
      <w:pPr>
        <w:numPr>
          <w:ilvl w:val="0"/>
          <w:numId w:val="19"/>
        </w:numPr>
      </w:pPr>
      <w:r>
        <w:t>AI for accessibility</w:t>
      </w:r>
    </w:p>
    <w:p w14:paraId="0E7AC6A3" w14:textId="12BF1166" w:rsidR="00B035B9" w:rsidRDefault="00B035B9" w:rsidP="00770357">
      <w:pPr>
        <w:numPr>
          <w:ilvl w:val="0"/>
          <w:numId w:val="19"/>
        </w:numPr>
      </w:pPr>
      <w:r>
        <w:t>Metaverse: Communications, networking and computing</w:t>
      </w:r>
    </w:p>
    <w:p w14:paraId="0043174E" w14:textId="676BEF7C" w:rsidR="00B035B9" w:rsidRPr="00B035B9" w:rsidRDefault="00B035B9" w:rsidP="00B035B9">
      <w:r w:rsidRPr="00B035B9">
        <w:t>Upcoming issues of the</w:t>
      </w:r>
      <w:r w:rsidR="004B7F86">
        <w:t xml:space="preserve"> journal in 2024 </w:t>
      </w:r>
      <w:r w:rsidRPr="00B035B9">
        <w:t>are set to address:</w:t>
      </w:r>
    </w:p>
    <w:p w14:paraId="28E1C615" w14:textId="77777777" w:rsidR="00B035B9" w:rsidRPr="00B035B9" w:rsidRDefault="00B035B9" w:rsidP="00770357">
      <w:pPr>
        <w:numPr>
          <w:ilvl w:val="0"/>
          <w:numId w:val="30"/>
        </w:numPr>
      </w:pPr>
      <w:r w:rsidRPr="00B035B9">
        <w:t>Intelligent technologies for future networking and distributed systems</w:t>
      </w:r>
    </w:p>
    <w:p w14:paraId="7878D6B0" w14:textId="77777777" w:rsidR="00B035B9" w:rsidRPr="00B035B9" w:rsidRDefault="00B035B9" w:rsidP="00770357">
      <w:pPr>
        <w:numPr>
          <w:ilvl w:val="0"/>
          <w:numId w:val="30"/>
        </w:numPr>
      </w:pPr>
      <w:r w:rsidRPr="00B035B9">
        <w:t>Satellite constellations and connectivity from space​</w:t>
      </w:r>
    </w:p>
    <w:p w14:paraId="4ED11BF7" w14:textId="77777777" w:rsidR="00B035B9" w:rsidRPr="00B035B9" w:rsidRDefault="00B035B9" w:rsidP="00770357">
      <w:pPr>
        <w:numPr>
          <w:ilvl w:val="0"/>
          <w:numId w:val="30"/>
        </w:numPr>
      </w:pPr>
      <w:r w:rsidRPr="00B035B9">
        <w:lastRenderedPageBreak/>
        <w:t>Next-generation computer communications and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4E2D8C0D" w14:textId="77777777" w:rsidR="00B035B9" w:rsidRPr="00B035B9" w:rsidRDefault="00B035B9" w:rsidP="00770357">
      <w:pPr>
        <w:numPr>
          <w:ilvl w:val="0"/>
          <w:numId w:val="31"/>
        </w:numPr>
      </w:pPr>
      <w:r w:rsidRPr="00B035B9">
        <w:t>AI and machine learning solutions in 5G and future networks</w:t>
      </w:r>
    </w:p>
    <w:p w14:paraId="310FC515" w14:textId="281E4C68" w:rsidR="00B035B9" w:rsidRDefault="00B035B9" w:rsidP="00770357">
      <w:pPr>
        <w:numPr>
          <w:ilvl w:val="0"/>
          <w:numId w:val="31"/>
        </w:numPr>
      </w:pPr>
      <w:r w:rsidRPr="00B035B9">
        <w:t>Geospatial AI to advance the United Nations Sustainable Development Goals</w:t>
      </w:r>
    </w:p>
    <w:p w14:paraId="7E2B3477" w14:textId="460BBF40" w:rsidR="0002435B" w:rsidRPr="00C32576" w:rsidRDefault="006279A8" w:rsidP="0002435B">
      <w:pPr>
        <w:pStyle w:val="Heading2"/>
      </w:pPr>
      <w:bookmarkStart w:id="103" w:name="_Toc156392423"/>
      <w:bookmarkEnd w:id="102"/>
      <w:r>
        <w:t>6</w:t>
      </w:r>
      <w:r w:rsidR="0002435B" w:rsidRPr="00C32576">
        <w:t>.2</w:t>
      </w:r>
      <w:r w:rsidR="0002435B" w:rsidRPr="00C32576">
        <w:tab/>
        <w:t xml:space="preserve">ITU Kaleidoscope academic </w:t>
      </w:r>
      <w:r w:rsidR="0002435B" w:rsidRPr="00C5776F">
        <w:t>conferences</w:t>
      </w:r>
      <w:bookmarkEnd w:id="103"/>
    </w:p>
    <w:p w14:paraId="38A3EBE5" w14:textId="57C732A1" w:rsidR="00A3606E" w:rsidRDefault="0002435B" w:rsidP="0002435B">
      <w:r w:rsidRPr="00C32576">
        <w:t xml:space="preserve">The </w:t>
      </w:r>
      <w:hyperlink r:id="rId113"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1F3E0226" w:rsidR="00F15D4B" w:rsidRPr="00C32576" w:rsidRDefault="00F15D4B" w:rsidP="0002435B">
      <w:r>
        <w:t xml:space="preserve">The </w:t>
      </w:r>
      <w:r w:rsidR="004B7F86">
        <w:t xml:space="preserve">next edition of Kaleidoscope will be held in conjunction with WTSA-24 in New Delhi, India, 15-24 October 2024. </w:t>
      </w:r>
    </w:p>
    <w:p w14:paraId="3BD5C7DA" w14:textId="72C92D11" w:rsidR="00A13428" w:rsidRPr="00C32576" w:rsidRDefault="006279A8" w:rsidP="0048381E">
      <w:pPr>
        <w:pStyle w:val="Heading1"/>
        <w:spacing w:before="240"/>
      </w:pPr>
      <w:bookmarkStart w:id="104" w:name="_5_Cooperation_and"/>
      <w:bookmarkStart w:id="105" w:name="_Toc156392424"/>
      <w:bookmarkStart w:id="106" w:name="_Hlk90559120"/>
      <w:bookmarkEnd w:id="100"/>
      <w:bookmarkEnd w:id="104"/>
      <w:r>
        <w:t>7</w:t>
      </w:r>
      <w:r w:rsidR="00A13428" w:rsidRPr="00C32576">
        <w:tab/>
      </w:r>
      <w:r w:rsidR="00054496">
        <w:t>C</w:t>
      </w:r>
      <w:r w:rsidR="00A13428" w:rsidRPr="00C32576">
        <w:t>ooperation and c</w:t>
      </w:r>
      <w:r w:rsidR="00A13428" w:rsidRPr="00C5776F">
        <w:t>oordination</w:t>
      </w:r>
      <w:bookmarkEnd w:id="105"/>
      <w:r w:rsidR="00A13428">
        <w:t xml:space="preserve"> </w:t>
      </w:r>
    </w:p>
    <w:p w14:paraId="0405B2DB" w14:textId="5700D2B8" w:rsidR="00A13428" w:rsidRDefault="00777E55" w:rsidP="00A13428">
      <w:pPr>
        <w:rPr>
          <w:color w:val="000000"/>
        </w:rPr>
      </w:pPr>
      <w:r>
        <w:rPr>
          <w:color w:val="000000"/>
        </w:rPr>
        <w:t xml:space="preserve">Regional Preparatory Meetings for WTSA-24 are listed on this </w:t>
      </w:r>
      <w:hyperlink r:id="rId114" w:history="1">
        <w:r w:rsidRPr="00777E55">
          <w:rPr>
            <w:rStyle w:val="Hyperlink"/>
          </w:rPr>
          <w:t>web page</w:t>
        </w:r>
      </w:hyperlink>
      <w:r>
        <w:rPr>
          <w:color w:val="000000"/>
        </w:rPr>
        <w:t xml:space="preserve">. </w:t>
      </w:r>
      <w:r w:rsidR="00A13428" w:rsidRPr="00C32576">
        <w:rPr>
          <w:color w:val="000000"/>
        </w:rPr>
        <w:t xml:space="preserve">Memoranda of Understanding and Cooperation Agreements are listed and available on the relevant </w:t>
      </w:r>
      <w:hyperlink r:id="rId115" w:history="1">
        <w:r w:rsidR="00A13428" w:rsidRPr="00C32576">
          <w:rPr>
            <w:rStyle w:val="Hyperlink"/>
          </w:rPr>
          <w:t>web page</w:t>
        </w:r>
      </w:hyperlink>
      <w:r w:rsidR="00A13428" w:rsidRPr="00C32576">
        <w:rPr>
          <w:color w:val="000000"/>
        </w:rPr>
        <w:t>.</w:t>
      </w:r>
      <w:r>
        <w:rPr>
          <w:color w:val="000000"/>
        </w:rPr>
        <w:t xml:space="preserve"> </w:t>
      </w:r>
    </w:p>
    <w:p w14:paraId="5A86B04D" w14:textId="728E08FA" w:rsidR="000737FD" w:rsidRPr="00C32576" w:rsidRDefault="00821BE1" w:rsidP="000737FD">
      <w:pPr>
        <w:pStyle w:val="Heading2"/>
      </w:pPr>
      <w:bookmarkStart w:id="107" w:name="_Toc156392425"/>
      <w:r>
        <w:t>7</w:t>
      </w:r>
      <w:r w:rsidR="008404E2">
        <w:t>.1</w:t>
      </w:r>
      <w:r w:rsidR="000737FD" w:rsidRPr="00C32576">
        <w:tab/>
      </w:r>
      <w:r w:rsidR="008404E2">
        <w:t>Intern</w:t>
      </w:r>
      <w:r w:rsidR="000737FD" w:rsidRPr="00C32576">
        <w:t xml:space="preserve">ational standardization </w:t>
      </w:r>
      <w:r w:rsidR="0075760B">
        <w:t>bodies</w:t>
      </w:r>
      <w:bookmarkEnd w:id="107"/>
    </w:p>
    <w:p w14:paraId="5954FED7" w14:textId="6CF98199" w:rsidR="008404E2" w:rsidRPr="008404E2" w:rsidRDefault="00BB63EF" w:rsidP="008404E2">
      <w:hyperlink r:id="rId116"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6C3C7E0" w14:textId="39FF7823" w:rsidR="003B0B5D" w:rsidRPr="003B0B5D" w:rsidRDefault="00660ACB" w:rsidP="00770357">
      <w:pPr>
        <w:numPr>
          <w:ilvl w:val="0"/>
          <w:numId w:val="19"/>
        </w:numPr>
        <w:ind w:left="714" w:hanging="357"/>
        <w:rPr>
          <w:lang w:val="en-US"/>
        </w:rPr>
      </w:pPr>
      <w:bookmarkStart w:id="108" w:name="_Hlk120564290"/>
      <w:r>
        <w:t>A</w:t>
      </w:r>
      <w:r w:rsidR="0025401A">
        <w:t xml:space="preserve"> </w:t>
      </w:r>
      <w:r w:rsidR="003B0B5D">
        <w:t xml:space="preserve">WSC meeting hosted by ITU </w:t>
      </w:r>
      <w:r w:rsidR="00C23FAB">
        <w:t xml:space="preserve">in </w:t>
      </w:r>
      <w:r w:rsidR="003B0B5D">
        <w:t xml:space="preserve">February 2023 discussed the relationship between international standardization and human rights, welcoming the UN High Commissioner for Human Rights, </w:t>
      </w:r>
      <w:r w:rsidR="003B0B5D" w:rsidRPr="003B0B5D">
        <w:rPr>
          <w:lang w:val="en-US"/>
        </w:rPr>
        <w:t>Volker Tür</w:t>
      </w:r>
      <w:r w:rsidR="003B0B5D">
        <w:rPr>
          <w:lang w:val="en-US"/>
        </w:rPr>
        <w:t xml:space="preserve">k. </w:t>
      </w:r>
    </w:p>
    <w:p w14:paraId="14A77EEE" w14:textId="4E7DAF88" w:rsidR="008404E2" w:rsidRDefault="00BB63EF" w:rsidP="00770357">
      <w:pPr>
        <w:numPr>
          <w:ilvl w:val="0"/>
          <w:numId w:val="19"/>
        </w:numPr>
        <w:ind w:left="714" w:hanging="357"/>
      </w:pPr>
      <w:hyperlink r:id="rId117"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w:t>
      </w:r>
      <w:r w:rsidR="00C74C19">
        <w:t xml:space="preserve"> is </w:t>
      </w:r>
      <w:r w:rsidR="008404E2" w:rsidRPr="008404E2">
        <w:t xml:space="preserve">the theme of World Standards Day,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18" w:history="1">
        <w:r w:rsidR="008404E2" w:rsidRPr="008404E2">
          <w:rPr>
            <w:color w:val="0000FF"/>
            <w:u w:val="single"/>
          </w:rPr>
          <w:t>All past editions of World Standards Day</w:t>
        </w:r>
      </w:hyperlink>
      <w:r w:rsidR="008404E2" w:rsidRPr="008404E2">
        <w:t xml:space="preserve">. </w:t>
      </w:r>
    </w:p>
    <w:p w14:paraId="11249743" w14:textId="39ECD8F5" w:rsidR="00C664C3" w:rsidRDefault="00BB63EF" w:rsidP="00770357">
      <w:pPr>
        <w:numPr>
          <w:ilvl w:val="0"/>
          <w:numId w:val="19"/>
        </w:numPr>
        <w:ind w:left="714" w:hanging="357"/>
      </w:pPr>
      <w:hyperlink r:id="rId119" w:history="1">
        <w:r w:rsidR="003B0B5D">
          <w:rPr>
            <w:rStyle w:val="Hyperlink"/>
          </w:rPr>
          <w:t xml:space="preserve">G20 </w:t>
        </w:r>
        <w:r w:rsidR="00C664C3" w:rsidRPr="00C664C3">
          <w:rPr>
            <w:rStyle w:val="Hyperlink"/>
          </w:rPr>
          <w:t>International Standards Summit</w:t>
        </w:r>
        <w:r w:rsidR="003B0B5D">
          <w:rPr>
            <w:rStyle w:val="Hyperlink"/>
          </w:rPr>
          <w:t>s</w:t>
        </w:r>
      </w:hyperlink>
      <w:r w:rsidR="00C664C3">
        <w:t xml:space="preserve">: </w:t>
      </w:r>
      <w:r w:rsidR="00C664C3" w:rsidRPr="00C664C3">
        <w:t xml:space="preserve">ITU, ISO and IEC </w:t>
      </w:r>
      <w:r w:rsidR="003B0B5D">
        <w:t xml:space="preserve">together arrange events as part of G20 activities on the value of international standards to sustainable development. Three such events have been held under the </w:t>
      </w:r>
      <w:bookmarkEnd w:id="108"/>
      <w:r w:rsidR="002122BE">
        <w:t xml:space="preserve">G20 Presidencies of </w:t>
      </w:r>
      <w:r w:rsidR="003B0B5D">
        <w:t xml:space="preserve">Indonesia (2022), </w:t>
      </w:r>
      <w:r w:rsidR="002122BE">
        <w:t xml:space="preserve">Italy (2021) and Saudi Arabia (2020). </w:t>
      </w:r>
      <w:r w:rsidR="00CE5AC3">
        <w:t>The next such summit is under preparation together with</w:t>
      </w:r>
      <w:r w:rsidR="002C513F">
        <w:t xml:space="preserve"> Brazil. </w:t>
      </w:r>
      <w:r w:rsidR="00CE5AC3">
        <w:t xml:space="preserve"> </w:t>
      </w:r>
    </w:p>
    <w:p w14:paraId="23D45114" w14:textId="6C4014CC" w:rsidR="00801F3D" w:rsidRPr="002C513F" w:rsidRDefault="00BB63EF" w:rsidP="00770357">
      <w:pPr>
        <w:numPr>
          <w:ilvl w:val="0"/>
          <w:numId w:val="19"/>
        </w:numPr>
        <w:rPr>
          <w:rFonts w:eastAsiaTheme="minorHAnsi"/>
          <w:lang w:eastAsia="en-US"/>
        </w:rPr>
      </w:pPr>
      <w:hyperlink r:id="rId120" w:history="1">
        <w:r w:rsidR="00801F3D" w:rsidRPr="002C513F">
          <w:rPr>
            <w:rStyle w:val="Hyperlink"/>
            <w:rFonts w:eastAsiaTheme="minorHAnsi"/>
            <w:lang w:eastAsia="en-US"/>
          </w:rPr>
          <w:t>Joint statement at COP28</w:t>
        </w:r>
      </w:hyperlink>
      <w:r w:rsidR="00801F3D" w:rsidRPr="002C513F">
        <w:rPr>
          <w:rFonts w:eastAsiaTheme="minorHAnsi"/>
          <w:lang w:eastAsia="en-US"/>
        </w:rPr>
        <w:t xml:space="preserve">: ITU, ISO and IEC issued a </w:t>
      </w:r>
      <w:r w:rsidR="00801F3D" w:rsidRPr="00777E55">
        <w:rPr>
          <w:rFonts w:eastAsiaTheme="minorHAnsi"/>
          <w:lang w:eastAsia="en-US"/>
        </w:rPr>
        <w:t>j</w:t>
      </w:r>
      <w:r w:rsidR="00801F3D" w:rsidRPr="002A09A2">
        <w:rPr>
          <w:rFonts w:eastAsiaTheme="minorHAnsi"/>
          <w:lang w:eastAsia="en-US"/>
        </w:rPr>
        <w:t xml:space="preserve">oint statement </w:t>
      </w:r>
      <w:r w:rsidR="00801F3D" w:rsidRPr="002C513F">
        <w:rPr>
          <w:rFonts w:eastAsiaTheme="minorHAnsi"/>
          <w:lang w:eastAsia="en-US"/>
        </w:rPr>
        <w:t xml:space="preserve">at COP28 </w:t>
      </w:r>
      <w:r w:rsidR="00801F3D" w:rsidRPr="002A09A2">
        <w:rPr>
          <w:rFonts w:eastAsiaTheme="minorHAnsi"/>
          <w:lang w:eastAsia="en-US"/>
        </w:rPr>
        <w:t>on the importance of sustainability being built into technical standards development by design, and standards helping the world reach net-zero emissions and achieve a resource-efficient circular and low-carbon economy.</w:t>
      </w:r>
    </w:p>
    <w:p w14:paraId="0D1286F7" w14:textId="77777777" w:rsidR="008404E2" w:rsidRPr="008404E2" w:rsidRDefault="00BB63EF" w:rsidP="008404E2">
      <w:hyperlink r:id="rId121"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22" w:history="1">
        <w:r w:rsidRPr="008404E2">
          <w:rPr>
            <w:color w:val="0000FF"/>
            <w:u w:val="single"/>
          </w:rPr>
          <w:t>TSAG TD138</w:t>
        </w:r>
      </w:hyperlink>
      <w:r w:rsidRPr="008404E2">
        <w:t>).</w:t>
      </w:r>
    </w:p>
    <w:p w14:paraId="121CA6F6" w14:textId="77777777" w:rsidR="00E20C3C" w:rsidRPr="00054496" w:rsidRDefault="00BB63EF" w:rsidP="00E20C3C">
      <w:hyperlink r:id="rId123" w:history="1">
        <w:r w:rsidR="00E20C3C" w:rsidRPr="00054496">
          <w:rPr>
            <w:rStyle w:val="Hyperlink"/>
          </w:rPr>
          <w:t>Global Standards Collaboration (GSC)</w:t>
        </w:r>
      </w:hyperlink>
    </w:p>
    <w:p w14:paraId="47708DBE" w14:textId="18B0BC8C" w:rsidR="00254686" w:rsidRPr="001D3213" w:rsidRDefault="00E20C3C" w:rsidP="001D3213">
      <w:r w:rsidRPr="00054496">
        <w:t>GSC is an unincorporated voluntary organization dedicated to enhancing global cooperation and collaboration regarding communications standards and the related standards development environment.</w:t>
      </w:r>
      <w:r w:rsidR="001D3213">
        <w:t xml:space="preserve"> </w:t>
      </w:r>
    </w:p>
    <w:p w14:paraId="0F02A882" w14:textId="77777777" w:rsidR="00E20C3C" w:rsidRPr="00054496" w:rsidRDefault="00BB63EF" w:rsidP="00E20C3C">
      <w:hyperlink r:id="rId124"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25" w:history="1">
        <w:r w:rsidRPr="00054496">
          <w:rPr>
            <w:rStyle w:val="Hyperlink"/>
          </w:rPr>
          <w:t>here</w:t>
        </w:r>
      </w:hyperlink>
      <w:r w:rsidRPr="00054496">
        <w:t>.</w:t>
      </w:r>
    </w:p>
    <w:p w14:paraId="75334222" w14:textId="34CF7A10" w:rsidR="00D61217" w:rsidRDefault="00BB63EF" w:rsidP="00E20C3C">
      <w:hyperlink r:id="rId126"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27" w:anchor="/pages/workspaces/735898/dashboard" w:history="1">
        <w:r w:rsidR="00936054" w:rsidRPr="00936054">
          <w:rPr>
            <w:rStyle w:val="Hyperlink"/>
          </w:rPr>
          <w:t>repository</w:t>
        </w:r>
      </w:hyperlink>
      <w:r w:rsidR="00936054">
        <w:t xml:space="preserve">. </w:t>
      </w:r>
    </w:p>
    <w:p w14:paraId="260F21E4" w14:textId="7926DF44" w:rsidR="00777E55" w:rsidRDefault="00821BE1" w:rsidP="00777E55">
      <w:pPr>
        <w:pStyle w:val="Heading2"/>
      </w:pPr>
      <w:bookmarkStart w:id="109" w:name="_Toc156392426"/>
      <w:bookmarkStart w:id="110" w:name="_Hlk119500548"/>
      <w:r>
        <w:t>7</w:t>
      </w:r>
      <w:r w:rsidR="00A13428">
        <w:t>.2</w:t>
      </w:r>
      <w:r w:rsidR="005005E0">
        <w:tab/>
      </w:r>
      <w:r w:rsidR="00A13428">
        <w:t xml:space="preserve">National and regional standardization </w:t>
      </w:r>
      <w:r w:rsidR="0007304D">
        <w:t>bodies</w:t>
      </w:r>
      <w:bookmarkEnd w:id="109"/>
    </w:p>
    <w:p w14:paraId="589A1053" w14:textId="716AB783"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rsidP="00770357">
      <w:pPr>
        <w:numPr>
          <w:ilvl w:val="0"/>
          <w:numId w:val="18"/>
        </w:numPr>
      </w:pPr>
      <w:r w:rsidRPr="0007304D">
        <w:rPr>
          <w:bCs/>
        </w:rPr>
        <w:t>African Regional Organization for Standardisation (ARSO)</w:t>
      </w:r>
    </w:p>
    <w:p w14:paraId="1AA3D60E" w14:textId="77777777" w:rsidR="0007304D" w:rsidRPr="0007304D" w:rsidRDefault="0007304D" w:rsidP="00770357">
      <w:pPr>
        <w:numPr>
          <w:ilvl w:val="0"/>
          <w:numId w:val="18"/>
        </w:numPr>
        <w:rPr>
          <w:bCs/>
        </w:rPr>
      </w:pPr>
      <w:r w:rsidRPr="0007304D">
        <w:rPr>
          <w:bCs/>
        </w:rPr>
        <w:t>Pan American Standards Commission (COPANT)</w:t>
      </w:r>
    </w:p>
    <w:p w14:paraId="1A5786E5" w14:textId="77777777" w:rsidR="0007304D" w:rsidRPr="0007304D" w:rsidRDefault="0007304D" w:rsidP="00770357">
      <w:pPr>
        <w:numPr>
          <w:ilvl w:val="0"/>
          <w:numId w:val="18"/>
        </w:numPr>
        <w:rPr>
          <w:bCs/>
        </w:rPr>
      </w:pPr>
      <w:r w:rsidRPr="0007304D">
        <w:rPr>
          <w:bCs/>
        </w:rPr>
        <w:t>Pacific Area Standards Congress (PASC)</w:t>
      </w:r>
    </w:p>
    <w:p w14:paraId="2ADEAE53" w14:textId="77777777" w:rsidR="0007304D" w:rsidRPr="0007304D" w:rsidRDefault="0007304D" w:rsidP="00770357">
      <w:pPr>
        <w:numPr>
          <w:ilvl w:val="0"/>
          <w:numId w:val="18"/>
        </w:numPr>
        <w:rPr>
          <w:bCs/>
        </w:rPr>
      </w:pPr>
      <w:r w:rsidRPr="0007304D">
        <w:rPr>
          <w:bCs/>
        </w:rPr>
        <w:t>Asia-Pacific Telecommunity Standardization Program (ASTAP)</w:t>
      </w:r>
    </w:p>
    <w:p w14:paraId="3BD2634B" w14:textId="77777777" w:rsidR="0007304D" w:rsidRPr="0007304D" w:rsidRDefault="0007304D" w:rsidP="00770357">
      <w:pPr>
        <w:numPr>
          <w:ilvl w:val="0"/>
          <w:numId w:val="18"/>
        </w:numPr>
        <w:rPr>
          <w:bCs/>
        </w:rPr>
      </w:pPr>
      <w:r w:rsidRPr="0007304D">
        <w:rPr>
          <w:bCs/>
        </w:rPr>
        <w:t>South Asian Regional Standards Organization (SARSO)</w:t>
      </w:r>
    </w:p>
    <w:p w14:paraId="1138167B" w14:textId="5C150627" w:rsidR="0007304D" w:rsidRDefault="0007304D" w:rsidP="00770357">
      <w:pPr>
        <w:numPr>
          <w:ilvl w:val="0"/>
          <w:numId w:val="18"/>
        </w:numPr>
      </w:pPr>
      <w:r w:rsidRPr="0007304D">
        <w:t>GCC Standardization Organization (GSO)</w:t>
      </w:r>
    </w:p>
    <w:p w14:paraId="036AD596" w14:textId="445D2D6E" w:rsidR="00FA47CF" w:rsidRDefault="00FA47CF" w:rsidP="00770357">
      <w:pPr>
        <w:numPr>
          <w:ilvl w:val="0"/>
          <w:numId w:val="18"/>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rsidP="00770357">
      <w:pPr>
        <w:numPr>
          <w:ilvl w:val="0"/>
          <w:numId w:val="18"/>
        </w:numPr>
      </w:pPr>
      <w:r>
        <w:t>European Telecommunications Standards Institute (ETSI)</w:t>
      </w:r>
    </w:p>
    <w:p w14:paraId="7B6AD1D8" w14:textId="70C7AC37" w:rsidR="00A13428" w:rsidRPr="00C32576" w:rsidRDefault="00821BE1" w:rsidP="00A13428">
      <w:pPr>
        <w:pStyle w:val="Heading2"/>
        <w:ind w:left="0" w:firstLine="0"/>
      </w:pPr>
      <w:bookmarkStart w:id="111" w:name="_Toc156392427"/>
      <w:bookmarkStart w:id="112"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B44AD8">
        <w:rPr>
          <w:bCs/>
          <w:szCs w:val="24"/>
          <w:lang w:eastAsia="ja-JP"/>
        </w:rPr>
        <w:t>r</w:t>
      </w:r>
      <w:r w:rsidR="0007304D" w:rsidRPr="00DF7A37">
        <w:rPr>
          <w:bCs/>
          <w:szCs w:val="24"/>
          <w:lang w:eastAsia="ja-JP"/>
        </w:rPr>
        <w:t xml:space="preserve">egional </w:t>
      </w:r>
      <w:r w:rsidR="0007304D">
        <w:rPr>
          <w:bCs/>
          <w:szCs w:val="24"/>
          <w:lang w:eastAsia="ja-JP"/>
        </w:rPr>
        <w:t xml:space="preserve">and </w:t>
      </w:r>
      <w:r w:rsidR="00B44AD8">
        <w:rPr>
          <w:bCs/>
          <w:szCs w:val="24"/>
          <w:lang w:eastAsia="ja-JP"/>
        </w:rPr>
        <w:t>a</w:t>
      </w:r>
      <w:r w:rsidR="0007304D">
        <w:rPr>
          <w:bCs/>
          <w:szCs w:val="24"/>
          <w:lang w:eastAsia="ja-JP"/>
        </w:rPr>
        <w:t xml:space="preserve">rea </w:t>
      </w:r>
      <w:r w:rsidR="00B44AD8">
        <w:rPr>
          <w:bCs/>
          <w:szCs w:val="24"/>
          <w:lang w:eastAsia="ja-JP"/>
        </w:rPr>
        <w:t>o</w:t>
      </w:r>
      <w:r w:rsidR="0007304D" w:rsidRPr="00DF7A37">
        <w:rPr>
          <w:bCs/>
          <w:szCs w:val="24"/>
          <w:lang w:eastAsia="ja-JP"/>
        </w:rPr>
        <w:t>ffices</w:t>
      </w:r>
      <w:bookmarkEnd w:id="111"/>
    </w:p>
    <w:bookmarkEnd w:id="112"/>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3" w:name="_Toc156392428"/>
      <w:bookmarkEnd w:id="110"/>
      <w:r>
        <w:rPr>
          <w:lang w:val="en-US"/>
        </w:rPr>
        <w:t>7</w:t>
      </w:r>
      <w:r w:rsidR="00A13428" w:rsidRPr="006175FF">
        <w:rPr>
          <w:lang w:val="en-US"/>
        </w:rPr>
        <w:t>.</w:t>
      </w:r>
      <w:r>
        <w:rPr>
          <w:lang w:val="en-US"/>
        </w:rPr>
        <w:t>4</w:t>
      </w:r>
      <w:r w:rsidR="00A13428" w:rsidRPr="006175FF">
        <w:rPr>
          <w:lang w:val="en-US"/>
        </w:rPr>
        <w:tab/>
        <w:t>ITU Sectors</w:t>
      </w:r>
      <w:bookmarkEnd w:id="113"/>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lastRenderedPageBreak/>
        <w:t>Three Inter-Sector Rapporteur groups (IRGs) work on items of interest to various ITU-T and ITU-R SGs.</w:t>
      </w:r>
    </w:p>
    <w:p w14:paraId="1F46E5D1" w14:textId="1EF2FEF4" w:rsidR="00A13428" w:rsidRPr="00C32576" w:rsidRDefault="00BB63EF" w:rsidP="00770357">
      <w:pPr>
        <w:numPr>
          <w:ilvl w:val="0"/>
          <w:numId w:val="13"/>
        </w:numPr>
      </w:pPr>
      <w:hyperlink r:id="rId128">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BB63EF" w:rsidP="00770357">
      <w:pPr>
        <w:numPr>
          <w:ilvl w:val="0"/>
          <w:numId w:val="13"/>
        </w:numPr>
      </w:pPr>
      <w:hyperlink r:id="rId129"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BB63EF" w:rsidP="00770357">
      <w:pPr>
        <w:numPr>
          <w:ilvl w:val="0"/>
          <w:numId w:val="13"/>
        </w:numPr>
      </w:pPr>
      <w:hyperlink r:id="rId130"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4" w:name="_5.6_External_cooperation"/>
      <w:bookmarkStart w:id="115" w:name="_Toc156392429"/>
      <w:bookmarkEnd w:id="114"/>
      <w:r>
        <w:t>7</w:t>
      </w:r>
      <w:r w:rsidR="00054496" w:rsidRPr="00AE00A2">
        <w:t>.</w:t>
      </w:r>
      <w:r>
        <w:t>5</w:t>
      </w:r>
      <w:r w:rsidR="00054496" w:rsidRPr="00AE00A2">
        <w:tab/>
        <w:t>External cooperation</w:t>
      </w:r>
      <w:bookmarkEnd w:id="115"/>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31" w:history="1">
        <w:r w:rsidRPr="00C32576">
          <w:rPr>
            <w:rStyle w:val="Hyperlink"/>
          </w:rPr>
          <w:t>web page</w:t>
        </w:r>
      </w:hyperlink>
      <w:r w:rsidRPr="00C32576">
        <w:rPr>
          <w:color w:val="000000"/>
        </w:rPr>
        <w:t>.</w:t>
      </w:r>
    </w:p>
    <w:p w14:paraId="41FC0305" w14:textId="4BB9CC14" w:rsidR="00054496" w:rsidRPr="00054496" w:rsidRDefault="00BB63EF" w:rsidP="00054496">
      <w:hyperlink r:id="rId132"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BB63EF" w:rsidP="00054496">
      <w:hyperlink r:id="rId133"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34"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BB63EF" w:rsidP="00054496">
      <w:hyperlink r:id="rId135"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BB63EF" w:rsidP="00054496">
      <w:hyperlink r:id="rId136"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BB63EF" w:rsidP="00054496">
      <w:hyperlink r:id="rId137" w:history="1">
        <w:r w:rsidR="00054496" w:rsidRPr="00054496">
          <w:rPr>
            <w:rStyle w:val="Hyperlink"/>
          </w:rPr>
          <w:t>Global Initiative on AI and Data Commons</w:t>
        </w:r>
      </w:hyperlink>
    </w:p>
    <w:p w14:paraId="41F7FA5C" w14:textId="164AF69F"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specifications and guidelines to scale AI solutions with the help of shared datasets, testing and </w:t>
      </w:r>
      <w:r w:rsidRPr="00054496">
        <w:lastRenderedPageBreak/>
        <w:t>simulation environments, collaborative sandboxes, AI models and associated software, data discoverability and storage and computing resources.</w:t>
      </w:r>
    </w:p>
    <w:p w14:paraId="2E280BDC" w14:textId="77777777" w:rsidR="00054496" w:rsidRPr="00054496" w:rsidRDefault="00BB63EF" w:rsidP="00054496">
      <w:hyperlink r:id="rId138" w:history="1">
        <w:r w:rsidR="00054496" w:rsidRPr="00054496">
          <w:rPr>
            <w:rStyle w:val="Hyperlink"/>
          </w:rPr>
          <w:t>ITU-T and WSIS</w:t>
        </w:r>
      </w:hyperlink>
    </w:p>
    <w:p w14:paraId="5821C62C" w14:textId="1019A05F" w:rsidR="00A11E52" w:rsidRDefault="00054496" w:rsidP="00054496">
      <w:bookmarkStart w:id="116" w:name="_Hlk126328259"/>
      <w:r w:rsidRPr="00054496">
        <w:t>As the UN specialized agency for ICTs, ITU was proud to have played the leading role in the organization of the </w:t>
      </w:r>
      <w:hyperlink r:id="rId139" w:history="1">
        <w:r w:rsidRPr="00054496">
          <w:rPr>
            <w:rStyle w:val="Hyperlink"/>
          </w:rPr>
          <w:t>World Summit on the Information Society (WSIS)</w:t>
        </w:r>
      </w:hyperlink>
      <w:r w:rsidRPr="00054496">
        <w:t>.</w:t>
      </w:r>
      <w:r w:rsidR="002D2EF4">
        <w:t xml:space="preserve"> </w:t>
      </w:r>
      <w:r w:rsidR="002D2EF4" w:rsidRPr="002D2EF4">
        <w:t>The alignment of ITU-T work with the WSIS Action Lines will be reported to th</w:t>
      </w:r>
      <w:r w:rsidR="00C74C19">
        <w:t>is meeting of TSAG</w:t>
      </w:r>
      <w:r w:rsidR="002D2EF4" w:rsidRPr="002D2EF4">
        <w:t xml:space="preserve"> as part of the </w:t>
      </w:r>
      <w:r w:rsidR="002D2EF4">
        <w:t xml:space="preserve">ITU </w:t>
      </w:r>
      <w:r w:rsidR="002D2EF4" w:rsidRPr="002D2EF4">
        <w:t>Operational Plan.</w:t>
      </w:r>
    </w:p>
    <w:bookmarkEnd w:id="116"/>
    <w:p w14:paraId="45027A76" w14:textId="049AA3E7" w:rsidR="00B90855" w:rsidRDefault="00B90855" w:rsidP="00B90855">
      <w:r>
        <w:t xml:space="preserve">ITU-T </w:t>
      </w:r>
      <w:r w:rsidR="00492F35">
        <w:t>work</w:t>
      </w:r>
      <w:r>
        <w:t xml:space="preserve"> relate</w:t>
      </w:r>
      <w:r w:rsidR="00492F35">
        <w:t>s</w:t>
      </w:r>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Default="00B90855" w:rsidP="006E7D5E">
      <w:bookmarkStart w:id="117" w:name="_Hlk126328881"/>
      <w:r w:rsidRPr="00C642DE">
        <w:t>ITU-T/TSB facilitated</w:t>
      </w:r>
      <w:r>
        <w:t xml:space="preserve"> discussions at WSIS Forum 202</w:t>
      </w:r>
      <w:r w:rsidR="00A6551F">
        <w:t xml:space="preserve">3 on topics including fibre-optic broadband networks, gender-responsive standards, </w:t>
      </w:r>
      <w:r w:rsidR="00C642DE">
        <w:t xml:space="preserve">smart sustainable cities and communities, circular economy </w:t>
      </w:r>
      <w:r w:rsidR="00A6551F">
        <w:t>and biodiversity</w:t>
      </w:r>
      <w:r w:rsidR="00C642DE">
        <w:t xml:space="preserve">. </w:t>
      </w:r>
    </w:p>
    <w:bookmarkEnd w:id="117"/>
    <w:p w14:paraId="3CB68421" w14:textId="679BB781" w:rsidR="00936054" w:rsidRDefault="00196157" w:rsidP="00054496">
      <w:r>
        <w:fldChar w:fldCharType="begin"/>
      </w:r>
      <w:r>
        <w:instrText>HYPERLINK "https://www.itu.int/en/ITU-T/climatechange/task-force-sc/Pages/default.aspx"</w:instrText>
      </w:r>
      <w:r>
        <w:fldChar w:fldCharType="separate"/>
      </w:r>
      <w:r w:rsidR="00936054" w:rsidRPr="00936054">
        <w:rPr>
          <w:rStyle w:val="Hyperlink"/>
        </w:rPr>
        <w:t>ITU/WMO/UNESCO-IOC Joint Task Force on SMART cable systems</w:t>
      </w:r>
      <w:r>
        <w:rPr>
          <w:rStyle w:val="Hyperlink"/>
        </w:rPr>
        <w:fldChar w:fldCharType="end"/>
      </w:r>
    </w:p>
    <w:p w14:paraId="378E1062" w14:textId="427C0A36" w:rsidR="00936054" w:rsidRPr="00054496" w:rsidRDefault="00366FB8" w:rsidP="00054496">
      <w:bookmarkStart w:id="118"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w:t>
      </w:r>
      <w:r w:rsidR="00A23A70">
        <w:t xml:space="preserve">underway </w:t>
      </w:r>
      <w:r>
        <w:t xml:space="preserve">on </w:t>
      </w:r>
      <w:r w:rsidR="00AE6E92">
        <w:t xml:space="preserve">SMART </w:t>
      </w:r>
      <w:r w:rsidR="00AE6E92" w:rsidRPr="00AE6E92">
        <w:t xml:space="preserve">submarine cable systems </w:t>
      </w:r>
      <w:r w:rsidRPr="00366FB8">
        <w:t>(</w:t>
      </w:r>
      <w:hyperlink r:id="rId140"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41" w:history="1">
        <w:r w:rsidRPr="00366FB8">
          <w:rPr>
            <w:rStyle w:val="Hyperlink"/>
          </w:rPr>
          <w:t>G.dsssc</w:t>
        </w:r>
      </w:hyperlink>
      <w:r w:rsidRPr="00366FB8">
        <w:t>).</w:t>
      </w:r>
      <w:r w:rsidR="00117EF8">
        <w:t xml:space="preserve"> In addition, the work on “i</w:t>
      </w:r>
      <w:r w:rsidR="00117EF8" w:rsidRPr="00117EF8">
        <w:t>mpact assessment framework for evaluating how ICT-based subsea infrastructure could support climate, environmental and biodiversity monitoring in the oceans</w:t>
      </w:r>
      <w:r w:rsidR="00117EF8">
        <w:t>” started in June 2023 (</w:t>
      </w:r>
      <w:hyperlink r:id="rId142" w:history="1">
        <w:r w:rsidR="00117EF8" w:rsidRPr="00117EF8">
          <w:rPr>
            <w:rStyle w:val="Hyperlink"/>
          </w:rPr>
          <w:t>L.SMART</w:t>
        </w:r>
      </w:hyperlink>
      <w:r w:rsidR="00117EF8">
        <w:t>).</w:t>
      </w:r>
    </w:p>
    <w:bookmarkEnd w:id="118"/>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proofErr w:type="spellStart"/>
      <w:r w:rsidR="00054496" w:rsidRPr="00054496">
        <w:rPr>
          <w:rStyle w:val="Hyperlink"/>
        </w:rPr>
        <w:t>SDOs</w:t>
      </w:r>
      <w:proofErr w:type="spellEnd"/>
      <w:r w:rsidR="00167185">
        <w:rPr>
          <w:rStyle w:val="Hyperlink"/>
        </w:rPr>
        <w:t>)</w:t>
      </w:r>
      <w:r w:rsidR="00054496" w:rsidRPr="00054496">
        <w:rPr>
          <w:rStyle w:val="Hyperlink"/>
        </w:rPr>
        <w:t xml:space="preserve"> under Recs. </w:t>
      </w:r>
      <w:proofErr w:type="spellStart"/>
      <w:r w:rsidR="00054496" w:rsidRPr="00054496">
        <w:rPr>
          <w:rStyle w:val="Hyperlink"/>
        </w:rPr>
        <w:t>A.4</w:t>
      </w:r>
      <w:proofErr w:type="spellEnd"/>
      <w:r w:rsidR="00054496" w:rsidRPr="00054496">
        <w:rPr>
          <w:rStyle w:val="Hyperlink"/>
        </w:rPr>
        <w:t xml:space="preserve">, </w:t>
      </w:r>
      <w:proofErr w:type="spellStart"/>
      <w:r w:rsidR="00054496" w:rsidRPr="00054496">
        <w:rPr>
          <w:rStyle w:val="Hyperlink"/>
        </w:rPr>
        <w:t>A.5</w:t>
      </w:r>
      <w:proofErr w:type="spellEnd"/>
      <w:r w:rsidR="00054496" w:rsidRPr="00054496">
        <w:rPr>
          <w:rStyle w:val="Hyperlink"/>
        </w:rPr>
        <w:t xml:space="preserve"> and </w:t>
      </w:r>
      <w:proofErr w:type="spellStart"/>
      <w:r w:rsidR="00054496" w:rsidRPr="00054496">
        <w:rPr>
          <w:rStyle w:val="Hyperlink"/>
        </w:rPr>
        <w:t>A.6</w:t>
      </w:r>
      <w:proofErr w:type="spellEnd"/>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43" w:history="1">
        <w:r w:rsidRPr="00054496">
          <w:rPr>
            <w:rStyle w:val="Hyperlink"/>
          </w:rPr>
          <w:t>ITU-T A.4:</w:t>
        </w:r>
      </w:hyperlink>
      <w:r w:rsidRPr="00054496">
        <w:t> procedures for communicating with forums and consortia, </w:t>
      </w:r>
      <w:hyperlink r:id="rId144" w:history="1">
        <w:r w:rsidRPr="00054496">
          <w:rPr>
            <w:rStyle w:val="Hyperlink"/>
          </w:rPr>
          <w:t>ITU-T A.5:</w:t>
        </w:r>
      </w:hyperlink>
      <w:r w:rsidRPr="00054496">
        <w:t> making reference to documents from other organizations, </w:t>
      </w:r>
      <w:hyperlink r:id="rId145"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9" w:name="_6_Conformity_and"/>
      <w:bookmarkStart w:id="120" w:name="_8_Conformity_and"/>
      <w:bookmarkStart w:id="121" w:name="_Toc416161352"/>
      <w:bookmarkStart w:id="122" w:name="_Toc438553972"/>
      <w:bookmarkStart w:id="123" w:name="_Toc453929091"/>
      <w:bookmarkStart w:id="124" w:name="_Toc453932962"/>
      <w:bookmarkStart w:id="125" w:name="_Toc454295868"/>
      <w:bookmarkStart w:id="126" w:name="_Toc462664223"/>
      <w:bookmarkStart w:id="127" w:name="_Toc480527817"/>
      <w:bookmarkStart w:id="128" w:name="_Toc18509736"/>
      <w:bookmarkStart w:id="129" w:name="_Toc156392430"/>
      <w:bookmarkStart w:id="130" w:name="_Hlk119584239"/>
      <w:bookmarkEnd w:id="119"/>
      <w:bookmarkEnd w:id="120"/>
      <w:r>
        <w:rPr>
          <w:rFonts w:eastAsiaTheme="minorEastAsia"/>
        </w:rPr>
        <w:t>8</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21"/>
      <w:r w:rsidR="00A13428" w:rsidRPr="00C5776F">
        <w:rPr>
          <w:rFonts w:eastAsiaTheme="minorEastAsia"/>
        </w:rPr>
        <w:t xml:space="preserve"> </w:t>
      </w:r>
      <w:bookmarkEnd w:id="122"/>
      <w:bookmarkEnd w:id="123"/>
      <w:bookmarkEnd w:id="124"/>
      <w:bookmarkEnd w:id="125"/>
      <w:bookmarkEnd w:id="126"/>
      <w:bookmarkEnd w:id="127"/>
      <w:bookmarkEnd w:id="128"/>
      <w:r w:rsidR="00A13428" w:rsidRPr="00C5776F">
        <w:rPr>
          <w:rFonts w:eastAsiaTheme="minorEastAsia"/>
        </w:rPr>
        <w:t>programme</w:t>
      </w:r>
      <w:bookmarkEnd w:id="129"/>
    </w:p>
    <w:p w14:paraId="34E3D0FE" w14:textId="77777777" w:rsidR="006262A1" w:rsidRDefault="006262A1" w:rsidP="006262A1">
      <w:pPr>
        <w:snapToGrid w:val="0"/>
      </w:pPr>
      <w:r w:rsidRPr="00241944">
        <w:t xml:space="preserve">The </w:t>
      </w:r>
      <w:hyperlink r:id="rId146"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53A66553" w:rsidR="006262A1" w:rsidRDefault="006262A1" w:rsidP="006262A1">
      <w:pPr>
        <w:snapToGrid w:val="0"/>
      </w:pPr>
      <w:bookmarkStart w:id="131" w:name="_Hlk120609855"/>
      <w:r w:rsidRPr="000C6BE2">
        <w:t>Testing labs can</w:t>
      </w:r>
      <w:r w:rsidR="00C642DE">
        <w:t xml:space="preserve"> now</w:t>
      </w:r>
      <w:r w:rsidRPr="000C6BE2">
        <w:t xml:space="preserve"> obtain official recognition from ITU for their competence to test the conformance of products with </w:t>
      </w:r>
      <w:r>
        <w:t>ITU-T Recommendations (</w:t>
      </w:r>
      <w:hyperlink r:id="rId147" w:history="1">
        <w:r w:rsidRPr="00826B5E">
          <w:rPr>
            <w:rStyle w:val="Hyperlink"/>
          </w:rPr>
          <w:t>TSB Circular 368</w:t>
        </w:r>
      </w:hyperlink>
      <w:r>
        <w:t>)</w:t>
      </w:r>
      <w:r w:rsidRPr="000C6BE2">
        <w:t>.</w:t>
      </w:r>
      <w:r>
        <w:t xml:space="preserve"> </w:t>
      </w:r>
      <w:r w:rsidR="00493B22">
        <w:t xml:space="preserve">As of December 2023, 12 </w:t>
      </w:r>
      <w:r w:rsidRPr="000C6BE2">
        <w:t>testing labs hav</w:t>
      </w:r>
      <w:r>
        <w:t xml:space="preserve">e </w:t>
      </w:r>
      <w:r w:rsidRPr="000C6BE2">
        <w:t>been listed in the</w:t>
      </w:r>
      <w:r>
        <w:t xml:space="preserve"> </w:t>
      </w:r>
      <w:hyperlink r:id="rId148"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49"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31"/>
    <w:p w14:paraId="72F119BF" w14:textId="77777777" w:rsidR="006262A1" w:rsidRPr="000C6BE2" w:rsidRDefault="006262A1" w:rsidP="006262A1">
      <w:pPr>
        <w:snapToGrid w:val="0"/>
      </w:pPr>
      <w:r w:rsidRPr="000C6BE2">
        <w:t>ITU-T determined the key criteria and</w:t>
      </w:r>
      <w:r>
        <w:t xml:space="preserve"> </w:t>
      </w:r>
      <w:hyperlink r:id="rId150"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51"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52" w:tgtFrame="_blank" w:history="1">
        <w:r w:rsidRPr="000C6BE2">
          <w:rPr>
            <w:rStyle w:val="Hyperlink"/>
          </w:rPr>
          <w:t>ILAC Mutual Recognition Arrangement</w:t>
        </w:r>
      </w:hyperlink>
      <w:r w:rsidRPr="000C6BE2">
        <w:t>.</w:t>
      </w:r>
    </w:p>
    <w:p w14:paraId="0C503A06" w14:textId="54CBDFD0" w:rsidR="006262A1" w:rsidRDefault="006262A1" w:rsidP="006262A1">
      <w:pPr>
        <w:snapToGrid w:val="0"/>
      </w:pPr>
      <w:r w:rsidRPr="000C6BE2">
        <w:lastRenderedPageBreak/>
        <w:t>Testing labs are invited to apply for ITU recognition using this</w:t>
      </w:r>
      <w:r>
        <w:t xml:space="preserve"> </w:t>
      </w:r>
      <w:hyperlink r:id="rId153" w:tgtFrame="_blank" w:history="1">
        <w:r w:rsidRPr="000C6BE2">
          <w:rPr>
            <w:rStyle w:val="Hyperlink"/>
          </w:rPr>
          <w:t>application form</w:t>
        </w:r>
      </w:hyperlink>
      <w:r w:rsidRPr="000C6BE2">
        <w:t>. Labs successful in their application are announced in the</w:t>
      </w:r>
      <w:r>
        <w:t xml:space="preserve"> </w:t>
      </w:r>
      <w:hyperlink r:id="rId154"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55"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56" w:tgtFrame="_blank" w:history="1">
        <w:r w:rsidRPr="000C6BE2">
          <w:rPr>
            <w:rStyle w:val="Hyperlink"/>
          </w:rPr>
          <w:t>application form</w:t>
        </w:r>
      </w:hyperlink>
      <w:r w:rsidRPr="000C6BE2">
        <w:t>.</w:t>
      </w:r>
      <w:r>
        <w:t xml:space="preserve"> All criteria for populating the database are listed </w:t>
      </w:r>
      <w:hyperlink r:id="rId157"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58"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59"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2" w:name="_Hlk120609943"/>
      <w:r w:rsidRPr="000C6BE2">
        <w:t>The testing lab recognition scheme is the latest initiative under</w:t>
      </w:r>
      <w:r>
        <w:t xml:space="preserve"> </w:t>
      </w:r>
      <w:r w:rsidRPr="00911687">
        <w:t>ITU’s C&amp;I programme</w:t>
      </w:r>
      <w:r w:rsidRPr="000C6BE2">
        <w:t xml:space="preserve">. </w:t>
      </w:r>
      <w:bookmarkEnd w:id="132"/>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EE8C638" w14:textId="77777777" w:rsidR="0025401A" w:rsidRDefault="0025401A" w:rsidP="0025401A">
      <w:pPr>
        <w:pStyle w:val="Heading1"/>
        <w:spacing w:before="240"/>
      </w:pPr>
      <w:bookmarkStart w:id="133" w:name="_Toc156392431"/>
      <w:r>
        <w:t>9</w:t>
      </w:r>
      <w:r w:rsidRPr="00C32576">
        <w:tab/>
      </w:r>
      <w:r>
        <w:t xml:space="preserve">Mainstreaming </w:t>
      </w:r>
      <w:r w:rsidRPr="00C5776F">
        <w:t>accessibility</w:t>
      </w:r>
      <w:bookmarkEnd w:id="133"/>
    </w:p>
    <w:p w14:paraId="43095159" w14:textId="77777777" w:rsidR="0025401A" w:rsidRDefault="0025401A" w:rsidP="0025401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48A2DBA1" w14:textId="1C7B2709" w:rsidR="0025401A" w:rsidRPr="000C6BE2" w:rsidRDefault="0025401A" w:rsidP="0025401A">
      <w:pPr>
        <w:rPr>
          <w:lang w:eastAsia="en-US"/>
        </w:rPr>
      </w:pPr>
      <w:r>
        <w:rPr>
          <w:lang w:eastAsia="en-US"/>
        </w:rPr>
        <w:t xml:space="preserve">For an overview of all ITU activities relevant to accessibility, see </w:t>
      </w:r>
      <w:hyperlink r:id="rId160"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61" w:history="1">
        <w:r w:rsidRPr="00F570EA">
          <w:rPr>
            <w:rStyle w:val="Hyperlink"/>
            <w:lang w:eastAsia="en-US"/>
          </w:rPr>
          <w:t>ITU-T and Accessibility</w:t>
        </w:r>
      </w:hyperlink>
      <w:r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4" w:name="_7_Mainstreaming_accessibility"/>
      <w:bookmarkStart w:id="135" w:name="_9_Mainstreaming_accessibility"/>
      <w:bookmarkStart w:id="136" w:name="_Toc480527828"/>
      <w:bookmarkStart w:id="137" w:name="_Toc505855760"/>
      <w:bookmarkStart w:id="138" w:name="_Toc156392432"/>
      <w:bookmarkStart w:id="139" w:name="_Hlk135238651"/>
      <w:bookmarkEnd w:id="130"/>
      <w:bookmarkEnd w:id="134"/>
      <w:bookmarkEnd w:id="135"/>
      <w:r>
        <w:rPr>
          <w:rFonts w:asciiTheme="majorBidi" w:eastAsiaTheme="minorEastAsia" w:hAnsiTheme="majorBidi" w:cstheme="majorBidi"/>
        </w:rPr>
        <w:t>10</w:t>
      </w:r>
      <w:r w:rsidR="006E47C5" w:rsidRPr="00E338FB">
        <w:rPr>
          <w:rFonts w:asciiTheme="majorBidi" w:eastAsiaTheme="minorEastAsia" w:hAnsiTheme="majorBidi" w:cstheme="majorBidi"/>
        </w:rPr>
        <w:tab/>
        <w:t xml:space="preserve">Intellectual property </w:t>
      </w:r>
      <w:r w:rsidR="006E47C5" w:rsidRPr="00C5776F">
        <w:rPr>
          <w:rFonts w:asciiTheme="majorBidi" w:eastAsiaTheme="minorEastAsia" w:hAnsiTheme="majorBidi" w:cstheme="majorBidi"/>
        </w:rPr>
        <w:t>rights</w:t>
      </w:r>
      <w:bookmarkEnd w:id="136"/>
      <w:bookmarkEnd w:id="137"/>
      <w:bookmarkEnd w:id="138"/>
      <w:r w:rsidR="004D1408" w:rsidRPr="004D1408">
        <w:rPr>
          <w:rFonts w:asciiTheme="majorBidi" w:hAnsiTheme="majorBidi" w:cstheme="majorBidi"/>
        </w:rPr>
        <w:t xml:space="preserve"> </w:t>
      </w:r>
    </w:p>
    <w:p w14:paraId="0FABB000" w14:textId="0C341A12" w:rsidR="00375546" w:rsidRDefault="006E47C5" w:rsidP="00D22378">
      <w:pPr>
        <w:rPr>
          <w:rFonts w:asciiTheme="majorBidi" w:hAnsiTheme="majorBidi" w:cstheme="majorBidi"/>
        </w:rPr>
      </w:pPr>
      <w:r w:rsidRPr="00E338FB">
        <w:rPr>
          <w:rFonts w:asciiTheme="majorBidi" w:hAnsiTheme="majorBidi" w:cstheme="majorBidi"/>
        </w:rPr>
        <w:t xml:space="preserve">The </w:t>
      </w:r>
      <w:hyperlink r:id="rId162"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protect</w:t>
      </w:r>
      <w:r w:rsidR="0016603D">
        <w:rPr>
          <w:rFonts w:asciiTheme="majorBidi" w:hAnsiTheme="majorBidi" w:cstheme="majorBidi"/>
        </w:rPr>
        <w:t>s</w:t>
      </w:r>
      <w:r w:rsidRPr="00E338FB">
        <w:rPr>
          <w:rFonts w:asciiTheme="majorBidi" w:hAnsiTheme="majorBidi" w:cstheme="majorBidi"/>
        </w:rPr>
        <w:t xml:space="preserve"> the integrity of the standards-development process by clarifying aspects of the </w:t>
      </w:r>
      <w:hyperlink r:id="rId163"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64" w:history="1">
        <w:r w:rsidRPr="00E338FB">
          <w:rPr>
            <w:rStyle w:val="Hyperlink"/>
            <w:rFonts w:asciiTheme="majorBidi" w:hAnsiTheme="majorBidi" w:cstheme="majorBidi"/>
          </w:rPr>
          <w:t>ITU-T and ITU-R Recommendations</w:t>
        </w:r>
      </w:hyperlink>
      <w:bookmarkStart w:id="140" w:name="_10.1_TSB_Director's"/>
      <w:bookmarkEnd w:id="140"/>
      <w:r w:rsidRPr="00E338FB">
        <w:rPr>
          <w:rFonts w:asciiTheme="majorBidi" w:hAnsiTheme="majorBidi" w:cstheme="majorBidi"/>
        </w:rPr>
        <w:t>.</w:t>
      </w:r>
      <w:r w:rsidR="009A6FCC">
        <w:rPr>
          <w:rFonts w:asciiTheme="majorBidi" w:hAnsiTheme="majorBidi" w:cstheme="majorBidi"/>
        </w:rPr>
        <w:t xml:space="preserve"> </w:t>
      </w:r>
    </w:p>
    <w:p w14:paraId="7EA6A0B9" w14:textId="1AAB9827" w:rsidR="001A3BF9" w:rsidRDefault="0016603D" w:rsidP="00D22378">
      <w:pPr>
        <w:rPr>
          <w:rFonts w:asciiTheme="majorBidi" w:hAnsiTheme="majorBidi" w:cstheme="majorBidi"/>
        </w:rPr>
      </w:pPr>
      <w:r w:rsidRPr="0016603D">
        <w:rPr>
          <w:rFonts w:asciiTheme="majorBidi" w:hAnsiTheme="majorBidi" w:cstheme="majorBidi"/>
        </w:rPr>
        <w:t>All IPR-related documentation and webpages are now available in the six official languages of the Union.</w:t>
      </w:r>
    </w:p>
    <w:p w14:paraId="4E1E8433" w14:textId="6ADDA168" w:rsidR="009A6FCC" w:rsidRPr="009A6FCC" w:rsidRDefault="00375546" w:rsidP="00D22378">
      <w:pPr>
        <w:rPr>
          <w:rFonts w:asciiTheme="majorBidi" w:hAnsiTheme="majorBidi" w:cstheme="majorBidi"/>
        </w:rPr>
      </w:pPr>
      <w:r>
        <w:rPr>
          <w:rFonts w:asciiTheme="majorBidi" w:hAnsiTheme="majorBidi" w:cstheme="majorBidi"/>
        </w:rPr>
        <w:t>No meetings were held in the reporting period. Previous m</w:t>
      </w:r>
      <w:r w:rsidR="009A6FCC" w:rsidRPr="009A6FCC">
        <w:rPr>
          <w:rFonts w:asciiTheme="majorBidi" w:hAnsiTheme="majorBidi" w:cstheme="majorBidi"/>
        </w:rPr>
        <w:t>eeting reports are available </w:t>
      </w:r>
      <w:hyperlink r:id="rId165"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66"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41" w:name="_9_Membership"/>
      <w:bookmarkStart w:id="142" w:name="_11_Membership"/>
      <w:bookmarkStart w:id="143" w:name="_Toc156392433"/>
      <w:bookmarkStart w:id="144" w:name="_Hlk119427841"/>
      <w:bookmarkStart w:id="145" w:name="_Hlk92290514"/>
      <w:bookmarkStart w:id="146" w:name="_Toc438553987"/>
      <w:bookmarkStart w:id="147" w:name="_Toc453929111"/>
      <w:bookmarkStart w:id="148" w:name="_Toc453932982"/>
      <w:bookmarkStart w:id="149" w:name="_Toc454295888"/>
      <w:bookmarkStart w:id="150" w:name="_Toc462664268"/>
      <w:bookmarkStart w:id="151" w:name="_Toc480527861"/>
      <w:bookmarkEnd w:id="106"/>
      <w:bookmarkEnd w:id="139"/>
      <w:bookmarkEnd w:id="141"/>
      <w:bookmarkEnd w:id="142"/>
      <w:r>
        <w:lastRenderedPageBreak/>
        <w:t>11</w:t>
      </w:r>
      <w:r w:rsidR="001C4B4F" w:rsidRPr="003B574C">
        <w:tab/>
      </w:r>
      <w:r w:rsidR="001C4B4F" w:rsidRPr="005175B7">
        <w:t>Member</w:t>
      </w:r>
      <w:r w:rsidR="001C4B4F" w:rsidRPr="00C5776F">
        <w:t>ship</w:t>
      </w:r>
      <w:bookmarkStart w:id="152" w:name="_Hlk82640787"/>
      <w:bookmarkEnd w:id="143"/>
    </w:p>
    <w:bookmarkEnd w:id="152"/>
    <w:p w14:paraId="19FF32C0" w14:textId="77777777" w:rsidR="00B0606B" w:rsidRDefault="0016603D" w:rsidP="001A3BF9">
      <w:pPr>
        <w:keepNext/>
        <w:keepLines/>
        <w:rPr>
          <w:rFonts w:eastAsia="Calibri"/>
        </w:rPr>
      </w:pPr>
      <w:r w:rsidRPr="0016603D">
        <w:rPr>
          <w:rFonts w:eastAsia="Calibri"/>
        </w:rPr>
        <w:t>ITU-T hosts 272 Sector Members and 227 Associates. ITU Academia members now total 169. 66 of ITU-T's Associates are participating under the reduced fee structure for small and medium-sized enterprises (SMEs) which came into effect on 31 January 2020</w:t>
      </w:r>
      <w:r w:rsidR="00B0606B">
        <w:rPr>
          <w:rFonts w:eastAsia="Calibri"/>
        </w:rPr>
        <w:t xml:space="preserve">. </w:t>
      </w:r>
    </w:p>
    <w:p w14:paraId="2D82C92D" w14:textId="5AAAE86F" w:rsidR="001A3BF9" w:rsidRPr="001A3BF9" w:rsidRDefault="00B0606B" w:rsidP="001A3BF9">
      <w:pPr>
        <w:keepNext/>
        <w:keepLines/>
        <w:rPr>
          <w:rFonts w:eastAsia="Calibri"/>
        </w:rPr>
      </w:pPr>
      <w:r>
        <w:rPr>
          <w:rFonts w:eastAsia="Calibri"/>
        </w:rPr>
        <w:t xml:space="preserve">The </w:t>
      </w:r>
      <w:r w:rsidR="001215CC">
        <w:rPr>
          <w:rFonts w:eastAsia="Calibri"/>
        </w:rPr>
        <w:t xml:space="preserve">data </w:t>
      </w:r>
      <w:r>
        <w:rPr>
          <w:rFonts w:eastAsia="Calibri"/>
        </w:rPr>
        <w:t>included in this report reflect data available on 20 December 2023.</w:t>
      </w:r>
    </w:p>
    <w:p w14:paraId="0D6C81EB" w14:textId="705019B8" w:rsidR="001A3BF9" w:rsidRPr="001A3BF9" w:rsidRDefault="001A3BF9" w:rsidP="001A3BF9">
      <w:pPr>
        <w:keepNext/>
        <w:keepLines/>
        <w:rPr>
          <w:rFonts w:eastAsia="Calibri"/>
          <w:b/>
        </w:rPr>
      </w:pPr>
      <w:r w:rsidRPr="001A3BF9">
        <w:rPr>
          <w:rFonts w:eastAsia="Calibri"/>
          <w:b/>
        </w:rPr>
        <w:t xml:space="preserve">New Sector Members welcomed </w:t>
      </w:r>
      <w:r w:rsidR="00B0606B">
        <w:rPr>
          <w:rFonts w:eastAsia="Calibri"/>
          <w:b/>
        </w:rPr>
        <w:t>from 1 January to 20 December</w:t>
      </w:r>
      <w:r w:rsidRPr="001A3BF9">
        <w:rPr>
          <w:rFonts w:eastAsia="Calibri"/>
          <w:b/>
        </w:rPr>
        <w:t xml:space="preserve"> </w:t>
      </w:r>
      <w:r w:rsidR="00B0606B">
        <w:rPr>
          <w:rFonts w:eastAsia="Calibri"/>
          <w:b/>
        </w:rPr>
        <w:t>2023</w:t>
      </w:r>
      <w:r w:rsidRPr="001A3BF9">
        <w:rPr>
          <w:rFonts w:eastAsia="Calibri"/>
          <w:b/>
        </w:rPr>
        <w:t>:</w:t>
      </w:r>
    </w:p>
    <w:p w14:paraId="7AD9D75B" w14:textId="1E079F64" w:rsidR="001A3BF9" w:rsidRPr="001A3BF9" w:rsidRDefault="00B0606B" w:rsidP="001A3BF9">
      <w:pPr>
        <w:keepNext/>
        <w:keepLines/>
        <w:rPr>
          <w:rFonts w:eastAsia="Calibri"/>
        </w:rPr>
      </w:pPr>
      <w:r>
        <w:rPr>
          <w:rFonts w:eastAsia="Calibri"/>
        </w:rPr>
        <w:t>World's Global Telecom S.A.; China Satellite Network Group Co., Ltd; Vecima Networks Inc.; Ant Group Co., Ltd.; Emirates Integrated Telecommunications Company PJSC; CableLabs; DITO Telecommunity Corporation; Frontier Communications; Guangdong OPPO Mobile Telecommunications Corp., Ltd.; China Tower Corporation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r w:rsidR="001A3BF9" w:rsidRPr="001A3BF9">
        <w:rPr>
          <w:rFonts w:eastAsia="Calibri"/>
        </w:rPr>
        <w:t>.</w:t>
      </w:r>
    </w:p>
    <w:p w14:paraId="1227C3BC" w14:textId="58ACD95B" w:rsidR="001A3BF9" w:rsidRPr="001A3BF9" w:rsidRDefault="001A3BF9" w:rsidP="001A3BF9">
      <w:pPr>
        <w:keepNext/>
        <w:keepLines/>
        <w:rPr>
          <w:rFonts w:eastAsia="Calibri"/>
          <w:b/>
        </w:rPr>
      </w:pPr>
      <w:r w:rsidRPr="001A3BF9">
        <w:rPr>
          <w:rFonts w:eastAsia="Calibri"/>
          <w:b/>
        </w:rPr>
        <w:t>New Associates welcomed</w:t>
      </w:r>
      <w:r w:rsidR="00B0606B" w:rsidRPr="00B0606B">
        <w:rPr>
          <w:rFonts w:eastAsia="Calibri"/>
          <w:b/>
        </w:rPr>
        <w:t xml:space="preserve"> </w:t>
      </w:r>
      <w:r w:rsidR="00B0606B">
        <w:rPr>
          <w:rFonts w:eastAsia="Calibri"/>
          <w:b/>
        </w:rPr>
        <w:t>from 1 January to 20 December</w:t>
      </w:r>
      <w:r w:rsidR="00B0606B" w:rsidRPr="001A3BF9">
        <w:rPr>
          <w:rFonts w:eastAsia="Calibri"/>
          <w:b/>
        </w:rPr>
        <w:t xml:space="preserve"> </w:t>
      </w:r>
      <w:r w:rsidR="00B0606B">
        <w:rPr>
          <w:rFonts w:eastAsia="Calibri"/>
          <w:b/>
        </w:rPr>
        <w:t>2023</w:t>
      </w:r>
      <w:r w:rsidRPr="001A3BF9">
        <w:rPr>
          <w:rFonts w:eastAsia="Calibri"/>
          <w:b/>
        </w:rPr>
        <w:t>:</w:t>
      </w:r>
    </w:p>
    <w:p w14:paraId="1A8CB893" w14:textId="0FA03EE2" w:rsidR="001A3BF9" w:rsidRPr="001A3BF9" w:rsidRDefault="00B0606B" w:rsidP="001A3BF9">
      <w:pPr>
        <w:keepNext/>
        <w:keepLines/>
        <w:rPr>
          <w:rFonts w:eastAsia="Calibri"/>
        </w:rPr>
      </w:pPr>
      <w:r w:rsidRPr="00B0606B">
        <w:rPr>
          <w:rFonts w:eastAsia="Calibri"/>
        </w:rPr>
        <w:t xml:space="preserve">BBIX Singapore Pte. Ltd. (SG2); Onomondo ApS (SG2); iONLINE Internet solutions provider Ltd. (SG2); Deer Management Systems DBA Tactacam (SG2); ESim Go Limited (SG2); Simwood Group Plc (SG2); NTT Ltd. Group Services Limited (SG2); Telnyx LLC (SG2); 3G Telecommunications Limited (SG2); Datora Mobile Telecomunicações SA (SG2); WMS (SG2); Nauru Telikom Corporation (SG2); Beamlink, Inc. (SG2); Mozilla Corporation (SG3); Resilio (SG5); China Energy Materials Company Limited (SG5); InMobiles (SG11); Bloxtel Inc. (SG13); DNS Research Federation (SG13); InnoLight Technology (Suzhou) Ltd. (SG15); Net Insight AB (SG15); Guodian Nanjing Automation Co., Ltd (SG16); </w:t>
      </w:r>
      <w:r w:rsidRPr="00B0606B">
        <w:rPr>
          <w:rFonts w:eastAsia="Calibri"/>
          <w:lang w:val="en-US"/>
        </w:rPr>
        <w:t>TuringSign Global SA (SG17); Radical Alternativas de Avanzada Altradicalavan Cia Ltda (SG17)</w:t>
      </w:r>
      <w:r>
        <w:rPr>
          <w:rFonts w:eastAsia="Calibri"/>
          <w:lang w:val="en-US"/>
        </w:rPr>
        <w:t>.</w:t>
      </w:r>
    </w:p>
    <w:p w14:paraId="23919880" w14:textId="4B600CBC" w:rsidR="001A3BF9" w:rsidRPr="001A3BF9" w:rsidRDefault="001A3BF9" w:rsidP="001A3BF9">
      <w:pPr>
        <w:keepNext/>
        <w:keepLines/>
        <w:rPr>
          <w:rFonts w:eastAsia="Calibri"/>
          <w:b/>
        </w:rPr>
      </w:pPr>
      <w:r w:rsidRPr="001A3BF9">
        <w:rPr>
          <w:rFonts w:eastAsia="Calibri"/>
          <w:b/>
        </w:rPr>
        <w:t xml:space="preserve">Total ITU-T Sector Members, Associates and Academia (31 December 2009 – </w:t>
      </w:r>
      <w:r w:rsidR="00B0606B">
        <w:rPr>
          <w:rFonts w:eastAsia="Calibri"/>
          <w:b/>
          <w:bCs/>
        </w:rPr>
        <w:t xml:space="preserve">20 December </w:t>
      </w:r>
      <w:r w:rsidRPr="001A3BF9">
        <w:rPr>
          <w:rFonts w:eastAsia="Calibri"/>
          <w:b/>
        </w:rPr>
        <w:t>202</w:t>
      </w:r>
      <w:r w:rsidR="00B0606B">
        <w:rPr>
          <w:rFonts w:eastAsia="Calibri"/>
          <w:b/>
        </w:rPr>
        <w:t>3</w:t>
      </w:r>
      <w:r w:rsidRPr="001A3BF9">
        <w:rPr>
          <w:rFonts w:eastAsia="Calibri"/>
          <w:b/>
        </w:rPr>
        <w:t>):</w:t>
      </w:r>
    </w:p>
    <w:p w14:paraId="239429B6" w14:textId="28805E3B" w:rsidR="001A3BF9" w:rsidRPr="001A3BF9" w:rsidRDefault="001A3BF9" w:rsidP="001A3BF9">
      <w:pPr>
        <w:keepNext/>
        <w:keepLines/>
        <w:rPr>
          <w:rFonts w:eastAsia="Calibri"/>
        </w:rPr>
      </w:pPr>
      <w:r w:rsidRPr="001A3BF9">
        <w:rPr>
          <w:rFonts w:eastAsia="Calibri"/>
        </w:rPr>
        <w:t xml:space="preserve">The following table and figure illustrate the evolution of ITU-T membership from 31 December 2009 to </w:t>
      </w:r>
      <w:r w:rsidR="00B0606B">
        <w:rPr>
          <w:rFonts w:eastAsia="Calibri"/>
        </w:rPr>
        <w:t>20</w:t>
      </w:r>
      <w:r w:rsidRPr="001A3BF9">
        <w:rPr>
          <w:rFonts w:eastAsia="Calibri"/>
        </w:rPr>
        <w:t xml:space="preserve"> </w:t>
      </w:r>
      <w:r w:rsidR="00B0606B">
        <w:rPr>
          <w:rFonts w:eastAsia="Calibri"/>
        </w:rPr>
        <w:t xml:space="preserve">December </w:t>
      </w:r>
      <w:r w:rsidRPr="001A3BF9">
        <w:rPr>
          <w:rFonts w:eastAsia="Calibri"/>
        </w:rPr>
        <w:t>2023 (noting that the Academia membership category opened in 2011).</w:t>
      </w:r>
    </w:p>
    <w:p w14:paraId="06110256" w14:textId="77777777" w:rsidR="001A3BF9" w:rsidRPr="001A3BF9" w:rsidRDefault="001A3BF9" w:rsidP="001A3BF9">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1A3BF9"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1A3BF9" w:rsidRDefault="001A3BF9" w:rsidP="001A3BF9">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1A3BF9" w:rsidRDefault="001A3BF9" w:rsidP="001A3BF9">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1A3BF9" w:rsidRDefault="001A3BF9" w:rsidP="001A3BF9">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1A3BF9" w:rsidRDefault="001A3BF9" w:rsidP="001A3BF9">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1A3BF9" w:rsidRDefault="001A3BF9" w:rsidP="001A3BF9">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1A3BF9" w:rsidRDefault="001A3BF9" w:rsidP="001A3BF9">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1A3BF9" w:rsidRDefault="001A3BF9" w:rsidP="001A3BF9">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1A3BF9" w:rsidRDefault="001A3BF9" w:rsidP="001A3BF9">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1A3BF9" w:rsidRDefault="001A3BF9" w:rsidP="001A3BF9">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1A3BF9" w:rsidRDefault="001A3BF9" w:rsidP="001A3BF9">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1A3BF9" w:rsidRDefault="001A3BF9" w:rsidP="001A3BF9">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1A3BF9" w:rsidRDefault="001A3BF9" w:rsidP="001A3BF9">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1A3BF9" w:rsidRDefault="001A3BF9" w:rsidP="001A3BF9">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1A3BF9" w:rsidRDefault="001A3BF9" w:rsidP="001A3BF9">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1A3BF9" w:rsidRDefault="001A3BF9" w:rsidP="001A3BF9">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1A3BF9" w:rsidRDefault="001A3BF9" w:rsidP="001A3BF9">
            <w:pPr>
              <w:keepNext/>
              <w:keepLines/>
              <w:rPr>
                <w:rFonts w:eastAsia="Calibri"/>
                <w:b/>
                <w:lang w:val="en-US"/>
              </w:rPr>
            </w:pPr>
            <w:r w:rsidRPr="001A3BF9">
              <w:rPr>
                <w:rFonts w:eastAsia="Calibri"/>
                <w:b/>
                <w:lang w:val="en-US"/>
              </w:rPr>
              <w:t>2023</w:t>
            </w:r>
          </w:p>
        </w:tc>
      </w:tr>
      <w:tr w:rsidR="001A3BF9" w:rsidRPr="001A3BF9"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1A3BF9" w:rsidRDefault="001A3BF9" w:rsidP="001A3BF9">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1A3BF9" w:rsidRDefault="001A3BF9" w:rsidP="001A3BF9">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1A3BF9" w:rsidRDefault="001A3BF9" w:rsidP="001A3BF9">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1A3BF9" w:rsidRDefault="001A3BF9" w:rsidP="001A3BF9">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1A3BF9" w:rsidRDefault="001A3BF9" w:rsidP="001A3BF9">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1A3BF9" w:rsidRDefault="001A3BF9" w:rsidP="001A3BF9">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1A3BF9" w:rsidRDefault="001A3BF9" w:rsidP="001A3BF9">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1A3BF9" w:rsidRDefault="001A3BF9" w:rsidP="001A3BF9">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1A3BF9" w:rsidRDefault="001A3BF9" w:rsidP="001A3BF9">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1A3BF9" w:rsidRDefault="001A3BF9" w:rsidP="001A3BF9">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1A3BF9" w:rsidRDefault="001A3BF9" w:rsidP="001A3BF9">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1A3BF9" w:rsidRDefault="001A3BF9" w:rsidP="001A3BF9">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1A3BF9" w:rsidRDefault="001A3BF9" w:rsidP="001A3BF9">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1A3BF9" w:rsidRDefault="001A3BF9" w:rsidP="001A3BF9">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1A3BF9" w:rsidRDefault="001A3BF9" w:rsidP="001A3BF9">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0832C7D9" w14:textId="161214D8" w:rsidR="001A3BF9" w:rsidRPr="001A3BF9" w:rsidRDefault="001A3BF9" w:rsidP="001A3BF9">
            <w:pPr>
              <w:keepNext/>
              <w:keepLines/>
              <w:rPr>
                <w:rFonts w:eastAsia="Calibri"/>
                <w:lang w:val="en-US"/>
              </w:rPr>
            </w:pPr>
            <w:r w:rsidRPr="001A3BF9">
              <w:rPr>
                <w:rFonts w:eastAsia="Calibri"/>
                <w:lang w:val="en-US"/>
              </w:rPr>
              <w:t>2</w:t>
            </w:r>
            <w:r w:rsidR="00920EFA">
              <w:rPr>
                <w:rFonts w:eastAsia="Calibri"/>
                <w:lang w:val="en-US"/>
              </w:rPr>
              <w:t>72</w:t>
            </w:r>
          </w:p>
        </w:tc>
      </w:tr>
      <w:tr w:rsidR="001A3BF9" w:rsidRPr="001A3BF9"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1A3BF9" w:rsidRDefault="001A3BF9" w:rsidP="001A3BF9">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1A3BF9" w:rsidRDefault="001A3BF9" w:rsidP="001A3BF9">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1A3BF9" w:rsidRDefault="001A3BF9" w:rsidP="001A3BF9">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1A3BF9" w:rsidRDefault="001A3BF9" w:rsidP="001A3BF9">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1A3BF9" w:rsidRDefault="001A3BF9" w:rsidP="001A3BF9">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1A3BF9" w:rsidRDefault="001A3BF9" w:rsidP="001A3BF9">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1A3BF9" w:rsidRDefault="001A3BF9" w:rsidP="001A3BF9">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1A3BF9" w:rsidRDefault="001A3BF9" w:rsidP="001A3BF9">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1A3BF9" w:rsidRDefault="001A3BF9" w:rsidP="001A3BF9">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1A3BF9" w:rsidRDefault="001A3BF9" w:rsidP="001A3BF9">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1A3BF9" w:rsidRDefault="001A3BF9" w:rsidP="001A3BF9">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1A3BF9" w:rsidRDefault="001A3BF9" w:rsidP="001A3BF9">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1A3BF9" w:rsidRDefault="001A3BF9" w:rsidP="001A3BF9">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1A3BF9" w:rsidRDefault="001A3BF9" w:rsidP="001A3BF9">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28FF9E0E" w14:textId="5E434C0A" w:rsidR="001A3BF9" w:rsidRPr="001A3BF9" w:rsidRDefault="001A3BF9" w:rsidP="001A3BF9">
            <w:pPr>
              <w:keepNext/>
              <w:keepLines/>
              <w:rPr>
                <w:rFonts w:eastAsia="Calibri"/>
                <w:lang w:val="en-US"/>
              </w:rPr>
            </w:pPr>
            <w:r w:rsidRPr="001A3BF9">
              <w:rPr>
                <w:rFonts w:eastAsia="Calibri"/>
                <w:lang w:val="en-US"/>
              </w:rPr>
              <w:t>22</w:t>
            </w:r>
            <w:r w:rsidR="00B0606B">
              <w:rPr>
                <w:rFonts w:eastAsia="Calibri"/>
                <w:lang w:val="en-US"/>
              </w:rPr>
              <w:t>0</w:t>
            </w:r>
          </w:p>
        </w:tc>
        <w:tc>
          <w:tcPr>
            <w:tcW w:w="630" w:type="dxa"/>
            <w:tcBorders>
              <w:top w:val="nil"/>
              <w:left w:val="single" w:sz="4" w:space="0" w:color="auto"/>
              <w:bottom w:val="single" w:sz="8" w:space="0" w:color="auto"/>
              <w:right w:val="single" w:sz="12" w:space="0" w:color="auto"/>
            </w:tcBorders>
          </w:tcPr>
          <w:p w14:paraId="715F52DA" w14:textId="47DD4A9D" w:rsidR="001A3BF9" w:rsidRPr="001A3BF9" w:rsidRDefault="001A3BF9" w:rsidP="001A3BF9">
            <w:pPr>
              <w:keepNext/>
              <w:keepLines/>
              <w:rPr>
                <w:rFonts w:eastAsia="Calibri"/>
                <w:lang w:val="en-US"/>
              </w:rPr>
            </w:pPr>
            <w:r w:rsidRPr="001A3BF9">
              <w:rPr>
                <w:rFonts w:eastAsia="Calibri"/>
                <w:lang w:val="en-US"/>
              </w:rPr>
              <w:t>22</w:t>
            </w:r>
            <w:r w:rsidR="00920EFA">
              <w:rPr>
                <w:rFonts w:eastAsia="Calibri"/>
                <w:lang w:val="en-US"/>
              </w:rPr>
              <w:t>7</w:t>
            </w:r>
          </w:p>
        </w:tc>
      </w:tr>
      <w:tr w:rsidR="001A3BF9" w:rsidRPr="001A3BF9"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1A3BF9" w:rsidRDefault="001A3BF9" w:rsidP="001A3BF9">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1A3BF9" w:rsidRDefault="001A3BF9" w:rsidP="001A3BF9">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1A3BF9" w:rsidRDefault="001A3BF9" w:rsidP="001A3BF9">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1A3BF9" w:rsidRDefault="001A3BF9" w:rsidP="001A3BF9">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1A3BF9" w:rsidRDefault="001A3BF9" w:rsidP="001A3BF9">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1A3BF9" w:rsidRDefault="001A3BF9" w:rsidP="001A3BF9">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1A3BF9" w:rsidRDefault="001A3BF9" w:rsidP="001A3BF9">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1A3BF9" w:rsidRDefault="001A3BF9" w:rsidP="001A3BF9">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1A3BF9" w:rsidRDefault="001A3BF9" w:rsidP="001A3BF9">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1A3BF9" w:rsidRDefault="001A3BF9" w:rsidP="001A3BF9">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1A3BF9" w:rsidRDefault="001A3BF9" w:rsidP="001A3BF9">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1A3BF9" w:rsidRDefault="001A3BF9" w:rsidP="001A3BF9">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37DC799D" w14:textId="79F06CEC" w:rsidR="001A3BF9" w:rsidRPr="001A3BF9" w:rsidRDefault="001A3BF9" w:rsidP="001A3BF9">
            <w:pPr>
              <w:keepNext/>
              <w:keepLines/>
              <w:rPr>
                <w:rFonts w:eastAsia="Calibri"/>
                <w:lang w:val="en-US"/>
              </w:rPr>
            </w:pPr>
            <w:r w:rsidRPr="001A3BF9">
              <w:rPr>
                <w:rFonts w:eastAsia="Calibri"/>
                <w:lang w:val="en-US"/>
              </w:rPr>
              <w:t>17</w:t>
            </w:r>
            <w:r w:rsidR="00B0606B">
              <w:rPr>
                <w:rFonts w:eastAsia="Calibri"/>
                <w:lang w:val="en-US"/>
              </w:rPr>
              <w:t>0</w:t>
            </w:r>
          </w:p>
        </w:tc>
        <w:tc>
          <w:tcPr>
            <w:tcW w:w="630" w:type="dxa"/>
            <w:tcBorders>
              <w:top w:val="nil"/>
              <w:left w:val="single" w:sz="4" w:space="0" w:color="auto"/>
              <w:bottom w:val="single" w:sz="8" w:space="0" w:color="auto"/>
              <w:right w:val="single" w:sz="12" w:space="0" w:color="auto"/>
            </w:tcBorders>
          </w:tcPr>
          <w:p w14:paraId="203241F2" w14:textId="27941A3C" w:rsidR="001A3BF9" w:rsidRPr="001A3BF9" w:rsidRDefault="001A3BF9" w:rsidP="001A3BF9">
            <w:pPr>
              <w:keepNext/>
              <w:keepLines/>
              <w:rPr>
                <w:rFonts w:eastAsia="Calibri"/>
                <w:lang w:val="en-US"/>
              </w:rPr>
            </w:pPr>
            <w:r w:rsidRPr="001A3BF9">
              <w:rPr>
                <w:rFonts w:eastAsia="Calibri"/>
                <w:lang w:val="en-US"/>
              </w:rPr>
              <w:t>1</w:t>
            </w:r>
            <w:r w:rsidR="00920EFA">
              <w:rPr>
                <w:rFonts w:eastAsia="Calibri"/>
                <w:lang w:val="en-US"/>
              </w:rPr>
              <w:t>69</w:t>
            </w:r>
          </w:p>
        </w:tc>
      </w:tr>
      <w:tr w:rsidR="001A3BF9" w:rsidRPr="001A3BF9"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1A3BF9" w:rsidRDefault="001A3BF9" w:rsidP="001A3BF9">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1A3BF9" w:rsidRDefault="001A3BF9" w:rsidP="001A3BF9">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1A3BF9" w:rsidRDefault="001A3BF9" w:rsidP="001A3BF9">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1A3BF9" w:rsidRDefault="001A3BF9" w:rsidP="001A3BF9">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1A3BF9" w:rsidRDefault="001A3BF9" w:rsidP="001A3BF9">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1A3BF9" w:rsidRDefault="001A3BF9" w:rsidP="001A3BF9">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1A3BF9" w:rsidRDefault="001A3BF9" w:rsidP="001A3BF9">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1A3BF9" w:rsidRDefault="001A3BF9" w:rsidP="001A3BF9">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1A3BF9" w:rsidRDefault="001A3BF9" w:rsidP="001A3BF9">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1A3BF9" w:rsidRDefault="001A3BF9" w:rsidP="001A3BF9">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1A3BF9" w:rsidRDefault="001A3BF9" w:rsidP="001A3BF9">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1A3BF9" w:rsidRDefault="001A3BF9" w:rsidP="001A3BF9">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1A3BF9" w:rsidRDefault="001A3BF9" w:rsidP="001A3BF9">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1A3BF9" w:rsidRDefault="001A3BF9" w:rsidP="001A3BF9">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4009FBDB" w14:textId="7B1FBD36" w:rsidR="001A3BF9" w:rsidRPr="001A3BF9" w:rsidRDefault="001A3BF9" w:rsidP="001A3BF9">
            <w:pPr>
              <w:keepNext/>
              <w:keepLines/>
              <w:rPr>
                <w:rFonts w:eastAsia="Calibri"/>
                <w:lang w:val="en-US"/>
              </w:rPr>
            </w:pPr>
            <w:r w:rsidRPr="001A3BF9">
              <w:rPr>
                <w:rFonts w:eastAsia="Calibri"/>
                <w:lang w:val="en-US"/>
              </w:rPr>
              <w:t>65</w:t>
            </w:r>
            <w:r w:rsidR="00B0606B">
              <w:rPr>
                <w:rFonts w:eastAsia="Calibri"/>
                <w:lang w:val="en-US"/>
              </w:rPr>
              <w:t>3</w:t>
            </w:r>
          </w:p>
        </w:tc>
        <w:tc>
          <w:tcPr>
            <w:tcW w:w="630" w:type="dxa"/>
            <w:tcBorders>
              <w:top w:val="nil"/>
              <w:left w:val="single" w:sz="4" w:space="0" w:color="auto"/>
              <w:bottom w:val="single" w:sz="12" w:space="0" w:color="auto"/>
              <w:right w:val="single" w:sz="12" w:space="0" w:color="auto"/>
            </w:tcBorders>
          </w:tcPr>
          <w:p w14:paraId="5A0FD779" w14:textId="0F9DEDB4" w:rsidR="001A3BF9" w:rsidRPr="001A3BF9" w:rsidRDefault="001A3BF9" w:rsidP="001A3BF9">
            <w:pPr>
              <w:keepNext/>
              <w:keepLines/>
              <w:rPr>
                <w:rFonts w:eastAsia="Calibri"/>
                <w:lang w:val="en-US"/>
              </w:rPr>
            </w:pPr>
            <w:r w:rsidRPr="001A3BF9">
              <w:rPr>
                <w:rFonts w:eastAsia="Calibri"/>
                <w:lang w:val="en-US"/>
              </w:rPr>
              <w:t>66</w:t>
            </w:r>
            <w:r w:rsidR="00920EFA">
              <w:rPr>
                <w:rFonts w:eastAsia="Calibri"/>
                <w:lang w:val="en-US"/>
              </w:rPr>
              <w:t>8</w:t>
            </w:r>
          </w:p>
        </w:tc>
      </w:tr>
    </w:tbl>
    <w:p w14:paraId="63E43339" w14:textId="77777777" w:rsidR="001A3BF9" w:rsidRPr="001A3BF9" w:rsidRDefault="001A3BF9" w:rsidP="001A3BF9">
      <w:pPr>
        <w:keepNext/>
        <w:keepLines/>
        <w:jc w:val="center"/>
        <w:rPr>
          <w:rFonts w:eastAsia="Calibri"/>
        </w:rPr>
      </w:pPr>
      <w:r w:rsidRPr="001A3BF9">
        <w:rPr>
          <w:rFonts w:eastAsia="Calibri"/>
        </w:rPr>
        <w:t>NOTE – Some of the figures in the table above have been subject to retroactive changes.</w:t>
      </w:r>
    </w:p>
    <w:p w14:paraId="448DF7AF" w14:textId="4C88D738" w:rsidR="001A3BF9" w:rsidRPr="001A3BF9" w:rsidRDefault="00920EFA" w:rsidP="001A3BF9">
      <w:pPr>
        <w:keepNext/>
        <w:keepLines/>
        <w:jc w:val="center"/>
        <w:rPr>
          <w:rFonts w:eastAsia="Calibri"/>
        </w:rPr>
      </w:pPr>
      <w:r>
        <w:rPr>
          <w:noProof/>
        </w:rPr>
        <w:lastRenderedPageBreak/>
        <w:drawing>
          <wp:inline distT="0" distB="0" distL="0" distR="0" wp14:anchorId="38B56BC4" wp14:editId="22F411AD">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19D69F03" w14:textId="0794D994"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2009 to </w:t>
      </w:r>
      <w:r w:rsidR="00920EFA">
        <w:rPr>
          <w:rFonts w:eastAsia="Calibri"/>
          <w:b/>
        </w:rPr>
        <w:t>20 December</w:t>
      </w:r>
      <w:r w:rsidRPr="001A3BF9">
        <w:rPr>
          <w:rFonts w:eastAsia="Calibri"/>
          <w:b/>
          <w:bCs/>
        </w:rPr>
        <w:t xml:space="preserve"> </w:t>
      </w:r>
      <w:r w:rsidRPr="001A3BF9">
        <w:rPr>
          <w:rFonts w:eastAsia="Calibri"/>
          <w:b/>
        </w:rPr>
        <w:t>2023</w:t>
      </w:r>
    </w:p>
    <w:p w14:paraId="640C620C" w14:textId="1AB12B4B"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3" w:name="_10_Virtual_meetings"/>
      <w:bookmarkStart w:id="154" w:name="_Toc462664274"/>
      <w:bookmarkStart w:id="155" w:name="_Toc480527863"/>
      <w:bookmarkStart w:id="156" w:name="_11_Bridging_the"/>
      <w:bookmarkStart w:id="157" w:name="_12_Bridging_the"/>
      <w:bookmarkStart w:id="158" w:name="_Toc416161356"/>
      <w:bookmarkStart w:id="159" w:name="_Toc438553979"/>
      <w:bookmarkStart w:id="160" w:name="_Toc453929098"/>
      <w:bookmarkStart w:id="161" w:name="_Toc453932969"/>
      <w:bookmarkStart w:id="162" w:name="_Toc454295875"/>
      <w:bookmarkStart w:id="163" w:name="_Toc480527846"/>
      <w:bookmarkStart w:id="164" w:name="_Toc51042269"/>
      <w:bookmarkStart w:id="165" w:name="_Toc156392434"/>
      <w:bookmarkStart w:id="166" w:name="_Toc453929120"/>
      <w:bookmarkStart w:id="167" w:name="_Toc453932991"/>
      <w:bookmarkStart w:id="168" w:name="_Toc454295897"/>
      <w:bookmarkStart w:id="169" w:name="_Toc387390042"/>
      <w:bookmarkStart w:id="170" w:name="_Toc416161372"/>
      <w:bookmarkStart w:id="171" w:name="_Toc438553998"/>
      <w:bookmarkEnd w:id="144"/>
      <w:bookmarkEnd w:id="145"/>
      <w:bookmarkEnd w:id="146"/>
      <w:bookmarkEnd w:id="147"/>
      <w:bookmarkEnd w:id="148"/>
      <w:bookmarkEnd w:id="149"/>
      <w:bookmarkEnd w:id="150"/>
      <w:bookmarkEnd w:id="151"/>
      <w:bookmarkEnd w:id="153"/>
      <w:bookmarkEnd w:id="154"/>
      <w:bookmarkEnd w:id="155"/>
      <w:bookmarkEnd w:id="156"/>
      <w:bookmarkEnd w:id="157"/>
      <w:r>
        <w:rPr>
          <w:rFonts w:eastAsiaTheme="minorEastAsia"/>
        </w:rPr>
        <w:t>1</w:t>
      </w:r>
      <w:r w:rsidR="005C2626">
        <w:rPr>
          <w:rFonts w:eastAsiaTheme="minorEastAsia"/>
        </w:rPr>
        <w:t>2</w:t>
      </w:r>
      <w:r w:rsidR="00B83A2A" w:rsidRPr="00C32576">
        <w:rPr>
          <w:rFonts w:eastAsiaTheme="minorEastAsia"/>
        </w:rPr>
        <w:tab/>
      </w:r>
      <w:r w:rsidR="00B83A2A" w:rsidRPr="00C32576">
        <w:t xml:space="preserve">Bridging the standardization </w:t>
      </w:r>
      <w:r w:rsidR="00B83A2A" w:rsidRPr="00C5776F">
        <w:t>gap</w:t>
      </w:r>
      <w:bookmarkEnd w:id="158"/>
      <w:bookmarkEnd w:id="159"/>
      <w:bookmarkEnd w:id="160"/>
      <w:bookmarkEnd w:id="161"/>
      <w:bookmarkEnd w:id="162"/>
      <w:bookmarkEnd w:id="163"/>
      <w:bookmarkEnd w:id="164"/>
      <w:bookmarkEnd w:id="165"/>
    </w:p>
    <w:p w14:paraId="6E6D884D" w14:textId="31BED4DA" w:rsidR="006C076E" w:rsidRPr="006C076E" w:rsidRDefault="00BB63EF" w:rsidP="006C076E">
      <w:hyperlink r:id="rId168"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08F1E912"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Pr="006C076E">
        <w:t xml:space="preserve">funded the BSG </w:t>
      </w:r>
      <w:r w:rsidR="00B44AD8">
        <w:t>Program</w:t>
      </w:r>
      <w:r w:rsidR="004D3073">
        <w:t>me</w:t>
      </w:r>
      <w:r w:rsidR="00B44AD8">
        <w:t xml:space="preserve"> </w:t>
      </w:r>
      <w:r w:rsidRPr="006C076E">
        <w:t xml:space="preserve">in 2023, encouraging others to join the </w:t>
      </w:r>
      <w:r w:rsidR="00B44AD8">
        <w:t>new BSG P</w:t>
      </w:r>
      <w:r w:rsidRPr="006C076E">
        <w:t>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77777777" w:rsidR="006C076E" w:rsidRPr="006C076E" w:rsidRDefault="006C076E" w:rsidP="00770357">
      <w:pPr>
        <w:numPr>
          <w:ilvl w:val="0"/>
          <w:numId w:val="33"/>
        </w:numPr>
      </w:pPr>
      <w:r w:rsidRPr="006C076E">
        <w:t>Guidelines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72" w:name="_Hlk155178488"/>
      <w:r w:rsidRPr="006C076E">
        <w:t>DFS Security Lab, Cyber Defence Centre 4 Developing Countries, United for Smart Sustainable Cities, C&amp;I Programme, Make Listening Safe initiative,</w:t>
      </w:r>
      <w:bookmarkEnd w:id="172"/>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FC3FE5C" w:rsidR="006C076E" w:rsidRDefault="006C076E" w:rsidP="00B83A2A">
      <w:r w:rsidRPr="006C076E">
        <w:rPr>
          <w:b/>
          <w:bCs/>
        </w:rPr>
        <w:lastRenderedPageBreak/>
        <w:t>BSG hands-on training sessions:</w:t>
      </w:r>
      <w:r w:rsidRPr="006C076E">
        <w:t xml:space="preserve"> TSB continues to conduct "BSG Hands-On effectiveness training for ITU-T SGs" focused on the development of practical skills to maximize the effectiveness of developing countries'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w:t>
      </w:r>
      <w:r w:rsidR="00B44AD8">
        <w:t>new</w:t>
      </w:r>
      <w:r w:rsidRPr="006C076E">
        <w:t xml:space="preserve"> BSG </w:t>
      </w:r>
      <w:r w:rsidR="00B44AD8">
        <w:t>P</w:t>
      </w:r>
      <w:r w:rsidRPr="006C076E">
        <w:t>rogram</w:t>
      </w:r>
      <w:r w:rsidR="004D3073">
        <w:t>me</w:t>
      </w:r>
      <w:r w:rsidRPr="006C076E">
        <w:t>, the trainings will be further streamlined to cater to the different levels of standard-making expertise and experience of ITU-T delegates from the developing countries inter alia.</w:t>
      </w:r>
    </w:p>
    <w:p w14:paraId="458B16AA" w14:textId="77777777" w:rsidR="006C076E" w:rsidRPr="00AC439E" w:rsidRDefault="006C076E" w:rsidP="006C076E">
      <w:pPr>
        <w:tabs>
          <w:tab w:val="left" w:pos="1134"/>
          <w:tab w:val="left" w:pos="1871"/>
          <w:tab w:val="left" w:pos="2268"/>
        </w:tabs>
        <w:overflowPunct w:val="0"/>
        <w:autoSpaceDE w:val="0"/>
        <w:autoSpaceDN w:val="0"/>
        <w:adjustRightInd w:val="0"/>
        <w:spacing w:before="240"/>
        <w:textAlignment w:val="baseline"/>
        <w:rPr>
          <w:rFonts w:eastAsia="SimSun"/>
        </w:rPr>
      </w:pPr>
      <w:r w:rsidRPr="00AC439E">
        <w:rPr>
          <w:rFonts w:eastAsia="SimSun"/>
        </w:rPr>
        <w:t xml:space="preserve">BSG training sessions were </w:t>
      </w:r>
      <w:r>
        <w:rPr>
          <w:rFonts w:eastAsia="SimSun"/>
        </w:rPr>
        <w:t xml:space="preserve">organized in co-location with the following meetings during </w:t>
      </w:r>
      <w:r w:rsidRPr="00AC439E">
        <w:rPr>
          <w:rFonts w:eastAsia="SimSun"/>
        </w:rPr>
        <w:t>the reporting period</w:t>
      </w:r>
      <w:r>
        <w:rPr>
          <w:rFonts w:eastAsia="SimSun"/>
        </w:rPr>
        <w:t xml:space="preserve"> to optimize resources and results</w:t>
      </w:r>
      <w:r w:rsidRPr="00AC439E">
        <w:rPr>
          <w:rFonts w:eastAsia="SimSun"/>
        </w:rPr>
        <w:t xml:space="preserve">: </w:t>
      </w:r>
    </w:p>
    <w:p w14:paraId="37BE02AA" w14:textId="77777777" w:rsidR="006C076E" w:rsidRPr="006C076E" w:rsidRDefault="006C076E" w:rsidP="00770357">
      <w:pPr>
        <w:numPr>
          <w:ilvl w:val="0"/>
          <w:numId w:val="19"/>
        </w:numPr>
        <w:rPr>
          <w:lang w:val="de-DE"/>
        </w:rPr>
      </w:pPr>
      <w:r w:rsidRPr="006C076E">
        <w:rPr>
          <w:lang w:val="de-DE"/>
        </w:rPr>
        <w:t>SG5RG-AP, Bangkok, Thailand, 11-12 September 2023</w:t>
      </w:r>
    </w:p>
    <w:p w14:paraId="0F78FD0A" w14:textId="77777777" w:rsidR="006C076E" w:rsidRPr="006C076E" w:rsidRDefault="006C076E" w:rsidP="00770357">
      <w:pPr>
        <w:numPr>
          <w:ilvl w:val="0"/>
          <w:numId w:val="19"/>
        </w:numPr>
        <w:rPr>
          <w:lang w:val="de-DE"/>
        </w:rPr>
      </w:pPr>
      <w:r w:rsidRPr="006C076E">
        <w:rPr>
          <w:lang w:val="de-DE"/>
        </w:rPr>
        <w:t>SG11, Geneva, 10-20 October 2023</w:t>
      </w:r>
    </w:p>
    <w:p w14:paraId="2F9034D6" w14:textId="77777777" w:rsidR="006C076E" w:rsidRPr="006C076E" w:rsidRDefault="006C076E" w:rsidP="00770357">
      <w:pPr>
        <w:numPr>
          <w:ilvl w:val="0"/>
          <w:numId w:val="19"/>
        </w:numPr>
        <w:rPr>
          <w:lang w:val="de-DE"/>
        </w:rPr>
      </w:pPr>
      <w:r w:rsidRPr="006C076E">
        <w:rPr>
          <w:lang w:val="de-DE"/>
        </w:rPr>
        <w:t>SG2RG-AFR, Abidjan, Côte d'Ivoire, 21-22 September 2023</w:t>
      </w:r>
    </w:p>
    <w:p w14:paraId="4A47C52A" w14:textId="08CBBE63" w:rsidR="006C076E" w:rsidRPr="006C076E" w:rsidRDefault="006C076E" w:rsidP="00770357">
      <w:pPr>
        <w:numPr>
          <w:ilvl w:val="0"/>
          <w:numId w:val="19"/>
        </w:numPr>
        <w:rPr>
          <w:lang w:val="de-DE"/>
        </w:rPr>
      </w:pPr>
      <w:r w:rsidRPr="006C076E">
        <w:rPr>
          <w:lang w:val="de-DE"/>
        </w:rPr>
        <w:t xml:space="preserve">SG13, Geneva, 23 October </w:t>
      </w:r>
      <w:r w:rsidR="00161F18">
        <w:rPr>
          <w:lang w:val="de-DE"/>
        </w:rPr>
        <w:t>-</w:t>
      </w:r>
      <w:r w:rsidRPr="006C076E">
        <w:rPr>
          <w:lang w:val="de-DE"/>
        </w:rPr>
        <w:t xml:space="preserve"> 3 November 2023 </w:t>
      </w:r>
    </w:p>
    <w:p w14:paraId="3E63CAC7" w14:textId="77777777" w:rsidR="006C076E" w:rsidRPr="006C076E" w:rsidRDefault="006C076E" w:rsidP="00770357">
      <w:pPr>
        <w:numPr>
          <w:ilvl w:val="0"/>
          <w:numId w:val="19"/>
        </w:numPr>
        <w:rPr>
          <w:lang w:val="de-DE"/>
        </w:rPr>
      </w:pPr>
      <w:r w:rsidRPr="006C076E">
        <w:rPr>
          <w:lang w:val="de-DE"/>
        </w:rPr>
        <w:t>SG17RG-AFR and Regional Cybersecurity Summit for Africa, Kampala, Uganda, 20-23 November 2023</w:t>
      </w:r>
    </w:p>
    <w:p w14:paraId="157F980C" w14:textId="45293BC8" w:rsidR="00594191" w:rsidRPr="00594191" w:rsidRDefault="00594191" w:rsidP="00594191">
      <w:pPr>
        <w:keepNext/>
      </w:pPr>
      <w:bookmarkStart w:id="173" w:name="_Hlk135237566"/>
      <w:bookmarkStart w:id="174" w:name="_Hlk119499798"/>
      <w:r w:rsidRPr="00594191">
        <w:rPr>
          <w:b/>
          <w:bCs/>
        </w:rPr>
        <w:t>BSG training on services and tools:</w:t>
      </w:r>
      <w:r w:rsidRPr="00594191">
        <w:t xml:space="preserve"> On occasion, TSB also offers trainings on the use of TSB services and tools. These trainings introduce services and tools </w:t>
      </w:r>
      <w:r w:rsidR="00CA37AB">
        <w:t xml:space="preserve">supporting publications as well as MyWorkspace and its </w:t>
      </w:r>
      <w:r w:rsidRPr="00594191">
        <w:t>remote</w:t>
      </w:r>
      <w:r w:rsidR="00CA37AB">
        <w:t>-participation tools, for example</w:t>
      </w:r>
      <w:r w:rsidRPr="00594191">
        <w:t>. Such BSG trainings facilitate more active and efficient accessibility and participation in ITU-T work. For more on TSB services and tools, see</w:t>
      </w:r>
      <w:r w:rsidR="00DB5555">
        <w:t xml:space="preserve"> </w:t>
      </w:r>
      <w:hyperlink w:anchor="_15_Electronic_working" w:history="1">
        <w:r w:rsidR="00DB5555" w:rsidRPr="00DB5555">
          <w:rPr>
            <w:rStyle w:val="Hyperlink"/>
          </w:rPr>
          <w:t>section 15</w:t>
        </w:r>
      </w:hyperlink>
      <w:r w:rsidRPr="00594191">
        <w:t>.</w:t>
      </w:r>
    </w:p>
    <w:p w14:paraId="7800A333" w14:textId="77777777" w:rsidR="00594191" w:rsidRPr="00594191" w:rsidRDefault="00594191" w:rsidP="00594191">
      <w:bookmarkStart w:id="175" w:name="_Hlk92456849"/>
      <w:bookmarkStart w:id="176" w:name="_Toc480527849"/>
      <w:bookmarkEnd w:id="173"/>
      <w:r w:rsidRPr="00594191">
        <w:rPr>
          <w:b/>
          <w:bCs/>
        </w:rPr>
        <w:t>Regional groups:</w:t>
      </w:r>
      <w:r w:rsidRPr="00594191">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 activities can be found </w:t>
      </w:r>
      <w:hyperlink r:id="rId169"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7" w:name="_Hlk93320660"/>
      <w:r w:rsidR="004C28A3">
        <w:t>:</w:t>
      </w:r>
    </w:p>
    <w:p w14:paraId="06A5B79E" w14:textId="77777777" w:rsidR="00594191" w:rsidRPr="00594191" w:rsidRDefault="00594191" w:rsidP="00770357">
      <w:pPr>
        <w:numPr>
          <w:ilvl w:val="0"/>
          <w:numId w:val="19"/>
        </w:numPr>
      </w:pPr>
      <w:r w:rsidRPr="00594191">
        <w:t>SG20 Regional Group for Africa (SG20RG-AFR), Sharm El-Sheikh, Egypt, 8 June 2023</w:t>
      </w:r>
    </w:p>
    <w:p w14:paraId="1E81E7DE" w14:textId="77777777" w:rsidR="00594191" w:rsidRPr="00594191" w:rsidRDefault="00594191" w:rsidP="00770357">
      <w:pPr>
        <w:numPr>
          <w:ilvl w:val="0"/>
          <w:numId w:val="19"/>
        </w:numPr>
      </w:pPr>
      <w:r w:rsidRPr="00594191">
        <w:t>SG3 Regional Group for the Arab Region (SG3RG-ARB), E-meeting, 20 June 2023</w:t>
      </w:r>
    </w:p>
    <w:p w14:paraId="78A8E8D9" w14:textId="77777777" w:rsidR="00594191" w:rsidRPr="00594191" w:rsidRDefault="00594191" w:rsidP="00770357">
      <w:pPr>
        <w:numPr>
          <w:ilvl w:val="0"/>
          <w:numId w:val="19"/>
        </w:numPr>
      </w:pPr>
      <w:r w:rsidRPr="00594191">
        <w:t>SG20 Regional Group for Asia and the Pacific (SG20RG-AP), E-meeting, 25-26 July 2023</w:t>
      </w:r>
    </w:p>
    <w:p w14:paraId="02F9CC67" w14:textId="77777777" w:rsidR="00594191" w:rsidRPr="00594191" w:rsidRDefault="00594191" w:rsidP="00770357">
      <w:pPr>
        <w:numPr>
          <w:ilvl w:val="0"/>
          <w:numId w:val="19"/>
        </w:numPr>
      </w:pPr>
      <w:r w:rsidRPr="00594191">
        <w:t>SG20 Regional Group for the Arab Region (SG20 RG-ARB), E-meeting, 1 August 2023</w:t>
      </w:r>
    </w:p>
    <w:p w14:paraId="44233527" w14:textId="77777777" w:rsidR="00594191" w:rsidRPr="00594191" w:rsidRDefault="00594191" w:rsidP="00770357">
      <w:pPr>
        <w:numPr>
          <w:ilvl w:val="0"/>
          <w:numId w:val="19"/>
        </w:numPr>
      </w:pPr>
      <w:r w:rsidRPr="00594191">
        <w:t>SG3 Regional Group for Latin America and the Caribbean (SG3RG-LAC), San José, Costa Rica, 28-29 September 2023</w:t>
      </w:r>
    </w:p>
    <w:p w14:paraId="15BAF9AE" w14:textId="77777777" w:rsidR="00594191" w:rsidRPr="00594191" w:rsidRDefault="00594191" w:rsidP="00770357">
      <w:pPr>
        <w:numPr>
          <w:ilvl w:val="0"/>
          <w:numId w:val="19"/>
        </w:numPr>
      </w:pPr>
      <w:r w:rsidRPr="00594191">
        <w:t>SG3 Regional Group for Asia and Oceania (SG3RG-AO), Bangkok, Thailand 11-12 September 2023</w:t>
      </w:r>
    </w:p>
    <w:p w14:paraId="410950E4" w14:textId="77777777" w:rsidR="00594191" w:rsidRPr="00594191" w:rsidRDefault="00594191" w:rsidP="00770357">
      <w:pPr>
        <w:numPr>
          <w:ilvl w:val="0"/>
          <w:numId w:val="19"/>
        </w:numPr>
      </w:pPr>
      <w:r w:rsidRPr="00594191">
        <w:t>SG5 Regional Group for Asia and the Pacific (SG5RG-AP), Bangkok, Thailand 11-12 September 2023</w:t>
      </w:r>
    </w:p>
    <w:p w14:paraId="1D711C03" w14:textId="77777777" w:rsidR="00594191" w:rsidRPr="00594191" w:rsidRDefault="00594191" w:rsidP="00770357">
      <w:pPr>
        <w:numPr>
          <w:ilvl w:val="0"/>
          <w:numId w:val="19"/>
        </w:numPr>
      </w:pPr>
      <w:r w:rsidRPr="00594191">
        <w:t>SG11 Regional Group for Africa (SG11RG-AFR), 13-15 September 2023</w:t>
      </w:r>
    </w:p>
    <w:p w14:paraId="174C691F" w14:textId="77777777" w:rsidR="00594191" w:rsidRPr="00594191" w:rsidRDefault="00594191" w:rsidP="00770357">
      <w:pPr>
        <w:numPr>
          <w:ilvl w:val="0"/>
          <w:numId w:val="19"/>
        </w:numPr>
      </w:pPr>
      <w:r w:rsidRPr="00594191">
        <w:t>SG13 Regional Group for Africa (SG13RG-AFR), Abidjan, Côte d'Ivoire, 21-22 September 2023</w:t>
      </w:r>
    </w:p>
    <w:p w14:paraId="69698F6B" w14:textId="77777777" w:rsidR="00594191" w:rsidRPr="00594191" w:rsidRDefault="00594191" w:rsidP="00770357">
      <w:pPr>
        <w:numPr>
          <w:ilvl w:val="0"/>
          <w:numId w:val="19"/>
        </w:numPr>
      </w:pPr>
      <w:r w:rsidRPr="00594191">
        <w:t>SG2 Regional Group for Africa (SG2RG-AFR), Abidjan, Côte d'Ivoire, 21-22 September 2023</w:t>
      </w:r>
    </w:p>
    <w:p w14:paraId="11AFEED0" w14:textId="77777777" w:rsidR="00594191" w:rsidRPr="00594191" w:rsidRDefault="00594191" w:rsidP="00770357">
      <w:pPr>
        <w:numPr>
          <w:ilvl w:val="0"/>
          <w:numId w:val="19"/>
        </w:numPr>
      </w:pPr>
      <w:r w:rsidRPr="00594191">
        <w:lastRenderedPageBreak/>
        <w:t>SG17 Regional Group for Africa (SG17RG-AFR), 23 November 2023</w:t>
      </w:r>
    </w:p>
    <w:bookmarkEnd w:id="177"/>
    <w:p w14:paraId="7ADA4B58" w14:textId="25E6737C" w:rsidR="00DA7997" w:rsidRDefault="00DA7997" w:rsidP="00B83A2A">
      <w:r>
        <w:t xml:space="preserve">ITU-T hosts </w:t>
      </w:r>
      <w:r w:rsidR="002C488B">
        <w:t>2</w:t>
      </w:r>
      <w:r w:rsidR="00E27D92">
        <w:t>5</w:t>
      </w:r>
      <w:r w:rsidR="002C488B">
        <w:t xml:space="preserve"> </w:t>
      </w:r>
      <w:r>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75"/>
      <w:bookmarkEnd w:id="176"/>
    </w:p>
    <w:p w14:paraId="7E568733" w14:textId="77777777" w:rsidR="00594191" w:rsidRPr="00594191" w:rsidRDefault="00594191" w:rsidP="00594191">
      <w:r w:rsidRPr="00594191">
        <w:rPr>
          <w:b/>
          <w:bCs/>
        </w:rPr>
        <w:t>Regional Standardization Forums:</w:t>
      </w:r>
      <w:r w:rsidRPr="00594191">
        <w:t xml:space="preserve"> </w:t>
      </w:r>
      <w:hyperlink r:id="rId170" w:history="1">
        <w:r w:rsidRPr="00594191">
          <w:rPr>
            <w:rStyle w:val="Hyperlink"/>
          </w:rPr>
          <w:t>Regional Standardization Forums (RSFs)</w:t>
        </w:r>
      </w:hyperlink>
      <w:r w:rsidRPr="00594191">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588D9D25" w14:textId="77777777" w:rsidR="00594191" w:rsidRPr="00594191" w:rsidRDefault="00594191" w:rsidP="00594191">
      <w:r w:rsidRPr="00594191">
        <w:rPr>
          <w:b/>
          <w:bCs/>
        </w:rPr>
        <w:t xml:space="preserve">National Standardization Secretariats: </w:t>
      </w:r>
      <w:r w:rsidRPr="00594191">
        <w:t xml:space="preserve">ITU-T's </w:t>
      </w:r>
      <w:hyperlink r:id="rId171" w:history="1">
        <w:r w:rsidRPr="00594191">
          <w:rPr>
            <w:rStyle w:val="Hyperlink"/>
          </w:rPr>
          <w:t>Guidelines for National Standardization Secretariats</w:t>
        </w:r>
      </w:hyperlink>
      <w:r w:rsidRPr="00594191">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4BD28AC1" w14:textId="266AA9B2" w:rsidR="00594191" w:rsidRPr="00594191" w:rsidRDefault="00594191" w:rsidP="00594191">
      <w:r w:rsidRPr="00594191">
        <w:rPr>
          <w:b/>
          <w:bCs/>
        </w:rPr>
        <w:t>e-Learning courses:</w:t>
      </w:r>
      <w:r w:rsidRPr="00594191">
        <w:t xml:space="preserve"> The </w:t>
      </w:r>
      <w:hyperlink r:id="rId172" w:history="1">
        <w:r w:rsidRPr="00594191">
          <w:rPr>
            <w:rStyle w:val="Hyperlink"/>
          </w:rPr>
          <w:t>ITU-T Working Methods and other Mechanisms</w:t>
        </w:r>
      </w:hyperlink>
      <w:r w:rsidRPr="00594191">
        <w:t xml:space="preserve"> course was made available made available from February</w:t>
      </w:r>
      <w:r w:rsidR="004D3073">
        <w:t xml:space="preserve"> to </w:t>
      </w:r>
      <w:r w:rsidRPr="00594191">
        <w:t>September 2023, with 208 participants.</w:t>
      </w:r>
    </w:p>
    <w:p w14:paraId="6721E0AF" w14:textId="0BEA5C8C" w:rsidR="00594191" w:rsidRPr="00594191" w:rsidRDefault="00594191" w:rsidP="00594191">
      <w:r w:rsidRPr="00594191">
        <w:rPr>
          <w:b/>
          <w:bCs/>
        </w:rPr>
        <w:t>SG mentoring program</w:t>
      </w:r>
      <w:r w:rsidR="00AC5CB8">
        <w:rPr>
          <w:b/>
          <w:bCs/>
        </w:rPr>
        <w:t>me</w:t>
      </w:r>
      <w:r w:rsidRPr="00594191">
        <w:rPr>
          <w:b/>
          <w:bCs/>
        </w:rPr>
        <w:t>:</w:t>
      </w:r>
      <w:r w:rsidRPr="00594191">
        <w:t xml:space="preserve"> In 2011, a mentoring program</w:t>
      </w:r>
      <w:r w:rsidR="00AC5CB8">
        <w:t>me</w:t>
      </w:r>
      <w:r w:rsidRPr="00594191">
        <w:t xml:space="preserve"> for ITU-T SGs was introduced. The objective of the mentoring programme is to provide a contact point to assist new delegates with the working methods of ITU-T. It has since featured as an important part of the work of ITU-T SGs and TSAG.</w:t>
      </w:r>
    </w:p>
    <w:p w14:paraId="19B579DC" w14:textId="77777777" w:rsidR="00594191" w:rsidRPr="00594191" w:rsidRDefault="00594191" w:rsidP="00594191">
      <w:r w:rsidRPr="00594191">
        <w:rPr>
          <w:b/>
          <w:bCs/>
        </w:rPr>
        <w:t>Technical papers:</w:t>
      </w:r>
      <w:r w:rsidRPr="00594191">
        <w:t xml:space="preserve"> A series of Technical Papers and Technical Reports provide additional information for developing countries on best practices in implementing ITU-T Recommendations. See the Technical Reports </w:t>
      </w:r>
      <w:hyperlink r:id="rId173" w:history="1">
        <w:r w:rsidRPr="00594191">
          <w:rPr>
            <w:rStyle w:val="Hyperlink"/>
          </w:rPr>
          <w:t>web page</w:t>
        </w:r>
      </w:hyperlink>
      <w:r w:rsidRPr="00594191">
        <w:t>.</w:t>
      </w:r>
    </w:p>
    <w:p w14:paraId="6210B00E" w14:textId="52329815"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422 fellowships were requested in 2023 and 152 were awarded. </w:t>
      </w:r>
      <w:r>
        <w:t xml:space="preserve">Statistics on fellowships awarded in 2023 are provided below. </w:t>
      </w:r>
    </w:p>
    <w:p w14:paraId="353EFFB3" w14:textId="50ADC18B" w:rsidR="00594191" w:rsidRPr="00594191" w:rsidRDefault="00594191" w:rsidP="00594191">
      <w:r w:rsidRPr="00594191">
        <w:t xml:space="preserve">More details on the </w:t>
      </w:r>
      <w:r w:rsidR="00CA37AB">
        <w:t xml:space="preserve">new </w:t>
      </w:r>
      <w:r w:rsidRPr="00594191">
        <w:t>BSG</w:t>
      </w:r>
      <w:r w:rsidR="00CA37AB">
        <w:t xml:space="preserve"> Program</w:t>
      </w:r>
      <w:r w:rsidR="004D3073">
        <w:t>me</w:t>
      </w:r>
      <w:r w:rsidRPr="00594191">
        <w:t xml:space="preserve">, including analytics, are available in </w:t>
      </w:r>
      <w:hyperlink r:id="rId174" w:history="1">
        <w:r w:rsidRPr="00594191">
          <w:rPr>
            <w:rStyle w:val="Hyperlink"/>
          </w:rPr>
          <w:t>TD422</w:t>
        </w:r>
      </w:hyperlink>
      <w:r w:rsidRPr="00594191">
        <w:t xml:space="preserve">. </w:t>
      </w:r>
    </w:p>
    <w:p w14:paraId="03399D79" w14:textId="7D9F9605" w:rsidR="002A1732" w:rsidRDefault="002A1732" w:rsidP="00B83A2A">
      <w:pPr>
        <w:spacing w:after="120"/>
      </w:pPr>
      <w:bookmarkStart w:id="178" w:name="_Hlk135237679"/>
      <w:bookmarkStart w:id="179" w:name="_Hlk135237760"/>
    </w:p>
    <w:p w14:paraId="0C92E218" w14:textId="57D5A303" w:rsidR="002A1732" w:rsidRDefault="005175B7" w:rsidP="005175B7">
      <w:pPr>
        <w:spacing w:after="120"/>
        <w:jc w:val="center"/>
      </w:pPr>
      <w:r>
        <w:rPr>
          <w:noProof/>
        </w:rPr>
        <w:lastRenderedPageBreak/>
        <w:drawing>
          <wp:inline distT="0" distB="0" distL="0" distR="0" wp14:anchorId="39DB9BAF" wp14:editId="4901D7EB">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14:paraId="3A5DED09" w14:textId="6582BFF1"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2023</w:t>
      </w:r>
    </w:p>
    <w:p w14:paraId="733E5C0A" w14:textId="5B1C2817" w:rsidR="002A1732" w:rsidRDefault="00594191" w:rsidP="002A1732">
      <w:pPr>
        <w:spacing w:after="120"/>
        <w:jc w:val="center"/>
      </w:pPr>
      <w:bookmarkStart w:id="180" w:name="_Hlk135237734"/>
      <w:bookmarkEnd w:id="178"/>
      <w:r w:rsidRPr="00594191">
        <w:rPr>
          <w:noProof/>
        </w:rPr>
        <w:drawing>
          <wp:inline distT="0" distB="0" distL="0" distR="0" wp14:anchorId="623AF0BE" wp14:editId="43D8B57B">
            <wp:extent cx="4581525" cy="2753791"/>
            <wp:effectExtent l="0" t="0" r="0" b="8890"/>
            <wp:docPr id="2"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176"/>
                    <a:stretch>
                      <a:fillRect/>
                    </a:stretch>
                  </pic:blipFill>
                  <pic:spPr>
                    <a:xfrm>
                      <a:off x="0" y="0"/>
                      <a:ext cx="4600551" cy="2765227"/>
                    </a:xfrm>
                    <a:prstGeom prst="rect">
                      <a:avLst/>
                    </a:prstGeom>
                  </pic:spPr>
                </pic:pic>
              </a:graphicData>
            </a:graphic>
          </wp:inline>
        </w:drawing>
      </w:r>
    </w:p>
    <w:p w14:paraId="1E68B0A4" w14:textId="7D48B3D7"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80"/>
      <w:r w:rsidR="00594191">
        <w:rPr>
          <w:b/>
          <w:bCs/>
        </w:rPr>
        <w:t>in 2023</w:t>
      </w:r>
    </w:p>
    <w:p w14:paraId="0FC68200" w14:textId="289EAF82" w:rsidR="004E1EE3" w:rsidRDefault="004E1EE3" w:rsidP="0048381E">
      <w:pPr>
        <w:pStyle w:val="Heading1"/>
        <w:spacing w:before="240"/>
      </w:pPr>
      <w:bookmarkStart w:id="181" w:name="_12_Publications"/>
      <w:bookmarkStart w:id="182" w:name="_12_Gender"/>
      <w:bookmarkStart w:id="183" w:name="_13_Gender"/>
      <w:bookmarkStart w:id="184" w:name="_Toc156392435"/>
      <w:bookmarkEnd w:id="174"/>
      <w:bookmarkEnd w:id="179"/>
      <w:bookmarkEnd w:id="181"/>
      <w:bookmarkEnd w:id="182"/>
      <w:bookmarkEnd w:id="183"/>
      <w:r w:rsidRPr="006E2B83">
        <w:t>1</w:t>
      </w:r>
      <w:r w:rsidR="005C2626">
        <w:t>3</w:t>
      </w:r>
      <w:r w:rsidRPr="006E2B83">
        <w:tab/>
        <w:t>Gend</w:t>
      </w:r>
      <w:r w:rsidRPr="00C5776F">
        <w:t>er</w:t>
      </w:r>
      <w:bookmarkEnd w:id="184"/>
    </w:p>
    <w:p w14:paraId="1A83E265" w14:textId="5F97CF22" w:rsidR="00C15E46" w:rsidRPr="00C15E46"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its activities and programmes, leveraging the framework of ITU Gender Task Force and the Network of Women in ITU-T (NoW in ITU-T). TSB’s ongoing efforts to enhance gender equality within TSB and ITU-T underscore ITU's commitment to diversity, gender parity</w:t>
      </w:r>
      <w:r w:rsidR="00EA757B">
        <w:rPr>
          <w:rFonts w:asciiTheme="majorBidi" w:hAnsiTheme="majorBidi" w:cstheme="majorBidi"/>
        </w:rPr>
        <w:t xml:space="preserve"> </w:t>
      </w:r>
      <w:r w:rsidRPr="00C15E46">
        <w:rPr>
          <w:rFonts w:asciiTheme="majorBidi" w:hAnsiTheme="majorBidi" w:cstheme="majorBidi"/>
        </w:rPr>
        <w:t>and the empowerment of women, all of which are among TSB’s priorities.</w:t>
      </w:r>
    </w:p>
    <w:p w14:paraId="5090F796" w14:textId="77777777" w:rsidR="00C15E46" w:rsidRPr="00C15E46" w:rsidRDefault="00C15E46" w:rsidP="00C15E46">
      <w:pPr>
        <w:rPr>
          <w:rFonts w:asciiTheme="majorBidi" w:hAnsiTheme="majorBidi" w:cstheme="majorBidi"/>
        </w:rPr>
      </w:pPr>
      <w:r w:rsidRPr="00C15E46">
        <w:rPr>
          <w:rFonts w:asciiTheme="majorBidi" w:hAnsiTheme="majorBidi" w:cstheme="majorBidi"/>
        </w:rPr>
        <w:t>Key highlights:</w:t>
      </w:r>
    </w:p>
    <w:p w14:paraId="6477067D" w14:textId="56DDB009" w:rsidR="00C15E46" w:rsidRPr="00C15E46" w:rsidRDefault="00C15E46" w:rsidP="00C073B3">
      <w:pPr>
        <w:rPr>
          <w:rFonts w:asciiTheme="majorBidi" w:hAnsiTheme="majorBidi" w:cstheme="majorBidi"/>
        </w:rPr>
      </w:pPr>
      <w:r w:rsidRPr="00C15E46">
        <w:rPr>
          <w:rFonts w:asciiTheme="majorBidi" w:hAnsiTheme="majorBidi" w:cstheme="majorBidi"/>
        </w:rPr>
        <w:t xml:space="preserve">The outcomes of survey on promoting gender equality in </w:t>
      </w:r>
      <w:r w:rsidR="00E27D92">
        <w:rPr>
          <w:rFonts w:asciiTheme="majorBidi" w:hAnsiTheme="majorBidi" w:cstheme="majorBidi"/>
        </w:rPr>
        <w:t xml:space="preserve">ITU-T </w:t>
      </w:r>
      <w:hyperlink r:id="rId177" w:history="1">
        <w:r w:rsidRPr="00C15E46">
          <w:rPr>
            <w:rStyle w:val="Hyperlink"/>
            <w:rFonts w:asciiTheme="majorBidi" w:hAnsiTheme="majorBidi" w:cstheme="majorBidi"/>
            <w:bCs/>
          </w:rPr>
          <w:t>TD 196</w:t>
        </w:r>
      </w:hyperlink>
      <w:r w:rsidRPr="00C15E46">
        <w:rPr>
          <w:rFonts w:asciiTheme="majorBidi" w:hAnsiTheme="majorBidi" w:cstheme="majorBidi"/>
          <w:bCs/>
          <w:u w:val="single"/>
        </w:rPr>
        <w:t xml:space="preserve"> </w:t>
      </w:r>
      <w:r w:rsidRPr="00C15E46">
        <w:rPr>
          <w:rFonts w:asciiTheme="majorBidi" w:hAnsiTheme="majorBidi" w:cstheme="majorBidi"/>
        </w:rPr>
        <w:t xml:space="preserve">were presented to </w:t>
      </w:r>
      <w:r w:rsidR="00E27D92">
        <w:rPr>
          <w:rFonts w:asciiTheme="majorBidi" w:hAnsiTheme="majorBidi" w:cstheme="majorBidi"/>
        </w:rPr>
        <w:t xml:space="preserve">the last meeting </w:t>
      </w:r>
      <w:r w:rsidRPr="00C15E46">
        <w:rPr>
          <w:rFonts w:asciiTheme="majorBidi" w:hAnsiTheme="majorBidi" w:cstheme="majorBidi"/>
        </w:rPr>
        <w:t>TSAG in May 2023</w:t>
      </w:r>
      <w:r w:rsidR="00E27D92">
        <w:rPr>
          <w:rFonts w:asciiTheme="majorBidi" w:hAnsiTheme="majorBidi" w:cstheme="majorBidi"/>
        </w:rPr>
        <w:t xml:space="preserve"> (see </w:t>
      </w:r>
      <w:hyperlink r:id="rId178" w:history="1">
        <w:r w:rsidR="00E27D92" w:rsidRPr="00C15E46">
          <w:rPr>
            <w:rStyle w:val="Hyperlink"/>
            <w:rFonts w:asciiTheme="majorBidi" w:hAnsiTheme="majorBidi" w:cstheme="majorBidi"/>
            <w:bCs/>
          </w:rPr>
          <w:t>TD 196</w:t>
        </w:r>
      </w:hyperlink>
      <w:r w:rsidR="00E27D92">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4540D0D0" w14:textId="77777777" w:rsidR="00C15E46" w:rsidRPr="00C15E46" w:rsidRDefault="00BB63EF" w:rsidP="00C073B3">
      <w:pPr>
        <w:rPr>
          <w:rFonts w:asciiTheme="majorBidi" w:hAnsiTheme="majorBidi" w:cstheme="majorBidi"/>
        </w:rPr>
      </w:pPr>
      <w:hyperlink r:id="rId179" w:history="1">
        <w:r w:rsidR="00C15E46" w:rsidRPr="00C15E46">
          <w:rPr>
            <w:rStyle w:val="Hyperlink"/>
            <w:rFonts w:asciiTheme="majorBidi" w:hAnsiTheme="majorBidi" w:cstheme="majorBidi"/>
          </w:rPr>
          <w:t>Access the recording of the WSIS Forum 2023 session on Gender Responsible Standards</w:t>
        </w:r>
      </w:hyperlink>
      <w:r w:rsidR="00C15E46" w:rsidRPr="00C15E46">
        <w:rPr>
          <w:rFonts w:asciiTheme="majorBidi" w:hAnsiTheme="majorBidi" w:cstheme="majorBidi"/>
        </w:rPr>
        <w:t xml:space="preserve">. Key recommendations from this session are being fed into the NoW ITU-T work plan. </w:t>
      </w:r>
    </w:p>
    <w:p w14:paraId="62978883" w14:textId="3924F21A" w:rsidR="00C15E46" w:rsidRDefault="004D07B3" w:rsidP="00C073B3">
      <w:pPr>
        <w:rPr>
          <w:rFonts w:asciiTheme="majorBidi" w:hAnsiTheme="majorBidi" w:cstheme="majorBidi"/>
        </w:rPr>
      </w:pPr>
      <w:r>
        <w:rPr>
          <w:rFonts w:asciiTheme="majorBidi" w:hAnsiTheme="majorBidi" w:cstheme="majorBidi"/>
        </w:rPr>
        <w:t>U</w:t>
      </w:r>
      <w:r w:rsidR="00C15E46" w:rsidRPr="00C15E46">
        <w:rPr>
          <w:rFonts w:asciiTheme="majorBidi" w:hAnsiTheme="majorBidi" w:cstheme="majorBidi"/>
        </w:rPr>
        <w:t>pdates on the Network of Women in ITU-T</w:t>
      </w:r>
      <w:r>
        <w:rPr>
          <w:rFonts w:asciiTheme="majorBidi" w:hAnsiTheme="majorBidi" w:cstheme="majorBidi"/>
        </w:rPr>
        <w:t>, formerly known as WISE, include</w:t>
      </w:r>
      <w:r w:rsidR="00C15E46" w:rsidRPr="00C15E46">
        <w:rPr>
          <w:rFonts w:asciiTheme="majorBidi" w:hAnsiTheme="majorBidi" w:cstheme="majorBidi"/>
        </w:rPr>
        <w:t>.</w:t>
      </w:r>
      <w:r w:rsidR="00F46FC9">
        <w:rPr>
          <w:rFonts w:asciiTheme="majorBidi" w:hAnsiTheme="majorBidi" w:cstheme="majorBidi"/>
        </w:rPr>
        <w:t xml:space="preserve"> </w:t>
      </w:r>
    </w:p>
    <w:p w14:paraId="3640A5E8" w14:textId="632B8842"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lastRenderedPageBreak/>
        <w:t xml:space="preserve">Terms of Reference outlining the mission, scope and work plan of the network to promote gender equality in ITU-T activities </w:t>
      </w:r>
      <w:r w:rsidR="00AF18F5">
        <w:rPr>
          <w:rFonts w:ascii="Times New Roman" w:hAnsi="Times New Roman"/>
          <w:sz w:val="24"/>
          <w:lang w:eastAsia="en-US"/>
        </w:rPr>
        <w:t xml:space="preserve">are presented to this meeting of </w:t>
      </w:r>
      <w:r w:rsidRPr="00F46FC9">
        <w:rPr>
          <w:rFonts w:ascii="Times New Roman" w:hAnsi="Times New Roman"/>
          <w:sz w:val="24"/>
          <w:lang w:eastAsia="en-US"/>
        </w:rPr>
        <w:t>TSAG for</w:t>
      </w:r>
      <w:r w:rsidR="00AF18F5">
        <w:rPr>
          <w:rFonts w:ascii="Times New Roman" w:hAnsi="Times New Roman"/>
          <w:sz w:val="24"/>
          <w:lang w:eastAsia="en-US"/>
        </w:rPr>
        <w:t xml:space="preserve"> review</w:t>
      </w:r>
      <w:r w:rsidRPr="00F46FC9">
        <w:rPr>
          <w:rFonts w:ascii="Times New Roman" w:hAnsi="Times New Roman"/>
          <w:sz w:val="24"/>
          <w:lang w:eastAsia="en-US"/>
        </w:rPr>
        <w:t xml:space="preserve"> (see </w:t>
      </w:r>
      <w:hyperlink r:id="rId180" w:history="1">
        <w:r w:rsidRPr="00F46FC9">
          <w:rPr>
            <w:rStyle w:val="Hyperlink"/>
            <w:rFonts w:ascii="Times New Roman" w:hAnsi="Times New Roman"/>
            <w:sz w:val="24"/>
            <w:lang w:eastAsia="en-US"/>
          </w:rPr>
          <w:t>TD 423</w:t>
        </w:r>
      </w:hyperlink>
      <w:r w:rsidRPr="00F46FC9">
        <w:rPr>
          <w:rFonts w:ascii="Times New Roman" w:hAnsi="Times New Roman"/>
          <w:sz w:val="24"/>
          <w:lang w:eastAsia="en-US"/>
        </w:rPr>
        <w:t>).</w:t>
      </w:r>
    </w:p>
    <w:p w14:paraId="72E2DD3F" w14:textId="564470FC"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The </w:t>
      </w:r>
      <w:hyperlink r:id="rId181" w:history="1">
        <w:r w:rsidRPr="00F46FC9">
          <w:rPr>
            <w:rStyle w:val="Hyperlink"/>
            <w:rFonts w:ascii="Times New Roman" w:hAnsi="Times New Roman"/>
            <w:sz w:val="24"/>
            <w:lang w:eastAsia="en-US"/>
          </w:rPr>
          <w:t>NoW in ITU-T webpage</w:t>
        </w:r>
      </w:hyperlink>
      <w:r w:rsidRPr="00F46FC9">
        <w:rPr>
          <w:rFonts w:ascii="Times New Roman" w:hAnsi="Times New Roman"/>
          <w:sz w:val="24"/>
          <w:lang w:eastAsia="en-US"/>
        </w:rPr>
        <w:t xml:space="preserve"> is now live on ITU's website, aligned with the other ITU Sectors.</w:t>
      </w:r>
    </w:p>
    <w:p w14:paraId="75F5DCDA" w14:textId="71A58043"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A mailing list (</w:t>
      </w:r>
      <w:hyperlink r:id="rId182" w:history="1">
        <w:r w:rsidRPr="00F46FC9">
          <w:rPr>
            <w:rStyle w:val="Hyperlink"/>
            <w:rFonts w:ascii="Times New Roman" w:hAnsi="Times New Roman"/>
            <w:sz w:val="24"/>
            <w:lang w:eastAsia="en-US"/>
          </w:rPr>
          <w:t>nowinitut@lists.itu.int</w:t>
        </w:r>
      </w:hyperlink>
      <w:r w:rsidRPr="00F46FC9">
        <w:rPr>
          <w:rFonts w:ascii="Times New Roman" w:hAnsi="Times New Roman"/>
          <w:sz w:val="24"/>
          <w:lang w:eastAsia="en-US"/>
        </w:rPr>
        <w:t xml:space="preserve">​) has been set up for women to connect and foster the growth of the network. </w:t>
      </w:r>
      <w:hyperlink r:id="rId183" w:history="1">
        <w:r w:rsidRPr="00F46FC9">
          <w:rPr>
            <w:rStyle w:val="Hyperlink"/>
            <w:rFonts w:ascii="Times New Roman" w:hAnsi="Times New Roman"/>
            <w:sz w:val="24"/>
            <w:lang w:eastAsia="en-US"/>
          </w:rPr>
          <w:t>Joi​n NoW in ITU-T mailing list</w:t>
        </w:r>
      </w:hyperlink>
      <w:r w:rsidRPr="00F46FC9">
        <w:rPr>
          <w:rFonts w:ascii="Times New Roman" w:hAnsi="Times New Roman"/>
          <w:sz w:val="24"/>
          <w:lang w:eastAsia="en-US"/>
        </w:rPr>
        <w:t>.</w:t>
      </w:r>
    </w:p>
    <w:p w14:paraId="7426826A" w14:textId="77777777"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184" w:history="1">
        <w:r w:rsidRPr="00F46FC9">
          <w:rPr>
            <w:rStyle w:val="Hyperlink"/>
            <w:rFonts w:ascii="Times New Roman" w:hAnsi="Times New Roman"/>
            <w:sz w:val="24"/>
            <w:lang w:eastAsia="en-US"/>
          </w:rPr>
          <w:t>Consult the online programme</w:t>
        </w:r>
      </w:hyperlink>
      <w:r w:rsidRPr="00F46FC9">
        <w:rPr>
          <w:rFonts w:ascii="Times New Roman" w:hAnsi="Times New Roman"/>
          <w:sz w:val="24"/>
          <w:lang w:eastAsia="en-US"/>
        </w:rPr>
        <w:t>.</w:t>
      </w:r>
    </w:p>
    <w:p w14:paraId="04661A04" w14:textId="7B1E9475" w:rsidR="00F46FC9" w:rsidRPr="00F46FC9" w:rsidRDefault="00F46FC9" w:rsidP="00770357">
      <w:pPr>
        <w:pStyle w:val="ListParagraph"/>
        <w:numPr>
          <w:ilvl w:val="0"/>
          <w:numId w:val="19"/>
        </w:numPr>
        <w:spacing w:before="120"/>
        <w:contextualSpacing w:val="0"/>
        <w:rPr>
          <w:rFonts w:ascii="Times New Roman" w:hAnsi="Times New Roman"/>
          <w:sz w:val="24"/>
          <w:lang w:eastAsia="en-US"/>
        </w:rPr>
      </w:pPr>
      <w:r w:rsidRPr="00F46FC9">
        <w:rPr>
          <w:rFonts w:ascii="Times New Roman" w:hAnsi="Times New Roman"/>
          <w:sz w:val="24"/>
          <w:lang w:eastAsia="en-US"/>
        </w:rPr>
        <w:t>Gender</w:t>
      </w:r>
      <w:r w:rsidR="002668E2">
        <w:rPr>
          <w:rFonts w:ascii="Times New Roman" w:hAnsi="Times New Roman"/>
          <w:sz w:val="24"/>
          <w:lang w:eastAsia="en-US"/>
        </w:rPr>
        <w:t xml:space="preserve"> </w:t>
      </w:r>
      <w:r w:rsidRPr="00F46FC9">
        <w:rPr>
          <w:rFonts w:ascii="Times New Roman" w:hAnsi="Times New Roman"/>
          <w:sz w:val="24"/>
          <w:lang w:eastAsia="en-US"/>
        </w:rPr>
        <w:t xml:space="preserve">parity objectives for WTSA-24, supported by the NOW4WTSA-24 campaign, encourage Member States to pledge support for growth in the number of women in ITU-T leadership positions and the target of 35 per cent female participation at WTSA-24. Figure </w:t>
      </w:r>
      <w:r w:rsidR="002668E2">
        <w:rPr>
          <w:rFonts w:ascii="Times New Roman" w:hAnsi="Times New Roman"/>
          <w:sz w:val="24"/>
          <w:lang w:eastAsia="en-US"/>
        </w:rPr>
        <w:t xml:space="preserve">5 </w:t>
      </w:r>
      <w:r w:rsidRPr="00F46FC9">
        <w:rPr>
          <w:rFonts w:ascii="Times New Roman" w:hAnsi="Times New Roman"/>
          <w:sz w:val="24"/>
          <w:lang w:eastAsia="en-US"/>
        </w:rPr>
        <w:t>below provides statistics on women's participation in the past three WTSAs.</w:t>
      </w:r>
    </w:p>
    <w:p w14:paraId="649D9620" w14:textId="740412EE" w:rsidR="00C073B3" w:rsidRPr="00F46FC9" w:rsidRDefault="00F46FC9" w:rsidP="00770357">
      <w:pPr>
        <w:pStyle w:val="ListParagraph"/>
        <w:numPr>
          <w:ilvl w:val="0"/>
          <w:numId w:val="19"/>
        </w:numPr>
        <w:spacing w:before="120"/>
        <w:contextualSpacing w:val="0"/>
        <w:rPr>
          <w:rFonts w:ascii="Times New Roman" w:hAnsi="Times New Roman"/>
          <w:bCs/>
          <w:sz w:val="24"/>
          <w:lang w:eastAsia="en-US"/>
        </w:rPr>
      </w:pPr>
      <w:r w:rsidRPr="00F46FC9">
        <w:rPr>
          <w:rFonts w:ascii="Times New Roman" w:hAnsi="Times New Roman"/>
          <w:sz w:val="24"/>
          <w:lang w:eastAsia="en-US"/>
        </w:rPr>
        <w:t xml:space="preserve">TSB has strengthened collaboration with BR and BDT on NoW to leverage experience and insights gained across ITU and relevant documents and resources. The objective to ensure a "OneITU" approach to gender equality aligns with Council-23 </w:t>
      </w:r>
      <w:hyperlink r:id="rId185" w:history="1">
        <w:r w:rsidRPr="00F46FC9">
          <w:rPr>
            <w:rStyle w:val="Hyperlink"/>
            <w:rFonts w:ascii="Times New Roman" w:hAnsi="Times New Roman"/>
            <w:sz w:val="24"/>
            <w:lang w:eastAsia="en-US"/>
          </w:rPr>
          <w:t>C23/76 corr.1</w:t>
        </w:r>
      </w:hyperlink>
      <w:r w:rsidRPr="00F46FC9">
        <w:rPr>
          <w:rFonts w:ascii="Times New Roman" w:hAnsi="Times New Roman"/>
          <w:sz w:val="24"/>
          <w:lang w:eastAsia="en-US"/>
        </w:rPr>
        <w:t xml:space="preserve"> calling for a new ITU-wide mechanism to coordinate the Network of Women across ITU.</w:t>
      </w:r>
    </w:p>
    <w:p w14:paraId="69B872F8" w14:textId="77777777"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86"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187"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188" w:history="1">
        <w:r w:rsidRPr="00C15E46">
          <w:rPr>
            <w:rStyle w:val="Hyperlink"/>
            <w:rFonts w:asciiTheme="majorBidi" w:hAnsiTheme="majorBidi" w:cstheme="majorBidi"/>
          </w:rPr>
          <w:t>wise@itu.int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p w14:paraId="3D270A78" w14:textId="63B320AA" w:rsidR="00C15E46" w:rsidRPr="00C15E46" w:rsidRDefault="009B174D" w:rsidP="00EA757B">
      <w:pPr>
        <w:jc w:val="center"/>
        <w:rPr>
          <w:rFonts w:asciiTheme="majorBidi" w:hAnsiTheme="majorBidi" w:cstheme="majorBidi"/>
        </w:rPr>
      </w:pPr>
      <w:r>
        <w:rPr>
          <w:noProof/>
        </w:rPr>
        <w:drawing>
          <wp:inline distT="0" distB="0" distL="0" distR="0" wp14:anchorId="69F91769" wp14:editId="14040870">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14:paraId="50A679E2" w14:textId="477092B0" w:rsidR="00C404D6" w:rsidRDefault="00C13AAD" w:rsidP="00144E30">
      <w:pPr>
        <w:pStyle w:val="Caption"/>
      </w:pPr>
      <w:r w:rsidRPr="00BB400A">
        <w:t>Figure</w:t>
      </w:r>
      <w:r w:rsidR="00EA757B">
        <w:t xml:space="preserve"> </w:t>
      </w:r>
      <w:r w:rsidR="00DB5555">
        <w:t>5</w:t>
      </w:r>
      <w:r w:rsidRPr="00C32576">
        <w:t xml:space="preserve"> – </w:t>
      </w:r>
      <w:r w:rsidR="00EA757B">
        <w:t>Women's p</w:t>
      </w:r>
      <w:r w:rsidRPr="00C32576">
        <w:t xml:space="preserve">articipation </w:t>
      </w:r>
      <w:r>
        <w:t xml:space="preserve">in </w:t>
      </w:r>
      <w:r w:rsidR="00EA757B">
        <w:t>the past three WTSA</w:t>
      </w:r>
    </w:p>
    <w:p w14:paraId="323C8113" w14:textId="46A210A9" w:rsidR="009B174D" w:rsidRDefault="009B174D" w:rsidP="009B174D">
      <w:pPr>
        <w:jc w:val="center"/>
      </w:pPr>
      <w:r>
        <w:rPr>
          <w:noProof/>
        </w:rPr>
        <w:lastRenderedPageBreak/>
        <w:drawing>
          <wp:inline distT="0" distB="0" distL="0" distR="0" wp14:anchorId="5265F969" wp14:editId="128CFF51">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14:paraId="7488157C" w14:textId="6D1E0EAD" w:rsidR="009B174D" w:rsidRDefault="009B174D" w:rsidP="009B174D">
      <w:pPr>
        <w:pStyle w:val="Caption"/>
      </w:pPr>
      <w:r w:rsidRPr="00BB400A">
        <w:t>Figure</w:t>
      </w:r>
      <w:r>
        <w:t xml:space="preserve"> </w:t>
      </w:r>
      <w:r w:rsidR="00DB5555">
        <w:t>6</w:t>
      </w:r>
      <w:r w:rsidRPr="00C32576">
        <w:t xml:space="preserve"> – </w:t>
      </w:r>
      <w:r>
        <w:t xml:space="preserve">Women's </w:t>
      </w:r>
      <w:r w:rsidR="00506A83">
        <w:t xml:space="preserve">share of ITU-T leadership position and </w:t>
      </w:r>
      <w:r>
        <w:t>p</w:t>
      </w:r>
      <w:r w:rsidRPr="00C32576">
        <w:t xml:space="preserve">articipation </w:t>
      </w:r>
      <w:r>
        <w:t xml:space="preserve">in </w:t>
      </w:r>
      <w:r w:rsidR="00506A83">
        <w:t>study groups and regional groups within study groups</w:t>
      </w:r>
    </w:p>
    <w:p w14:paraId="573C370A" w14:textId="00500B57" w:rsidR="00EA757B" w:rsidRDefault="009B174D" w:rsidP="009B174D">
      <w:pPr>
        <w:jc w:val="center"/>
      </w:pPr>
      <w:r>
        <w:rPr>
          <w:noProof/>
        </w:rPr>
        <w:drawing>
          <wp:inline distT="0" distB="0" distL="0" distR="0" wp14:anchorId="19CFC5F9" wp14:editId="52EAB23B">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14:paraId="6447E111" w14:textId="7F0A1F5B" w:rsidR="00EA757B" w:rsidRDefault="00EA757B" w:rsidP="00EA757B">
      <w:pPr>
        <w:pStyle w:val="Caption"/>
      </w:pPr>
      <w:r w:rsidRPr="00543389">
        <w:t xml:space="preserve">Figure </w:t>
      </w:r>
      <w:r w:rsidR="00DB5555">
        <w:t>7</w:t>
      </w:r>
      <w:r w:rsidR="00196C10">
        <w:t xml:space="preserve"> </w:t>
      </w:r>
      <w:r w:rsidRPr="00543389">
        <w:t xml:space="preserve">– </w:t>
      </w:r>
      <w:r w:rsidR="00506A83">
        <w:t>Wome</w:t>
      </w:r>
      <w:r w:rsidR="00196C10">
        <w:t>n's p</w:t>
      </w:r>
      <w:r w:rsidR="00CB0E01">
        <w:t xml:space="preserve">articipation in </w:t>
      </w:r>
      <w:r w:rsidRPr="00543389">
        <w:t xml:space="preserve">ITU-T </w:t>
      </w:r>
      <w:r w:rsidR="00CB0E01">
        <w:t xml:space="preserve">statutory </w:t>
      </w:r>
      <w:r w:rsidR="00DB5555">
        <w:t xml:space="preserve">meetings </w:t>
      </w:r>
      <w:r w:rsidR="00196C10">
        <w:t xml:space="preserve">by </w:t>
      </w:r>
      <w:r w:rsidR="00CB0E01">
        <w:t>study period</w:t>
      </w:r>
    </w:p>
    <w:p w14:paraId="0947295C" w14:textId="0A6270A8" w:rsidR="00136E7B" w:rsidRPr="00C32576" w:rsidRDefault="0017570A" w:rsidP="0048381E">
      <w:pPr>
        <w:pStyle w:val="Heading1"/>
        <w:spacing w:before="240"/>
      </w:pPr>
      <w:bookmarkStart w:id="185" w:name="_14_Publications"/>
      <w:bookmarkStart w:id="186" w:name="_Toc156392436"/>
      <w:bookmarkStart w:id="187" w:name="_Hlk119499545"/>
      <w:bookmarkEnd w:id="185"/>
      <w:r>
        <w:t>1</w:t>
      </w:r>
      <w:r w:rsidR="005C2626">
        <w:t>4</w:t>
      </w:r>
      <w:r w:rsidR="00136E7B" w:rsidRPr="00C32576">
        <w:tab/>
        <w:t>Publica</w:t>
      </w:r>
      <w:r w:rsidR="00136E7B" w:rsidRPr="00C5776F">
        <w:t>tions</w:t>
      </w:r>
      <w:bookmarkEnd w:id="186"/>
    </w:p>
    <w:p w14:paraId="2CDD2E04" w14:textId="74EDF43C" w:rsidR="000B0258" w:rsidRPr="00C32576" w:rsidRDefault="0017570A" w:rsidP="0048381E">
      <w:pPr>
        <w:pStyle w:val="Heading2"/>
      </w:pPr>
      <w:bookmarkStart w:id="188" w:name="_12.1_Recommendations_and"/>
      <w:bookmarkStart w:id="189" w:name="_13.1_Recommendations_and"/>
      <w:bookmarkStart w:id="190" w:name="_14.1_Recommendations_and"/>
      <w:bookmarkStart w:id="191" w:name="_Toc156392437"/>
      <w:bookmarkEnd w:id="188"/>
      <w:bookmarkEnd w:id="189"/>
      <w:bookmarkEnd w:id="190"/>
      <w:r>
        <w:t>1</w:t>
      </w:r>
      <w:r w:rsidR="005C2626">
        <w:t>4</w:t>
      </w:r>
      <w:r w:rsidR="000B0258" w:rsidRPr="00C32576">
        <w:t>.1</w:t>
      </w:r>
      <w:r w:rsidR="000B0258" w:rsidRPr="00C32576">
        <w:tab/>
        <w:t xml:space="preserve">Recommendations and </w:t>
      </w:r>
      <w:r w:rsidR="00B44AD8">
        <w:t>s</w:t>
      </w:r>
      <w:r w:rsidR="000B0258" w:rsidRPr="00C32576">
        <w:t>upp</w:t>
      </w:r>
      <w:r w:rsidR="000B0258" w:rsidRPr="00C5776F">
        <w:t>lements</w:t>
      </w:r>
      <w:bookmarkEnd w:id="191"/>
    </w:p>
    <w:p w14:paraId="46571281" w14:textId="485545D5" w:rsidR="00CE6518" w:rsidRPr="00C32576" w:rsidRDefault="00E27D92" w:rsidP="00CE6518">
      <w:bookmarkStart w:id="192" w:name="_Hlk120610234"/>
      <w:r>
        <w:t>Close to 300</w:t>
      </w:r>
      <w:r w:rsidR="00CE6518" w:rsidRPr="00C32576">
        <w:t xml:space="preserve"> ITU-T Recommendations and Supplements were published</w:t>
      </w:r>
      <w:r w:rsidR="00CE6518">
        <w:t xml:space="preserve"> in</w:t>
      </w:r>
      <w:r>
        <w:t xml:space="preserve"> 2023</w:t>
      </w:r>
      <w:r w:rsidR="00CE6518" w:rsidRPr="00C32576">
        <w:t xml:space="preserve">. </w:t>
      </w:r>
      <w:bookmarkEnd w:id="192"/>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201</w:t>
      </w:r>
      <w:r w:rsidR="009D2BC8">
        <w:t>8</w:t>
      </w:r>
      <w:r w:rsidR="00CE6518" w:rsidRPr="00C32576">
        <w:t>.</w:t>
      </w:r>
    </w:p>
    <w:p w14:paraId="7A8D7A49" w14:textId="7F8D44E1" w:rsidR="00CE6518" w:rsidRPr="001D19A4"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209931CA" w14:textId="0ECD9DDD" w:rsidR="00CE6518" w:rsidRDefault="00E27D92" w:rsidP="00D32CFD">
      <w:pPr>
        <w:pStyle w:val="xxmsonormal"/>
        <w:jc w:val="center"/>
      </w:pPr>
      <w:r>
        <w:rPr>
          <w:noProof/>
          <w14:ligatures w14:val="standardContextual"/>
        </w:rPr>
        <w:lastRenderedPageBreak/>
        <w:drawing>
          <wp:inline distT="0" distB="0" distL="0" distR="0" wp14:anchorId="012DEA5A" wp14:editId="5984219C">
            <wp:extent cx="5634653" cy="4203775"/>
            <wp:effectExtent l="0" t="0" r="4445" b="6350"/>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14:paraId="3017E22F" w14:textId="7E0EDFEE"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201</w:t>
      </w:r>
      <w:r w:rsidR="009D2BC8">
        <w:rPr>
          <w:b/>
          <w:bCs/>
        </w:rPr>
        <w:t>8</w:t>
      </w:r>
      <w:r>
        <w:rPr>
          <w:b/>
          <w:bCs/>
        </w:rPr>
        <w:t xml:space="preserve"> </w:t>
      </w:r>
    </w:p>
    <w:p w14:paraId="55DE0091" w14:textId="77777777" w:rsidR="00EA793D" w:rsidRPr="00C32576" w:rsidRDefault="00EA793D" w:rsidP="00EA793D">
      <w:pPr>
        <w:pStyle w:val="Heading2"/>
      </w:pPr>
      <w:bookmarkStart w:id="193" w:name="_14.2_Official_languages"/>
      <w:bookmarkStart w:id="194" w:name="_Toc156392438"/>
      <w:bookmarkStart w:id="195" w:name="_Hlk155873780"/>
      <w:bookmarkEnd w:id="193"/>
      <w:r>
        <w:t>14</w:t>
      </w:r>
      <w:r w:rsidRPr="00C32576">
        <w:t>.1</w:t>
      </w:r>
      <w:r>
        <w:t>.1</w:t>
      </w:r>
      <w:r w:rsidRPr="00C32576">
        <w:tab/>
        <w:t xml:space="preserve">Recommendations </w:t>
      </w:r>
      <w:r>
        <w:t xml:space="preserve">deleted between </w:t>
      </w:r>
      <w:r w:rsidRPr="00C5776F">
        <w:t>WTSAs</w:t>
      </w:r>
      <w:bookmarkEnd w:id="194"/>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1C7E9A6F" w14:textId="7442D74C" w:rsidR="00041B38" w:rsidRP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23BFFB24" w14:textId="0C365C46"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4DB14D61" w14:textId="287955C3" w:rsid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Immunity requirements for telecommunication network equipment</w:t>
      </w:r>
      <w:r w:rsidR="00635FF8">
        <w:rPr>
          <w:rFonts w:ascii="Times New Roman" w:hAnsi="Times New Roman"/>
          <w:sz w:val="24"/>
          <w:lang w:eastAsia="en-US"/>
        </w:rPr>
        <w:t>"</w:t>
      </w:r>
    </w:p>
    <w:p w14:paraId="2B1CC4F4" w14:textId="6B3D34F7" w:rsid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telecommunication equipment – Product family Recommendation</w:t>
      </w:r>
      <w:r w:rsidR="00635FF8">
        <w:rPr>
          <w:rFonts w:ascii="Times New Roman" w:hAnsi="Times New Roman"/>
          <w:sz w:val="24"/>
          <w:lang w:eastAsia="en-US"/>
        </w:rPr>
        <w:t>"</w:t>
      </w:r>
    </w:p>
    <w:p w14:paraId="2C796521" w14:textId="0E93D863" w:rsidR="00EA793D" w:rsidRPr="00EA793D" w:rsidRDefault="00EA793D"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next generation network equipment</w:t>
      </w:r>
      <w:r w:rsidR="00635FF8">
        <w:rPr>
          <w:rFonts w:ascii="Times New Roman" w:hAnsi="Times New Roman"/>
          <w:sz w:val="24"/>
          <w:lang w:eastAsia="en-US"/>
        </w:rPr>
        <w:t>"</w:t>
      </w:r>
    </w:p>
    <w:p w14:paraId="6C4C42B9" w14:textId="6591C1AD"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4A8A5C6"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4EC6C6E"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4D088716"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5B3329A3"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4D1397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79966F9B"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1B44844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E941C2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03097F2F"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1E60CE39"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71BD595B" w:rsidR="00CE6518" w:rsidRPr="00C32576" w:rsidRDefault="00CE6518" w:rsidP="00CE6518">
      <w:pPr>
        <w:pStyle w:val="Heading2"/>
      </w:pPr>
      <w:bookmarkStart w:id="196" w:name="_Toc156392439"/>
      <w:bookmarkEnd w:id="195"/>
      <w:r>
        <w:t>1</w:t>
      </w:r>
      <w:r w:rsidR="005C2626">
        <w:t>4</w:t>
      </w:r>
      <w:r w:rsidRPr="00C32576">
        <w:t>.2</w:t>
      </w:r>
      <w:r w:rsidRPr="00C32576">
        <w:tab/>
        <w:t xml:space="preserve">Official languages on an </w:t>
      </w:r>
      <w:r w:rsidRPr="00C5776F">
        <w:t>equal footing</w:t>
      </w:r>
      <w:bookmarkEnd w:id="196"/>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193"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3864B6B1" w:rsidR="00CE6518" w:rsidRPr="00C32576" w:rsidRDefault="00CE6518" w:rsidP="00CE6518">
      <w:r w:rsidRPr="00C32576">
        <w:t xml:space="preserve">TSB also translated </w:t>
      </w:r>
      <w:r w:rsidR="00CB0E01">
        <w:t>six</w:t>
      </w:r>
      <w:r w:rsidRPr="00B103D3">
        <w:t xml:space="preserve"> Recommendations</w:t>
      </w:r>
      <w:r>
        <w:t xml:space="preserve"> approved under the Alternative Approval Process in </w:t>
      </w:r>
      <w:r w:rsidR="00CB0E01">
        <w:t>2023</w:t>
      </w:r>
      <w:r w:rsidRPr="00C32576">
        <w:t>, in accordance with requests received from ITU-T SGs and linguistic groups, and within the available budget.</w:t>
      </w:r>
    </w:p>
    <w:p w14:paraId="09867142" w14:textId="09F5EEF9" w:rsidR="00136E7B" w:rsidRPr="00C32576" w:rsidRDefault="007E7EE3" w:rsidP="00A4066E">
      <w:pPr>
        <w:pStyle w:val="Heading1"/>
        <w:spacing w:before="240"/>
      </w:pPr>
      <w:bookmarkStart w:id="197" w:name="_12.2_Official_languages"/>
      <w:bookmarkStart w:id="198" w:name="_13.2_Official_languages"/>
      <w:bookmarkStart w:id="199" w:name="_13_Services_and"/>
      <w:bookmarkStart w:id="200" w:name="_14_Services_and"/>
      <w:bookmarkStart w:id="201" w:name="_15_Services_and"/>
      <w:bookmarkStart w:id="202" w:name="_15_Electronic_working"/>
      <w:bookmarkStart w:id="203" w:name="_Toc416161374"/>
      <w:bookmarkStart w:id="204" w:name="_Toc438553999"/>
      <w:bookmarkStart w:id="205" w:name="_Toc453929121"/>
      <w:bookmarkStart w:id="206" w:name="_Toc453932992"/>
      <w:bookmarkStart w:id="207" w:name="_Toc454295898"/>
      <w:bookmarkStart w:id="208" w:name="_Toc462664276"/>
      <w:bookmarkStart w:id="209" w:name="_Toc480527868"/>
      <w:bookmarkStart w:id="210" w:name="_Ref16697318"/>
      <w:bookmarkStart w:id="211" w:name="_Toc156392440"/>
      <w:bookmarkStart w:id="212" w:name="_Hlk135239042"/>
      <w:bookmarkEnd w:id="166"/>
      <w:bookmarkEnd w:id="167"/>
      <w:bookmarkEnd w:id="168"/>
      <w:bookmarkEnd w:id="169"/>
      <w:bookmarkEnd w:id="170"/>
      <w:bookmarkEnd w:id="171"/>
      <w:bookmarkEnd w:id="187"/>
      <w:bookmarkEnd w:id="197"/>
      <w:bookmarkEnd w:id="198"/>
      <w:bookmarkEnd w:id="199"/>
      <w:bookmarkEnd w:id="200"/>
      <w:bookmarkEnd w:id="201"/>
      <w:bookmarkEnd w:id="202"/>
      <w:r w:rsidRPr="00C32576">
        <w:t>1</w:t>
      </w:r>
      <w:r w:rsidR="005C2626">
        <w:t>5</w:t>
      </w:r>
      <w:r w:rsidR="00136E7B" w:rsidRPr="00C32576">
        <w:tab/>
      </w:r>
      <w:bookmarkEnd w:id="203"/>
      <w:bookmarkEnd w:id="204"/>
      <w:bookmarkEnd w:id="205"/>
      <w:bookmarkEnd w:id="206"/>
      <w:bookmarkEnd w:id="207"/>
      <w:bookmarkEnd w:id="208"/>
      <w:bookmarkEnd w:id="209"/>
      <w:bookmarkEnd w:id="210"/>
      <w:r w:rsidR="007772C4">
        <w:t xml:space="preserve">Electronic working </w:t>
      </w:r>
      <w:r w:rsidR="00CD506F">
        <w:t xml:space="preserve">methods and </w:t>
      </w:r>
      <w:r w:rsidR="00CD506F" w:rsidRPr="00C5776F">
        <w:t>tools</w:t>
      </w:r>
      <w:bookmarkEnd w:id="211"/>
    </w:p>
    <w:p w14:paraId="5F88433C" w14:textId="7B633757" w:rsidR="003D5F16" w:rsidRDefault="00CD506F" w:rsidP="003D5F16">
      <w:bookmarkStart w:id="213" w:name="_Hlk120616566"/>
      <w:r>
        <w:t>Actions taken since the last meeting of TSAG are outlined below</w:t>
      </w:r>
      <w:bookmarkStart w:id="214" w:name="_Hlk155875540"/>
      <w:r w:rsidR="003D5F16" w:rsidRPr="003D5F16">
        <w:t>.</w:t>
      </w:r>
      <w:bookmarkEnd w:id="214"/>
    </w:p>
    <w:p w14:paraId="48F988D2" w14:textId="417D6201" w:rsidR="000E3711" w:rsidRDefault="000E3711" w:rsidP="004C3AFB">
      <w:pPr>
        <w:pStyle w:val="Heading2"/>
      </w:pPr>
      <w:bookmarkStart w:id="215" w:name="_Toc156392441"/>
      <w:r w:rsidRPr="00C32576">
        <w:t>1</w:t>
      </w:r>
      <w:r>
        <w:t>5</w:t>
      </w:r>
      <w:r w:rsidRPr="00C32576">
        <w:t>.</w:t>
      </w:r>
      <w:r>
        <w:t>1</w:t>
      </w:r>
      <w:r w:rsidRPr="00C32576">
        <w:tab/>
      </w:r>
      <w:r>
        <w:t>ITU</w:t>
      </w:r>
      <w:r w:rsidR="00821BE1">
        <w:t>-T</w:t>
      </w:r>
      <w:r>
        <w:t xml:space="preserve"> </w:t>
      </w:r>
      <w:r w:rsidR="00CD506F">
        <w:t>website</w:t>
      </w:r>
      <w:bookmarkEnd w:id="215"/>
    </w:p>
    <w:p w14:paraId="1D55D655" w14:textId="735151B4" w:rsidR="00CD506F" w:rsidRPr="00CD506F" w:rsidRDefault="00CD506F" w:rsidP="00CD506F">
      <w:pPr>
        <w:rPr>
          <w:bCs/>
        </w:rPr>
      </w:pPr>
      <w:bookmarkStart w:id="216" w:name="_Hlk120616944"/>
      <w:r w:rsidRPr="00CD506F">
        <w:rPr>
          <w:bCs/>
        </w:rPr>
        <w:t xml:space="preserve">TSB continuously creates and updates web pages to ensure that correct and current information is always available. Below are some of the notable sites that have been created since the last TSAG meeting: </w:t>
      </w:r>
    </w:p>
    <w:p w14:paraId="5BA016F9" w14:textId="77777777" w:rsidR="00CD506F" w:rsidRPr="00CD506F" w:rsidRDefault="00BB63EF" w:rsidP="00770357">
      <w:pPr>
        <w:numPr>
          <w:ilvl w:val="0"/>
          <w:numId w:val="23"/>
        </w:numPr>
        <w:rPr>
          <w:bCs/>
        </w:rPr>
      </w:pPr>
      <w:hyperlink r:id="rId194" w:history="1">
        <w:r w:rsidR="00CD506F" w:rsidRPr="00CD506F">
          <w:rPr>
            <w:rStyle w:val="Hyperlink"/>
            <w:bCs/>
          </w:rPr>
          <w:t>WTSA-24</w:t>
        </w:r>
      </w:hyperlink>
    </w:p>
    <w:p w14:paraId="279E400D" w14:textId="15B01897" w:rsidR="00CD506F" w:rsidRPr="00CD506F" w:rsidRDefault="00BB63EF" w:rsidP="00770357">
      <w:pPr>
        <w:numPr>
          <w:ilvl w:val="0"/>
          <w:numId w:val="23"/>
        </w:numPr>
        <w:rPr>
          <w:bCs/>
        </w:rPr>
      </w:pPr>
      <w:hyperlink r:id="rId195" w:history="1">
        <w:hyperlink r:id="rId196" w:history="1">
          <w:r w:rsidR="002135DD">
            <w:rPr>
              <w:rStyle w:val="Hyperlink"/>
              <w:bCs/>
            </w:rPr>
            <w:t>5</w:t>
          </w:r>
          <w:r w:rsidR="002135DD" w:rsidRPr="002135DD">
            <w:rPr>
              <w:rStyle w:val="Hyperlink"/>
              <w:bCs/>
              <w:vertAlign w:val="superscript"/>
            </w:rPr>
            <w:t>th</w:t>
          </w:r>
          <w:r w:rsidR="002135DD">
            <w:rPr>
              <w:rStyle w:val="Hyperlink"/>
              <w:bCs/>
            </w:rPr>
            <w:t xml:space="preserve"> </w:t>
          </w:r>
          <w:r w:rsidR="00CD506F" w:rsidRPr="00CD506F">
            <w:rPr>
              <w:rStyle w:val="Hyperlink"/>
              <w:bCs/>
            </w:rPr>
            <w:t>Global Standards Symposium</w:t>
          </w:r>
        </w:hyperlink>
      </w:hyperlink>
    </w:p>
    <w:p w14:paraId="7D0BF448" w14:textId="25033A55" w:rsidR="00CD506F" w:rsidRPr="00CD506F" w:rsidRDefault="00BB63EF" w:rsidP="00770357">
      <w:pPr>
        <w:numPr>
          <w:ilvl w:val="0"/>
          <w:numId w:val="23"/>
        </w:numPr>
        <w:rPr>
          <w:bCs/>
        </w:rPr>
      </w:pPr>
      <w:hyperlink r:id="rId197" w:history="1">
        <w:r w:rsidR="00CD506F" w:rsidRPr="00CD506F">
          <w:rPr>
            <w:rStyle w:val="Hyperlink"/>
            <w:bCs/>
          </w:rPr>
          <w:t xml:space="preserve">Inter-regional Meetings for WTSA-24 </w:t>
        </w:r>
        <w:r w:rsidR="002135DD">
          <w:rPr>
            <w:rStyle w:val="Hyperlink"/>
            <w:bCs/>
          </w:rPr>
          <w:t>p</w:t>
        </w:r>
        <w:r w:rsidR="00CD506F" w:rsidRPr="00CD506F">
          <w:rPr>
            <w:rStyle w:val="Hyperlink"/>
            <w:bCs/>
          </w:rPr>
          <w:t>reparation</w:t>
        </w:r>
      </w:hyperlink>
    </w:p>
    <w:p w14:paraId="5D6EADB6" w14:textId="08171CBD" w:rsidR="003D5F16" w:rsidRDefault="003D5F16" w:rsidP="003D5F16">
      <w:pPr>
        <w:pStyle w:val="Heading2"/>
      </w:pPr>
      <w:bookmarkStart w:id="217" w:name="_Toc156392442"/>
      <w:bookmarkEnd w:id="213"/>
      <w:bookmarkEnd w:id="216"/>
      <w:r w:rsidRPr="00C32576">
        <w:t>1</w:t>
      </w:r>
      <w:r w:rsidR="005C2626">
        <w:t>5</w:t>
      </w:r>
      <w:r w:rsidRPr="00C32576">
        <w:t>.</w:t>
      </w:r>
      <w:r w:rsidR="000E3711">
        <w:t>2</w:t>
      </w:r>
      <w:r w:rsidRPr="00C32576">
        <w:tab/>
      </w:r>
      <w:r w:rsidR="00CD506F">
        <w:t xml:space="preserve">Tools and </w:t>
      </w:r>
      <w:r>
        <w:t>applications</w:t>
      </w:r>
      <w:bookmarkEnd w:id="217"/>
    </w:p>
    <w:p w14:paraId="4DDBA30A" w14:textId="208E4E94" w:rsidR="00CD506F" w:rsidRPr="00CD506F" w:rsidRDefault="00CD506F" w:rsidP="00CD506F">
      <w:pPr>
        <w:rPr>
          <w:bCs/>
          <w:lang w:eastAsia="en-US"/>
        </w:rPr>
      </w:pPr>
      <w:r w:rsidRPr="00CD506F">
        <w:rPr>
          <w:bCs/>
          <w:lang w:eastAsia="en-US"/>
        </w:rPr>
        <w:t>TSB, ITU IS and C&amp;P Departments continue to develop several applications and further enhance existing facilities to support and improve the electronic working methods of the members. TSB strive</w:t>
      </w:r>
      <w:r>
        <w:rPr>
          <w:bCs/>
          <w:lang w:eastAsia="en-US"/>
        </w:rPr>
        <w:t>s</w:t>
      </w:r>
      <w:r w:rsidRPr="00CD506F">
        <w:rPr>
          <w:bCs/>
          <w:lang w:eastAsia="en-US"/>
        </w:rPr>
        <w:t xml:space="preserve"> to support mobile devices in all new applications develop</w:t>
      </w:r>
      <w:r>
        <w:rPr>
          <w:bCs/>
          <w:lang w:eastAsia="en-US"/>
        </w:rPr>
        <w:t>ed</w:t>
      </w:r>
      <w:r w:rsidRPr="00CD506F">
        <w:rPr>
          <w:bCs/>
          <w:lang w:eastAsia="en-US"/>
        </w:rPr>
        <w:t xml:space="preserve"> and follow the ITU design charter. Key achievements include:</w:t>
      </w:r>
    </w:p>
    <w:p w14:paraId="703AAA1E" w14:textId="3A681980" w:rsidR="004938FA" w:rsidRPr="004938FA" w:rsidRDefault="002135DD" w:rsidP="004938FA">
      <w:pPr>
        <w:rPr>
          <w:bCs/>
        </w:rPr>
      </w:pPr>
      <w:r w:rsidRPr="002135DD">
        <w:rPr>
          <w:b/>
          <w:bCs/>
        </w:rPr>
        <w:t xml:space="preserve">Document Management System for Rapporteur Group Meetings: </w:t>
      </w:r>
      <w:r w:rsidR="004938FA" w:rsidRPr="004938FA">
        <w:rPr>
          <w:bCs/>
        </w:rPr>
        <w:t>The Microsoft SharePoint-based Document Management System for ITU-T Rapporteur Group Meetings (RGMs) has been used extensively by the ITU-T Study Groups, and TSAG. Feedback from Rapporteurs drives the continuous improvement of the RGM system.</w:t>
      </w:r>
    </w:p>
    <w:p w14:paraId="159D2D19" w14:textId="77777777" w:rsidR="004938FA" w:rsidRPr="004938FA" w:rsidRDefault="004938FA" w:rsidP="004938FA">
      <w:pPr>
        <w:rPr>
          <w:bCs/>
        </w:rPr>
      </w:pPr>
      <w:r w:rsidRPr="004938FA">
        <w:rPr>
          <w:bCs/>
        </w:rPr>
        <w:t xml:space="preserve">Current and past RGM meetings can be accessed at </w:t>
      </w:r>
      <w:hyperlink r:id="rId198" w:history="1">
        <w:r w:rsidRPr="004938FA">
          <w:rPr>
            <w:rStyle w:val="Hyperlink"/>
            <w:bCs/>
          </w:rPr>
          <w:t>http://itu.int/go/itu-t/rgm</w:t>
        </w:r>
      </w:hyperlink>
      <w:r w:rsidRPr="004938FA">
        <w:rPr>
          <w:bCs/>
        </w:rPr>
        <w:t>.</w:t>
      </w:r>
    </w:p>
    <w:p w14:paraId="49D7D6A6" w14:textId="77777777" w:rsidR="004938FA" w:rsidRPr="004938FA" w:rsidRDefault="004938FA" w:rsidP="004938FA">
      <w:pPr>
        <w:rPr>
          <w:bCs/>
        </w:rPr>
      </w:pPr>
      <w:r w:rsidRPr="004938FA">
        <w:rPr>
          <w:bCs/>
        </w:rPr>
        <w:t xml:space="preserve">A comprehensive support and FAQ page offering RGM tips and best practices is available at </w:t>
      </w:r>
      <w:hyperlink r:id="rId199" w:history="1">
        <w:r w:rsidRPr="004938FA">
          <w:rPr>
            <w:rStyle w:val="Hyperlink"/>
            <w:bCs/>
          </w:rPr>
          <w:t>http://itu.int/go/itu-t/rgm-support</w:t>
        </w:r>
      </w:hyperlink>
      <w:r w:rsidRPr="004938FA">
        <w:rPr>
          <w:bCs/>
        </w:rPr>
        <w:t>.</w:t>
      </w:r>
    </w:p>
    <w:p w14:paraId="78526B7A" w14:textId="77777777" w:rsidR="004938FA" w:rsidRPr="004938FA" w:rsidRDefault="004938FA" w:rsidP="004938FA">
      <w:pPr>
        <w:rPr>
          <w:bCs/>
        </w:rPr>
      </w:pPr>
      <w:r w:rsidRPr="004938FA">
        <w:rPr>
          <w:bCs/>
        </w:rPr>
        <w:t xml:space="preserve">A detailed online user guide for the RGM System, including video tutorials, is available at </w:t>
      </w:r>
      <w:hyperlink r:id="rId200" w:history="1">
        <w:r w:rsidRPr="004938FA">
          <w:rPr>
            <w:rStyle w:val="Hyperlink"/>
            <w:bCs/>
          </w:rPr>
          <w:t>http://itu.int/go/itu-t/rgm-guide</w:t>
        </w:r>
      </w:hyperlink>
      <w:r w:rsidRPr="004938FA">
        <w:rPr>
          <w:bCs/>
        </w:rPr>
        <w:t>.</w:t>
      </w:r>
    </w:p>
    <w:p w14:paraId="0CF22AF9" w14:textId="77777777" w:rsidR="004938FA" w:rsidRDefault="004938FA" w:rsidP="004938FA">
      <w:pPr>
        <w:rPr>
          <w:bCs/>
        </w:rPr>
      </w:pPr>
      <w:r w:rsidRPr="004938FA">
        <w:rPr>
          <w:bCs/>
        </w:rPr>
        <w:t>The RGM system is one of several services available in the ITU-T SharePoint collaboration sites. These sites are restricted to ITU-T members and can be accessed using an ITU User Account (TIES).</w:t>
      </w:r>
    </w:p>
    <w:p w14:paraId="32C1D1DC" w14:textId="2C20D3BC" w:rsidR="004938FA" w:rsidRPr="004938FA" w:rsidRDefault="002135DD" w:rsidP="004938FA">
      <w:pPr>
        <w:rPr>
          <w:bCs/>
          <w:lang w:eastAsia="en-US"/>
        </w:rPr>
      </w:pPr>
      <w:r w:rsidRPr="002135DD">
        <w:rPr>
          <w:b/>
          <w:bCs/>
        </w:rPr>
        <w:t>ITU-T SharePoint collaboration sites</w:t>
      </w:r>
      <w:r w:rsidRPr="002135DD">
        <w:rPr>
          <w:b/>
          <w:bCs/>
          <w:lang w:eastAsia="en-US"/>
        </w:rPr>
        <w:t>:</w:t>
      </w:r>
      <w:r>
        <w:rPr>
          <w:bCs/>
          <w:lang w:eastAsia="en-US"/>
        </w:rPr>
        <w:t xml:space="preserve"> </w:t>
      </w:r>
      <w:r w:rsidR="004938FA" w:rsidRPr="004938FA">
        <w:rPr>
          <w:bCs/>
          <w:lang w:eastAsia="en-US"/>
        </w:rPr>
        <w:t>The ITU-T SharePoint collaboration sites enable participants in ITU-T working groups to conduct online discussions, work on projects, schedule meetings and manage and store documents in a secure shared environment.</w:t>
      </w:r>
    </w:p>
    <w:p w14:paraId="509CBF36" w14:textId="77777777" w:rsidR="004938FA" w:rsidRPr="004938FA" w:rsidRDefault="004938FA" w:rsidP="004938FA">
      <w:pPr>
        <w:rPr>
          <w:bCs/>
          <w:lang w:eastAsia="en-US"/>
        </w:rPr>
      </w:pPr>
      <w:r w:rsidRPr="004938FA">
        <w:rPr>
          <w:bCs/>
          <w:lang w:eastAsia="en-US"/>
        </w:rPr>
        <w:t xml:space="preserve">The home of ITU-T SharePoint collaboration sites can be accessed at: </w:t>
      </w:r>
      <w:hyperlink r:id="rId201" w:history="1">
        <w:r w:rsidRPr="004938FA">
          <w:rPr>
            <w:rStyle w:val="Hyperlink"/>
            <w:bCs/>
            <w:lang w:eastAsia="en-US"/>
          </w:rPr>
          <w:t>https://extranet.itu.int/sites/ITU-T/</w:t>
        </w:r>
      </w:hyperlink>
      <w:r w:rsidRPr="004938FA">
        <w:rPr>
          <w:bCs/>
          <w:lang w:eastAsia="en-US"/>
        </w:rPr>
        <w:t>.</w:t>
      </w:r>
    </w:p>
    <w:p w14:paraId="28604FBD" w14:textId="77777777" w:rsidR="004938FA" w:rsidRPr="004938FA" w:rsidRDefault="004938FA" w:rsidP="004938FA">
      <w:pPr>
        <w:rPr>
          <w:bCs/>
          <w:lang w:eastAsia="en-US"/>
        </w:rPr>
      </w:pPr>
      <w:r w:rsidRPr="004938FA">
        <w:rPr>
          <w:bCs/>
          <w:lang w:eastAsia="en-US"/>
        </w:rPr>
        <w:t xml:space="preserve">A support site that contains a knowledge base of FAQs and user guides on the various SharePoint services is also available at: </w:t>
      </w:r>
      <w:hyperlink r:id="rId202" w:history="1">
        <w:r w:rsidRPr="004938FA">
          <w:rPr>
            <w:rStyle w:val="Hyperlink"/>
            <w:bCs/>
            <w:lang w:eastAsia="en-US"/>
          </w:rPr>
          <w:t>https://extranet.itu.int/ITU-T/support/</w:t>
        </w:r>
      </w:hyperlink>
      <w:r w:rsidRPr="004938FA">
        <w:rPr>
          <w:bCs/>
          <w:lang w:eastAsia="en-US"/>
        </w:rPr>
        <w:t>.</w:t>
      </w:r>
    </w:p>
    <w:p w14:paraId="4EDFE708" w14:textId="59888610" w:rsidR="004938FA" w:rsidRDefault="004938FA" w:rsidP="004938FA">
      <w:pPr>
        <w:rPr>
          <w:bCs/>
          <w:lang w:eastAsia="en-US"/>
        </w:rPr>
      </w:pPr>
      <w:r w:rsidRPr="004938FA">
        <w:rPr>
          <w:bCs/>
          <w:lang w:eastAsia="en-US"/>
        </w:rPr>
        <w:t>Most of the collaboration sites are restricted to ITU-T Members and may be accessed using an ITU User (TIES) account. Some collaboration sites are open to non-members and may be accessed using non-member ITU User accounts.</w:t>
      </w:r>
    </w:p>
    <w:p w14:paraId="79928A5A" w14:textId="16C9ED34" w:rsidR="004938FA" w:rsidRDefault="004938FA" w:rsidP="004938FA">
      <w:pPr>
        <w:pStyle w:val="Heading2"/>
      </w:pPr>
      <w:bookmarkStart w:id="218" w:name="_Toc156392443"/>
      <w:r w:rsidRPr="00C32576">
        <w:t>1</w:t>
      </w:r>
      <w:r>
        <w:t>5</w:t>
      </w:r>
      <w:r w:rsidRPr="00C32576">
        <w:t>.</w:t>
      </w:r>
      <w:r>
        <w:t>3</w:t>
      </w:r>
      <w:r w:rsidRPr="00C32576">
        <w:tab/>
      </w:r>
      <w:r>
        <w:t>Web applications</w:t>
      </w:r>
      <w:bookmarkEnd w:id="218"/>
    </w:p>
    <w:p w14:paraId="21DF60E1" w14:textId="41E6F886" w:rsidR="004938FA" w:rsidRPr="004938FA" w:rsidRDefault="002135DD" w:rsidP="004938FA">
      <w:pPr>
        <w:rPr>
          <w:bCs/>
          <w:lang w:eastAsia="en-US"/>
        </w:rPr>
      </w:pPr>
      <w:r w:rsidRPr="002135DD">
        <w:rPr>
          <w:b/>
          <w:bCs/>
        </w:rPr>
        <w:t xml:space="preserve">MyWorkspace: </w:t>
      </w:r>
      <w:hyperlink r:id="rId203" w:history="1">
        <w:r w:rsidR="004938FA" w:rsidRPr="004938FA">
          <w:rPr>
            <w:rStyle w:val="Hyperlink"/>
            <w:bCs/>
            <w:lang w:eastAsia="en-US"/>
          </w:rPr>
          <w:t>MyWorkspace</w:t>
        </w:r>
      </w:hyperlink>
      <w:r w:rsidR="004938FA" w:rsidRPr="004938FA">
        <w:rPr>
          <w:bCs/>
          <w:lang w:eastAsia="en-US"/>
        </w:rPr>
        <w:t xml:space="preserve"> is a user-friendly mobile platform that centrali</w:t>
      </w:r>
      <w:r w:rsidR="004938FA">
        <w:rPr>
          <w:bCs/>
          <w:lang w:eastAsia="en-US"/>
        </w:rPr>
        <w:t>z</w:t>
      </w:r>
      <w:r w:rsidR="004938FA" w:rsidRPr="004938FA">
        <w:rPr>
          <w:bCs/>
          <w:lang w:eastAsia="en-US"/>
        </w:rPr>
        <w:t xml:space="preserve">es a set of applications and services developed to </w:t>
      </w:r>
      <w:r w:rsidR="004938FA" w:rsidRPr="004938FA">
        <w:rPr>
          <w:bCs/>
          <w:i/>
          <w:iCs/>
          <w:lang w:eastAsia="en-US"/>
        </w:rPr>
        <w:t>strengthen electronic working methods for the work of ITU-T</w:t>
      </w:r>
      <w:r w:rsidR="004938FA" w:rsidRPr="004938FA">
        <w:rPr>
          <w:bCs/>
          <w:lang w:eastAsia="en-US"/>
        </w:rPr>
        <w:t>, as stated in WTSA Resolution 32.</w:t>
      </w:r>
    </w:p>
    <w:p w14:paraId="11946D9C" w14:textId="77777777" w:rsidR="004938FA" w:rsidRPr="004938FA" w:rsidRDefault="004938FA" w:rsidP="004938FA">
      <w:pPr>
        <w:rPr>
          <w:bCs/>
          <w:lang w:eastAsia="en-US"/>
        </w:rPr>
      </w:pPr>
      <w:r w:rsidRPr="004938FA">
        <w:rPr>
          <w:bCs/>
          <w:lang w:eastAsia="en-US"/>
        </w:rPr>
        <w:t>This platform has been built as a Progressive Web App (PWA) solution allowing the same user experience regardless of the device used. Access to this platform is restricted to users with an ITU user account.</w:t>
      </w:r>
    </w:p>
    <w:p w14:paraId="063DB34C" w14:textId="77777777" w:rsidR="004938FA" w:rsidRPr="004938FA" w:rsidRDefault="004938FA" w:rsidP="004938FA">
      <w:pPr>
        <w:rPr>
          <w:bCs/>
          <w:lang w:eastAsia="en-US"/>
        </w:rPr>
      </w:pPr>
      <w:r w:rsidRPr="004938FA">
        <w:rPr>
          <w:bCs/>
          <w:lang w:eastAsia="en-US"/>
        </w:rPr>
        <w:t>The following applications and services are available from MyWorkspace:</w:t>
      </w:r>
    </w:p>
    <w:p w14:paraId="081411E0" w14:textId="33EDF5D2" w:rsidR="004938FA" w:rsidRPr="004938FA" w:rsidRDefault="00BB63EF" w:rsidP="00770357">
      <w:pPr>
        <w:numPr>
          <w:ilvl w:val="0"/>
          <w:numId w:val="26"/>
        </w:numPr>
        <w:rPr>
          <w:bCs/>
          <w:lang w:eastAsia="en-US"/>
        </w:rPr>
      </w:pPr>
      <w:hyperlink r:id="rId204" w:anchor="/Translate" w:tgtFrame="_blank" w:history="1">
        <w:r w:rsidR="004938FA" w:rsidRPr="004938FA">
          <w:rPr>
            <w:rStyle w:val="Hyperlink"/>
            <w:bCs/>
            <w:lang w:eastAsia="en-US"/>
          </w:rPr>
          <w:t>ITU Translate</w:t>
        </w:r>
      </w:hyperlink>
      <w:r w:rsidR="004938FA" w:rsidRPr="004938FA">
        <w:rPr>
          <w:bCs/>
          <w:lang w:eastAsia="en-US"/>
        </w:rPr>
        <w:t xml:space="preserve">: </w:t>
      </w:r>
      <w:r w:rsidR="004938FA" w:rsidRPr="004938FA">
        <w:rPr>
          <w:bCs/>
          <w:lang w:val="en-US" w:eastAsia="en-US"/>
        </w:rPr>
        <w:t xml:space="preserve"> 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4938FA" w:rsidRPr="004938FA">
        <w:rPr>
          <w:bCs/>
          <w:lang w:val="en-US" w:eastAsia="en-US"/>
        </w:rPr>
        <w:br/>
      </w:r>
      <w:r w:rsidR="004938FA" w:rsidRPr="004938FA">
        <w:rPr>
          <w:bCs/>
          <w:lang w:val="en-US" w:eastAsia="en-US"/>
        </w:rPr>
        <w:br/>
        <w:t xml:space="preserve">ITU Translate identifies and applies the best tools available for each language pair to translate general language webpages not currently available in the six official ITU languages. It uses innovative technologies to ensure high quality gist translation services to </w:t>
      </w:r>
      <w:r w:rsidR="004938FA" w:rsidRPr="004938FA">
        <w:rPr>
          <w:bCs/>
          <w:lang w:val="en-US" w:eastAsia="en-US"/>
        </w:rPr>
        <w:lastRenderedPageBreak/>
        <w:t>complement the reach of the work carried out by ITU’s human translation service. This is in line with Plenipotentiary Resolution 154 on the use of the six official languages of the Union on an equal footing.</w:t>
      </w:r>
    </w:p>
    <w:p w14:paraId="04FE78C0" w14:textId="77777777" w:rsidR="004938FA" w:rsidRPr="004938FA" w:rsidRDefault="00BB63EF" w:rsidP="00770357">
      <w:pPr>
        <w:numPr>
          <w:ilvl w:val="0"/>
          <w:numId w:val="26"/>
        </w:numPr>
        <w:rPr>
          <w:bCs/>
          <w:lang w:eastAsia="en-US"/>
        </w:rPr>
      </w:pPr>
      <w:hyperlink r:id="rId205" w:anchor="/MyMeetings">
        <w:r w:rsidR="004938FA" w:rsidRPr="004938FA">
          <w:rPr>
            <w:rStyle w:val="Hyperlink"/>
            <w:bCs/>
            <w:lang w:eastAsia="en-US"/>
          </w:rPr>
          <w:t>MyMeetings</w:t>
        </w:r>
      </w:hyperlink>
      <w:r w:rsidR="004938FA" w:rsidRPr="004938FA">
        <w:rPr>
          <w:bCs/>
          <w:lang w:eastAsia="en-US"/>
        </w:rPr>
        <w:t xml:space="preserve">: Remote participation service based on the </w:t>
      </w:r>
      <w:hyperlink r:id="rId206">
        <w:r w:rsidR="004938FA" w:rsidRPr="004938FA">
          <w:rPr>
            <w:rStyle w:val="Hyperlink"/>
            <w:bCs/>
            <w:lang w:eastAsia="en-US"/>
          </w:rPr>
          <w:t>BigBlueButton</w:t>
        </w:r>
      </w:hyperlink>
      <w:r w:rsidR="004938FA" w:rsidRPr="004938FA">
        <w:rPr>
          <w:bCs/>
          <w:lang w:eastAsia="en-US"/>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316AFDF8" w14:textId="77777777" w:rsidR="004938FA" w:rsidRPr="004938FA" w:rsidRDefault="004938FA" w:rsidP="00770357">
      <w:pPr>
        <w:numPr>
          <w:ilvl w:val="0"/>
          <w:numId w:val="26"/>
        </w:numPr>
        <w:rPr>
          <w:bCs/>
          <w:lang w:eastAsia="en-US"/>
        </w:rPr>
      </w:pPr>
      <w:r w:rsidRPr="004938FA">
        <w:rPr>
          <w:bCs/>
          <w:lang w:eastAsia="en-US"/>
        </w:rPr>
        <w:t xml:space="preserve">Documents: </w:t>
      </w:r>
    </w:p>
    <w:p w14:paraId="709DF0FA" w14:textId="77777777" w:rsidR="004938FA" w:rsidRPr="004938FA" w:rsidRDefault="00BB63EF" w:rsidP="00770357">
      <w:pPr>
        <w:numPr>
          <w:ilvl w:val="1"/>
          <w:numId w:val="27"/>
        </w:numPr>
        <w:rPr>
          <w:bCs/>
          <w:lang w:eastAsia="en-US"/>
        </w:rPr>
      </w:pPr>
      <w:hyperlink r:id="rId207" w:anchor="/Documents/MyDocuments/meeting=T22-TSAG-221212">
        <w:r w:rsidR="004938FA" w:rsidRPr="004938FA">
          <w:rPr>
            <w:rStyle w:val="Hyperlink"/>
            <w:bCs/>
            <w:lang w:eastAsia="en-US"/>
          </w:rPr>
          <w:t>MyDocuments</w:t>
        </w:r>
      </w:hyperlink>
      <w:r w:rsidR="004938FA" w:rsidRPr="004938FA">
        <w:rPr>
          <w:bCs/>
          <w:lang w:eastAsia="en-US"/>
        </w:rPr>
        <w:t>: Simplified access to Study Group documents, per meeting, with multiple sorting and selection filters and full-text search, and automatic translation from English into 5 others official ITU languages (available on request).</w:t>
      </w:r>
    </w:p>
    <w:p w14:paraId="76329782" w14:textId="77777777" w:rsidR="004938FA" w:rsidRPr="004938FA" w:rsidRDefault="00BB63EF" w:rsidP="00770357">
      <w:pPr>
        <w:numPr>
          <w:ilvl w:val="1"/>
          <w:numId w:val="27"/>
        </w:numPr>
        <w:rPr>
          <w:bCs/>
          <w:lang w:eastAsia="en-US"/>
        </w:rPr>
      </w:pPr>
      <w:hyperlink r:id="rId208" w:anchor="/Documents/Suggested-Documents" w:history="1">
        <w:r w:rsidR="004938FA" w:rsidRPr="004938FA">
          <w:rPr>
            <w:rStyle w:val="Hyperlink"/>
            <w:bCs/>
            <w:lang w:eastAsia="en-US"/>
          </w:rPr>
          <w:t>Suggested documents</w:t>
        </w:r>
      </w:hyperlink>
      <w:r w:rsidR="004938FA" w:rsidRPr="004938FA">
        <w:rPr>
          <w:bCs/>
          <w:lang w:eastAsia="en-US"/>
        </w:rPr>
        <w:t>: A proposed list of documents based on pre-set user interests, with the option to bookmark favourites.</w:t>
      </w:r>
    </w:p>
    <w:p w14:paraId="0DEB5DA0" w14:textId="77777777" w:rsidR="004938FA" w:rsidRPr="004938FA" w:rsidRDefault="00BB63EF" w:rsidP="00770357">
      <w:pPr>
        <w:numPr>
          <w:ilvl w:val="0"/>
          <w:numId w:val="25"/>
        </w:numPr>
        <w:rPr>
          <w:bCs/>
          <w:lang w:eastAsia="en-US"/>
        </w:rPr>
      </w:pPr>
      <w:hyperlink r:id="rId209" w:anchor="/sdg">
        <w:r w:rsidR="004938FA" w:rsidRPr="004938FA">
          <w:rPr>
            <w:rStyle w:val="Hyperlink"/>
            <w:bCs/>
            <w:lang w:eastAsia="en-US"/>
          </w:rPr>
          <w:t>SDG Mapping</w:t>
        </w:r>
      </w:hyperlink>
      <w:r w:rsidR="004938FA" w:rsidRPr="004938FA">
        <w:rPr>
          <w:bCs/>
          <w:lang w:eastAsia="en-US"/>
        </w:rPr>
        <w:t>: Automatic mapping of ITU-T activities with UN SDGs by evaluating semantic relevance of texts.</w:t>
      </w:r>
    </w:p>
    <w:p w14:paraId="19737F4C" w14:textId="77777777" w:rsidR="004938FA" w:rsidRPr="004938FA" w:rsidRDefault="00BB63EF" w:rsidP="00770357">
      <w:pPr>
        <w:numPr>
          <w:ilvl w:val="0"/>
          <w:numId w:val="25"/>
        </w:numPr>
        <w:rPr>
          <w:bCs/>
          <w:lang w:eastAsia="en-US"/>
        </w:rPr>
      </w:pPr>
      <w:hyperlink r:id="rId210" w:anchor="/Calendar">
        <w:r w:rsidR="004938FA" w:rsidRPr="004938FA">
          <w:rPr>
            <w:rStyle w:val="Hyperlink"/>
            <w:bCs/>
            <w:lang w:eastAsia="en-US"/>
          </w:rPr>
          <w:t>Calendar</w:t>
        </w:r>
      </w:hyperlink>
      <w:r w:rsidR="004938FA" w:rsidRPr="004938FA">
        <w:rPr>
          <w:bCs/>
          <w:lang w:eastAsia="en-US"/>
        </w:rPr>
        <w:t>: Monthly calendar view of all ITU events with filters on ITU sectors and ITU-T working groups, with detailed information.</w:t>
      </w:r>
    </w:p>
    <w:p w14:paraId="7EE7349D" w14:textId="77777777" w:rsidR="004938FA" w:rsidRPr="004938FA" w:rsidRDefault="00BB63EF" w:rsidP="00770357">
      <w:pPr>
        <w:numPr>
          <w:ilvl w:val="0"/>
          <w:numId w:val="25"/>
        </w:numPr>
        <w:rPr>
          <w:bCs/>
          <w:lang w:eastAsia="en-US"/>
        </w:rPr>
      </w:pPr>
      <w:hyperlink r:id="rId211" w:anchor="/Myevents">
        <w:r w:rsidR="004938FA" w:rsidRPr="004938FA">
          <w:rPr>
            <w:rStyle w:val="Hyperlink"/>
            <w:bCs/>
            <w:lang w:eastAsia="en-US"/>
          </w:rPr>
          <w:t>MyEvents</w:t>
        </w:r>
      </w:hyperlink>
      <w:r w:rsidR="004938FA" w:rsidRPr="004938FA">
        <w:rPr>
          <w:bCs/>
          <w:lang w:eastAsia="en-US"/>
        </w:rPr>
        <w:t>: Events management platform that provides real-time ITU-T events agenda, list of registered participants, speakers and exhibitors, as well as a matchmaking function to enable networking among participants.</w:t>
      </w:r>
    </w:p>
    <w:p w14:paraId="06DA591C" w14:textId="77777777" w:rsidR="004938FA" w:rsidRPr="004938FA" w:rsidRDefault="00BB63EF" w:rsidP="00770357">
      <w:pPr>
        <w:numPr>
          <w:ilvl w:val="0"/>
          <w:numId w:val="25"/>
        </w:numPr>
        <w:rPr>
          <w:bCs/>
          <w:lang w:eastAsia="en-US"/>
        </w:rPr>
      </w:pPr>
      <w:hyperlink r:id="rId212" w:anchor="/Mailing">
        <w:r w:rsidR="004938FA" w:rsidRPr="004938FA">
          <w:rPr>
            <w:rStyle w:val="Hyperlink"/>
            <w:bCs/>
            <w:lang w:eastAsia="en-US"/>
          </w:rPr>
          <w:t>Mailing list</w:t>
        </w:r>
      </w:hyperlink>
      <w:r w:rsidR="004938FA" w:rsidRPr="004938FA">
        <w:rPr>
          <w:bCs/>
          <w:lang w:eastAsia="en-US"/>
        </w:rPr>
        <w:t>: Subscription management with search functionality.</w:t>
      </w:r>
    </w:p>
    <w:p w14:paraId="01993435" w14:textId="77777777" w:rsidR="004938FA" w:rsidRPr="004938FA" w:rsidRDefault="00BB63EF" w:rsidP="00770357">
      <w:pPr>
        <w:numPr>
          <w:ilvl w:val="0"/>
          <w:numId w:val="25"/>
        </w:numPr>
        <w:rPr>
          <w:bCs/>
          <w:lang w:eastAsia="en-US"/>
        </w:rPr>
      </w:pPr>
      <w:hyperlink r:id="rId213" w:anchor="/Community">
        <w:r w:rsidR="004938FA" w:rsidRPr="004938FA">
          <w:rPr>
            <w:rStyle w:val="Hyperlink"/>
            <w:bCs/>
            <w:lang w:eastAsia="en-US"/>
          </w:rPr>
          <w:t>Community</w:t>
        </w:r>
      </w:hyperlink>
      <w:r w:rsidR="004938FA" w:rsidRPr="004938FA">
        <w:rPr>
          <w:bCs/>
          <w:lang w:eastAsia="en-US"/>
        </w:rPr>
        <w:t>: MyWorkspace user directory.</w:t>
      </w:r>
    </w:p>
    <w:p w14:paraId="6D748F19" w14:textId="77777777" w:rsidR="004938FA" w:rsidRPr="004938FA" w:rsidRDefault="00BB63EF" w:rsidP="00770357">
      <w:pPr>
        <w:numPr>
          <w:ilvl w:val="0"/>
          <w:numId w:val="25"/>
        </w:numPr>
        <w:rPr>
          <w:bCs/>
          <w:lang w:eastAsia="en-US"/>
        </w:rPr>
      </w:pPr>
      <w:hyperlink r:id="rId214" w:anchor="/profile">
        <w:r w:rsidR="004938FA" w:rsidRPr="004938FA">
          <w:rPr>
            <w:rStyle w:val="Hyperlink"/>
            <w:bCs/>
            <w:lang w:eastAsia="en-US"/>
          </w:rPr>
          <w:t>Profile and preferences</w:t>
        </w:r>
      </w:hyperlink>
      <w:r w:rsidR="004938FA" w:rsidRPr="004938FA">
        <w:rPr>
          <w:bCs/>
          <w:lang w:eastAsia="en-US"/>
        </w:rPr>
        <w:t>: User personal information and interests.</w:t>
      </w:r>
    </w:p>
    <w:p w14:paraId="2BA2949E" w14:textId="77777777" w:rsidR="004938FA" w:rsidRPr="004938FA" w:rsidRDefault="004938FA" w:rsidP="004938FA">
      <w:pPr>
        <w:rPr>
          <w:bCs/>
          <w:lang w:eastAsia="en-US"/>
        </w:rPr>
      </w:pPr>
      <w:r w:rsidRPr="004938FA">
        <w:rPr>
          <w:bCs/>
          <w:lang w:eastAsia="en-US"/>
        </w:rPr>
        <w:t>In addition to those integrated applications, MyWorkspace also offers access to an external set of services:</w:t>
      </w:r>
    </w:p>
    <w:p w14:paraId="594D3B09" w14:textId="38E73506" w:rsidR="004938FA" w:rsidRPr="002135DD" w:rsidRDefault="00BB63EF" w:rsidP="00770357">
      <w:pPr>
        <w:numPr>
          <w:ilvl w:val="0"/>
          <w:numId w:val="24"/>
        </w:numPr>
        <w:rPr>
          <w:bCs/>
          <w:lang w:eastAsia="en-US"/>
        </w:rPr>
      </w:pPr>
      <w:hyperlink r:id="rId215" w:anchor="/Other-apps">
        <w:r w:rsidR="004938FA" w:rsidRPr="004938FA">
          <w:rPr>
            <w:rStyle w:val="Hyperlink"/>
            <w:bCs/>
            <w:lang w:eastAsia="en-US"/>
          </w:rPr>
          <w:t>Other Apps</w:t>
        </w:r>
      </w:hyperlink>
      <w:r w:rsidR="004938FA" w:rsidRPr="004938FA">
        <w:rPr>
          <w:bCs/>
          <w:lang w:eastAsia="en-US"/>
        </w:rPr>
        <w:t xml:space="preserve">: Direct access to external services such as </w:t>
      </w:r>
      <w:hyperlink r:id="rId216">
        <w:r w:rsidR="004938FA" w:rsidRPr="004938FA">
          <w:rPr>
            <w:rStyle w:val="Hyperlink"/>
            <w:bCs/>
            <w:lang w:eastAsia="en-US"/>
          </w:rPr>
          <w:t>ITU-T Cloud</w:t>
        </w:r>
      </w:hyperlink>
      <w:r w:rsidR="004938FA" w:rsidRPr="004938FA">
        <w:rPr>
          <w:bCs/>
          <w:lang w:eastAsia="en-US"/>
        </w:rPr>
        <w:t xml:space="preserve">, </w:t>
      </w:r>
      <w:hyperlink r:id="rId217">
        <w:r w:rsidR="004938FA" w:rsidRPr="004938FA">
          <w:rPr>
            <w:rStyle w:val="Hyperlink"/>
            <w:bCs/>
            <w:lang w:eastAsia="en-US"/>
          </w:rPr>
          <w:t>ITU-T Databases</w:t>
        </w:r>
      </w:hyperlink>
      <w:r w:rsidR="004938FA" w:rsidRPr="004938FA">
        <w:rPr>
          <w:bCs/>
          <w:lang w:eastAsia="en-US"/>
        </w:rPr>
        <w:t xml:space="preserve">, a </w:t>
      </w:r>
      <w:hyperlink r:id="rId218">
        <w:r w:rsidR="004938FA" w:rsidRPr="004938FA">
          <w:rPr>
            <w:rStyle w:val="Hyperlink"/>
            <w:bCs/>
            <w:lang w:eastAsia="en-US"/>
          </w:rPr>
          <w:t>Meeting documents synchronisation tool</w:t>
        </w:r>
      </w:hyperlink>
      <w:r w:rsidR="004938FA" w:rsidRPr="004938FA">
        <w:rPr>
          <w:bCs/>
          <w:lang w:eastAsia="en-US"/>
        </w:rPr>
        <w:t xml:space="preserve">, Extranet collaboration platforms, </w:t>
      </w:r>
      <w:hyperlink r:id="rId219" w:history="1">
        <w:r w:rsidR="004938FA" w:rsidRPr="004938FA" w:rsidDel="00A72AA7">
          <w:rPr>
            <w:rStyle w:val="Hyperlink"/>
            <w:bCs/>
            <w:lang w:eastAsia="en-US"/>
          </w:rPr>
          <w:t>ITU Search</w:t>
        </w:r>
      </w:hyperlink>
      <w:r w:rsidR="004938FA" w:rsidRPr="004938FA">
        <w:rPr>
          <w:bCs/>
          <w:lang w:eastAsia="en-US"/>
        </w:rPr>
        <w:t xml:space="preserve">, </w:t>
      </w:r>
      <w:hyperlink r:id="rId220">
        <w:r w:rsidR="004938FA" w:rsidRPr="004938FA">
          <w:rPr>
            <w:rStyle w:val="Hyperlink"/>
            <w:bCs/>
            <w:lang w:eastAsia="en-US"/>
          </w:rPr>
          <w:t>Frequently asked questions</w:t>
        </w:r>
      </w:hyperlink>
      <w:r w:rsidR="004938FA" w:rsidRPr="004938FA">
        <w:rPr>
          <w:bCs/>
          <w:lang w:eastAsia="en-US"/>
        </w:rPr>
        <w:t>.</w:t>
      </w:r>
    </w:p>
    <w:p w14:paraId="4F466E79" w14:textId="671C8B81" w:rsidR="004938FA" w:rsidRDefault="002135DD" w:rsidP="004938FA">
      <w:pPr>
        <w:rPr>
          <w:bCs/>
          <w:lang w:eastAsia="en-US"/>
        </w:rPr>
      </w:pPr>
      <w:r w:rsidRPr="002135DD">
        <w:rPr>
          <w:b/>
          <w:bCs/>
        </w:rPr>
        <w:t>Alternative Approval Process system</w:t>
      </w:r>
      <w:r w:rsidRPr="002135DD">
        <w:rPr>
          <w:b/>
          <w:bCs/>
          <w:lang w:eastAsia="en-US"/>
        </w:rPr>
        <w:t>:</w:t>
      </w:r>
      <w:r>
        <w:rPr>
          <w:bCs/>
          <w:lang w:eastAsia="en-US"/>
        </w:rPr>
        <w:t xml:space="preserve"> </w:t>
      </w:r>
      <w:r w:rsidR="004938FA" w:rsidRPr="004938FA">
        <w:rPr>
          <w:bCs/>
          <w:lang w:eastAsia="en-US"/>
        </w:rPr>
        <w:t xml:space="preserve">Online solution to apply the ITU-T A.8 simplified and faster procedure used for seeking the approval of draft new and revised Recommendations: </w:t>
      </w:r>
      <w:hyperlink r:id="rId221">
        <w:r w:rsidR="004938FA" w:rsidRPr="004938FA">
          <w:rPr>
            <w:rStyle w:val="Hyperlink"/>
            <w:bCs/>
            <w:lang w:eastAsia="en-US"/>
          </w:rPr>
          <w:t>https://www.itu.int/t/aap/aap-recs</w:t>
        </w:r>
      </w:hyperlink>
      <w:r w:rsidR="004938FA" w:rsidRPr="004938FA">
        <w:rPr>
          <w:bCs/>
          <w:lang w:eastAsia="en-US"/>
        </w:rPr>
        <w:t>.</w:t>
      </w:r>
    </w:p>
    <w:p w14:paraId="2B0C1511" w14:textId="27CE9A7C" w:rsidR="004938FA" w:rsidRPr="004938FA" w:rsidRDefault="002135DD" w:rsidP="004938FA">
      <w:pPr>
        <w:rPr>
          <w:bCs/>
          <w:lang w:eastAsia="en-US"/>
        </w:rPr>
      </w:pPr>
      <w:r w:rsidRPr="002135DD">
        <w:rPr>
          <w:b/>
          <w:bCs/>
        </w:rPr>
        <w:t>ITU-T Work Programme</w:t>
      </w:r>
      <w:r w:rsidRPr="002135DD">
        <w:rPr>
          <w:b/>
          <w:bCs/>
          <w:lang w:eastAsia="en-US"/>
        </w:rPr>
        <w:t>:</w:t>
      </w:r>
      <w:r>
        <w:rPr>
          <w:bCs/>
          <w:lang w:eastAsia="en-US"/>
        </w:rPr>
        <w:t xml:space="preserve"> </w:t>
      </w:r>
      <w:r w:rsidR="004938FA" w:rsidRPr="004938FA">
        <w:rPr>
          <w:bCs/>
          <w:lang w:eastAsia="en-US"/>
        </w:rPr>
        <w:t xml:space="preserve">Suite of Windows and </w:t>
      </w:r>
      <w:hyperlink r:id="rId222" w:history="1">
        <w:r w:rsidR="004938FA" w:rsidRPr="004938FA">
          <w:rPr>
            <w:rStyle w:val="Hyperlink"/>
            <w:bCs/>
            <w:lang w:eastAsia="en-US"/>
          </w:rPr>
          <w:t>Web applications</w:t>
        </w:r>
      </w:hyperlink>
      <w:r w:rsidR="004938FA" w:rsidRPr="004938FA">
        <w:rPr>
          <w:bCs/>
          <w:lang w:eastAsia="en-US"/>
        </w:rPr>
        <w:t xml:space="preserve"> to follow ITU-T Working Groups current and past structure and work items.</w:t>
      </w:r>
    </w:p>
    <w:p w14:paraId="233D42D5" w14:textId="0C4478D2" w:rsidR="00FF59CF" w:rsidRDefault="002135DD" w:rsidP="00FF59CF">
      <w:r w:rsidRPr="002135DD">
        <w:rPr>
          <w:b/>
          <w:bCs/>
        </w:rPr>
        <w:t>ITU-T Liaison Statements:</w:t>
      </w:r>
      <w:r>
        <w:t xml:space="preserve"> </w:t>
      </w:r>
      <w:r w:rsidR="00FF59CF" w:rsidRPr="002A1222">
        <w:t xml:space="preserve">Online application to access the </w:t>
      </w:r>
      <w:hyperlink r:id="rId223" w:history="1">
        <w:r w:rsidR="00FF59CF" w:rsidRPr="004B5D5D">
          <w:rPr>
            <w:rStyle w:val="Hyperlink"/>
          </w:rPr>
          <w:t>ITU-T Liaison Statements</w:t>
        </w:r>
      </w:hyperlink>
      <w:r w:rsidR="00FF59CF" w:rsidRPr="002A1222">
        <w:t xml:space="preserve"> database.</w:t>
      </w:r>
    </w:p>
    <w:p w14:paraId="38C1D3CF" w14:textId="007F46B7" w:rsidR="00FF59CF" w:rsidRPr="00FF59CF" w:rsidRDefault="002135DD" w:rsidP="00FF59CF">
      <w:pPr>
        <w:rPr>
          <w:bCs/>
          <w:lang w:eastAsia="en-US"/>
        </w:rPr>
      </w:pPr>
      <w:r w:rsidRPr="002135DD">
        <w:rPr>
          <w:b/>
          <w:lang w:eastAsia="en-US"/>
        </w:rPr>
        <w:t>ITU-T Recommendations:</w:t>
      </w:r>
      <w:r>
        <w:rPr>
          <w:bCs/>
          <w:lang w:eastAsia="en-US"/>
        </w:rPr>
        <w:t xml:space="preserve"> </w:t>
      </w:r>
      <w:r w:rsidR="00FF59CF" w:rsidRPr="00FF59CF">
        <w:rPr>
          <w:bCs/>
          <w:lang w:eastAsia="en-US"/>
        </w:rPr>
        <w:t xml:space="preserve">Suite of Windows and Web applications to follow and access </w:t>
      </w:r>
      <w:hyperlink r:id="rId224" w:history="1">
        <w:r w:rsidR="00FF59CF" w:rsidRPr="00FF59CF">
          <w:rPr>
            <w:rStyle w:val="Hyperlink"/>
            <w:bCs/>
            <w:lang w:eastAsia="en-US"/>
          </w:rPr>
          <w:t>ITU-T Recommendations</w:t>
        </w:r>
      </w:hyperlink>
      <w:r w:rsidR="00FF59CF" w:rsidRPr="00FF59CF">
        <w:rPr>
          <w:bCs/>
          <w:lang w:eastAsia="en-US"/>
        </w:rPr>
        <w:t xml:space="preserve"> publications.</w:t>
      </w:r>
    </w:p>
    <w:p w14:paraId="1CFD6753" w14:textId="7B107B93" w:rsidR="00FF59CF" w:rsidRPr="00FF59CF" w:rsidRDefault="002135DD" w:rsidP="00FF59CF">
      <w:pPr>
        <w:rPr>
          <w:bCs/>
          <w:lang w:eastAsia="en-US"/>
        </w:rPr>
      </w:pPr>
      <w:r w:rsidRPr="002135DD">
        <w:rPr>
          <w:b/>
          <w:lang w:eastAsia="en-US"/>
        </w:rPr>
        <w:t>ICT Standards Landscape:</w:t>
      </w:r>
      <w:r>
        <w:rPr>
          <w:bCs/>
          <w:lang w:eastAsia="en-US"/>
        </w:rPr>
        <w:t xml:space="preserve"> </w:t>
      </w:r>
      <w:r w:rsidR="00FF59CF" w:rsidRPr="00FF59CF">
        <w:rPr>
          <w:bCs/>
          <w:lang w:eastAsia="en-US"/>
        </w:rPr>
        <w:t xml:space="preserve">Online management and research tool across the </w:t>
      </w:r>
      <w:hyperlink r:id="rId225" w:history="1">
        <w:r w:rsidR="00FF59CF" w:rsidRPr="00FF59CF">
          <w:rPr>
            <w:rStyle w:val="Hyperlink"/>
            <w:bCs/>
            <w:lang w:eastAsia="en-US"/>
          </w:rPr>
          <w:t>ICT standards landscape</w:t>
        </w:r>
      </w:hyperlink>
      <w:r w:rsidR="00FF59CF" w:rsidRPr="00FF59CF">
        <w:rPr>
          <w:bCs/>
          <w:lang w:eastAsia="en-US"/>
        </w:rPr>
        <w:t xml:space="preserve"> covering various high-level topics linked to ITU-T and other SDOs’ standards, under the responsibility of experts in the respective domain, such as:</w:t>
      </w:r>
    </w:p>
    <w:p w14:paraId="4071A52F" w14:textId="77777777" w:rsidR="00FF59CF" w:rsidRPr="00FF59CF" w:rsidRDefault="00BB63EF" w:rsidP="00770357">
      <w:pPr>
        <w:numPr>
          <w:ilvl w:val="0"/>
          <w:numId w:val="28"/>
        </w:numPr>
        <w:rPr>
          <w:bCs/>
          <w:lang w:eastAsia="en-US"/>
        </w:rPr>
      </w:pPr>
      <w:hyperlink r:id="rId226" w:history="1">
        <w:r w:rsidR="00FF59CF" w:rsidRPr="00FF59CF">
          <w:rPr>
            <w:rStyle w:val="Hyperlink"/>
            <w:bCs/>
            <w:lang w:eastAsia="en-US"/>
          </w:rPr>
          <w:t>Access Network Transport</w:t>
        </w:r>
      </w:hyperlink>
    </w:p>
    <w:p w14:paraId="62DAC13B" w14:textId="77777777" w:rsidR="00FF59CF" w:rsidRPr="00FF59CF" w:rsidRDefault="00BB63EF" w:rsidP="00770357">
      <w:pPr>
        <w:numPr>
          <w:ilvl w:val="0"/>
          <w:numId w:val="28"/>
        </w:numPr>
        <w:rPr>
          <w:bCs/>
          <w:lang w:eastAsia="en-US"/>
        </w:rPr>
      </w:pPr>
      <w:hyperlink r:id="rId227" w:history="1">
        <w:r w:rsidR="00FF59CF" w:rsidRPr="00FF59CF">
          <w:rPr>
            <w:rStyle w:val="Hyperlink"/>
            <w:bCs/>
            <w:lang w:eastAsia="en-US"/>
          </w:rPr>
          <w:t>Cloud Computing</w:t>
        </w:r>
      </w:hyperlink>
    </w:p>
    <w:p w14:paraId="7D33E75F" w14:textId="77777777" w:rsidR="00FF59CF" w:rsidRPr="00FF59CF" w:rsidRDefault="00BB63EF" w:rsidP="00770357">
      <w:pPr>
        <w:numPr>
          <w:ilvl w:val="0"/>
          <w:numId w:val="28"/>
        </w:numPr>
        <w:rPr>
          <w:bCs/>
          <w:lang w:eastAsia="en-US"/>
        </w:rPr>
      </w:pPr>
      <w:hyperlink r:id="rId228" w:history="1">
        <w:r w:rsidR="00FF59CF" w:rsidRPr="00FF59CF">
          <w:rPr>
            <w:rStyle w:val="Hyperlink"/>
            <w:bCs/>
            <w:lang w:eastAsia="en-US"/>
          </w:rPr>
          <w:t>Home Network Transport</w:t>
        </w:r>
      </w:hyperlink>
      <w:r w:rsidR="00FF59CF" w:rsidRPr="00FF59CF">
        <w:rPr>
          <w:bCs/>
          <w:lang w:eastAsia="en-US"/>
        </w:rPr>
        <w:t xml:space="preserve"> </w:t>
      </w:r>
    </w:p>
    <w:p w14:paraId="4B4019C7" w14:textId="77777777" w:rsidR="00FF59CF" w:rsidRPr="00FF59CF" w:rsidRDefault="00BB63EF" w:rsidP="00770357">
      <w:pPr>
        <w:numPr>
          <w:ilvl w:val="0"/>
          <w:numId w:val="28"/>
        </w:numPr>
        <w:rPr>
          <w:bCs/>
          <w:lang w:eastAsia="en-US"/>
        </w:rPr>
      </w:pPr>
      <w:hyperlink r:id="rId229" w:history="1">
        <w:r w:rsidR="00FF59CF" w:rsidRPr="00FF59CF">
          <w:rPr>
            <w:rStyle w:val="Hyperlink"/>
            <w:bCs/>
            <w:lang w:eastAsia="en-US"/>
          </w:rPr>
          <w:t>ICT Security</w:t>
        </w:r>
      </w:hyperlink>
      <w:r w:rsidR="00FF59CF" w:rsidRPr="00FF59CF">
        <w:rPr>
          <w:bCs/>
          <w:lang w:eastAsia="en-US"/>
        </w:rPr>
        <w:t xml:space="preserve"> </w:t>
      </w:r>
    </w:p>
    <w:p w14:paraId="7529C147" w14:textId="77777777" w:rsidR="00FF59CF" w:rsidRPr="00FF59CF" w:rsidRDefault="00BB63EF" w:rsidP="00770357">
      <w:pPr>
        <w:numPr>
          <w:ilvl w:val="0"/>
          <w:numId w:val="28"/>
        </w:numPr>
        <w:rPr>
          <w:bCs/>
          <w:lang w:eastAsia="en-US"/>
        </w:rPr>
      </w:pPr>
      <w:hyperlink r:id="rId230" w:history="1">
        <w:r w:rsidR="00FF59CF" w:rsidRPr="00FF59CF">
          <w:rPr>
            <w:rStyle w:val="Hyperlink"/>
            <w:bCs/>
            <w:lang w:eastAsia="en-US"/>
          </w:rPr>
          <w:t>IMT-2020 and beyond</w:t>
        </w:r>
      </w:hyperlink>
    </w:p>
    <w:p w14:paraId="5DE8C6C3" w14:textId="77777777" w:rsidR="00FF59CF" w:rsidRPr="00FF59CF" w:rsidRDefault="00BB63EF" w:rsidP="00770357">
      <w:pPr>
        <w:numPr>
          <w:ilvl w:val="0"/>
          <w:numId w:val="28"/>
        </w:numPr>
        <w:rPr>
          <w:bCs/>
          <w:lang w:eastAsia="en-US"/>
        </w:rPr>
      </w:pPr>
      <w:hyperlink r:id="rId231" w:history="1">
        <w:r w:rsidR="00FF59CF" w:rsidRPr="00FF59CF">
          <w:rPr>
            <w:rStyle w:val="Hyperlink"/>
            <w:bCs/>
            <w:lang w:eastAsia="en-US"/>
          </w:rPr>
          <w:t>ITS Communication</w:t>
        </w:r>
      </w:hyperlink>
    </w:p>
    <w:p w14:paraId="461E1E5A" w14:textId="77777777" w:rsidR="00FF59CF" w:rsidRPr="00FF59CF" w:rsidRDefault="00BB63EF" w:rsidP="00770357">
      <w:pPr>
        <w:numPr>
          <w:ilvl w:val="0"/>
          <w:numId w:val="28"/>
        </w:numPr>
        <w:rPr>
          <w:bCs/>
          <w:lang w:eastAsia="en-US"/>
        </w:rPr>
      </w:pPr>
      <w:hyperlink r:id="rId232" w:history="1">
        <w:r w:rsidR="00FF59CF" w:rsidRPr="00FF59CF">
          <w:rPr>
            <w:rStyle w:val="Hyperlink"/>
            <w:bCs/>
            <w:lang w:eastAsia="en-US"/>
          </w:rPr>
          <w:t>IoT &amp; Smart Sustainable Cities</w:t>
        </w:r>
      </w:hyperlink>
    </w:p>
    <w:p w14:paraId="6CA56A2C" w14:textId="7DDF7EDC" w:rsidR="00FF59CF" w:rsidRPr="00FF59CF" w:rsidRDefault="002135DD" w:rsidP="00FF59CF">
      <w:pPr>
        <w:rPr>
          <w:bCs/>
          <w:lang w:eastAsia="en-US"/>
        </w:rPr>
      </w:pPr>
      <w:r w:rsidRPr="002135DD">
        <w:rPr>
          <w:b/>
          <w:bCs/>
        </w:rPr>
        <w:t>Intellectual Property Rights in ITU-T Recommendations</w:t>
      </w:r>
      <w:r w:rsidRPr="002135DD">
        <w:rPr>
          <w:b/>
          <w:bCs/>
          <w:lang w:eastAsia="en-US"/>
        </w:rPr>
        <w:t>:</w:t>
      </w:r>
      <w:r>
        <w:rPr>
          <w:bCs/>
          <w:lang w:eastAsia="en-US"/>
        </w:rPr>
        <w:t xml:space="preserve"> </w:t>
      </w:r>
      <w:r w:rsidR="00FF59CF" w:rsidRPr="00FF59CF">
        <w:rPr>
          <w:bCs/>
          <w:lang w:eastAsia="en-US"/>
        </w:rPr>
        <w:t xml:space="preserve">Online search </w:t>
      </w:r>
      <w:r>
        <w:rPr>
          <w:bCs/>
          <w:lang w:eastAsia="en-US"/>
        </w:rPr>
        <w:t xml:space="preserve">of </w:t>
      </w:r>
      <w:hyperlink r:id="rId233" w:history="1">
        <w:r w:rsidR="00FF59CF" w:rsidRPr="002135DD">
          <w:rPr>
            <w:rStyle w:val="Hyperlink"/>
            <w:bCs/>
            <w:lang w:eastAsia="en-US"/>
          </w:rPr>
          <w:t>patents and software copyright declarations</w:t>
        </w:r>
      </w:hyperlink>
      <w:r w:rsidR="00FF59CF" w:rsidRPr="00FF59CF">
        <w:rPr>
          <w:bCs/>
          <w:lang w:eastAsia="en-US"/>
        </w:rPr>
        <w:t>.</w:t>
      </w:r>
    </w:p>
    <w:p w14:paraId="35F9AE56" w14:textId="636AD9B5" w:rsidR="00FF59CF" w:rsidRPr="00FF59CF" w:rsidRDefault="002135DD" w:rsidP="00FF59CF">
      <w:pPr>
        <w:rPr>
          <w:bCs/>
          <w:lang w:eastAsia="en-US"/>
        </w:rPr>
      </w:pPr>
      <w:r w:rsidRPr="002135DD">
        <w:rPr>
          <w:b/>
          <w:bCs/>
        </w:rPr>
        <w:t>ITU-R/ITU-T Terms &amp; Definitions Database</w:t>
      </w:r>
      <w:r w:rsidRPr="002135DD">
        <w:rPr>
          <w:b/>
          <w:bCs/>
          <w:lang w:eastAsia="en-US"/>
        </w:rPr>
        <w:t>:</w:t>
      </w:r>
      <w:r>
        <w:rPr>
          <w:bCs/>
          <w:lang w:eastAsia="en-US"/>
        </w:rPr>
        <w:t xml:space="preserve"> </w:t>
      </w:r>
      <w:r w:rsidR="00FF59CF" w:rsidRPr="00FF59CF">
        <w:rPr>
          <w:bCs/>
          <w:lang w:eastAsia="en-US"/>
        </w:rPr>
        <w:t xml:space="preserve">Online search on </w:t>
      </w:r>
      <w:hyperlink r:id="rId234" w:history="1">
        <w:r w:rsidR="00FF59CF" w:rsidRPr="00FF59CF">
          <w:rPr>
            <w:rStyle w:val="Hyperlink"/>
            <w:bCs/>
            <w:lang w:eastAsia="en-US"/>
          </w:rPr>
          <w:t>ITU-R and ITU-T Recommendations terms and definitions</w:t>
        </w:r>
      </w:hyperlink>
      <w:r w:rsidR="00FF59CF" w:rsidRPr="00FF59CF">
        <w:rPr>
          <w:bCs/>
          <w:lang w:eastAsia="en-US"/>
        </w:rPr>
        <w:t xml:space="preserve"> databases.</w:t>
      </w:r>
    </w:p>
    <w:p w14:paraId="46A1F494" w14:textId="77777777" w:rsidR="00FF59CF" w:rsidRPr="00FF59CF" w:rsidRDefault="00FF59CF" w:rsidP="00FF59CF">
      <w:pPr>
        <w:rPr>
          <w:bCs/>
          <w:lang w:eastAsia="en-US"/>
        </w:rPr>
      </w:pPr>
      <w:r w:rsidRPr="00FF59CF">
        <w:rPr>
          <w:bCs/>
          <w:lang w:eastAsia="en-US"/>
        </w:rPr>
        <w:t>This is maintained in close collaboration with the Coordination Committee for Vocabulary (</w:t>
      </w:r>
      <w:hyperlink r:id="rId235" w:history="1">
        <w:r w:rsidRPr="00FF59CF">
          <w:rPr>
            <w:rStyle w:val="Hyperlink"/>
            <w:bCs/>
            <w:lang w:eastAsia="en-US"/>
          </w:rPr>
          <w:t>CCV</w:t>
        </w:r>
      </w:hyperlink>
      <w:r w:rsidRPr="00FF59CF">
        <w:rPr>
          <w:bCs/>
          <w:lang w:eastAsia="en-US"/>
        </w:rPr>
        <w:t>).</w:t>
      </w:r>
    </w:p>
    <w:p w14:paraId="2A8E8429" w14:textId="3B82E548" w:rsidR="00FF59CF" w:rsidRPr="00FF59CF" w:rsidRDefault="002135DD" w:rsidP="00FF59CF">
      <w:pPr>
        <w:rPr>
          <w:b/>
          <w:bCs/>
          <w:lang w:eastAsia="en-US"/>
        </w:rPr>
      </w:pPr>
      <w:r w:rsidRPr="002135DD">
        <w:rPr>
          <w:b/>
          <w:bCs/>
        </w:rPr>
        <w:t>ITU National Numbering Plans Repository</w:t>
      </w:r>
      <w:r w:rsidRPr="002135DD">
        <w:rPr>
          <w:b/>
          <w:bCs/>
          <w:lang w:eastAsia="en-US"/>
        </w:rPr>
        <w:t>:</w:t>
      </w:r>
      <w:r>
        <w:rPr>
          <w:bCs/>
          <w:lang w:eastAsia="en-US"/>
        </w:rPr>
        <w:t xml:space="preserve"> </w:t>
      </w:r>
      <w:r w:rsidR="00FF59CF" w:rsidRPr="00FF59CF">
        <w:rPr>
          <w:bCs/>
          <w:lang w:eastAsia="en-US"/>
        </w:rPr>
        <w:t xml:space="preserve">Online access to </w:t>
      </w:r>
      <w:hyperlink r:id="rId236" w:anchor="/home">
        <w:r w:rsidR="00FF59CF" w:rsidRPr="00FF59CF">
          <w:rPr>
            <w:rStyle w:val="Hyperlink"/>
            <w:bCs/>
            <w:lang w:eastAsia="en-US"/>
          </w:rPr>
          <w:t>ITU National Numbering Plans</w:t>
        </w:r>
      </w:hyperlink>
      <w:r w:rsidR="00FF59CF" w:rsidRPr="00FF59CF">
        <w:rPr>
          <w:bCs/>
          <w:lang w:eastAsia="en-US"/>
        </w:rPr>
        <w:t xml:space="preserve"> which has been enhanced to allow users to access both the notifications of the administrations' plans in Word format and in dynamic lists, when applicable.</w:t>
      </w:r>
    </w:p>
    <w:p w14:paraId="6C34D435" w14:textId="5C05482C" w:rsidR="00FF59CF" w:rsidRPr="00FF59CF" w:rsidRDefault="002135DD" w:rsidP="00FF59CF">
      <w:pPr>
        <w:rPr>
          <w:lang w:eastAsia="en-US"/>
        </w:rPr>
      </w:pPr>
      <w:bookmarkStart w:id="219" w:name="_Hlk155876914"/>
      <w:r w:rsidRPr="002135DD">
        <w:rPr>
          <w:b/>
          <w:bCs/>
          <w:lang w:eastAsia="en-US"/>
        </w:rPr>
        <w:t>International Numbering Resources:</w:t>
      </w:r>
      <w:r>
        <w:rPr>
          <w:lang w:eastAsia="en-US"/>
        </w:rPr>
        <w:t xml:space="preserve"> </w:t>
      </w:r>
      <w:r w:rsidR="00FF59CF" w:rsidRPr="00FF59CF">
        <w:rPr>
          <w:lang w:eastAsia="en-US"/>
        </w:rPr>
        <w:t xml:space="preserve">The </w:t>
      </w:r>
      <w:hyperlink r:id="rId237">
        <w:r w:rsidR="00FF59CF" w:rsidRPr="00FF59CF">
          <w:rPr>
            <w:rStyle w:val="Hyperlink"/>
            <w:lang w:eastAsia="en-US"/>
          </w:rPr>
          <w:t>International Numbering Resources</w:t>
        </w:r>
      </w:hyperlink>
      <w:r w:rsidR="00FF59CF" w:rsidRPr="00FF59CF">
        <w:rPr>
          <w:lang w:eastAsia="en-US"/>
        </w:rPr>
        <w:t xml:space="preserve"> include databases such as:</w:t>
      </w:r>
    </w:p>
    <w:p w14:paraId="41BDE340" w14:textId="77777777" w:rsidR="00FF59CF" w:rsidRPr="00FF59CF" w:rsidRDefault="00BB63EF" w:rsidP="00770357">
      <w:pPr>
        <w:numPr>
          <w:ilvl w:val="0"/>
          <w:numId w:val="29"/>
        </w:numPr>
        <w:rPr>
          <w:lang w:eastAsia="en-US"/>
        </w:rPr>
      </w:pPr>
      <w:hyperlink r:id="rId238" w:history="1">
        <w:r w:rsidR="00FF59CF" w:rsidRPr="00FF59CF">
          <w:rPr>
            <w:rStyle w:val="Hyperlink"/>
            <w:lang w:eastAsia="en-US"/>
          </w:rPr>
          <w:t>Universal Numbers applications</w:t>
        </w:r>
      </w:hyperlink>
      <w:r w:rsidR="00FF59CF" w:rsidRPr="00FF59CF">
        <w:rPr>
          <w:lang w:eastAsia="en-US"/>
        </w:rPr>
        <w:t xml:space="preserve">: </w:t>
      </w:r>
      <w:r w:rsidR="00FF59CF" w:rsidRPr="00FF59CF">
        <w:rPr>
          <w:lang w:val="en-US" w:eastAsia="en-US"/>
        </w:rPr>
        <w:t>Enable the tracking of operators whose numbers have been reclaimed.</w:t>
      </w:r>
    </w:p>
    <w:p w14:paraId="2CC3DA9A" w14:textId="77777777" w:rsidR="00FF59CF" w:rsidRPr="00FF59CF" w:rsidRDefault="00BB63EF" w:rsidP="00770357">
      <w:pPr>
        <w:numPr>
          <w:ilvl w:val="0"/>
          <w:numId w:val="29"/>
        </w:numPr>
        <w:rPr>
          <w:lang w:eastAsia="en-US"/>
        </w:rPr>
      </w:pPr>
      <w:hyperlink r:id="rId239" w:history="1">
        <w:r w:rsidR="00FF59CF" w:rsidRPr="00FF59CF">
          <w:rPr>
            <w:rStyle w:val="Hyperlink"/>
            <w:lang w:eastAsia="en-US"/>
          </w:rPr>
          <w:t>Issuer Identifier Number</w:t>
        </w:r>
      </w:hyperlink>
      <w:r w:rsidR="00FF59CF" w:rsidRPr="00FF59CF">
        <w:rPr>
          <w:lang w:eastAsia="en-US"/>
        </w:rPr>
        <w:t xml:space="preserve"> (IIN): Workflow application allowing TSB secretariat to manage IIN registration.</w:t>
      </w:r>
    </w:p>
    <w:p w14:paraId="29BE5F14" w14:textId="34F7D088" w:rsidR="0046503E" w:rsidRPr="0046503E" w:rsidRDefault="002135DD" w:rsidP="0046503E">
      <w:pPr>
        <w:rPr>
          <w:bCs/>
          <w:lang w:eastAsia="en-US"/>
        </w:rPr>
      </w:pPr>
      <w:r w:rsidRPr="002135DD">
        <w:rPr>
          <w:b/>
          <w:bCs/>
          <w:lang w:eastAsia="en-US"/>
        </w:rPr>
        <w:t>ITUSearch:</w:t>
      </w:r>
      <w:r>
        <w:rPr>
          <w:lang w:eastAsia="en-US"/>
        </w:rPr>
        <w:t xml:space="preserve"> </w:t>
      </w:r>
      <w:r w:rsidR="0046503E" w:rsidRPr="0046503E">
        <w:rPr>
          <w:lang w:eastAsia="en-US"/>
        </w:rPr>
        <w:t>Online search on ITU digital resources, including files that public search engines (e.g.</w:t>
      </w:r>
      <w:r w:rsidR="0046503E">
        <w:rPr>
          <w:lang w:eastAsia="en-US"/>
        </w:rPr>
        <w:t>,</w:t>
      </w:r>
      <w:r w:rsidR="0046503E" w:rsidRPr="0046503E">
        <w:rPr>
          <w:lang w:eastAsia="en-US"/>
        </w:rPr>
        <w:t xml:space="preserve"> Google) cannot access: meeting documents, publications, web pages, </w:t>
      </w:r>
      <w:hyperlink r:id="rId240" w:anchor="?target=Base%20text&amp;ex=false&amp;q=&amp;fl=0">
        <w:r w:rsidR="0046503E" w:rsidRPr="0046503E">
          <w:rPr>
            <w:rStyle w:val="Hyperlink"/>
            <w:lang w:eastAsia="en-US"/>
          </w:rPr>
          <w:t>ITU regulatory texts</w:t>
        </w:r>
      </w:hyperlink>
      <w:r w:rsidR="0046503E" w:rsidRPr="0046503E">
        <w:rPr>
          <w:lang w:eastAsia="en-US"/>
        </w:rPr>
        <w:t xml:space="preserve"> in 6 languages and the latest WTDC and WTSA outputs.</w:t>
      </w:r>
    </w:p>
    <w:p w14:paraId="0631E71C" w14:textId="73C36D59" w:rsidR="006B0381" w:rsidRDefault="002135DD" w:rsidP="006B0381">
      <w:pPr>
        <w:rPr>
          <w:lang w:eastAsia="en-US"/>
        </w:rPr>
      </w:pPr>
      <w:r w:rsidRPr="002135DD">
        <w:rPr>
          <w:b/>
          <w:bCs/>
          <w:lang w:eastAsia="en-US"/>
        </w:rPr>
        <w:t>ITU-T Mailing Lists:</w:t>
      </w:r>
      <w:r>
        <w:rPr>
          <w:lang w:eastAsia="en-US"/>
        </w:rPr>
        <w:t xml:space="preserve"> </w:t>
      </w:r>
      <w:r w:rsidR="006B0381" w:rsidRPr="006B0381">
        <w:rPr>
          <w:lang w:eastAsia="en-US"/>
        </w:rPr>
        <w:t xml:space="preserve">The mailing lists continue to be very useful tools in the work of the study groups and other groups. There are </w:t>
      </w:r>
      <w:r w:rsidR="006B0381" w:rsidRPr="006B0381">
        <w:rPr>
          <w:b/>
          <w:bCs/>
          <w:lang w:eastAsia="en-US"/>
        </w:rPr>
        <w:t>388 active ITU-T mailing lists</w:t>
      </w:r>
      <w:r w:rsidR="006B0381" w:rsidRPr="006B0381">
        <w:rPr>
          <w:lang w:eastAsia="en-US"/>
        </w:rPr>
        <w:t xml:space="preserve"> with a total of </w:t>
      </w:r>
      <w:r w:rsidR="006B0381" w:rsidRPr="006B0381">
        <w:rPr>
          <w:b/>
          <w:bCs/>
          <w:lang w:eastAsia="en-US"/>
        </w:rPr>
        <w:t>61519 subscriptions</w:t>
      </w:r>
      <w:r w:rsidR="006B0381" w:rsidRPr="006B0381">
        <w:rPr>
          <w:lang w:eastAsia="en-US"/>
        </w:rPr>
        <w:t xml:space="preserve"> currently being used as shown in the table below. TSB set up a new mailing list for ITU-T experts to receive an alert for each TSB Circular posting.</w:t>
      </w:r>
    </w:p>
    <w:p w14:paraId="5D686711" w14:textId="77777777" w:rsidR="006B0381" w:rsidRPr="006B0381" w:rsidRDefault="006B0381" w:rsidP="006B0381">
      <w:pPr>
        <w:rPr>
          <w:lang w:eastAsia="en-US"/>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B0381" w14:paraId="3781550A"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87007C4" w14:textId="77777777" w:rsidR="006B0381" w:rsidRDefault="006B0381" w:rsidP="006375CD">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CE6BE34" w14:textId="77777777" w:rsidR="006B0381" w:rsidRDefault="006B0381" w:rsidP="006375CD">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0B1B75C2" w14:textId="77777777" w:rsidR="006B0381" w:rsidRPr="005949D0" w:rsidRDefault="006B0381" w:rsidP="006375CD">
            <w:pPr>
              <w:spacing w:line="252" w:lineRule="auto"/>
              <w:jc w:val="center"/>
              <w:rPr>
                <w:b/>
                <w:bCs/>
                <w:color w:val="000000"/>
              </w:rPr>
            </w:pPr>
            <w:r w:rsidRPr="7752686A">
              <w:rPr>
                <w:b/>
                <w:color w:val="000000" w:themeColor="text1"/>
              </w:rPr>
              <w:t>Subscribers</w:t>
            </w:r>
          </w:p>
        </w:tc>
      </w:tr>
      <w:tr w:rsidR="006B0381" w14:paraId="0B0C712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A837FF" w14:textId="77777777" w:rsidR="006B0381" w:rsidRDefault="006B0381" w:rsidP="006375CD">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7929E6" w14:textId="77777777" w:rsidR="006B0381" w:rsidRPr="00137ACF" w:rsidRDefault="006B0381" w:rsidP="006375CD">
            <w:pPr>
              <w:spacing w:line="252" w:lineRule="auto"/>
              <w:jc w:val="center"/>
              <w:rPr>
                <w:color w:val="000000"/>
              </w:rPr>
            </w:pPr>
            <w:r w:rsidRPr="506FB533">
              <w:rPr>
                <w:color w:val="000000" w:themeColor="text1"/>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2492490" w14:textId="77777777" w:rsidR="006B0381" w:rsidRPr="00137ACF" w:rsidRDefault="006B0381" w:rsidP="006375CD">
            <w:pPr>
              <w:spacing w:line="252" w:lineRule="auto"/>
              <w:jc w:val="center"/>
            </w:pPr>
            <w:r w:rsidRPr="41221C47">
              <w:rPr>
                <w:color w:val="000000" w:themeColor="text1"/>
              </w:rPr>
              <w:t>2516</w:t>
            </w:r>
          </w:p>
        </w:tc>
      </w:tr>
      <w:tr w:rsidR="006B0381" w14:paraId="4DAF0884"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5D6132" w14:textId="77777777" w:rsidR="006B0381" w:rsidRDefault="006B0381" w:rsidP="006375CD">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66A350" w14:textId="77777777" w:rsidR="006B0381" w:rsidRPr="00137ACF" w:rsidRDefault="006B0381" w:rsidP="006375CD">
            <w:pPr>
              <w:spacing w:line="252" w:lineRule="auto"/>
              <w:jc w:val="cente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094207D" w14:textId="77777777" w:rsidR="006B0381" w:rsidRPr="00137ACF" w:rsidRDefault="006B0381" w:rsidP="006375CD">
            <w:pPr>
              <w:spacing w:line="252" w:lineRule="auto"/>
              <w:jc w:val="center"/>
            </w:pPr>
            <w:r w:rsidRPr="41221C47">
              <w:rPr>
                <w:color w:val="000000" w:themeColor="text1"/>
              </w:rPr>
              <w:t>1648</w:t>
            </w:r>
          </w:p>
        </w:tc>
      </w:tr>
      <w:tr w:rsidR="006B0381" w14:paraId="45CA91EE"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E69721" w14:textId="77777777" w:rsidR="006B0381" w:rsidRDefault="006B0381" w:rsidP="006375CD">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0B6DC" w14:textId="77777777" w:rsidR="006B0381" w:rsidRPr="00137ACF" w:rsidRDefault="006B0381" w:rsidP="006375CD">
            <w:pPr>
              <w:spacing w:line="252" w:lineRule="auto"/>
              <w:jc w:val="center"/>
              <w:rPr>
                <w:color w:val="000000"/>
              </w:rPr>
            </w:pPr>
            <w:r w:rsidRPr="4AB7C3B6">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0B40902" w14:textId="77777777" w:rsidR="006B0381" w:rsidRPr="00137ACF" w:rsidRDefault="006B0381" w:rsidP="006375CD">
            <w:pPr>
              <w:spacing w:line="252" w:lineRule="auto"/>
              <w:jc w:val="center"/>
            </w:pPr>
            <w:r w:rsidRPr="41221C47">
              <w:rPr>
                <w:color w:val="000000" w:themeColor="text1"/>
              </w:rPr>
              <w:t>3183</w:t>
            </w:r>
          </w:p>
        </w:tc>
      </w:tr>
      <w:tr w:rsidR="006B0381" w14:paraId="23788435"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4D2936" w14:textId="77777777" w:rsidR="006B0381" w:rsidRDefault="006B0381" w:rsidP="006375CD">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632B69D" w14:textId="77777777" w:rsidR="006B0381" w:rsidRPr="00137ACF" w:rsidRDefault="006B0381" w:rsidP="006375CD">
            <w:pPr>
              <w:spacing w:line="252" w:lineRule="auto"/>
              <w:jc w:val="center"/>
              <w:rPr>
                <w:color w:val="000000"/>
              </w:rPr>
            </w:pPr>
            <w:r w:rsidRPr="506FB533">
              <w:rPr>
                <w:color w:val="000000" w:themeColor="text1"/>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946F23" w14:textId="77777777" w:rsidR="006B0381" w:rsidRPr="00137ACF" w:rsidRDefault="006B0381" w:rsidP="006375CD">
            <w:pPr>
              <w:spacing w:line="252" w:lineRule="auto"/>
              <w:jc w:val="center"/>
            </w:pPr>
            <w:r w:rsidRPr="41221C47">
              <w:rPr>
                <w:color w:val="000000" w:themeColor="text1"/>
              </w:rPr>
              <w:t>2286</w:t>
            </w:r>
          </w:p>
        </w:tc>
      </w:tr>
      <w:tr w:rsidR="006B0381" w14:paraId="165F0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74ADB5" w14:textId="77777777" w:rsidR="006B0381" w:rsidRDefault="006B0381" w:rsidP="006375CD">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438EB65" w14:textId="77777777" w:rsidR="006B0381" w:rsidRPr="00137ACF" w:rsidRDefault="006B0381" w:rsidP="006375CD">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6AB5816" w14:textId="77777777" w:rsidR="006B0381" w:rsidRPr="00137ACF" w:rsidRDefault="006B0381" w:rsidP="006375CD">
            <w:pPr>
              <w:spacing w:line="252" w:lineRule="auto"/>
              <w:jc w:val="center"/>
            </w:pPr>
            <w:r w:rsidRPr="41221C47">
              <w:rPr>
                <w:color w:val="000000" w:themeColor="text1"/>
              </w:rPr>
              <w:t>291</w:t>
            </w:r>
          </w:p>
        </w:tc>
      </w:tr>
      <w:tr w:rsidR="006B0381" w14:paraId="3D478C37"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C3CBAF" w14:textId="77777777" w:rsidR="006B0381" w:rsidRDefault="006B0381" w:rsidP="006375CD">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069DBEE" w14:textId="77777777" w:rsidR="006B0381" w:rsidRPr="00137ACF" w:rsidRDefault="006B0381" w:rsidP="006375CD">
            <w:pPr>
              <w:spacing w:line="252" w:lineRule="auto"/>
              <w:jc w:val="center"/>
              <w:rPr>
                <w:color w:val="000000"/>
              </w:rPr>
            </w:pPr>
            <w:r w:rsidRPr="506FB533">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270DC1" w14:textId="77777777" w:rsidR="006B0381" w:rsidRPr="00137ACF" w:rsidRDefault="006B0381" w:rsidP="006375CD">
            <w:pPr>
              <w:spacing w:line="252" w:lineRule="auto"/>
              <w:jc w:val="center"/>
            </w:pPr>
            <w:r w:rsidRPr="41221C47">
              <w:rPr>
                <w:color w:val="000000" w:themeColor="text1"/>
              </w:rPr>
              <w:t>2291</w:t>
            </w:r>
          </w:p>
        </w:tc>
      </w:tr>
      <w:tr w:rsidR="006B0381" w14:paraId="3981C80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CDAF16B" w14:textId="77777777" w:rsidR="006B0381" w:rsidRDefault="006B0381" w:rsidP="006375CD">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66C9519" w14:textId="77777777" w:rsidR="006B0381" w:rsidRPr="00137ACF" w:rsidRDefault="006B0381" w:rsidP="006375CD">
            <w:pPr>
              <w:spacing w:line="252" w:lineRule="auto"/>
              <w:jc w:val="center"/>
              <w:rPr>
                <w:color w:val="000000"/>
              </w:rPr>
            </w:pPr>
            <w:r w:rsidRPr="506FB533">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EA0CA68" w14:textId="77777777" w:rsidR="006B0381" w:rsidRPr="00137ACF" w:rsidRDefault="006B0381" w:rsidP="006375CD">
            <w:pPr>
              <w:spacing w:line="252" w:lineRule="auto"/>
              <w:jc w:val="center"/>
            </w:pPr>
            <w:r w:rsidRPr="41221C47">
              <w:rPr>
                <w:color w:val="000000" w:themeColor="text1"/>
              </w:rPr>
              <w:t>4221</w:t>
            </w:r>
          </w:p>
        </w:tc>
      </w:tr>
      <w:tr w:rsidR="006B0381" w14:paraId="699BBB46"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E3A2FD" w14:textId="77777777" w:rsidR="006B0381" w:rsidRDefault="006B0381" w:rsidP="006375CD">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1F093B6" w14:textId="77777777" w:rsidR="006B0381" w:rsidRPr="00137ACF" w:rsidRDefault="006B0381" w:rsidP="006375CD">
            <w:pPr>
              <w:spacing w:line="252" w:lineRule="auto"/>
              <w:jc w:val="center"/>
              <w:rPr>
                <w:color w:val="000000"/>
              </w:rPr>
            </w:pPr>
            <w:r w:rsidRPr="506FB533">
              <w:rPr>
                <w:color w:val="000000" w:themeColor="text1"/>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55F71C0" w14:textId="77777777" w:rsidR="006B0381" w:rsidRPr="00137ACF" w:rsidRDefault="006B0381" w:rsidP="006375CD">
            <w:pPr>
              <w:spacing w:line="252" w:lineRule="auto"/>
              <w:jc w:val="center"/>
            </w:pPr>
            <w:r w:rsidRPr="41221C47">
              <w:rPr>
                <w:color w:val="000000" w:themeColor="text1"/>
              </w:rPr>
              <w:t>6124</w:t>
            </w:r>
          </w:p>
        </w:tc>
      </w:tr>
      <w:tr w:rsidR="006B0381" w14:paraId="17AE2B81"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66C5542" w14:textId="77777777" w:rsidR="006B0381" w:rsidRDefault="006B0381" w:rsidP="006375CD">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50F7CDF" w14:textId="77777777" w:rsidR="006B0381" w:rsidRPr="00137ACF" w:rsidRDefault="006B0381" w:rsidP="006375CD">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E36642F" w14:textId="77777777" w:rsidR="006B0381" w:rsidRPr="00137ACF" w:rsidRDefault="006B0381" w:rsidP="006375CD">
            <w:pPr>
              <w:spacing w:line="252" w:lineRule="auto"/>
              <w:jc w:val="center"/>
            </w:pPr>
            <w:r w:rsidRPr="41221C47">
              <w:rPr>
                <w:color w:val="000000" w:themeColor="text1"/>
              </w:rPr>
              <w:t>6141</w:t>
            </w:r>
          </w:p>
        </w:tc>
      </w:tr>
      <w:tr w:rsidR="006B0381" w14:paraId="6E4054C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C7B1D5" w14:textId="77777777" w:rsidR="006B0381" w:rsidRDefault="006B0381" w:rsidP="006375CD">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FDF42B" w14:textId="77777777" w:rsidR="006B0381" w:rsidRPr="00137ACF" w:rsidRDefault="006B0381" w:rsidP="006375CD">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B8D13DF" w14:textId="77777777" w:rsidR="006B0381" w:rsidRPr="00137ACF" w:rsidRDefault="006B0381" w:rsidP="006375CD">
            <w:pPr>
              <w:spacing w:line="252" w:lineRule="auto"/>
              <w:jc w:val="center"/>
            </w:pPr>
            <w:r w:rsidRPr="41221C47">
              <w:rPr>
                <w:color w:val="000000" w:themeColor="text1"/>
              </w:rPr>
              <w:t>2699</w:t>
            </w:r>
          </w:p>
        </w:tc>
      </w:tr>
      <w:tr w:rsidR="006B0381" w14:paraId="613AE33D"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5009555" w14:textId="77777777" w:rsidR="006B0381" w:rsidRDefault="006B0381" w:rsidP="006375CD">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26DA548" w14:textId="77777777" w:rsidR="006B0381" w:rsidRPr="00137ACF" w:rsidRDefault="006B0381" w:rsidP="006375CD">
            <w:pPr>
              <w:spacing w:line="252" w:lineRule="auto"/>
              <w:jc w:val="center"/>
              <w:rPr>
                <w:color w:val="000000"/>
              </w:rPr>
            </w:pPr>
            <w:r w:rsidRPr="506FB533">
              <w:rPr>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6ABF54" w14:textId="77777777" w:rsidR="006B0381" w:rsidRPr="00137ACF" w:rsidRDefault="006B0381" w:rsidP="006375CD">
            <w:pPr>
              <w:spacing w:line="252" w:lineRule="auto"/>
              <w:jc w:val="center"/>
            </w:pPr>
            <w:r w:rsidRPr="41221C47">
              <w:rPr>
                <w:color w:val="000000" w:themeColor="text1"/>
              </w:rPr>
              <w:t>4018</w:t>
            </w:r>
          </w:p>
        </w:tc>
      </w:tr>
      <w:tr w:rsidR="006B0381" w14:paraId="4DC3236C"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2C8064" w14:textId="77777777" w:rsidR="006B0381" w:rsidRDefault="006B0381" w:rsidP="006375CD">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5463F03" w14:textId="77777777" w:rsidR="006B0381" w:rsidRPr="00137ACF" w:rsidRDefault="006B0381" w:rsidP="006375CD">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2EC4941" w14:textId="77777777" w:rsidR="006B0381" w:rsidRPr="00137ACF" w:rsidRDefault="006B0381" w:rsidP="006375CD">
            <w:pPr>
              <w:spacing w:line="252" w:lineRule="auto"/>
              <w:jc w:val="center"/>
            </w:pPr>
            <w:r w:rsidRPr="41221C47">
              <w:rPr>
                <w:color w:val="000000" w:themeColor="text1"/>
              </w:rPr>
              <w:t>4195</w:t>
            </w:r>
          </w:p>
        </w:tc>
      </w:tr>
      <w:tr w:rsidR="006B0381" w14:paraId="2DFF72CB"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32B3C9" w14:textId="77777777" w:rsidR="006B0381" w:rsidRDefault="006B0381" w:rsidP="006375CD">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27FFC8" w14:textId="77777777" w:rsidR="006B0381" w:rsidRPr="00137ACF" w:rsidRDefault="006B0381" w:rsidP="006375CD">
            <w:pPr>
              <w:spacing w:line="252" w:lineRule="auto"/>
              <w:jc w:val="center"/>
              <w:rPr>
                <w:color w:val="000000"/>
              </w:rPr>
            </w:pPr>
            <w:r w:rsidRPr="506FB533">
              <w:rPr>
                <w:color w:val="000000" w:themeColor="text1"/>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F8C8CB9" w14:textId="77777777" w:rsidR="006B0381" w:rsidRPr="00137ACF" w:rsidRDefault="006B0381" w:rsidP="006375CD">
            <w:pPr>
              <w:spacing w:line="252" w:lineRule="auto"/>
              <w:jc w:val="center"/>
            </w:pPr>
            <w:r w:rsidRPr="41221C47">
              <w:rPr>
                <w:color w:val="000000" w:themeColor="text1"/>
              </w:rPr>
              <w:t>2351</w:t>
            </w:r>
          </w:p>
        </w:tc>
      </w:tr>
      <w:tr w:rsidR="006B0381" w14:paraId="4675DBF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BE3AA91" w14:textId="77777777" w:rsidR="006B0381" w:rsidRDefault="006B0381" w:rsidP="006375CD">
            <w:pPr>
              <w:spacing w:line="252" w:lineRule="auto"/>
              <w:rPr>
                <w:b/>
                <w:bCs/>
                <w:color w:val="000000"/>
              </w:rPr>
            </w:pPr>
            <w:r>
              <w:rPr>
                <w:b/>
                <w:bCs/>
                <w:color w:val="000000"/>
              </w:rPr>
              <w:lastRenderedPageBreak/>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1347D5" w14:textId="77777777" w:rsidR="006B0381" w:rsidRPr="00137ACF" w:rsidRDefault="006B0381" w:rsidP="006375CD">
            <w:pPr>
              <w:spacing w:line="252" w:lineRule="auto"/>
              <w:jc w:val="center"/>
              <w:rPr>
                <w:color w:val="000000"/>
              </w:rPr>
            </w:pPr>
            <w:r w:rsidRPr="506FB533">
              <w:rPr>
                <w:color w:val="000000" w:themeColor="text1"/>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6B770FA" w14:textId="77777777" w:rsidR="006B0381" w:rsidRPr="00137ACF" w:rsidRDefault="006B0381" w:rsidP="006375CD">
            <w:pPr>
              <w:spacing w:line="252" w:lineRule="auto"/>
              <w:jc w:val="center"/>
            </w:pPr>
            <w:r w:rsidRPr="41221C47">
              <w:rPr>
                <w:color w:val="000000" w:themeColor="text1"/>
              </w:rPr>
              <w:t>12523</w:t>
            </w:r>
          </w:p>
        </w:tc>
      </w:tr>
      <w:tr w:rsidR="006B0381" w14:paraId="32B29D03"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83A470" w14:textId="77777777" w:rsidR="006B0381" w:rsidRDefault="006B0381" w:rsidP="006375CD">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482823" w14:textId="77777777" w:rsidR="006B0381" w:rsidRPr="00137ACF" w:rsidRDefault="006B0381" w:rsidP="006375CD">
            <w:pPr>
              <w:spacing w:line="252" w:lineRule="auto"/>
              <w:jc w:val="center"/>
              <w:rPr>
                <w:color w:val="000000"/>
              </w:rPr>
            </w:pPr>
            <w:r w:rsidRPr="506FB533">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E38C38C" w14:textId="77777777" w:rsidR="006B0381" w:rsidRPr="00137ACF" w:rsidRDefault="006B0381" w:rsidP="006375CD">
            <w:pPr>
              <w:spacing w:line="252" w:lineRule="auto"/>
              <w:jc w:val="center"/>
            </w:pPr>
            <w:r w:rsidRPr="41221C47">
              <w:rPr>
                <w:color w:val="000000" w:themeColor="text1"/>
              </w:rPr>
              <w:t>1664</w:t>
            </w:r>
          </w:p>
        </w:tc>
      </w:tr>
      <w:tr w:rsidR="006B0381" w14:paraId="6C029C82"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93E5D0D" w14:textId="77777777" w:rsidR="006B0381" w:rsidRDefault="006B0381" w:rsidP="006375CD">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8470D9" w14:textId="77777777" w:rsidR="006B0381" w:rsidRPr="00137ACF" w:rsidRDefault="006B0381" w:rsidP="006375CD">
            <w:pPr>
              <w:spacing w:line="252" w:lineRule="auto"/>
              <w:jc w:val="center"/>
            </w:pPr>
            <w:r w:rsidRPr="6E1DB3F1">
              <w:rPr>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EA065B" w14:textId="77777777" w:rsidR="006B0381" w:rsidRPr="00137ACF" w:rsidRDefault="006B0381" w:rsidP="006375CD">
            <w:pPr>
              <w:spacing w:line="252" w:lineRule="auto"/>
              <w:jc w:val="center"/>
            </w:pPr>
            <w:r w:rsidRPr="67AC6A88">
              <w:rPr>
                <w:color w:val="000000" w:themeColor="text1"/>
              </w:rPr>
              <w:t>5368</w:t>
            </w:r>
          </w:p>
        </w:tc>
      </w:tr>
      <w:tr w:rsidR="006B0381" w14:paraId="24EFAB68" w14:textId="77777777" w:rsidTr="006375CD">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B3B240F" w14:textId="77777777" w:rsidR="006B0381" w:rsidRDefault="006B0381" w:rsidP="006375CD">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6E31E9A" w14:textId="77777777" w:rsidR="006B0381" w:rsidRPr="0031635F" w:rsidRDefault="006B0381" w:rsidP="006375CD">
            <w:pPr>
              <w:spacing w:line="252" w:lineRule="auto"/>
              <w:jc w:val="center"/>
            </w:pPr>
            <w:r w:rsidRPr="3DEA7B85">
              <w:rPr>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219DAE7" w14:textId="77777777" w:rsidR="006B0381" w:rsidRPr="0031635F" w:rsidRDefault="006B0381" w:rsidP="006375CD">
            <w:pPr>
              <w:spacing w:line="252" w:lineRule="auto"/>
              <w:jc w:val="center"/>
            </w:pPr>
            <w:r w:rsidRPr="1A888B6D">
              <w:rPr>
                <w:b/>
                <w:bCs/>
                <w:color w:val="000000" w:themeColor="text1"/>
              </w:rPr>
              <w:t>61519</w:t>
            </w:r>
          </w:p>
        </w:tc>
      </w:tr>
    </w:tbl>
    <w:bookmarkEnd w:id="219"/>
    <w:p w14:paraId="0F7D5BA1" w14:textId="77777777" w:rsidR="00F4538E" w:rsidRPr="00130A6F" w:rsidRDefault="00F4538E" w:rsidP="00F4538E">
      <w:pPr>
        <w:jc w:val="center"/>
      </w:pPr>
      <w:r>
        <w:t>__________</w:t>
      </w:r>
    </w:p>
    <w:p w14:paraId="0E9ABDCE" w14:textId="77777777" w:rsidR="00F4538E" w:rsidRDefault="00F4538E" w:rsidP="003D5F16">
      <w:pPr>
        <w:rPr>
          <w:bCs/>
          <w:lang w:eastAsia="en-US"/>
        </w:rPr>
      </w:pPr>
    </w:p>
    <w:bookmarkEnd w:id="212"/>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0" w:name="_Toc117161212"/>
      <w:bookmarkStart w:id="221" w:name="_Toc120622862"/>
      <w:bookmarkStart w:id="222" w:name="_Toc156392444"/>
      <w:bookmarkEnd w:id="2"/>
      <w:bookmarkEnd w:id="3"/>
      <w:bookmarkEnd w:id="4"/>
      <w:r w:rsidRPr="00444359">
        <w:lastRenderedPageBreak/>
        <w:t>Appendix I – List of approved texts and texts undergoing approval</w:t>
      </w:r>
      <w:bookmarkEnd w:id="220"/>
      <w:bookmarkEnd w:id="221"/>
      <w:bookmarkEnd w:id="222"/>
    </w:p>
    <w:p w14:paraId="16E11869" w14:textId="54723388" w:rsidR="00D7403C" w:rsidRDefault="00356999" w:rsidP="00EB705F">
      <w:pPr>
        <w:pStyle w:val="Note"/>
      </w:pPr>
      <w:r w:rsidRPr="0002157C">
        <w:t xml:space="preserve">NOTE – </w:t>
      </w:r>
      <w:r w:rsidRPr="00B75601">
        <w:t>Corrigenda are not listed here.</w:t>
      </w:r>
    </w:p>
    <w:p w14:paraId="559A7FD6" w14:textId="77777777" w:rsidR="0031434C" w:rsidRDefault="0031434C" w:rsidP="00EB705F">
      <w:pPr>
        <w:pStyle w:val="Note"/>
      </w:pPr>
    </w:p>
    <w:p w14:paraId="74848656" w14:textId="1B2274E6" w:rsidR="00D7403C" w:rsidRDefault="00EB705F" w:rsidP="00D7403C">
      <w:pPr>
        <w:pStyle w:val="Note"/>
        <w:jc w:val="center"/>
        <w:rPr>
          <w:b/>
          <w:bCs/>
        </w:rPr>
      </w:pPr>
      <w:r w:rsidRPr="003465DC">
        <w:rPr>
          <w:b/>
          <w:bCs/>
        </w:rPr>
        <w:t>List of approved texts</w:t>
      </w:r>
      <w:r w:rsidR="00D7403C">
        <w:rPr>
          <w:b/>
          <w:bCs/>
        </w:rPr>
        <w:t>, as of 18 December 2023</w:t>
      </w:r>
    </w:p>
    <w:p w14:paraId="7A50E55E" w14:textId="77777777" w:rsidR="00D7403C" w:rsidRPr="00D7403C" w:rsidRDefault="00D7403C" w:rsidP="00D7403C">
      <w:pPr>
        <w:pStyle w:val="Note"/>
        <w:jc w:val="center"/>
        <w:rPr>
          <w:b/>
          <w:bCs/>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2087"/>
        <w:gridCol w:w="938"/>
        <w:gridCol w:w="1610"/>
        <w:gridCol w:w="3519"/>
        <w:gridCol w:w="863"/>
      </w:tblGrid>
      <w:tr w:rsidR="00EB705F" w14:paraId="0BA75D4A" w14:textId="77777777" w:rsidTr="00C9333D">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536B7B2"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F31C7F6"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3D0E6DB"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0354C22"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7B66F65"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Summary</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CDC54A0"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date</w:t>
            </w:r>
          </w:p>
        </w:tc>
      </w:tr>
      <w:tr w:rsidR="00EB705F" w14:paraId="4EAB731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287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FA570C" w14:textId="77777777" w:rsidR="00EB705F" w:rsidRDefault="00BB63EF" w:rsidP="00C9333D">
            <w:pPr>
              <w:jc w:val="center"/>
              <w:rPr>
                <w:rFonts w:ascii="Verdana" w:eastAsia="Times New Roman" w:hAnsi="Verdana"/>
                <w:color w:val="000066"/>
                <w:sz w:val="18"/>
                <w:szCs w:val="18"/>
              </w:rPr>
            </w:pPr>
            <w:hyperlink r:id="rId241" w:tooltip="See more details" w:history="1">
              <w:r w:rsidR="00EB705F">
                <w:rPr>
                  <w:rStyle w:val="Hyperlink"/>
                  <w:rFonts w:ascii="Verdana" w:eastAsia="Times New Roman" w:hAnsi="Verdana"/>
                  <w:sz w:val="18"/>
                  <w:szCs w:val="18"/>
                </w:rPr>
                <w:t>D.285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A29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533B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Guiding principles for charging and accounting for intelligent network supported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0570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outlines general considerations and guiding principles for charging and international accounting for traffic and facilities used to support services that utilize Intelligent Networking (IN)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B79A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4C2FF3B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A4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DF63C" w14:textId="77777777" w:rsidR="00EB705F" w:rsidRDefault="00BB63EF" w:rsidP="00C9333D">
            <w:pPr>
              <w:jc w:val="center"/>
              <w:rPr>
                <w:rFonts w:ascii="Verdana" w:eastAsia="Times New Roman" w:hAnsi="Verdana"/>
                <w:color w:val="000066"/>
                <w:sz w:val="18"/>
                <w:szCs w:val="18"/>
              </w:rPr>
            </w:pPr>
            <w:hyperlink r:id="rId242" w:tooltip="See more details" w:history="1">
              <w:r w:rsidR="00EB705F">
                <w:rPr>
                  <w:rStyle w:val="Hyperlink"/>
                  <w:rFonts w:ascii="Verdana" w:eastAsia="Times New Roman" w:hAnsi="Verdana"/>
                  <w:sz w:val="18"/>
                  <w:szCs w:val="18"/>
                </w:rPr>
                <w:t>DSTR-ROAMREG (ex STUDY_ROAMREG)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C5A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9FF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Regional Roaming Initiatives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DDE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50E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16D9E61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64F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184BC" w14:textId="77777777" w:rsidR="00EB705F" w:rsidRDefault="00BB63EF" w:rsidP="00C9333D">
            <w:pPr>
              <w:jc w:val="center"/>
              <w:rPr>
                <w:rFonts w:ascii="Verdana" w:eastAsia="Times New Roman" w:hAnsi="Verdana"/>
                <w:color w:val="000066"/>
                <w:sz w:val="18"/>
                <w:szCs w:val="18"/>
              </w:rPr>
            </w:pPr>
            <w:hyperlink r:id="rId243" w:tooltip="See more details" w:history="1">
              <w:r w:rsidR="00EB705F">
                <w:rPr>
                  <w:rStyle w:val="Hyperlink"/>
                  <w:rFonts w:ascii="Verdana" w:eastAsia="Times New Roman" w:hAnsi="Verdana"/>
                  <w:sz w:val="18"/>
                  <w:szCs w:val="18"/>
                </w:rPr>
                <w:t>K.Suppl.32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DD86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45C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Case studies of radio frequency-electromagnetic field (RF-EMF)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0A6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and also provides the case support on implementation of ITU-T K-Suppl.16 and IEC 62232.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27B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EB705F" w14:paraId="7F3AB84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D09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3E705C" w14:textId="77777777" w:rsidR="00EB705F" w:rsidRDefault="00BB63EF" w:rsidP="00C9333D">
            <w:pPr>
              <w:jc w:val="center"/>
              <w:rPr>
                <w:rFonts w:ascii="Verdana" w:eastAsia="Times New Roman" w:hAnsi="Verdana"/>
                <w:color w:val="000066"/>
                <w:sz w:val="18"/>
                <w:szCs w:val="18"/>
              </w:rPr>
            </w:pPr>
            <w:hyperlink r:id="rId244" w:tooltip="See more details" w:history="1">
              <w:r w:rsidR="00EB705F">
                <w:rPr>
                  <w:rStyle w:val="Hyperlink"/>
                  <w:rFonts w:ascii="Verdana" w:eastAsia="Times New Roman" w:hAnsi="Verdana"/>
                  <w:sz w:val="18"/>
                  <w:szCs w:val="18"/>
                </w:rPr>
                <w:t>L.Suppl.57 (ex L.Suppl.Scope3Operators)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95F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7EE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L.1420 - Scope 3 Guidance for telecommunication operators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E91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Scope 3 emissions from telecommunication operators are the indirect emissions of their value chain, including their supply chain and products used by customers. Estimating Scope 3 emissions is difficult since this refers to emission sources outside a company’s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in particular and Category 3 (which is closely linked to Scope 1 and 2), although all Categories are addressed.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3546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2023-06-23</w:t>
            </w:r>
          </w:p>
        </w:tc>
      </w:tr>
      <w:tr w:rsidR="00EB705F" w14:paraId="6681A08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BD78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602C8" w14:textId="77777777" w:rsidR="00EB705F" w:rsidRDefault="00BB63EF" w:rsidP="00C9333D">
            <w:pPr>
              <w:jc w:val="center"/>
              <w:rPr>
                <w:rFonts w:ascii="Verdana" w:eastAsia="Times New Roman" w:hAnsi="Verdana"/>
                <w:color w:val="000066"/>
                <w:sz w:val="18"/>
                <w:szCs w:val="18"/>
              </w:rPr>
            </w:pPr>
            <w:hyperlink r:id="rId245" w:tooltip="See more details" w:history="1">
              <w:r w:rsidR="00EB705F">
                <w:rPr>
                  <w:rStyle w:val="Hyperlink"/>
                  <w:rFonts w:ascii="Verdana" w:eastAsia="Times New Roman" w:hAnsi="Verdana"/>
                  <w:sz w:val="18"/>
                  <w:szCs w:val="18"/>
                </w:rPr>
                <w:t>K.147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579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FF6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Protection of digital ports connected to balanced pairs of 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DDA0D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K.147 considers overvoltages and overcurrents protection of information technology equipment including the IEEE 802.3 Ethernet. This Recommendation describes how surges are coupled into the system and what surge mitigation measures are used, taking into account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F2F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EB705F" w14:paraId="0D361A7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36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10A30" w14:textId="77777777" w:rsidR="00EB705F" w:rsidRDefault="00BB63EF" w:rsidP="00C9333D">
            <w:pPr>
              <w:jc w:val="center"/>
              <w:rPr>
                <w:rFonts w:ascii="Verdana" w:eastAsia="Times New Roman" w:hAnsi="Verdana"/>
                <w:color w:val="000066"/>
                <w:sz w:val="18"/>
                <w:szCs w:val="18"/>
              </w:rPr>
            </w:pPr>
            <w:hyperlink r:id="rId246" w:tooltip="See more details" w:history="1">
              <w:r w:rsidR="00EB705F">
                <w:rPr>
                  <w:rStyle w:val="Hyperlink"/>
                  <w:rFonts w:ascii="Verdana" w:eastAsia="Times New Roman" w:hAnsi="Verdana"/>
                  <w:sz w:val="18"/>
                  <w:szCs w:val="18"/>
                </w:rPr>
                <w:t>K.143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F0B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EC4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on safety relating to the use of surge protective devices and surge protective components in telecommunication terminal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9A747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 is necessary to clarify the electrical requirements for SPDs/SPCs in order to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2A5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6BC9480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301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B5EA8" w14:textId="77777777" w:rsidR="00EB705F" w:rsidRDefault="00BB63EF" w:rsidP="00C9333D">
            <w:pPr>
              <w:jc w:val="center"/>
              <w:rPr>
                <w:rFonts w:ascii="Verdana" w:eastAsia="Times New Roman" w:hAnsi="Verdana"/>
                <w:color w:val="000066"/>
                <w:sz w:val="18"/>
                <w:szCs w:val="18"/>
              </w:rPr>
            </w:pPr>
            <w:hyperlink r:id="rId247" w:tooltip="See more details" w:history="1">
              <w:r w:rsidR="00EB705F">
                <w:rPr>
                  <w:rStyle w:val="Hyperlink"/>
                  <w:rFonts w:ascii="Verdana" w:eastAsia="Times New Roman" w:hAnsi="Verdana"/>
                  <w:sz w:val="18"/>
                  <w:szCs w:val="18"/>
                </w:rPr>
                <w:t>K.60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B29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0B3E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Emission levels and test methods for wireline telecommunication networks to minimize electromagnetic disturbance of radio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890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broadband services have fundamentally changed the utilization of the telecommunication network. First, the transmission is present on the network at all times (i.e., 'always-on').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has to be forwarded to the national responsible body.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414A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6E3E332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DB7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E692C3" w14:textId="77777777" w:rsidR="00EB705F" w:rsidRDefault="00BB63EF" w:rsidP="00C9333D">
            <w:pPr>
              <w:jc w:val="center"/>
              <w:rPr>
                <w:rFonts w:ascii="Verdana" w:eastAsia="Times New Roman" w:hAnsi="Verdana"/>
                <w:color w:val="000066"/>
                <w:sz w:val="18"/>
                <w:szCs w:val="18"/>
              </w:rPr>
            </w:pPr>
            <w:hyperlink r:id="rId248" w:tooltip="See more details" w:history="1">
              <w:r w:rsidR="00EB705F">
                <w:rPr>
                  <w:rStyle w:val="Hyperlink"/>
                  <w:rFonts w:ascii="Verdana" w:eastAsia="Times New Roman" w:hAnsi="Verdana"/>
                  <w:sz w:val="18"/>
                  <w:szCs w:val="18"/>
                </w:rPr>
                <w:t>K.93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900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6E2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Immunity of home network devices to electromagnetic disturbances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EF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introduction of high-speed data services to customer premises that rapidly adopt new technologies allows the distribution of such data within customer premises. This is leading to a number of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95D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2023-07-29</w:t>
            </w:r>
          </w:p>
        </w:tc>
      </w:tr>
      <w:tr w:rsidR="00EB705F" w14:paraId="5B92FF8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DB6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83A77" w14:textId="77777777" w:rsidR="00EB705F" w:rsidRDefault="00BB63EF" w:rsidP="00C9333D">
            <w:pPr>
              <w:jc w:val="center"/>
              <w:rPr>
                <w:rFonts w:ascii="Verdana" w:eastAsia="Times New Roman" w:hAnsi="Verdana"/>
                <w:color w:val="000066"/>
                <w:sz w:val="18"/>
                <w:szCs w:val="18"/>
              </w:rPr>
            </w:pPr>
            <w:hyperlink r:id="rId249" w:tooltip="See more details" w:history="1">
              <w:r w:rsidR="00EB705F">
                <w:rPr>
                  <w:rStyle w:val="Hyperlink"/>
                  <w:rFonts w:ascii="Verdana" w:eastAsia="Times New Roman" w:hAnsi="Verdana"/>
                  <w:sz w:val="18"/>
                  <w:szCs w:val="18"/>
                </w:rPr>
                <w:t>L.1023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7BDD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0B06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Assessment method for circular scoring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FA4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E98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2129885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61AD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13C5E" w14:textId="77777777" w:rsidR="00EB705F" w:rsidRDefault="00BB63EF" w:rsidP="00C9333D">
            <w:pPr>
              <w:jc w:val="center"/>
              <w:rPr>
                <w:rFonts w:ascii="Verdana" w:eastAsia="Times New Roman" w:hAnsi="Verdana"/>
                <w:color w:val="000066"/>
                <w:sz w:val="18"/>
                <w:szCs w:val="18"/>
              </w:rPr>
            </w:pPr>
            <w:hyperlink r:id="rId250" w:tooltip="See more details" w:history="1">
              <w:r w:rsidR="00EB705F">
                <w:rPr>
                  <w:rStyle w:val="Hyperlink"/>
                  <w:rFonts w:ascii="Verdana" w:eastAsia="Times New Roman" w:hAnsi="Verdana"/>
                  <w:sz w:val="18"/>
                  <w:szCs w:val="18"/>
                </w:rPr>
                <w:t>L.1027 (ex L.ME_DIS)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586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9C77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Assessment of material efficiency of ICT network infrastructure goods (circular economy) part 5- server and data storage product disassembly and disassembly 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4F2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utilises information compiled from stakeholders which can provide good insights into the specified content.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259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507F641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F23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E050D" w14:textId="77777777" w:rsidR="00EB705F" w:rsidRDefault="00BB63EF" w:rsidP="00C9333D">
            <w:pPr>
              <w:jc w:val="center"/>
              <w:rPr>
                <w:rFonts w:ascii="Verdana" w:eastAsia="Times New Roman" w:hAnsi="Verdana"/>
                <w:color w:val="000066"/>
                <w:sz w:val="18"/>
                <w:szCs w:val="18"/>
              </w:rPr>
            </w:pPr>
            <w:hyperlink r:id="rId251" w:tooltip="See more details" w:history="1">
              <w:r w:rsidR="00EB705F">
                <w:rPr>
                  <w:rStyle w:val="Hyperlink"/>
                  <w:rFonts w:ascii="Verdana" w:eastAsia="Times New Roman" w:hAnsi="Verdana"/>
                  <w:sz w:val="18"/>
                  <w:szCs w:val="18"/>
                </w:rPr>
                <w:t>L.1326 (ex L.BBU)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4AD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2BF3B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use cases of liquid cooling solutions and high energy efficiency solutions for 5G BBU in Centralized-RAN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30D9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Liquid cooling systems are mainly used for processing capability of the high thermal power density, which exceeds the physical limits of air cooling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air cooling telecommunication rooms and data centres.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2EA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7FEFEEF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0B8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25CBE6" w14:textId="77777777" w:rsidR="00EB705F" w:rsidRDefault="00BB63EF" w:rsidP="00C9333D">
            <w:pPr>
              <w:jc w:val="center"/>
              <w:rPr>
                <w:rFonts w:ascii="Verdana" w:eastAsia="Times New Roman" w:hAnsi="Verdana"/>
                <w:color w:val="000066"/>
                <w:sz w:val="18"/>
                <w:szCs w:val="18"/>
              </w:rPr>
            </w:pPr>
            <w:hyperlink r:id="rId252" w:tooltip="See more details" w:history="1">
              <w:r w:rsidR="00EB705F">
                <w:rPr>
                  <w:rStyle w:val="Hyperlink"/>
                  <w:rFonts w:ascii="Verdana" w:eastAsia="Times New Roman" w:hAnsi="Verdana"/>
                  <w:sz w:val="18"/>
                  <w:szCs w:val="18"/>
                </w:rPr>
                <w:t>L.1471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C10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4C3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and criteria for information and communication technology organizations on setting Net Zero targets and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64C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D9F7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2023-08-13</w:t>
            </w:r>
          </w:p>
        </w:tc>
      </w:tr>
      <w:tr w:rsidR="00EB705F" w14:paraId="4C54143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FCF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E03A0" w14:textId="77777777" w:rsidR="00EB705F" w:rsidRDefault="00BB63EF" w:rsidP="00C9333D">
            <w:pPr>
              <w:jc w:val="center"/>
              <w:rPr>
                <w:rFonts w:ascii="Verdana" w:eastAsia="Times New Roman" w:hAnsi="Verdana"/>
                <w:color w:val="000066"/>
                <w:sz w:val="18"/>
                <w:szCs w:val="18"/>
              </w:rPr>
            </w:pPr>
            <w:hyperlink r:id="rId253" w:tooltip="See more details" w:history="1">
              <w:r w:rsidR="00EB705F">
                <w:rPr>
                  <w:rStyle w:val="Hyperlink"/>
                  <w:rFonts w:ascii="Verdana" w:eastAsia="Times New Roman" w:hAnsi="Verdana"/>
                  <w:sz w:val="18"/>
                  <w:szCs w:val="18"/>
                </w:rPr>
                <w:t>K.153 (ex K.Zones)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9DCF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727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on Determining the Compliance Boundaries (the exclusion zones) of radio transmitter installations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4C2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Exclusion zones are described by the compliance boundaries around radio base station and transmitting stations in which the electromagnetic fields may exceed the RF-EMF exposure limits. The general public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general public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692F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EB705F" w14:paraId="0F6E37F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76F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91B15F" w14:textId="77777777" w:rsidR="00EB705F" w:rsidRPr="004E4C9C" w:rsidRDefault="00BB63EF" w:rsidP="00C9333D">
            <w:pPr>
              <w:jc w:val="center"/>
              <w:rPr>
                <w:rFonts w:ascii="Verdana" w:eastAsia="Times New Roman" w:hAnsi="Verdana"/>
                <w:color w:val="000066"/>
                <w:sz w:val="18"/>
                <w:szCs w:val="18"/>
                <w:lang w:val="pt-BR"/>
              </w:rPr>
            </w:pPr>
            <w:hyperlink r:id="rId254" w:tooltip="See more details" w:history="1">
              <w:r w:rsidR="00EB705F" w:rsidRPr="004E4C9C">
                <w:rPr>
                  <w:rStyle w:val="Hyperlink"/>
                  <w:rFonts w:ascii="Verdana" w:eastAsia="Times New Roman" w:hAnsi="Verdana"/>
                  <w:sz w:val="18"/>
                  <w:szCs w:val="18"/>
                  <w:lang w:val="pt-BR"/>
                </w:rPr>
                <w:t>L.1241 (ex L.PSU_for server)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E6C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93B6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Methodologies for evaluating the functionality and performance of power supply unit configured for servers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C7FBD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comprehensive evaluation methods of power supply unit configured for servers to evaluate the electrical performances, functionalities and safety aspect.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5D3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4554268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658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FCDD2" w14:textId="77777777" w:rsidR="00EB705F" w:rsidRDefault="00BB63EF" w:rsidP="00C9333D">
            <w:pPr>
              <w:jc w:val="center"/>
              <w:rPr>
                <w:rFonts w:ascii="Verdana" w:eastAsia="Times New Roman" w:hAnsi="Verdana"/>
                <w:color w:val="000066"/>
                <w:sz w:val="18"/>
                <w:szCs w:val="18"/>
              </w:rPr>
            </w:pPr>
            <w:hyperlink r:id="rId255" w:tooltip="See more details" w:history="1">
              <w:r w:rsidR="00EB705F">
                <w:rPr>
                  <w:rStyle w:val="Hyperlink"/>
                  <w:rFonts w:ascii="Verdana" w:eastAsia="Times New Roman" w:hAnsi="Verdana"/>
                  <w:sz w:val="18"/>
                  <w:szCs w:val="18"/>
                </w:rPr>
                <w:t>L.1631 (ex L.FIMS)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7DE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9A0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model of firefighting infrastructure management system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FCA6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L.1631 provides an overview of a firefighting infrastructure management system (FIMS), defines the reference model of the FIMS, and provides use cases for the FIMS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97A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9EE249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68F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CE5996" w14:textId="77777777" w:rsidR="00EB705F" w:rsidRDefault="00BB63EF" w:rsidP="00C9333D">
            <w:pPr>
              <w:jc w:val="center"/>
              <w:rPr>
                <w:rFonts w:ascii="Verdana" w:eastAsia="Times New Roman" w:hAnsi="Verdana"/>
                <w:color w:val="000066"/>
                <w:sz w:val="18"/>
                <w:szCs w:val="18"/>
              </w:rPr>
            </w:pPr>
            <w:hyperlink r:id="rId256" w:tooltip="See more details" w:history="1">
              <w:r w:rsidR="00EB705F">
                <w:rPr>
                  <w:rStyle w:val="Hyperlink"/>
                  <w:rFonts w:ascii="Verdana" w:eastAsia="Times New Roman" w:hAnsi="Verdana"/>
                  <w:sz w:val="18"/>
                  <w:szCs w:val="18"/>
                </w:rPr>
                <w:t>L.1070 (ex L.GDSPP)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F93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9D8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Global digital sustainable product passport opportunities to achieve a circular economy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4F4E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358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2023-11-06</w:t>
            </w:r>
          </w:p>
        </w:tc>
      </w:tr>
      <w:tr w:rsidR="00EB705F" w14:paraId="638BF2E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FD65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9F560" w14:textId="77777777" w:rsidR="00EB705F" w:rsidRDefault="00BB63EF" w:rsidP="00C9333D">
            <w:pPr>
              <w:jc w:val="center"/>
              <w:rPr>
                <w:rFonts w:ascii="Verdana" w:eastAsia="Times New Roman" w:hAnsi="Verdana"/>
                <w:color w:val="000066"/>
                <w:sz w:val="18"/>
                <w:szCs w:val="18"/>
              </w:rPr>
            </w:pPr>
            <w:hyperlink r:id="rId257" w:tooltip="See more details" w:history="1">
              <w:r w:rsidR="00EB705F">
                <w:rPr>
                  <w:rStyle w:val="Hyperlink"/>
                  <w:rFonts w:ascii="Verdana" w:eastAsia="Times New Roman" w:hAnsi="Verdana"/>
                  <w:sz w:val="18"/>
                  <w:szCs w:val="18"/>
                </w:rPr>
                <w:t>K.44Imp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71C6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840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 on the use of the overvoltage resistibility for Recommendations ITU-T K.20, K.21 and K.45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670B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ports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5FDF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236A85F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22E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DD164" w14:textId="77777777" w:rsidR="00EB705F" w:rsidRPr="00144814" w:rsidRDefault="00BB63EF" w:rsidP="00C9333D">
            <w:pPr>
              <w:jc w:val="center"/>
              <w:rPr>
                <w:rFonts w:ascii="Verdana" w:eastAsia="Times New Roman" w:hAnsi="Verdana"/>
                <w:color w:val="000066"/>
                <w:sz w:val="18"/>
                <w:szCs w:val="18"/>
                <w:lang w:val="fr-FR"/>
              </w:rPr>
            </w:pPr>
            <w:hyperlink r:id="rId258" w:tooltip="See more details" w:history="1">
              <w:r w:rsidR="00EB705F" w:rsidRPr="00144814">
                <w:rPr>
                  <w:rStyle w:val="Hyperlink"/>
                  <w:rFonts w:ascii="Verdana" w:eastAsia="Times New Roman" w:hAnsi="Verdana"/>
                  <w:sz w:val="18"/>
                  <w:szCs w:val="18"/>
                  <w:lang w:val="fr-FR"/>
                </w:rPr>
                <w:t>L.Suppl.59 to ITU-T L.1700 (ex L.suppl.1700)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697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F84E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Low-cost sustainable telecommunication solution in rural and remote areas using WLAN/Wi?Fi for conventional telecom services like voice calling using SIP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ADD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8DE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3161EAB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24A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76F38" w14:textId="77777777" w:rsidR="00EB705F" w:rsidRPr="00144814" w:rsidRDefault="00BB63EF" w:rsidP="00C9333D">
            <w:pPr>
              <w:jc w:val="center"/>
              <w:rPr>
                <w:rFonts w:ascii="Verdana" w:eastAsia="Times New Roman" w:hAnsi="Verdana"/>
                <w:color w:val="000066"/>
                <w:sz w:val="18"/>
                <w:szCs w:val="18"/>
                <w:lang w:val="fr-FR"/>
              </w:rPr>
            </w:pPr>
            <w:hyperlink r:id="rId259" w:tooltip="See more details" w:history="1">
              <w:r w:rsidR="00EB705F" w:rsidRPr="00144814">
                <w:rPr>
                  <w:rStyle w:val="Hyperlink"/>
                  <w:rFonts w:ascii="Verdana" w:eastAsia="Times New Roman" w:hAnsi="Verdana"/>
                  <w:sz w:val="18"/>
                  <w:szCs w:val="18"/>
                  <w:lang w:val="fr-FR"/>
                </w:rPr>
                <w:t>J.1036 (ex J.FSR-REQ)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27C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4AAC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8BB8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Most countries have implemented Digital Addressable Systems (DAS) for distribution platforms such as Cable TV, Direct to Home (DTH), Internet Protocol Television (IPTV), and Headend In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requirements, service requirements, and more. Compliance to these requirements in CAS performance will address the concerns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9E925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135B6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75CB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B1BB3" w14:textId="77777777" w:rsidR="00EB705F" w:rsidRPr="00144814" w:rsidRDefault="00BB63EF" w:rsidP="00C9333D">
            <w:pPr>
              <w:jc w:val="center"/>
              <w:rPr>
                <w:rFonts w:ascii="Verdana" w:eastAsia="Times New Roman" w:hAnsi="Verdana"/>
                <w:color w:val="000066"/>
                <w:sz w:val="18"/>
                <w:szCs w:val="18"/>
                <w:lang w:val="fr-FR"/>
              </w:rPr>
            </w:pPr>
            <w:hyperlink r:id="rId260" w:tooltip="See more details" w:history="1">
              <w:r w:rsidR="00EB705F" w:rsidRPr="00144814">
                <w:rPr>
                  <w:rStyle w:val="Hyperlink"/>
                  <w:rFonts w:ascii="Verdana" w:eastAsia="Times New Roman" w:hAnsi="Verdana"/>
                  <w:sz w:val="18"/>
                  <w:szCs w:val="18"/>
                  <w:lang w:val="fr-FR"/>
                </w:rPr>
                <w:t>J.1112 (ex J.FSPEC-DVCS)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246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E22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Functional Requirements </w:t>
            </w:r>
            <w:r>
              <w:rPr>
                <w:rFonts w:ascii="Verdana" w:eastAsia="Times New Roman" w:hAnsi="Verdana"/>
                <w:color w:val="000066"/>
                <w:sz w:val="18"/>
                <w:szCs w:val="18"/>
              </w:rPr>
              <w:lastRenderedPageBreak/>
              <w:t>for IP-based Digital Video Convergence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FB6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As digital broadcasting services have been rapidly deployed, many service </w:t>
            </w:r>
            <w:r>
              <w:rPr>
                <w:rFonts w:ascii="Verdana" w:eastAsia="Times New Roman" w:hAnsi="Verdana"/>
                <w:color w:val="000066"/>
                <w:sz w:val="18"/>
                <w:szCs w:val="18"/>
              </w:rPr>
              <w:lastRenderedPageBreak/>
              <w:t>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0255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2023-07-14</w:t>
            </w:r>
          </w:p>
        </w:tc>
      </w:tr>
      <w:tr w:rsidR="00EB705F" w14:paraId="3518C2A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402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389207" w14:textId="77777777" w:rsidR="00EB705F" w:rsidRPr="00144814" w:rsidRDefault="00BB63EF" w:rsidP="00C9333D">
            <w:pPr>
              <w:jc w:val="center"/>
              <w:rPr>
                <w:rFonts w:ascii="Verdana" w:eastAsia="Times New Roman" w:hAnsi="Verdana"/>
                <w:color w:val="000066"/>
                <w:sz w:val="18"/>
                <w:szCs w:val="18"/>
                <w:lang w:val="fr-FR"/>
              </w:rPr>
            </w:pPr>
            <w:hyperlink r:id="rId261" w:tooltip="See more details" w:history="1">
              <w:r w:rsidR="00EB705F" w:rsidRPr="00144814">
                <w:rPr>
                  <w:rStyle w:val="Hyperlink"/>
                  <w:rFonts w:ascii="Verdana" w:eastAsia="Times New Roman" w:hAnsi="Verdana"/>
                  <w:sz w:val="18"/>
                  <w:szCs w:val="18"/>
                  <w:lang w:val="fr-FR"/>
                </w:rPr>
                <w:t>J.1305 (ex J.mma-req)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46D9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F78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322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the architecture and related components of audio-visual media based on microservice technologies.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830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242CDB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FCC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43353" w14:textId="77777777" w:rsidR="00EB705F" w:rsidRPr="00144814" w:rsidRDefault="00BB63EF" w:rsidP="00C9333D">
            <w:pPr>
              <w:jc w:val="center"/>
              <w:rPr>
                <w:rFonts w:ascii="Verdana" w:eastAsia="Times New Roman" w:hAnsi="Verdana"/>
                <w:color w:val="000066"/>
                <w:sz w:val="18"/>
                <w:szCs w:val="18"/>
                <w:lang w:val="fr-FR"/>
              </w:rPr>
            </w:pPr>
            <w:hyperlink r:id="rId262" w:tooltip="See more details" w:history="1">
              <w:proofErr w:type="spellStart"/>
              <w:r w:rsidR="00EB705F" w:rsidRPr="00144814">
                <w:rPr>
                  <w:rStyle w:val="Hyperlink"/>
                  <w:rFonts w:ascii="Verdana" w:eastAsia="Times New Roman" w:hAnsi="Verdana"/>
                  <w:sz w:val="18"/>
                  <w:szCs w:val="18"/>
                  <w:lang w:val="fr-FR"/>
                </w:rPr>
                <w:t>J.1306</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J.mma-spec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81D1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270E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Specification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2796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specification for the architecture and related components of audio-visual media based on microservice technologies. This Recommendation fulfills the requirements in [ITU-T J.1305].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942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54E4C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B0F7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DB228" w14:textId="77777777" w:rsidR="00EB705F" w:rsidRPr="00144814" w:rsidRDefault="00BB63EF" w:rsidP="00C9333D">
            <w:pPr>
              <w:jc w:val="center"/>
              <w:rPr>
                <w:rFonts w:ascii="Verdana" w:eastAsia="Times New Roman" w:hAnsi="Verdana"/>
                <w:color w:val="000066"/>
                <w:sz w:val="18"/>
                <w:szCs w:val="18"/>
                <w:lang w:val="fr-FR"/>
              </w:rPr>
            </w:pPr>
            <w:hyperlink r:id="rId263" w:tooltip="See more details" w:history="1">
              <w:r w:rsidR="00EB705F" w:rsidRPr="00144814">
                <w:rPr>
                  <w:rStyle w:val="Hyperlink"/>
                  <w:rFonts w:ascii="Verdana" w:eastAsia="Times New Roman" w:hAnsi="Verdana"/>
                  <w:sz w:val="18"/>
                  <w:szCs w:val="18"/>
                  <w:lang w:val="fr-FR"/>
                </w:rPr>
                <w:t>J.152 (ex J.cable-5G-req)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885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702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cable television services to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16BE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IMT-2020 radio system, a.k.a. 5G, is expected to replace the wiring inside apartment buildings in cities, or to extend cable television systems in rural areas. However, to use the available bandwidth of 5G radio, cable television signals have to meet certain requirements to carry cable television service signals over 5G radio system. This Recommendation defines the requirements for cable television systems that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427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6AB49F6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365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A77A03" w14:textId="77777777" w:rsidR="00EB705F" w:rsidRDefault="00BB63EF" w:rsidP="00C9333D">
            <w:pPr>
              <w:jc w:val="center"/>
              <w:rPr>
                <w:rFonts w:ascii="Verdana" w:eastAsia="Times New Roman" w:hAnsi="Verdana"/>
                <w:color w:val="000066"/>
                <w:sz w:val="18"/>
                <w:szCs w:val="18"/>
              </w:rPr>
            </w:pPr>
            <w:hyperlink r:id="rId264" w:tooltip="See more details" w:history="1">
              <w:r w:rsidR="00EB705F">
                <w:rPr>
                  <w:rStyle w:val="Hyperlink"/>
                  <w:rFonts w:ascii="Verdana" w:eastAsia="Times New Roman" w:hAnsi="Verdana"/>
                  <w:sz w:val="18"/>
                  <w:szCs w:val="18"/>
                </w:rPr>
                <w:t>J.1612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008E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799DA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Architecture for Smart Home Gateway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A2F10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58B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32E2BD3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434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660C96" w14:textId="77777777" w:rsidR="00EB705F" w:rsidRDefault="00BB63EF" w:rsidP="00C9333D">
            <w:pPr>
              <w:jc w:val="center"/>
              <w:rPr>
                <w:rFonts w:ascii="Verdana" w:eastAsia="Times New Roman" w:hAnsi="Verdana"/>
                <w:color w:val="000066"/>
                <w:sz w:val="18"/>
                <w:szCs w:val="18"/>
              </w:rPr>
            </w:pPr>
            <w:hyperlink r:id="rId265" w:tooltip="See more details" w:history="1">
              <w:r w:rsidR="00EB705F">
                <w:rPr>
                  <w:rStyle w:val="Hyperlink"/>
                  <w:rFonts w:ascii="Verdana" w:eastAsia="Times New Roman" w:hAnsi="Verdana"/>
                  <w:sz w:val="18"/>
                  <w:szCs w:val="18"/>
                </w:rPr>
                <w:t>J.224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DC8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A553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Fifth-generation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A4FD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J.224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DC0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4892F9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0CCC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CCF2D" w14:textId="77777777" w:rsidR="00EB705F" w:rsidRDefault="00BB63EF" w:rsidP="00C9333D">
            <w:pPr>
              <w:jc w:val="center"/>
              <w:rPr>
                <w:rFonts w:ascii="Verdana" w:eastAsia="Times New Roman" w:hAnsi="Verdana"/>
                <w:color w:val="000066"/>
                <w:sz w:val="18"/>
                <w:szCs w:val="18"/>
              </w:rPr>
            </w:pPr>
            <w:hyperlink r:id="rId266" w:tooltip="See more details" w:history="1">
              <w:r w:rsidR="00EB705F">
                <w:rPr>
                  <w:rStyle w:val="Hyperlink"/>
                  <w:rFonts w:ascii="Verdana" w:eastAsia="Times New Roman" w:hAnsi="Verdana"/>
                  <w:sz w:val="18"/>
                  <w:szCs w:val="18"/>
                </w:rPr>
                <w:t>J.225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4C5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87AB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Fourth-generation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3276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J.225 defines the fourth generation of high-speed data-over-cable systems. The fourth-generation transmission systems introduce a number of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B55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14FF8A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3124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16C55" w14:textId="77777777" w:rsidR="00EB705F" w:rsidRDefault="00BB63EF" w:rsidP="00C9333D">
            <w:pPr>
              <w:jc w:val="center"/>
              <w:rPr>
                <w:rFonts w:ascii="Verdana" w:eastAsia="Times New Roman" w:hAnsi="Verdana"/>
                <w:color w:val="000066"/>
                <w:sz w:val="18"/>
                <w:szCs w:val="18"/>
              </w:rPr>
            </w:pPr>
            <w:hyperlink r:id="rId267" w:tooltip="See more details" w:history="1">
              <w:r w:rsidR="00EB705F">
                <w:rPr>
                  <w:rStyle w:val="Hyperlink"/>
                  <w:rFonts w:ascii="Verdana" w:eastAsia="Times New Roman" w:hAnsi="Verdana"/>
                  <w:sz w:val="18"/>
                  <w:szCs w:val="18"/>
                </w:rPr>
                <w:t>J.299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5F5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012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requirements for remote management of cable set-top box by auto configuration server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025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B47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319F899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DF0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E9CBEA" w14:textId="77777777" w:rsidR="00EB705F" w:rsidRPr="00144814" w:rsidRDefault="00BB63EF" w:rsidP="00C9333D">
            <w:pPr>
              <w:jc w:val="center"/>
              <w:rPr>
                <w:rFonts w:ascii="Verdana" w:eastAsia="Times New Roman" w:hAnsi="Verdana"/>
                <w:color w:val="000066"/>
                <w:sz w:val="18"/>
                <w:szCs w:val="18"/>
                <w:lang w:val="fr-FR"/>
              </w:rPr>
            </w:pPr>
            <w:hyperlink r:id="rId268" w:tooltip="See more details" w:history="1">
              <w:proofErr w:type="spellStart"/>
              <w:r w:rsidR="00EB705F" w:rsidRPr="00144814">
                <w:rPr>
                  <w:rStyle w:val="Hyperlink"/>
                  <w:rFonts w:ascii="Verdana" w:eastAsia="Times New Roman" w:hAnsi="Verdana"/>
                  <w:sz w:val="18"/>
                  <w:szCs w:val="18"/>
                  <w:lang w:val="fr-FR"/>
                </w:rPr>
                <w:t>J.484</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J.cable</w:t>
              </w:r>
              <w:proofErr w:type="gramEnd"/>
              <w:r w:rsidR="00EB705F" w:rsidRPr="00144814">
                <w:rPr>
                  <w:rStyle w:val="Hyperlink"/>
                  <w:rFonts w:ascii="Verdana" w:eastAsia="Times New Roman" w:hAnsi="Verdana"/>
                  <w:sz w:val="18"/>
                  <w:szCs w:val="18"/>
                  <w:lang w:val="fr-FR"/>
                </w:rPr>
                <w:t>-mabr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40CB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9C0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multicast adaptive bitrate (M-ABR) IP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8C77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9BA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2023-11-15</w:t>
            </w:r>
          </w:p>
        </w:tc>
      </w:tr>
      <w:tr w:rsidR="00EB705F" w14:paraId="4BFF7A3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E0D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9B736" w14:textId="77777777" w:rsidR="00EB705F" w:rsidRDefault="00BB63EF" w:rsidP="00C9333D">
            <w:pPr>
              <w:jc w:val="center"/>
              <w:rPr>
                <w:rFonts w:ascii="Verdana" w:eastAsia="Times New Roman" w:hAnsi="Verdana"/>
                <w:color w:val="000066"/>
                <w:sz w:val="18"/>
                <w:szCs w:val="18"/>
              </w:rPr>
            </w:pPr>
            <w:hyperlink r:id="rId269" w:tooltip="See more details" w:history="1">
              <w:r w:rsidR="00EB705F">
                <w:rPr>
                  <w:rStyle w:val="Hyperlink"/>
                  <w:rFonts w:ascii="Verdana" w:eastAsia="Times New Roman" w:hAnsi="Verdana"/>
                  <w:sz w:val="18"/>
                  <w:szCs w:val="18"/>
                </w:rPr>
                <w:t>J.Sup 13 (ex J.FSR-TEST)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9652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D83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Factual subscriber-base reporting and protected content delivery in Conditional Access System – Test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8500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(i.e.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'underreporting of subscribers' and 'content piracy', leading to revenue loss to broadcasters, content providers and the governments’, can easily be ascertained.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F21A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7DDCD82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008F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CAD43" w14:textId="77777777" w:rsidR="00EB705F" w:rsidRPr="00144814" w:rsidRDefault="00BB63EF" w:rsidP="00C9333D">
            <w:pPr>
              <w:jc w:val="center"/>
              <w:rPr>
                <w:rFonts w:ascii="Verdana" w:eastAsia="Times New Roman" w:hAnsi="Verdana"/>
                <w:color w:val="000066"/>
                <w:sz w:val="18"/>
                <w:szCs w:val="18"/>
                <w:lang w:val="fr-FR"/>
              </w:rPr>
            </w:pPr>
            <w:hyperlink r:id="rId270" w:tooltip="See more details" w:history="1">
              <w:r w:rsidR="00EB705F" w:rsidRPr="00144814">
                <w:rPr>
                  <w:rStyle w:val="Hyperlink"/>
                  <w:rFonts w:ascii="Verdana" w:eastAsia="Times New Roman" w:hAnsi="Verdana"/>
                  <w:sz w:val="18"/>
                  <w:szCs w:val="18"/>
                  <w:lang w:val="fr-FR"/>
                </w:rPr>
                <w:t>J.Sup.12 (ex J.Sup-HiNoC)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FCD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6083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Comparison between third-generation HiNoC and second-generation HiNoC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A990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indicated the main differences between the third-generation HiNoC (HiNoC 3.0) and the second-generation HiNoC (HiNoC 2.0). This supplement is helpful for operators to choose the proper HiNoC for deployment.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1CF4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2FF1947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DEB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5124B" w14:textId="77777777" w:rsidR="00EB705F" w:rsidRDefault="00BB63EF" w:rsidP="00C9333D">
            <w:pPr>
              <w:jc w:val="center"/>
              <w:rPr>
                <w:rFonts w:ascii="Verdana" w:eastAsia="Times New Roman" w:hAnsi="Verdana"/>
                <w:color w:val="000066"/>
                <w:sz w:val="18"/>
                <w:szCs w:val="18"/>
              </w:rPr>
            </w:pPr>
            <w:hyperlink r:id="rId271" w:tooltip="See more details" w:history="1">
              <w:r w:rsidR="00EB705F">
                <w:rPr>
                  <w:rStyle w:val="Hyperlink"/>
                  <w:rFonts w:ascii="Verdana" w:eastAsia="Times New Roman" w:hAnsi="Verdana"/>
                  <w:sz w:val="18"/>
                  <w:szCs w:val="18"/>
                </w:rPr>
                <w:t>Q.3063 - Corr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3BB7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6937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procedures of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49A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Corrigendum 1 to Recommendation ITU-T Q.3063 (2022) revises the definition of “calling line identification certificate (CLIC)”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57E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14D3ACD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96F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51231" w14:textId="77777777" w:rsidR="00EB705F" w:rsidRDefault="00BB63EF" w:rsidP="00C9333D">
            <w:pPr>
              <w:jc w:val="center"/>
              <w:rPr>
                <w:rFonts w:ascii="Verdana" w:eastAsia="Times New Roman" w:hAnsi="Verdana"/>
                <w:color w:val="000066"/>
                <w:sz w:val="18"/>
                <w:szCs w:val="18"/>
              </w:rPr>
            </w:pPr>
            <w:hyperlink r:id="rId272" w:tooltip="See more details" w:history="1">
              <w:r w:rsidR="00EB705F">
                <w:rPr>
                  <w:rStyle w:val="Hyperlink"/>
                  <w:rFonts w:ascii="Verdana" w:eastAsia="Times New Roman" w:hAnsi="Verdana"/>
                  <w:sz w:val="18"/>
                  <w:szCs w:val="18"/>
                </w:rPr>
                <w:t>Q.4140 (ex Q.CPN)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7D9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0FA0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for service deployment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CF0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D01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28008B3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B89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31C91" w14:textId="77777777" w:rsidR="00EB705F" w:rsidRDefault="00BB63EF" w:rsidP="00C9333D">
            <w:pPr>
              <w:jc w:val="center"/>
              <w:rPr>
                <w:rFonts w:ascii="Verdana" w:eastAsia="Times New Roman" w:hAnsi="Verdana"/>
                <w:color w:val="000066"/>
                <w:sz w:val="18"/>
                <w:szCs w:val="18"/>
              </w:rPr>
            </w:pPr>
            <w:hyperlink r:id="rId273" w:tooltip="See more details" w:history="1">
              <w:r w:rsidR="00EB705F">
                <w:rPr>
                  <w:rStyle w:val="Hyperlink"/>
                  <w:rFonts w:ascii="Verdana" w:eastAsia="Times New Roman" w:hAnsi="Verdana"/>
                  <w:sz w:val="18"/>
                  <w:szCs w:val="18"/>
                </w:rPr>
                <w:t>Q.5006 (ex Q.hns)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BD2F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879D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for hierarchical network slicing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5E9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draft Recommendation specifies the signalling requirements for hierarchical network slicing services. This signalling is used for hierarchically and automatically slicing the network for the customers and its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030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5937405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A6A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8BB22" w14:textId="77777777" w:rsidR="00EB705F" w:rsidRPr="00144814" w:rsidRDefault="00BB63EF" w:rsidP="00C9333D">
            <w:pPr>
              <w:jc w:val="center"/>
              <w:rPr>
                <w:rFonts w:ascii="Verdana" w:eastAsia="Times New Roman" w:hAnsi="Verdana"/>
                <w:color w:val="000066"/>
                <w:sz w:val="18"/>
                <w:szCs w:val="18"/>
                <w:lang w:val="fr-FR"/>
              </w:rPr>
            </w:pPr>
            <w:hyperlink r:id="rId274" w:tooltip="See more details" w:history="1">
              <w:r w:rsidR="00EB705F" w:rsidRPr="00144814">
                <w:rPr>
                  <w:rStyle w:val="Hyperlink"/>
                  <w:rFonts w:ascii="Verdana" w:eastAsia="Times New Roman" w:hAnsi="Verdana"/>
                  <w:sz w:val="18"/>
                  <w:szCs w:val="18"/>
                  <w:lang w:val="fr-FR"/>
                </w:rPr>
                <w:t>Q.5026 (ex Q.DIVS-IMT2020)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2FDF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709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and Protocol for Providing Network-oriented Data Integrity Verification Service based on Blockchain in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C32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FCF4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0B9AF8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D32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6E98B" w14:textId="77777777" w:rsidR="00EB705F" w:rsidRDefault="00BB63EF" w:rsidP="00C9333D">
            <w:pPr>
              <w:jc w:val="center"/>
              <w:rPr>
                <w:rFonts w:ascii="Verdana" w:eastAsia="Times New Roman" w:hAnsi="Verdana"/>
                <w:color w:val="000066"/>
                <w:sz w:val="18"/>
                <w:szCs w:val="18"/>
              </w:rPr>
            </w:pPr>
            <w:hyperlink r:id="rId275" w:tooltip="See more details" w:history="1">
              <w:r w:rsidR="00EB705F">
                <w:rPr>
                  <w:rStyle w:val="Hyperlink"/>
                  <w:rFonts w:ascii="Verdana" w:eastAsia="Times New Roman" w:hAnsi="Verdana"/>
                  <w:sz w:val="18"/>
                  <w:szCs w:val="18"/>
                </w:rPr>
                <w:t>Q.5027 (ex Q.IITSN)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A2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40B7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 for IMT-2020 network integration with Time Sensitive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816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protocol for IMT-2020 network integration with Time Sensitive Network(TSN), and introduces the communication mechanism between IMT-2020 network and TSN system. It also describes parameters, procedures, signalling flow and message format between core network function of IMT-2020 network and TSN Translator.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C3F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2023-07-14</w:t>
            </w:r>
          </w:p>
        </w:tc>
      </w:tr>
      <w:tr w:rsidR="00EB705F" w14:paraId="6342FD5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2998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FF7AC" w14:textId="77777777" w:rsidR="00EB705F" w:rsidRPr="00770357" w:rsidRDefault="00BB63EF" w:rsidP="00C9333D">
            <w:pPr>
              <w:jc w:val="center"/>
              <w:rPr>
                <w:rFonts w:ascii="Verdana" w:eastAsia="Times New Roman" w:hAnsi="Verdana"/>
                <w:color w:val="000066"/>
                <w:sz w:val="18"/>
                <w:szCs w:val="18"/>
                <w:lang w:val="fr-FR"/>
              </w:rPr>
            </w:pPr>
            <w:hyperlink r:id="rId276" w:tooltip="See more details" w:history="1">
              <w:r w:rsidR="00EB705F" w:rsidRPr="00770357">
                <w:rPr>
                  <w:rStyle w:val="Hyperlink"/>
                  <w:rFonts w:ascii="Verdana" w:eastAsia="Times New Roman" w:hAnsi="Verdana"/>
                  <w:sz w:val="18"/>
                  <w:szCs w:val="18"/>
                  <w:lang w:val="fr-FR"/>
                </w:rPr>
                <w:t>Q Suppl.76 (ex Q.Sup.CEIR-EIR-int)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D6E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66F0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Common approaches and interfaces for data exchange between CEIR and EIR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DC7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125B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EB705F" w14:paraId="6AF361A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DC5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64EB9" w14:textId="77777777" w:rsidR="00EB705F" w:rsidRDefault="00BB63EF" w:rsidP="00C9333D">
            <w:pPr>
              <w:jc w:val="center"/>
              <w:rPr>
                <w:rFonts w:ascii="Verdana" w:eastAsia="Times New Roman" w:hAnsi="Verdana"/>
                <w:color w:val="000066"/>
                <w:sz w:val="18"/>
                <w:szCs w:val="18"/>
              </w:rPr>
            </w:pPr>
            <w:hyperlink r:id="rId277" w:tooltip="See more details" w:history="1">
              <w:r w:rsidR="00EB705F">
                <w:rPr>
                  <w:rStyle w:val="Hyperlink"/>
                  <w:rFonts w:ascii="Verdana" w:eastAsia="Times New Roman" w:hAnsi="Verdana"/>
                  <w:sz w:val="18"/>
                  <w:szCs w:val="18"/>
                </w:rPr>
                <w:t>QSTR-MCM-UC (ex TR-MCM-Use-Cases)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5702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D17A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on the combat of Multimedia Content Misappropriation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813E6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4D6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2023-10-20</w:t>
            </w:r>
          </w:p>
        </w:tc>
      </w:tr>
      <w:tr w:rsidR="00EB705F" w14:paraId="5B85FC9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72D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8014C" w14:textId="77777777" w:rsidR="00EB705F" w:rsidRPr="00144814" w:rsidRDefault="00BB63EF" w:rsidP="00C9333D">
            <w:pPr>
              <w:jc w:val="center"/>
              <w:rPr>
                <w:rFonts w:ascii="Verdana" w:eastAsia="Times New Roman" w:hAnsi="Verdana"/>
                <w:color w:val="000066"/>
                <w:sz w:val="18"/>
                <w:szCs w:val="18"/>
                <w:lang w:val="fr-FR"/>
              </w:rPr>
            </w:pPr>
            <w:hyperlink r:id="rId278" w:tooltip="See more details" w:history="1">
              <w:r w:rsidR="00EB705F" w:rsidRPr="00144814">
                <w:rPr>
                  <w:rStyle w:val="Hyperlink"/>
                  <w:rFonts w:ascii="Verdana" w:eastAsia="Times New Roman" w:hAnsi="Verdana"/>
                  <w:sz w:val="18"/>
                  <w:szCs w:val="18"/>
                  <w:lang w:val="fr-FR"/>
                </w:rPr>
                <w:t>Q.1902.3 (2001) Amd.6 (ex Q.1902.3.amd)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695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C527D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Bearer Independent Call Control protocol (Capability Set 2) and Signalling System No. 7 ISDN user part: Formats and codes. Amendment 6.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6D5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6 to Recommendation ITU-T Q.1902.3 was produced to meet the need for the implementation of calling line identification authentication (CIDA) as specified in Q.3063 (2022). This amendment contains the modifications to Recommendation ITU-T Q.1902.3 (2001) in order to accommodate these needs. This amendment should be read in connection with the related amendments to Recommendations ITU-T Q.1902.1 and ITU-T Q.1902.2.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80BAA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53C19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868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5832E" w14:textId="77777777" w:rsidR="00EB705F" w:rsidRPr="00144814" w:rsidRDefault="00BB63EF" w:rsidP="00C9333D">
            <w:pPr>
              <w:jc w:val="center"/>
              <w:rPr>
                <w:rFonts w:ascii="Verdana" w:eastAsia="Times New Roman" w:hAnsi="Verdana"/>
                <w:color w:val="000066"/>
                <w:sz w:val="18"/>
                <w:szCs w:val="18"/>
                <w:lang w:val="fr-FR"/>
              </w:rPr>
            </w:pPr>
            <w:hyperlink r:id="rId279" w:tooltip="See more details" w:history="1">
              <w:proofErr w:type="spellStart"/>
              <w:r w:rsidR="00EB705F" w:rsidRPr="00144814">
                <w:rPr>
                  <w:rStyle w:val="Hyperlink"/>
                  <w:rFonts w:ascii="Verdana" w:eastAsia="Times New Roman" w:hAnsi="Verdana"/>
                  <w:sz w:val="18"/>
                  <w:szCs w:val="18"/>
                  <w:lang w:val="fr-FR"/>
                </w:rPr>
                <w:t>Q.3962</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Q.joint</w:t>
              </w:r>
              <w:proofErr w:type="gramEnd"/>
              <w:r w:rsidR="00EB705F" w:rsidRPr="00144814">
                <w:rPr>
                  <w:rStyle w:val="Hyperlink"/>
                  <w:rFonts w:ascii="Verdana" w:eastAsia="Times New Roman" w:hAnsi="Verdana"/>
                  <w:sz w:val="18"/>
                  <w:szCs w:val="18"/>
                  <w:lang w:val="fr-FR"/>
                </w:rPr>
                <w:t>_tr</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641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2036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Model for optimized traceroute of joint Internet Protocol/Multi-Protocol Label Switching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FCA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EB9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20D43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B12F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549EE" w14:textId="77777777" w:rsidR="00EB705F" w:rsidRPr="00144814" w:rsidRDefault="00BB63EF" w:rsidP="00C9333D">
            <w:pPr>
              <w:jc w:val="center"/>
              <w:rPr>
                <w:rFonts w:ascii="Verdana" w:eastAsia="Times New Roman" w:hAnsi="Verdana"/>
                <w:color w:val="000066"/>
                <w:sz w:val="18"/>
                <w:szCs w:val="18"/>
                <w:lang w:val="fr-FR"/>
              </w:rPr>
            </w:pPr>
            <w:hyperlink r:id="rId280" w:tooltip="See more details" w:history="1">
              <w:proofErr w:type="spellStart"/>
              <w:r w:rsidR="00EB705F" w:rsidRPr="00144814">
                <w:rPr>
                  <w:rStyle w:val="Hyperlink"/>
                  <w:rFonts w:ascii="Verdana" w:eastAsia="Times New Roman" w:hAnsi="Verdana"/>
                  <w:sz w:val="18"/>
                  <w:szCs w:val="18"/>
                  <w:lang w:val="fr-FR"/>
                </w:rPr>
                <w:t>Q.4045</w:t>
              </w:r>
              <w:proofErr w:type="spellEnd"/>
              <w:r w:rsidR="00EB705F" w:rsidRPr="00144814">
                <w:rPr>
                  <w:rStyle w:val="Hyperlink"/>
                  <w:rFonts w:ascii="Verdana" w:eastAsia="Times New Roman" w:hAnsi="Verdana"/>
                  <w:sz w:val="18"/>
                  <w:szCs w:val="18"/>
                  <w:lang w:val="fr-FR"/>
                </w:rPr>
                <w:t xml:space="preserve"> (</w:t>
              </w:r>
              <w:proofErr w:type="gramStart"/>
              <w:r w:rsidR="00EB705F" w:rsidRPr="00144814">
                <w:rPr>
                  <w:rStyle w:val="Hyperlink"/>
                  <w:rFonts w:ascii="Verdana" w:eastAsia="Times New Roman" w:hAnsi="Verdana"/>
                  <w:sz w:val="18"/>
                  <w:szCs w:val="18"/>
                  <w:lang w:val="fr-FR"/>
                </w:rPr>
                <w:t xml:space="preserve">ex </w:t>
              </w:r>
              <w:proofErr w:type="spellStart"/>
              <w:r w:rsidR="00EB705F" w:rsidRPr="00144814">
                <w:rPr>
                  <w:rStyle w:val="Hyperlink"/>
                  <w:rFonts w:ascii="Verdana" w:eastAsia="Times New Roman" w:hAnsi="Verdana"/>
                  <w:sz w:val="18"/>
                  <w:szCs w:val="18"/>
                  <w:lang w:val="fr-FR"/>
                </w:rPr>
                <w:t>Q</w:t>
              </w:r>
              <w:proofErr w:type="gramEnd"/>
              <w:r w:rsidR="00EB705F" w:rsidRPr="00144814">
                <w:rPr>
                  <w:rStyle w:val="Hyperlink"/>
                  <w:rFonts w:ascii="Verdana" w:eastAsia="Times New Roman" w:hAnsi="Verdana"/>
                  <w:sz w:val="18"/>
                  <w:szCs w:val="18"/>
                  <w:lang w:val="fr-FR"/>
                </w:rPr>
                <w:t>.N</w:t>
              </w:r>
              <w:proofErr w:type="spellEnd"/>
              <w:r w:rsidR="00EB705F" w:rsidRPr="00144814">
                <w:rPr>
                  <w:rStyle w:val="Hyperlink"/>
                  <w:rFonts w:ascii="Verdana" w:eastAsia="Times New Roman" w:hAnsi="Verdana"/>
                  <w:sz w:val="18"/>
                  <w:szCs w:val="18"/>
                  <w:lang w:val="fr-FR"/>
                </w:rPr>
                <w:t>-att-</w:t>
              </w:r>
              <w:proofErr w:type="spellStart"/>
              <w:r w:rsidR="00EB705F" w:rsidRPr="00144814">
                <w:rPr>
                  <w:rStyle w:val="Hyperlink"/>
                  <w:rFonts w:ascii="Verdana" w:eastAsia="Times New Roman" w:hAnsi="Verdana"/>
                  <w:sz w:val="18"/>
                  <w:szCs w:val="18"/>
                  <w:lang w:val="fr-FR"/>
                </w:rPr>
                <w:t>framework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207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3C3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network function virtualization automated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E5C2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19C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6A0B17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D8E4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F9446" w14:textId="77777777" w:rsidR="00EB705F" w:rsidRPr="00144814" w:rsidRDefault="00BB63EF" w:rsidP="00C9333D">
            <w:pPr>
              <w:jc w:val="center"/>
              <w:rPr>
                <w:rFonts w:ascii="Verdana" w:eastAsia="Times New Roman" w:hAnsi="Verdana"/>
                <w:color w:val="000066"/>
                <w:sz w:val="18"/>
                <w:szCs w:val="18"/>
                <w:lang w:val="fr-FR"/>
              </w:rPr>
            </w:pPr>
            <w:hyperlink r:id="rId281" w:tooltip="See more details" w:history="1">
              <w:proofErr w:type="spellStart"/>
              <w:r w:rsidR="00EB705F" w:rsidRPr="00144814">
                <w:rPr>
                  <w:rStyle w:val="Hyperlink"/>
                  <w:rFonts w:ascii="Verdana" w:eastAsia="Times New Roman" w:hAnsi="Verdana"/>
                  <w:sz w:val="18"/>
                  <w:szCs w:val="18"/>
                  <w:lang w:val="fr-FR"/>
                </w:rPr>
                <w:t>Q.4046</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Q.BaaS</w:t>
              </w:r>
              <w:proofErr w:type="gramEnd"/>
              <w:r w:rsidR="00EB705F" w:rsidRPr="00144814">
                <w:rPr>
                  <w:rStyle w:val="Hyperlink"/>
                  <w:rFonts w:ascii="Verdana" w:eastAsia="Times New Roman" w:hAnsi="Verdana"/>
                  <w:sz w:val="18"/>
                  <w:szCs w:val="18"/>
                  <w:lang w:val="fr-FR"/>
                </w:rPr>
                <w:t>-iop-reqts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813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2E5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Interoperability testing requirements of blockchain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A4C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provide blockchain as a service (BaaS) interoperability testing overview and specifies BaaS interoperability testing requirements which are derived from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146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9D8E81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144B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D64972" w14:textId="77777777" w:rsidR="00EB705F" w:rsidRDefault="00BB63EF" w:rsidP="00C9333D">
            <w:pPr>
              <w:jc w:val="center"/>
              <w:rPr>
                <w:rFonts w:ascii="Verdana" w:eastAsia="Times New Roman" w:hAnsi="Verdana"/>
                <w:color w:val="000066"/>
                <w:sz w:val="18"/>
                <w:szCs w:val="18"/>
              </w:rPr>
            </w:pPr>
            <w:hyperlink r:id="rId282" w:tooltip="See more details" w:history="1">
              <w:r w:rsidR="00EB705F">
                <w:rPr>
                  <w:rStyle w:val="Hyperlink"/>
                  <w:rFonts w:ascii="Verdana" w:eastAsia="Times New Roman" w:hAnsi="Verdana"/>
                  <w:sz w:val="18"/>
                  <w:szCs w:val="18"/>
                </w:rPr>
                <w:t>Q.4071 (ex Q.UHD-T)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C64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76D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testing of 3D ultra high density IoT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4C055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density and ultra-high density communication networks are currently being introduced based on the density requirements for IoT devices. For 3D Ultra-high density networks, the density of IoT devices is 100 devices per cubic meter. Such networks have certain design peculiarities and different fractal figures can be used for their planning. Therefore, it is required to develop models and test methods for high density and ultra-high density networks. New models and test methods for three-dimensional ultra-high density IoT networks will be developed and the structure of a model network for testing will be presented in the proposed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50F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62905B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4DBD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652EF" w14:textId="77777777" w:rsidR="00EB705F" w:rsidRPr="00144814" w:rsidRDefault="00BB63EF" w:rsidP="00C9333D">
            <w:pPr>
              <w:jc w:val="center"/>
              <w:rPr>
                <w:rFonts w:ascii="Verdana" w:eastAsia="Times New Roman" w:hAnsi="Verdana"/>
                <w:color w:val="000066"/>
                <w:sz w:val="18"/>
                <w:szCs w:val="18"/>
                <w:lang w:val="fr-FR"/>
              </w:rPr>
            </w:pPr>
            <w:hyperlink r:id="rId283" w:tooltip="See more details" w:history="1">
              <w:r w:rsidR="00EB705F" w:rsidRPr="00144814">
                <w:rPr>
                  <w:rStyle w:val="Hyperlink"/>
                  <w:rFonts w:ascii="Verdana" w:eastAsia="Times New Roman" w:hAnsi="Verdana"/>
                  <w:sz w:val="18"/>
                  <w:szCs w:val="18"/>
                  <w:lang w:val="fr-FR"/>
                </w:rPr>
                <w:t>Q.4141 (ex Q.BNG-INC)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84C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BB4C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1F2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network solution to dynamically and flexibly schedule computing tasks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52663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B7E43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CCB8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03A10" w14:textId="77777777" w:rsidR="00EB705F" w:rsidRPr="00144814" w:rsidRDefault="00BB63EF" w:rsidP="00C9333D">
            <w:pPr>
              <w:jc w:val="center"/>
              <w:rPr>
                <w:rFonts w:ascii="Verdana" w:eastAsia="Times New Roman" w:hAnsi="Verdana"/>
                <w:color w:val="000066"/>
                <w:sz w:val="18"/>
                <w:szCs w:val="18"/>
                <w:lang w:val="fr-FR"/>
              </w:rPr>
            </w:pPr>
            <w:hyperlink r:id="rId284" w:tooltip="See more details" w:history="1">
              <w:r w:rsidR="00EB705F" w:rsidRPr="00144814">
                <w:rPr>
                  <w:rStyle w:val="Hyperlink"/>
                  <w:rFonts w:ascii="Verdana" w:eastAsia="Times New Roman" w:hAnsi="Verdana"/>
                  <w:sz w:val="18"/>
                  <w:szCs w:val="18"/>
                  <w:lang w:val="fr-FR"/>
                </w:rPr>
                <w:t>Q.4160 (ex Q.QKDN_profr)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026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74F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Protocol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486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Q.4160 specifies a framework for signalling and protocols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277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C5DC16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E62C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ED8E5" w14:textId="77777777" w:rsidR="00EB705F" w:rsidRPr="00144814" w:rsidRDefault="00BB63EF" w:rsidP="00C9333D">
            <w:pPr>
              <w:jc w:val="center"/>
              <w:rPr>
                <w:rFonts w:ascii="Verdana" w:eastAsia="Times New Roman" w:hAnsi="Verdana"/>
                <w:color w:val="000066"/>
                <w:sz w:val="18"/>
                <w:szCs w:val="18"/>
                <w:lang w:val="fr-FR"/>
              </w:rPr>
            </w:pPr>
            <w:hyperlink r:id="rId285" w:tooltip="See more details" w:history="1">
              <w:proofErr w:type="spellStart"/>
              <w:r w:rsidR="00EB705F" w:rsidRPr="00144814">
                <w:rPr>
                  <w:rStyle w:val="Hyperlink"/>
                  <w:rFonts w:ascii="Verdana" w:eastAsia="Times New Roman" w:hAnsi="Verdana"/>
                  <w:sz w:val="18"/>
                  <w:szCs w:val="18"/>
                  <w:lang w:val="fr-FR"/>
                </w:rPr>
                <w:t>Q.4161</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_Ak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13AF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6C67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Ak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9E25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Q.4161 specifies protocols for Ak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CBB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1E0E21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5D2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2CD35" w14:textId="77777777" w:rsidR="00EB705F" w:rsidRPr="00144814" w:rsidRDefault="00BB63EF" w:rsidP="00C9333D">
            <w:pPr>
              <w:jc w:val="center"/>
              <w:rPr>
                <w:rFonts w:ascii="Verdana" w:eastAsia="Times New Roman" w:hAnsi="Verdana"/>
                <w:color w:val="000066"/>
                <w:sz w:val="18"/>
                <w:szCs w:val="18"/>
                <w:lang w:val="fr-FR"/>
              </w:rPr>
            </w:pPr>
            <w:hyperlink r:id="rId286" w:tooltip="See more details" w:history="1">
              <w:r w:rsidR="00EB705F" w:rsidRPr="00144814">
                <w:rPr>
                  <w:rStyle w:val="Hyperlink"/>
                  <w:rFonts w:ascii="Verdana" w:eastAsia="Times New Roman" w:hAnsi="Verdana"/>
                  <w:sz w:val="18"/>
                  <w:szCs w:val="18"/>
                  <w:lang w:val="fr-FR"/>
                </w:rPr>
                <w:t>Q.4162 (ex Q.QKDN_Kq-1)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D71F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5D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Kq-1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CE1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Q.4162 specifies protocols for Kq-1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36D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EF61C1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4E7E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62336A" w14:textId="77777777" w:rsidR="00EB705F" w:rsidRPr="00144814" w:rsidRDefault="00BB63EF" w:rsidP="00C9333D">
            <w:pPr>
              <w:jc w:val="center"/>
              <w:rPr>
                <w:rFonts w:ascii="Verdana" w:eastAsia="Times New Roman" w:hAnsi="Verdana"/>
                <w:color w:val="000066"/>
                <w:sz w:val="18"/>
                <w:szCs w:val="18"/>
                <w:lang w:val="fr-FR"/>
              </w:rPr>
            </w:pPr>
            <w:hyperlink r:id="rId287" w:tooltip="See more details" w:history="1">
              <w:r w:rsidR="00EB705F" w:rsidRPr="00144814">
                <w:rPr>
                  <w:rStyle w:val="Hyperlink"/>
                  <w:rFonts w:ascii="Verdana" w:eastAsia="Times New Roman" w:hAnsi="Verdana"/>
                  <w:sz w:val="18"/>
                  <w:szCs w:val="18"/>
                  <w:lang w:val="fr-FR"/>
                </w:rPr>
                <w:t>Q.4163 (ex Q.QKDN_Kx)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B77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B85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Kx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38C8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Q.4163 specifies protocols for Kx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8330D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4D9C74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FC8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E16FA" w14:textId="77777777" w:rsidR="00EB705F" w:rsidRPr="00144814" w:rsidRDefault="00BB63EF" w:rsidP="00C9333D">
            <w:pPr>
              <w:jc w:val="center"/>
              <w:rPr>
                <w:rFonts w:ascii="Verdana" w:eastAsia="Times New Roman" w:hAnsi="Verdana"/>
                <w:color w:val="000066"/>
                <w:sz w:val="18"/>
                <w:szCs w:val="18"/>
                <w:lang w:val="fr-FR"/>
              </w:rPr>
            </w:pPr>
            <w:hyperlink r:id="rId288" w:tooltip="See more details" w:history="1">
              <w:proofErr w:type="spellStart"/>
              <w:r w:rsidR="00EB705F" w:rsidRPr="00144814">
                <w:rPr>
                  <w:rStyle w:val="Hyperlink"/>
                  <w:rFonts w:ascii="Verdana" w:eastAsia="Times New Roman" w:hAnsi="Verdana"/>
                  <w:sz w:val="18"/>
                  <w:szCs w:val="18"/>
                  <w:lang w:val="fr-FR"/>
                </w:rPr>
                <w:t>Q.4164</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Q.QKDN</w:t>
              </w:r>
              <w:proofErr w:type="gramEnd"/>
              <w:r w:rsidR="00EB705F" w:rsidRPr="00144814">
                <w:rPr>
                  <w:rStyle w:val="Hyperlink"/>
                  <w:rFonts w:ascii="Verdana" w:eastAsia="Times New Roman" w:hAnsi="Verdana"/>
                  <w:sz w:val="18"/>
                  <w:szCs w:val="18"/>
                  <w:lang w:val="fr-FR"/>
                </w:rPr>
                <w:t>_Ck</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446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AE49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Protocols for Ck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E94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Q.4164 specifies protocols for Ck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D762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67912F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BF6D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664C8" w14:textId="77777777" w:rsidR="00EB705F" w:rsidRPr="00144814" w:rsidRDefault="00BB63EF" w:rsidP="00C9333D">
            <w:pPr>
              <w:jc w:val="center"/>
              <w:rPr>
                <w:rFonts w:ascii="Verdana" w:eastAsia="Times New Roman" w:hAnsi="Verdana"/>
                <w:color w:val="000066"/>
                <w:sz w:val="18"/>
                <w:szCs w:val="18"/>
                <w:lang w:val="fr-FR"/>
              </w:rPr>
            </w:pPr>
            <w:hyperlink r:id="rId289" w:tooltip="See more details" w:history="1">
              <w:r w:rsidR="00EB705F" w:rsidRPr="00144814">
                <w:rPr>
                  <w:rStyle w:val="Hyperlink"/>
                  <w:rFonts w:ascii="Verdana" w:eastAsia="Times New Roman" w:hAnsi="Verdana"/>
                  <w:sz w:val="18"/>
                  <w:szCs w:val="18"/>
                  <w:lang w:val="fr-FR"/>
                </w:rPr>
                <w:t>Q.5007 (ex Q.IEC-PRO)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53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3313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architecture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5108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 develop the IEC architecture, there are a couple of software-oriented architectural ways for building a flexible protocol architecture achieved by deploying and operating the architecture. One approach is an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813B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C4F6E3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8A1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B12BE" w14:textId="77777777" w:rsidR="00EB705F" w:rsidRPr="004E4C9C" w:rsidRDefault="00BB63EF" w:rsidP="00C9333D">
            <w:pPr>
              <w:jc w:val="center"/>
              <w:rPr>
                <w:rFonts w:ascii="Verdana" w:eastAsia="Times New Roman" w:hAnsi="Verdana"/>
                <w:color w:val="000066"/>
                <w:sz w:val="18"/>
                <w:szCs w:val="18"/>
                <w:lang w:val="pt-BR"/>
              </w:rPr>
            </w:pPr>
            <w:hyperlink r:id="rId290" w:tooltip="See more details" w:history="1">
              <w:r w:rsidR="00EB705F" w:rsidRPr="004E4C9C">
                <w:rPr>
                  <w:rStyle w:val="Hyperlink"/>
                  <w:rFonts w:ascii="Verdana" w:eastAsia="Times New Roman" w:hAnsi="Verdana"/>
                  <w:sz w:val="18"/>
                  <w:szCs w:val="18"/>
                  <w:lang w:val="pt-BR"/>
                </w:rPr>
                <w:t>Q.5008 (ex Q.AIS-SRA)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9AE6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62A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requirements and architecture to support AI based vertical services in future network,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322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DE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F8625B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7C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EFE5E" w14:textId="77777777" w:rsidR="00EB705F" w:rsidRPr="00144814" w:rsidRDefault="00BB63EF" w:rsidP="00C9333D">
            <w:pPr>
              <w:jc w:val="center"/>
              <w:rPr>
                <w:rFonts w:ascii="Verdana" w:eastAsia="Times New Roman" w:hAnsi="Verdana"/>
                <w:color w:val="000066"/>
                <w:sz w:val="18"/>
                <w:szCs w:val="18"/>
                <w:lang w:val="fr-FR"/>
              </w:rPr>
            </w:pPr>
            <w:hyperlink r:id="rId291" w:tooltip="See more details" w:history="1">
              <w:r w:rsidR="00EB705F" w:rsidRPr="00144814">
                <w:rPr>
                  <w:rStyle w:val="Hyperlink"/>
                  <w:rFonts w:ascii="Verdana" w:eastAsia="Times New Roman" w:hAnsi="Verdana"/>
                  <w:sz w:val="18"/>
                  <w:szCs w:val="18"/>
                  <w:lang w:val="fr-FR"/>
                </w:rPr>
                <w:t>Q.5028 (ex Q.IEC-SAINF)</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155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286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Data management interfaces for intelligent edge computing-based smart agriculture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7F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950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9AA87B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0D2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7E16B" w14:textId="77777777" w:rsidR="00EB705F" w:rsidRPr="00144814" w:rsidRDefault="00BB63EF" w:rsidP="00C9333D">
            <w:pPr>
              <w:jc w:val="center"/>
              <w:rPr>
                <w:rFonts w:ascii="Verdana" w:eastAsia="Times New Roman" w:hAnsi="Verdana"/>
                <w:color w:val="000066"/>
                <w:sz w:val="18"/>
                <w:szCs w:val="18"/>
                <w:lang w:val="fr-FR"/>
              </w:rPr>
            </w:pPr>
            <w:hyperlink r:id="rId292" w:tooltip="See more details" w:history="1">
              <w:r w:rsidR="00EB705F" w:rsidRPr="00144814">
                <w:rPr>
                  <w:rStyle w:val="Hyperlink"/>
                  <w:rFonts w:ascii="Verdana" w:eastAsia="Times New Roman" w:hAnsi="Verdana"/>
                  <w:sz w:val="18"/>
                  <w:szCs w:val="18"/>
                  <w:lang w:val="fr-FR"/>
                </w:rPr>
                <w:t>Q.763 (1999) Amd.7 (ex Q.763.amd)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0FC8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F150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Signalling System No. 7 - ISDN User Part formats and codes. Amendment 7.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68D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7 to Recommendation ITU-T Q.763 was produced to meet the need for the implementation of calling line identification authentication (CIDA) as specified in ITU-T Q.3063 (2022). This amendment contains the modifications to Recommendation ITU-T Q.763 (1999) in order to accommodate these needs. This amendment should be read in connection with the related amendments to Recommendations ITU-T Q.761 and ITU-T Q.762.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321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7FB99B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671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71756" w14:textId="77777777" w:rsidR="00EB705F" w:rsidRPr="00144814" w:rsidRDefault="00BB63EF" w:rsidP="00C9333D">
            <w:pPr>
              <w:jc w:val="center"/>
              <w:rPr>
                <w:rFonts w:ascii="Verdana" w:eastAsia="Times New Roman" w:hAnsi="Verdana"/>
                <w:color w:val="000066"/>
                <w:sz w:val="18"/>
                <w:szCs w:val="18"/>
                <w:lang w:val="fr-FR"/>
              </w:rPr>
            </w:pPr>
            <w:hyperlink r:id="rId293" w:tooltip="See more details" w:history="1">
              <w:r w:rsidR="00EB705F" w:rsidRPr="00144814">
                <w:rPr>
                  <w:rStyle w:val="Hyperlink"/>
                  <w:rFonts w:ascii="Verdana" w:eastAsia="Times New Roman" w:hAnsi="Verdana"/>
                  <w:sz w:val="18"/>
                  <w:szCs w:val="18"/>
                  <w:lang w:val="fr-FR"/>
                </w:rPr>
                <w:t>Q.931 (1998) Amd.2 (ex Q.931.amd)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6F4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FED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ISDN user-network interface layer 3 specification for basic call control. Amendment 2.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6A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2 to Recommendation ITU-T Q. 931 was produced to meet the need for the implementation of calling line identification authentication (CIDA) as specified in Q.3063 (2022). This amendment contains the modifications to Recommendation ITU-T Q. 931 (1998) in order to accommodate these needs.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9BA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6B1315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539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B62828" w14:textId="77777777" w:rsidR="00EB705F" w:rsidRPr="00144814" w:rsidRDefault="00BB63EF" w:rsidP="00C9333D">
            <w:pPr>
              <w:jc w:val="center"/>
              <w:rPr>
                <w:rFonts w:ascii="Verdana" w:eastAsia="Times New Roman" w:hAnsi="Verdana"/>
                <w:color w:val="000066"/>
                <w:sz w:val="18"/>
                <w:szCs w:val="18"/>
                <w:lang w:val="fr-FR"/>
              </w:rPr>
            </w:pPr>
            <w:hyperlink r:id="rId294" w:tooltip="See more details" w:history="1">
              <w:r w:rsidR="00EB705F" w:rsidRPr="00144814">
                <w:rPr>
                  <w:rStyle w:val="Hyperlink"/>
                  <w:rFonts w:ascii="Verdana" w:eastAsia="Times New Roman" w:hAnsi="Verdana"/>
                  <w:sz w:val="18"/>
                  <w:szCs w:val="18"/>
                  <w:lang w:val="fr-FR"/>
                </w:rPr>
                <w:t>ESTR-NUI (ex E.NUI)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2F67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90C2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RF level based single-number indicator for mobile network usefulness for a given range of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92AB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QoE contexts to express an overall assessment of a system or service from a given perspective. Such indicators are used routinely, e.g., in mobile network benchmarking, where a number of QoS KPI is aggregated towards a single rating. This Technical Report describes a methodology which works in the same way, but is using low-level measurement data, i.e., RF level values. The particular instance, i.e., the actual type of input value, depends on the radio network technology, e.g., RxLev for 2G, RSCP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e.g.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visualization. The indicator is however providing additional value in situations where only data from passive measurements, i.e., measurement of said RF levels, is available, or to </w:t>
            </w:r>
            <w:r>
              <w:rPr>
                <w:rFonts w:ascii="Verdana" w:eastAsia="Times New Roman" w:hAnsi="Verdana"/>
                <w:color w:val="000066"/>
                <w:sz w:val="18"/>
                <w:szCs w:val="18"/>
              </w:rPr>
              <w:lastRenderedPageBreak/>
              <w:t>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thresholds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937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2023-09-28</w:t>
            </w:r>
          </w:p>
        </w:tc>
      </w:tr>
      <w:tr w:rsidR="00EB705F" w14:paraId="60F0B1B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D33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26F58" w14:textId="77777777" w:rsidR="00EB705F" w:rsidRPr="00144814" w:rsidRDefault="00BB63EF" w:rsidP="00C9333D">
            <w:pPr>
              <w:jc w:val="center"/>
              <w:rPr>
                <w:rFonts w:ascii="Verdana" w:eastAsia="Times New Roman" w:hAnsi="Verdana"/>
                <w:color w:val="000066"/>
                <w:sz w:val="18"/>
                <w:szCs w:val="18"/>
                <w:lang w:val="fr-FR"/>
              </w:rPr>
            </w:pPr>
            <w:hyperlink r:id="rId295" w:tooltip="See more details" w:history="1">
              <w:proofErr w:type="spellStart"/>
              <w:r w:rsidR="00EB705F" w:rsidRPr="00144814">
                <w:rPr>
                  <w:rStyle w:val="Hyperlink"/>
                  <w:rFonts w:ascii="Verdana" w:eastAsia="Times New Roman" w:hAnsi="Verdana"/>
                  <w:sz w:val="18"/>
                  <w:szCs w:val="18"/>
                  <w:lang w:val="fr-FR"/>
                </w:rPr>
                <w:t>GSTR-RQ</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G.CQoE</w:t>
              </w:r>
              <w:proofErr w:type="spellEnd"/>
              <w:proofErr w:type="gram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664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FD6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Roadmap for QoS and QoE in the ITU-T Study Group 12 context (TR-RQ)</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431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presents a compilation of Quality of Service (QoS), Quality of Experience (QoE) and related terms defined by ITU-T Recommendations, exploring concepts, differences and relationship. The goal is to provide a roadmap for these concepts in the ITU-T Study Group 12 context, identifying possible definitions’ adjustments, clarifying the application of QoE terminology and which aspects characterize QoE assessment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EC7B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EB705F" w14:paraId="7FF835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D90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0E106" w14:textId="77777777" w:rsidR="00EB705F" w:rsidRPr="00144814" w:rsidRDefault="00BB63EF" w:rsidP="00C9333D">
            <w:pPr>
              <w:jc w:val="center"/>
              <w:rPr>
                <w:rFonts w:ascii="Verdana" w:eastAsia="Times New Roman" w:hAnsi="Verdana"/>
                <w:color w:val="000066"/>
                <w:sz w:val="18"/>
                <w:szCs w:val="18"/>
                <w:lang w:val="fr-FR"/>
              </w:rPr>
            </w:pPr>
            <w:hyperlink r:id="rId296" w:tooltip="See more details" w:history="1">
              <w:proofErr w:type="spellStart"/>
              <w:proofErr w:type="gramStart"/>
              <w:r w:rsidR="00EB705F" w:rsidRPr="00144814">
                <w:rPr>
                  <w:rStyle w:val="Hyperlink"/>
                  <w:rFonts w:ascii="Verdana" w:eastAsia="Times New Roman" w:hAnsi="Verdana"/>
                  <w:sz w:val="18"/>
                  <w:szCs w:val="18"/>
                  <w:lang w:val="fr-FR"/>
                </w:rPr>
                <w:t>P.Sup</w:t>
              </w:r>
              <w:proofErr w:type="gramEnd"/>
              <w:r w:rsidR="00EB705F" w:rsidRPr="00144814">
                <w:rPr>
                  <w:rStyle w:val="Hyperlink"/>
                  <w:rFonts w:ascii="Verdana" w:eastAsia="Times New Roman" w:hAnsi="Verdana"/>
                  <w:sz w:val="18"/>
                  <w:szCs w:val="18"/>
                  <w:lang w:val="fr-FR"/>
                </w:rPr>
                <w:t>30</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P.Suppl_DFS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579C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E600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Considerations on the automation of Digital Financial Services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179D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When testing Digital Financial Services, a variety of specific aspects have to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21B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2023-09-28</w:t>
            </w:r>
          </w:p>
        </w:tc>
      </w:tr>
      <w:tr w:rsidR="00EB705F" w14:paraId="34C6A5B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3921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CD072A" w14:textId="77777777" w:rsidR="00EB705F" w:rsidRDefault="00BB63EF" w:rsidP="00C9333D">
            <w:pPr>
              <w:jc w:val="center"/>
              <w:rPr>
                <w:rFonts w:ascii="Verdana" w:eastAsia="Times New Roman" w:hAnsi="Verdana"/>
                <w:color w:val="000066"/>
                <w:sz w:val="18"/>
                <w:szCs w:val="18"/>
              </w:rPr>
            </w:pPr>
            <w:hyperlink r:id="rId297" w:tooltip="See more details" w:history="1">
              <w:r w:rsidR="00EB705F">
                <w:rPr>
                  <w:rStyle w:val="Hyperlink"/>
                  <w:rFonts w:ascii="Verdana" w:eastAsia="Times New Roman" w:hAnsi="Verdana"/>
                  <w:sz w:val="18"/>
                  <w:szCs w:val="18"/>
                </w:rPr>
                <w:t>G.1092 (ex G.TeleMeTax)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CE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264D0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Taxonomy of telemeetings from a QoE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5B9C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taxonomy on the different possible types of telemeetings, focussing on aspects that are crucial for Quality of Experience (QoE) assessment. The purpose is to facilitate the selection of appropriate quality assessment methods as well as an appropriate reporting and interpretation of results.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485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3F31A0D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FE2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9C879" w14:textId="77777777" w:rsidR="00EB705F" w:rsidRDefault="00BB63EF" w:rsidP="00C9333D">
            <w:pPr>
              <w:jc w:val="center"/>
              <w:rPr>
                <w:rFonts w:ascii="Verdana" w:eastAsia="Times New Roman" w:hAnsi="Verdana"/>
                <w:color w:val="000066"/>
                <w:sz w:val="18"/>
                <w:szCs w:val="18"/>
              </w:rPr>
            </w:pPr>
            <w:hyperlink r:id="rId298" w:tooltip="See more details" w:history="1">
              <w:r w:rsidR="00EB705F">
                <w:rPr>
                  <w:rStyle w:val="Hyperlink"/>
                  <w:rFonts w:ascii="Verdana" w:eastAsia="Times New Roman" w:hAnsi="Verdana"/>
                  <w:sz w:val="18"/>
                  <w:szCs w:val="18"/>
                </w:rPr>
                <w:t>P.1204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C87B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EAB4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7DA7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10?s)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application areas, which are respectively indicated in the module-related ITU-T P.1204.3, ITU-T P.1204.4 and ITUT P.1204.5: –large-screen presentation as with fixed-</w:t>
            </w:r>
            <w:r>
              <w:rPr>
                <w:rFonts w:ascii="Verdana" w:eastAsia="Times New Roman" w:hAnsi="Verdana"/>
                <w:color w:val="000066"/>
                <w:sz w:val="18"/>
                <w:szCs w:val="18"/>
              </w:rPr>
              <w:lastRenderedPageBreak/>
              <w:t>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E52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EB705F" w14:paraId="6ED004C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F566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B4D3E" w14:textId="77777777" w:rsidR="00EB705F" w:rsidRDefault="00BB63EF" w:rsidP="00C9333D">
            <w:pPr>
              <w:jc w:val="center"/>
              <w:rPr>
                <w:rFonts w:ascii="Verdana" w:eastAsia="Times New Roman" w:hAnsi="Verdana"/>
                <w:color w:val="000066"/>
                <w:sz w:val="18"/>
                <w:szCs w:val="18"/>
              </w:rPr>
            </w:pPr>
            <w:hyperlink r:id="rId299" w:tooltip="See more details" w:history="1">
              <w:r w:rsidR="00EB705F">
                <w:rPr>
                  <w:rStyle w:val="Hyperlink"/>
                  <w:rFonts w:ascii="Verdana" w:eastAsia="Times New Roman" w:hAnsi="Verdana"/>
                  <w:sz w:val="18"/>
                  <w:szCs w:val="18"/>
                </w:rPr>
                <w:t>P.1204.5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4F43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CF095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Video quality assessment of streaming services over reliable transport for resolutions up to 4K with access to transport and received pixel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A69CA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definition-1 (UHD-1) resolution for personal computer (PC) monitors and television (TV) and up to 2?560?× 1?440 for mobile (MO) and tablet (TA) displays. The ITU-T?P.1204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D4C6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36F2EAE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500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FA0729" w14:textId="77777777" w:rsidR="00EB705F" w:rsidRDefault="00BB63EF" w:rsidP="00C9333D">
            <w:pPr>
              <w:jc w:val="center"/>
              <w:rPr>
                <w:rFonts w:ascii="Verdana" w:eastAsia="Times New Roman" w:hAnsi="Verdana"/>
                <w:color w:val="000066"/>
                <w:sz w:val="18"/>
                <w:szCs w:val="18"/>
              </w:rPr>
            </w:pPr>
            <w:hyperlink r:id="rId300" w:tooltip="See more details" w:history="1">
              <w:r w:rsidR="00EB705F">
                <w:rPr>
                  <w:rStyle w:val="Hyperlink"/>
                  <w:rFonts w:ascii="Verdana" w:eastAsia="Times New Roman" w:hAnsi="Verdana"/>
                  <w:sz w:val="18"/>
                  <w:szCs w:val="18"/>
                </w:rPr>
                <w:t>P.1211 (ex P.DiAQoSE)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15A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234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Derivation procedure of contribution values for quality degradation of adaptive audiovisual streaming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51B43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AB8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51F945C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9FA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A14E0" w14:textId="77777777" w:rsidR="00EB705F" w:rsidRDefault="00BB63EF" w:rsidP="00C9333D">
            <w:pPr>
              <w:jc w:val="center"/>
              <w:rPr>
                <w:rFonts w:ascii="Verdana" w:eastAsia="Times New Roman" w:hAnsi="Verdana"/>
                <w:color w:val="000066"/>
                <w:sz w:val="18"/>
                <w:szCs w:val="18"/>
              </w:rPr>
            </w:pPr>
            <w:hyperlink r:id="rId301" w:tooltip="See more details" w:history="1">
              <w:r w:rsidR="00EB705F">
                <w:rPr>
                  <w:rStyle w:val="Hyperlink"/>
                  <w:rFonts w:ascii="Verdana" w:eastAsia="Times New Roman" w:hAnsi="Verdana"/>
                  <w:sz w:val="18"/>
                  <w:szCs w:val="18"/>
                </w:rPr>
                <w:t>P.910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7F9B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EE3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Subjective video quality assessment methods for multimedia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C96C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71B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07CBE8C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663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5ECEC" w14:textId="77777777" w:rsidR="00EB705F" w:rsidRDefault="00BB63EF" w:rsidP="00C9333D">
            <w:pPr>
              <w:jc w:val="center"/>
              <w:rPr>
                <w:rFonts w:ascii="Verdana" w:eastAsia="Times New Roman" w:hAnsi="Verdana"/>
                <w:color w:val="000066"/>
                <w:sz w:val="18"/>
                <w:szCs w:val="18"/>
              </w:rPr>
            </w:pPr>
            <w:hyperlink r:id="rId302" w:tooltip="See more details" w:history="1">
              <w:r w:rsidR="00EB705F">
                <w:rPr>
                  <w:rStyle w:val="Hyperlink"/>
                  <w:rFonts w:ascii="Verdana" w:eastAsia="Times New Roman" w:hAnsi="Verdana"/>
                  <w:sz w:val="18"/>
                  <w:szCs w:val="18"/>
                </w:rPr>
                <w:t>Y.1567 (ex Y.LUL)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3EECA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AAB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Latency Under Load metrics and methods of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4445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There is considerable industry interest to conduct tests that capture latency of the user’s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load, and defines methods of measurement to increase the specificity and repeatability of metric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6F02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A04876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D5C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A3363" w14:textId="77777777" w:rsidR="00EB705F" w:rsidRPr="00144814" w:rsidRDefault="00BB63EF" w:rsidP="00C9333D">
            <w:pPr>
              <w:jc w:val="center"/>
              <w:rPr>
                <w:rFonts w:ascii="Verdana" w:eastAsia="Times New Roman" w:hAnsi="Verdana"/>
                <w:color w:val="000066"/>
                <w:sz w:val="18"/>
                <w:szCs w:val="18"/>
                <w:lang w:val="fr-FR"/>
              </w:rPr>
            </w:pPr>
            <w:hyperlink r:id="rId303" w:tooltip="See more details" w:history="1">
              <w:r w:rsidR="00EB705F" w:rsidRPr="00144814">
                <w:rPr>
                  <w:rStyle w:val="Hyperlink"/>
                  <w:rFonts w:ascii="Verdana" w:eastAsia="Times New Roman" w:hAnsi="Verdana"/>
                  <w:sz w:val="18"/>
                  <w:szCs w:val="18"/>
                  <w:lang w:val="fr-FR"/>
                </w:rPr>
                <w:t>Y.3656 (ex Y.bDDN-NSMec)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260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DE667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Driven Networking-Mechanism of network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0E0F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7DBE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2023-06-22</w:t>
            </w:r>
          </w:p>
        </w:tc>
      </w:tr>
      <w:tr w:rsidR="00EB705F" w14:paraId="1CAEA70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B8C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DD864" w14:textId="77777777" w:rsidR="00EB705F" w:rsidRDefault="00BB63EF" w:rsidP="00C9333D">
            <w:pPr>
              <w:jc w:val="center"/>
              <w:rPr>
                <w:rFonts w:ascii="Verdana" w:eastAsia="Times New Roman" w:hAnsi="Verdana"/>
                <w:color w:val="000066"/>
                <w:sz w:val="18"/>
                <w:szCs w:val="18"/>
              </w:rPr>
            </w:pPr>
            <w:hyperlink r:id="rId304" w:tooltip="See more details" w:history="1">
              <w:r w:rsidR="00EB705F">
                <w:rPr>
                  <w:rStyle w:val="Hyperlink"/>
                  <w:rFonts w:ascii="Verdana" w:eastAsia="Times New Roman" w:hAnsi="Verdana"/>
                  <w:sz w:val="18"/>
                  <w:szCs w:val="18"/>
                </w:rPr>
                <w:t>Y.2249 (ex Y.arsm)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37C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B097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Service model for human-centric touring guide with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F62BE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Y.arsm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0061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4199C7A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4B42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DBCCF" w14:textId="77777777" w:rsidR="00EB705F" w:rsidRDefault="00BB63EF" w:rsidP="00C9333D">
            <w:pPr>
              <w:jc w:val="center"/>
              <w:rPr>
                <w:rFonts w:ascii="Verdana" w:eastAsia="Times New Roman" w:hAnsi="Verdana"/>
                <w:color w:val="000066"/>
                <w:sz w:val="18"/>
                <w:szCs w:val="18"/>
              </w:rPr>
            </w:pPr>
            <w:hyperlink r:id="rId305" w:tooltip="See more details" w:history="1">
              <w:r w:rsidR="00EB705F">
                <w:rPr>
                  <w:rStyle w:val="Hyperlink"/>
                  <w:rFonts w:ascii="Verdana" w:eastAsia="Times New Roman" w:hAnsi="Verdana"/>
                  <w:sz w:val="18"/>
                  <w:szCs w:val="18"/>
                </w:rPr>
                <w:t>Y.3058 (ex Y.trust-arch)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10E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18A17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trust enabled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68B4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trust enabled service is a reliable service which satisfies service and trust requirements, by applying additional functions for trust provisioning capabilities to conventional ICT service entities (including resources, stakeholders, and users), that is able to develop better quality of services and experience. In order to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9D5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5BD350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CD4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D2188" w14:textId="77777777" w:rsidR="00EB705F" w:rsidRDefault="00BB63EF" w:rsidP="00C9333D">
            <w:pPr>
              <w:jc w:val="center"/>
              <w:rPr>
                <w:rFonts w:ascii="Verdana" w:eastAsia="Times New Roman" w:hAnsi="Verdana"/>
                <w:color w:val="000066"/>
                <w:sz w:val="18"/>
                <w:szCs w:val="18"/>
              </w:rPr>
            </w:pPr>
            <w:hyperlink r:id="rId306" w:tooltip="See more details" w:history="1">
              <w:r w:rsidR="00EB705F">
                <w:rPr>
                  <w:rStyle w:val="Hyperlink"/>
                  <w:rFonts w:ascii="Verdana" w:eastAsia="Times New Roman" w:hAnsi="Verdana"/>
                  <w:sz w:val="18"/>
                  <w:szCs w:val="18"/>
                </w:rPr>
                <w:t>Y.3060 (ex Y.trust-an)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C1C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C2A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Autonomous networks - overview on trust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C3E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051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53FA516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908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22743" w14:textId="77777777" w:rsidR="00EB705F" w:rsidRPr="00144814" w:rsidRDefault="00BB63EF" w:rsidP="00C9333D">
            <w:pPr>
              <w:jc w:val="center"/>
              <w:rPr>
                <w:rFonts w:ascii="Verdana" w:eastAsia="Times New Roman" w:hAnsi="Verdana"/>
                <w:color w:val="000066"/>
                <w:sz w:val="18"/>
                <w:szCs w:val="18"/>
                <w:lang w:val="fr-FR"/>
              </w:rPr>
            </w:pPr>
            <w:hyperlink r:id="rId307" w:tooltip="See more details" w:history="1">
              <w:r w:rsidR="00EB705F" w:rsidRPr="00144814">
                <w:rPr>
                  <w:rStyle w:val="Hyperlink"/>
                  <w:rFonts w:ascii="Verdana" w:eastAsia="Times New Roman" w:hAnsi="Verdana"/>
                  <w:sz w:val="18"/>
                  <w:szCs w:val="18"/>
                  <w:lang w:val="fr-FR"/>
                </w:rPr>
                <w:t>Y.3083 (ex Y.ICN-SEAN)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909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EF2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Information-centric networking in networks beyond IMT-2020: Reference model of on-site, elastic, and autonomous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77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2289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19EE32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27F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A738CB" w14:textId="77777777" w:rsidR="00EB705F" w:rsidRPr="00144814" w:rsidRDefault="00BB63EF" w:rsidP="00C9333D">
            <w:pPr>
              <w:jc w:val="center"/>
              <w:rPr>
                <w:rFonts w:ascii="Verdana" w:eastAsia="Times New Roman" w:hAnsi="Verdana"/>
                <w:color w:val="000066"/>
                <w:sz w:val="18"/>
                <w:szCs w:val="18"/>
                <w:lang w:val="fr-FR"/>
              </w:rPr>
            </w:pPr>
            <w:hyperlink r:id="rId308" w:tooltip="See more details" w:history="1">
              <w:r w:rsidR="00EB705F" w:rsidRPr="00144814">
                <w:rPr>
                  <w:rStyle w:val="Hyperlink"/>
                  <w:rFonts w:ascii="Verdana" w:eastAsia="Times New Roman" w:hAnsi="Verdana"/>
                  <w:sz w:val="18"/>
                  <w:szCs w:val="18"/>
                  <w:lang w:val="fr-FR"/>
                </w:rPr>
                <w:t>Y.3124 (ex Y.IMT-2020.qos-mon)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ABF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9AC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Quality of service monitoring requirements and framework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1DC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quality of service (QoS) monitoring requirements and framework for IMT-2020 and beyond. It first provides an introduction of QoS monitoring for IMT-2020 and beyond. The QoS monitoring requirements and framework are specified accordingly.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585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F80487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CF9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8DD49E" w14:textId="77777777" w:rsidR="00EB705F" w:rsidRPr="00144814" w:rsidRDefault="00BB63EF" w:rsidP="00C9333D">
            <w:pPr>
              <w:jc w:val="center"/>
              <w:rPr>
                <w:rFonts w:ascii="Verdana" w:eastAsia="Times New Roman" w:hAnsi="Verdana"/>
                <w:color w:val="000066"/>
                <w:sz w:val="18"/>
                <w:szCs w:val="18"/>
                <w:lang w:val="fr-FR"/>
              </w:rPr>
            </w:pPr>
            <w:hyperlink r:id="rId309" w:tooltip="See more details" w:history="1">
              <w:r w:rsidR="00EB705F" w:rsidRPr="00144814">
                <w:rPr>
                  <w:rStyle w:val="Hyperlink"/>
                  <w:rFonts w:ascii="Verdana" w:eastAsia="Times New Roman" w:hAnsi="Verdana"/>
                  <w:sz w:val="18"/>
                  <w:szCs w:val="18"/>
                  <w:lang w:val="fr-FR"/>
                </w:rPr>
                <w:t>Y.3125 (ex Y.IMT2020-qos-req-cg)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22761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D9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QoS assurance requirements and framework for cloud gaming supported by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243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network .</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D842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8B9009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7F4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985A6" w14:textId="77777777" w:rsidR="00EB705F" w:rsidRPr="00144814" w:rsidRDefault="00BB63EF" w:rsidP="00C9333D">
            <w:pPr>
              <w:jc w:val="center"/>
              <w:rPr>
                <w:rFonts w:ascii="Verdana" w:eastAsia="Times New Roman" w:hAnsi="Verdana"/>
                <w:color w:val="000066"/>
                <w:sz w:val="18"/>
                <w:szCs w:val="18"/>
                <w:lang w:val="fr-FR"/>
              </w:rPr>
            </w:pPr>
            <w:hyperlink r:id="rId310" w:tooltip="See more details" w:history="1">
              <w:r w:rsidR="00EB705F" w:rsidRPr="00144814">
                <w:rPr>
                  <w:rStyle w:val="Hyperlink"/>
                  <w:rFonts w:ascii="Verdana" w:eastAsia="Times New Roman" w:hAnsi="Verdana"/>
                  <w:sz w:val="18"/>
                  <w:szCs w:val="18"/>
                  <w:lang w:val="fr-FR"/>
                </w:rPr>
                <w:t>Y.3204 (ex Y.FMSC-SC)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8F0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FAA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Service continuity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84B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service continuity is the ability for a moving object to maintain ongoing service over including current states, such as user's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procedures and security considerations of service continuity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421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1FD37FF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5869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CCEE57" w14:textId="77777777" w:rsidR="00EB705F" w:rsidRPr="00144814" w:rsidRDefault="00BB63EF" w:rsidP="00C9333D">
            <w:pPr>
              <w:jc w:val="center"/>
              <w:rPr>
                <w:rFonts w:ascii="Verdana" w:eastAsia="Times New Roman" w:hAnsi="Verdana"/>
                <w:color w:val="000066"/>
                <w:sz w:val="18"/>
                <w:szCs w:val="18"/>
                <w:lang w:val="fr-FR"/>
              </w:rPr>
            </w:pPr>
            <w:hyperlink r:id="rId311" w:tooltip="See more details" w:history="1">
              <w:r w:rsidR="00EB705F" w:rsidRPr="00144814">
                <w:rPr>
                  <w:rStyle w:val="Hyperlink"/>
                  <w:rFonts w:ascii="Verdana" w:eastAsia="Times New Roman" w:hAnsi="Verdana"/>
                  <w:sz w:val="18"/>
                  <w:szCs w:val="18"/>
                  <w:lang w:val="fr-FR"/>
                </w:rPr>
                <w:t>Y.3815 (ex Y.QKDN-rsfr)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056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002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overview of resilience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AEA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seamless key supply even in the case of network failures, this Recommendation describes an overview of resilience and conceptual models of protection and recovery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FA1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3A87541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035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4B10E" w14:textId="77777777" w:rsidR="00EB705F" w:rsidRPr="004E4C9C" w:rsidRDefault="00BB63EF" w:rsidP="00C9333D">
            <w:pPr>
              <w:jc w:val="center"/>
              <w:rPr>
                <w:rFonts w:ascii="Verdana" w:eastAsia="Times New Roman" w:hAnsi="Verdana"/>
                <w:color w:val="000066"/>
                <w:sz w:val="18"/>
                <w:szCs w:val="18"/>
                <w:lang w:val="pt-BR"/>
              </w:rPr>
            </w:pPr>
            <w:hyperlink r:id="rId312" w:tooltip="See more details" w:history="1">
              <w:r w:rsidR="00EB705F" w:rsidRPr="004E4C9C">
                <w:rPr>
                  <w:rStyle w:val="Hyperlink"/>
                  <w:rFonts w:ascii="Verdana" w:eastAsia="Times New Roman" w:hAnsi="Verdana"/>
                  <w:sz w:val="18"/>
                  <w:szCs w:val="18"/>
                  <w:lang w:val="pt-BR"/>
                </w:rPr>
                <w:t>Y.3816 (ex Y.QKDN-qos-ml-fa)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B93F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D992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 enhancement of machine learning based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979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EB2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773D26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166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D95ED" w14:textId="77777777" w:rsidR="00EB705F" w:rsidRPr="00BB63EF" w:rsidRDefault="00BB63EF" w:rsidP="00C9333D">
            <w:pPr>
              <w:jc w:val="center"/>
              <w:rPr>
                <w:rFonts w:ascii="Verdana" w:eastAsia="Times New Roman" w:hAnsi="Verdana"/>
                <w:color w:val="000066"/>
                <w:sz w:val="18"/>
                <w:szCs w:val="18"/>
                <w:lang w:val="fr-FR"/>
              </w:rPr>
            </w:pPr>
            <w:r>
              <w:fldChar w:fldCharType="begin"/>
            </w:r>
            <w:r w:rsidRPr="00BB63EF">
              <w:rPr>
                <w:lang w:val="fr-FR"/>
              </w:rPr>
              <w:instrText>HYPERLINK "http://www.itu.int/itu-t/workprog/wp_item.aspx?isn=18149" \o "See more details"</w:instrText>
            </w:r>
            <w:r>
              <w:fldChar w:fldCharType="separate"/>
            </w:r>
            <w:r w:rsidR="00EB705F" w:rsidRPr="00BB63EF">
              <w:rPr>
                <w:rStyle w:val="Hyperlink"/>
                <w:rFonts w:ascii="Verdana" w:eastAsia="Times New Roman" w:hAnsi="Verdana"/>
                <w:sz w:val="18"/>
                <w:szCs w:val="18"/>
                <w:lang w:val="fr-FR"/>
              </w:rPr>
              <w:t xml:space="preserve">Y.3817 (ex </w:t>
            </w:r>
            <w:proofErr w:type="gramStart"/>
            <w:r w:rsidR="00EB705F" w:rsidRPr="00BB63EF">
              <w:rPr>
                <w:rStyle w:val="Hyperlink"/>
                <w:rFonts w:ascii="Verdana" w:eastAsia="Times New Roman" w:hAnsi="Verdana"/>
                <w:sz w:val="18"/>
                <w:szCs w:val="18"/>
                <w:lang w:val="fr-FR"/>
              </w:rPr>
              <w:t>Y.QKDN</w:t>
            </w:r>
            <w:proofErr w:type="gramEnd"/>
            <w:r w:rsidR="00EB705F" w:rsidRPr="00BB63EF">
              <w:rPr>
                <w:rStyle w:val="Hyperlink"/>
                <w:rFonts w:ascii="Verdana" w:eastAsia="Times New Roman" w:hAnsi="Verdana"/>
                <w:sz w:val="18"/>
                <w:szCs w:val="18"/>
                <w:lang w:val="fr-FR"/>
              </w:rPr>
              <w:t>-qos-iw-req)</w:t>
            </w:r>
            <w:r>
              <w:rPr>
                <w:rStyle w:val="Hyperlink"/>
                <w:rFonts w:ascii="Verdana" w:eastAsia="Times New Roman" w:hAnsi="Verdana"/>
                <w:sz w:val="18"/>
                <w:szCs w:val="18"/>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D88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FFED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interworking - Requirements of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FB1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30F6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75F9B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B219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2497D7" w14:textId="77777777" w:rsidR="00EB705F" w:rsidRPr="00144814" w:rsidRDefault="00BB63EF" w:rsidP="00C9333D">
            <w:pPr>
              <w:jc w:val="center"/>
              <w:rPr>
                <w:rFonts w:ascii="Verdana" w:eastAsia="Times New Roman" w:hAnsi="Verdana"/>
                <w:color w:val="000066"/>
                <w:sz w:val="18"/>
                <w:szCs w:val="18"/>
                <w:lang w:val="fr-FR"/>
              </w:rPr>
            </w:pPr>
            <w:hyperlink r:id="rId313" w:tooltip="See more details" w:history="1">
              <w:proofErr w:type="spellStart"/>
              <w:r w:rsidR="00EB705F" w:rsidRPr="00144814">
                <w:rPr>
                  <w:rStyle w:val="Hyperlink"/>
                  <w:rFonts w:ascii="Verdana" w:eastAsia="Times New Roman" w:hAnsi="Verdana"/>
                  <w:sz w:val="18"/>
                  <w:szCs w:val="18"/>
                  <w:lang w:val="fr-FR"/>
                </w:rPr>
                <w:t>Y.3818</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Y.QKDN</w:t>
              </w:r>
              <w:proofErr w:type="spellEnd"/>
              <w:proofErr w:type="gramEnd"/>
              <w:r w:rsidR="00EB705F" w:rsidRPr="00144814">
                <w:rPr>
                  <w:rStyle w:val="Hyperlink"/>
                  <w:rFonts w:ascii="Verdana" w:eastAsia="Times New Roman" w:hAnsi="Verdana"/>
                  <w:sz w:val="18"/>
                  <w:szCs w:val="18"/>
                  <w:lang w:val="fr-FR"/>
                </w:rPr>
                <w:t xml:space="preserve">- </w:t>
              </w:r>
              <w:proofErr w:type="spellStart"/>
              <w:r w:rsidR="00EB705F" w:rsidRPr="00144814">
                <w:rPr>
                  <w:rStyle w:val="Hyperlink"/>
                  <w:rFonts w:ascii="Verdana" w:eastAsia="Times New Roman" w:hAnsi="Verdana"/>
                  <w:sz w:val="18"/>
                  <w:szCs w:val="18"/>
                  <w:lang w:val="fr-FR"/>
                </w:rPr>
                <w:t>iwac</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E1E1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264B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interworking -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FF091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quantum key distribution networks (QKDN), Recommendation ITU-T Y.QKDN_iwac specifies functional architecture models for QKDN interworking (QKDNi), i.e., functional architecture with GateWay Nodes (GWNs) and functional architecture with InterWorking Nodes (IWNs). In order realize these two models, it specifies detailed functional elements, basic operational procedures, and architectural configurations for QKDNi.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B8E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60BC009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35A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2B506" w14:textId="77777777" w:rsidR="00EB705F" w:rsidRPr="00144814" w:rsidRDefault="00BB63EF" w:rsidP="00C9333D">
            <w:pPr>
              <w:jc w:val="center"/>
              <w:rPr>
                <w:rFonts w:ascii="Verdana" w:eastAsia="Times New Roman" w:hAnsi="Verdana"/>
                <w:color w:val="000066"/>
                <w:sz w:val="18"/>
                <w:szCs w:val="18"/>
                <w:lang w:val="fr-FR"/>
              </w:rPr>
            </w:pPr>
            <w:hyperlink r:id="rId314" w:tooltip="See more details" w:history="1">
              <w:proofErr w:type="spellStart"/>
              <w:r w:rsidR="00EB705F" w:rsidRPr="00144814">
                <w:rPr>
                  <w:rStyle w:val="Hyperlink"/>
                  <w:rFonts w:ascii="Verdana" w:eastAsia="Times New Roman" w:hAnsi="Verdana"/>
                  <w:sz w:val="18"/>
                  <w:szCs w:val="18"/>
                  <w:lang w:val="fr-FR"/>
                </w:rPr>
                <w:t>Y.3540</w:t>
              </w:r>
              <w:proofErr w:type="spellEnd"/>
              <w:r w:rsidR="00EB705F" w:rsidRPr="00144814">
                <w:rPr>
                  <w:rStyle w:val="Hyperlink"/>
                  <w:rFonts w:ascii="Verdana" w:eastAsia="Times New Roman" w:hAnsi="Verdana"/>
                  <w:sz w:val="18"/>
                  <w:szCs w:val="18"/>
                  <w:lang w:val="fr-FR"/>
                </w:rPr>
                <w:t xml:space="preserve"> (ex Y.ec-</w:t>
              </w:r>
              <w:proofErr w:type="spellStart"/>
              <w:r w:rsidR="00EB705F" w:rsidRPr="00144814">
                <w:rPr>
                  <w:rStyle w:val="Hyperlink"/>
                  <w:rFonts w:ascii="Verdana" w:eastAsia="Times New Roman" w:hAnsi="Verdana"/>
                  <w:sz w:val="18"/>
                  <w:szCs w:val="18"/>
                  <w:lang w:val="fr-FR"/>
                </w:rPr>
                <w:t>reqts</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8752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A1E8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Edge computing - Overview and high-level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F297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9D7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2023-10-22</w:t>
            </w:r>
          </w:p>
        </w:tc>
      </w:tr>
      <w:tr w:rsidR="00EB705F" w14:paraId="175EAEE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0882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37F48" w14:textId="77777777" w:rsidR="00EB705F" w:rsidRPr="004E4C9C" w:rsidRDefault="00BB63EF" w:rsidP="00C9333D">
            <w:pPr>
              <w:jc w:val="center"/>
              <w:rPr>
                <w:rFonts w:ascii="Verdana" w:eastAsia="Times New Roman" w:hAnsi="Verdana"/>
                <w:color w:val="000066"/>
                <w:sz w:val="18"/>
                <w:szCs w:val="18"/>
                <w:lang w:val="pt-BR"/>
              </w:rPr>
            </w:pPr>
            <w:hyperlink r:id="rId315" w:tooltip="See more details" w:history="1">
              <w:r w:rsidR="00EB705F" w:rsidRPr="004E4C9C">
                <w:rPr>
                  <w:rStyle w:val="Hyperlink"/>
                  <w:rFonts w:ascii="Verdana" w:eastAsia="Times New Roman" w:hAnsi="Verdana"/>
                  <w:sz w:val="18"/>
                  <w:szCs w:val="18"/>
                  <w:lang w:val="pt-BR"/>
                </w:rPr>
                <w:t>Y.3159 (ex Y.IMT-2020-NSL-fra)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6BB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24A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classifying network slice level in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65A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1B17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2023-10-23</w:t>
            </w:r>
          </w:p>
        </w:tc>
      </w:tr>
      <w:tr w:rsidR="00EB705F" w14:paraId="643C0E2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99D6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75F91" w14:textId="77777777" w:rsidR="00EB705F" w:rsidRPr="00144814" w:rsidRDefault="00BB63EF" w:rsidP="00C9333D">
            <w:pPr>
              <w:jc w:val="center"/>
              <w:rPr>
                <w:rFonts w:ascii="Verdana" w:eastAsia="Times New Roman" w:hAnsi="Verdana"/>
                <w:color w:val="000066"/>
                <w:sz w:val="18"/>
                <w:szCs w:val="18"/>
                <w:lang w:val="fr-FR"/>
              </w:rPr>
            </w:pPr>
            <w:hyperlink r:id="rId316" w:tooltip="See more details" w:history="1">
              <w:r w:rsidR="00EB705F" w:rsidRPr="00144814">
                <w:rPr>
                  <w:rStyle w:val="Hyperlink"/>
                  <w:rFonts w:ascii="Verdana" w:eastAsia="Times New Roman" w:hAnsi="Verdana"/>
                  <w:sz w:val="18"/>
                  <w:szCs w:val="18"/>
                  <w:lang w:val="fr-FR"/>
                </w:rPr>
                <w:t>Suppl.40 to ITU-T Y-3600 series (ex Y.sup.bdsr2)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AA02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18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and data handling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5A6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318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3F68ABF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77C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C68E4" w14:textId="77777777" w:rsidR="00EB705F" w:rsidRDefault="00BB63EF" w:rsidP="00C9333D">
            <w:pPr>
              <w:jc w:val="center"/>
              <w:rPr>
                <w:rFonts w:ascii="Verdana" w:eastAsia="Times New Roman" w:hAnsi="Verdana"/>
                <w:color w:val="000066"/>
                <w:sz w:val="18"/>
                <w:szCs w:val="18"/>
              </w:rPr>
            </w:pPr>
            <w:hyperlink r:id="rId317" w:tooltip="See more details" w:history="1">
              <w:r w:rsidR="00EB705F">
                <w:rPr>
                  <w:rStyle w:val="Hyperlink"/>
                  <w:rFonts w:ascii="Verdana" w:eastAsia="Times New Roman" w:hAnsi="Verdana"/>
                  <w:sz w:val="18"/>
                  <w:szCs w:val="18"/>
                </w:rPr>
                <w:t>Suppl.59 to ITU-T Y.3100-series (ex roadmap)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0B4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2676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IMT-2020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CF4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C32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3EF0501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9E71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243D5" w14:textId="77777777" w:rsidR="00EB705F" w:rsidRPr="00144814" w:rsidRDefault="00BB63EF" w:rsidP="00C9333D">
            <w:pPr>
              <w:jc w:val="center"/>
              <w:rPr>
                <w:rFonts w:ascii="Verdana" w:eastAsia="Times New Roman" w:hAnsi="Verdana"/>
                <w:color w:val="000066"/>
                <w:sz w:val="18"/>
                <w:szCs w:val="18"/>
                <w:lang w:val="fr-FR"/>
              </w:rPr>
            </w:pPr>
            <w:hyperlink r:id="rId318" w:tooltip="See more details" w:history="1">
              <w:proofErr w:type="spellStart"/>
              <w:r w:rsidR="00EB705F" w:rsidRPr="00144814">
                <w:rPr>
                  <w:rStyle w:val="Hyperlink"/>
                  <w:rFonts w:ascii="Verdana" w:eastAsia="Times New Roman" w:hAnsi="Verdana"/>
                  <w:sz w:val="18"/>
                  <w:szCs w:val="18"/>
                  <w:lang w:val="fr-FR"/>
                </w:rPr>
                <w:t>Supplement</w:t>
              </w:r>
              <w:proofErr w:type="spellEnd"/>
              <w:r w:rsidR="00EB705F" w:rsidRPr="00144814">
                <w:rPr>
                  <w:rStyle w:val="Hyperlink"/>
                  <w:rFonts w:ascii="Verdana" w:eastAsia="Times New Roman" w:hAnsi="Verdana"/>
                  <w:sz w:val="18"/>
                  <w:szCs w:val="18"/>
                  <w:lang w:val="fr-FR"/>
                </w:rPr>
                <w:t xml:space="preserve"> 79 to ITU-T Y.3800-series (ex </w:t>
              </w:r>
              <w:proofErr w:type="gramStart"/>
              <w:r w:rsidR="00EB705F" w:rsidRPr="00144814">
                <w:rPr>
                  <w:rStyle w:val="Hyperlink"/>
                  <w:rFonts w:ascii="Verdana" w:eastAsia="Times New Roman" w:hAnsi="Verdana"/>
                  <w:sz w:val="18"/>
                  <w:szCs w:val="18"/>
                  <w:lang w:val="fr-FR"/>
                </w:rPr>
                <w:t>TR.QKDN</w:t>
              </w:r>
              <w:proofErr w:type="gramEnd"/>
              <w:r w:rsidR="00EB705F" w:rsidRPr="00144814">
                <w:rPr>
                  <w:rStyle w:val="Hyperlink"/>
                  <w:rFonts w:ascii="Verdana" w:eastAsia="Times New Roman" w:hAnsi="Verdana"/>
                  <w:sz w:val="18"/>
                  <w:szCs w:val="18"/>
                  <w:lang w:val="fr-FR"/>
                </w:rPr>
                <w:t>-nq)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30EE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49504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Role in end-to-end cryptographic services with non-quantum cryptography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98CD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For the purpose of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QKDN’s relation to end-to-end cryptography service Examples for the integration with non-quantum cryptography (e.g., PKI architecture) Implications for standardization activity on Study Group 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FFDD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4613EEF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66A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3B03A3" w14:textId="77777777" w:rsidR="00EB705F" w:rsidRDefault="00BB63EF" w:rsidP="00C9333D">
            <w:pPr>
              <w:jc w:val="center"/>
              <w:rPr>
                <w:rFonts w:ascii="Verdana" w:eastAsia="Times New Roman" w:hAnsi="Verdana"/>
                <w:color w:val="000066"/>
                <w:sz w:val="18"/>
                <w:szCs w:val="18"/>
              </w:rPr>
            </w:pPr>
            <w:hyperlink r:id="rId319" w:tooltip="See more details" w:history="1">
              <w:r w:rsidR="00EB705F">
                <w:rPr>
                  <w:rStyle w:val="Hyperlink"/>
                  <w:rFonts w:ascii="Verdana" w:eastAsia="Times New Roman" w:hAnsi="Verdana"/>
                  <w:sz w:val="18"/>
                  <w:szCs w:val="18"/>
                </w:rPr>
                <w:t>Supplement 80 to ITU-T Y.3800-series (ex Y.Supp.QKDN-UC)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075E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E70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FCD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2E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7BB56BF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C39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A45863" w14:textId="77777777" w:rsidR="00EB705F" w:rsidRDefault="00BB63EF" w:rsidP="00C9333D">
            <w:pPr>
              <w:jc w:val="center"/>
              <w:rPr>
                <w:rFonts w:ascii="Verdana" w:eastAsia="Times New Roman" w:hAnsi="Verdana"/>
                <w:color w:val="000066"/>
                <w:sz w:val="18"/>
                <w:szCs w:val="18"/>
              </w:rPr>
            </w:pPr>
            <w:hyperlink r:id="rId320" w:tooltip="See more details" w:history="1">
              <w:r w:rsidR="00EB705F">
                <w:rPr>
                  <w:rStyle w:val="Hyperlink"/>
                  <w:rFonts w:ascii="Verdana" w:eastAsia="Times New Roman" w:hAnsi="Verdana"/>
                  <w:sz w:val="18"/>
                  <w:szCs w:val="18"/>
                </w:rPr>
                <w:t>TR.Reqts-SAN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F97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738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semantic-aware networking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48F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0E5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017E51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B91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92913" w14:textId="77777777" w:rsidR="00EB705F" w:rsidRDefault="00BB63EF" w:rsidP="00C9333D">
            <w:pPr>
              <w:jc w:val="center"/>
              <w:rPr>
                <w:rFonts w:ascii="Verdana" w:eastAsia="Times New Roman" w:hAnsi="Verdana"/>
                <w:color w:val="000066"/>
                <w:sz w:val="18"/>
                <w:szCs w:val="18"/>
              </w:rPr>
            </w:pPr>
            <w:hyperlink r:id="rId321" w:tooltip="See more details" w:history="1">
              <w:r w:rsidR="00EB705F">
                <w:rPr>
                  <w:rStyle w:val="Hyperlink"/>
                  <w:rFonts w:ascii="Verdana" w:eastAsia="Times New Roman" w:hAnsi="Verdana"/>
                  <w:sz w:val="18"/>
                  <w:szCs w:val="18"/>
                </w:rPr>
                <w:t>Y.TR-QN-UC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798E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B5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of quantum networks beyond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AAC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analyses use cases of quantum networks beyond quantum key distribution network (QKDN) in the context of networking technologies as the mandate of ITU-T SG13. The uses cases which are only applied by quantum networks beyond QKDN are collected, investigated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CC9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65E737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F88F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A626A7" w14:textId="77777777" w:rsidR="00EB705F" w:rsidRDefault="00BB63EF" w:rsidP="00C9333D">
            <w:pPr>
              <w:jc w:val="center"/>
              <w:rPr>
                <w:rFonts w:ascii="Verdana" w:eastAsia="Times New Roman" w:hAnsi="Verdana"/>
                <w:color w:val="000066"/>
                <w:sz w:val="18"/>
                <w:szCs w:val="18"/>
              </w:rPr>
            </w:pPr>
            <w:hyperlink r:id="rId322" w:tooltip="See more details" w:history="1">
              <w:r w:rsidR="00EB705F">
                <w:rPr>
                  <w:rStyle w:val="Hyperlink"/>
                  <w:rFonts w:ascii="Verdana" w:eastAsia="Times New Roman" w:hAnsi="Verdana"/>
                  <w:sz w:val="18"/>
                  <w:szCs w:val="18"/>
                </w:rPr>
                <w:t>Y.3802 (2020) Amd1 (ex Y.3802)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58A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52003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E7AC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8C2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726D922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984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510A9" w14:textId="77777777" w:rsidR="00EB705F" w:rsidRDefault="00BB63EF" w:rsidP="00C9333D">
            <w:pPr>
              <w:jc w:val="center"/>
              <w:rPr>
                <w:rFonts w:ascii="Verdana" w:eastAsia="Times New Roman" w:hAnsi="Verdana"/>
                <w:color w:val="000066"/>
                <w:sz w:val="18"/>
                <w:szCs w:val="18"/>
              </w:rPr>
            </w:pPr>
            <w:hyperlink r:id="rId323" w:tooltip="See more details" w:history="1">
              <w:r w:rsidR="00EB705F">
                <w:rPr>
                  <w:rStyle w:val="Hyperlink"/>
                  <w:rFonts w:ascii="Verdana" w:eastAsia="Times New Roman" w:hAnsi="Verdana"/>
                  <w:sz w:val="18"/>
                  <w:szCs w:val="18"/>
                </w:rPr>
                <w:t>Y.3803 (2020) Amd1 (ex Y.3803)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CF5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0C5E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Key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5A8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includes the additional reference point Mx into the Y.3810 “Quantum key distribution network interworking – framework”, Figure 2, that describes a reference model. Mx is responsible for the QKDN manager to communicate management information with other QKDN manager. So Amendment includes the following changes: Revision of Figure 2 of Y.3803 – A functional architecture model of QKDN in clause 7 Functional elements of key management to include the Mx reference point and an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878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79C181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DB1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2C353" w14:textId="77777777" w:rsidR="00EB705F" w:rsidRDefault="00BB63EF" w:rsidP="00C9333D">
            <w:pPr>
              <w:jc w:val="center"/>
              <w:rPr>
                <w:rFonts w:ascii="Verdana" w:eastAsia="Times New Roman" w:hAnsi="Verdana"/>
                <w:color w:val="000066"/>
                <w:sz w:val="18"/>
                <w:szCs w:val="18"/>
              </w:rPr>
            </w:pPr>
            <w:hyperlink r:id="rId324" w:tooltip="See more details" w:history="1">
              <w:r w:rsidR="00EB705F">
                <w:rPr>
                  <w:rStyle w:val="Hyperlink"/>
                  <w:rFonts w:ascii="Verdana" w:eastAsia="Times New Roman" w:hAnsi="Verdana"/>
                  <w:sz w:val="18"/>
                  <w:szCs w:val="18"/>
                </w:rPr>
                <w:t>Y.3804 (2020) Amd1 (ex Y.3804)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9BEE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1ED8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Control and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203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7C8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6610D4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567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5E3941" w14:textId="77777777" w:rsidR="00EB705F" w:rsidRDefault="00BB63EF" w:rsidP="00C9333D">
            <w:pPr>
              <w:jc w:val="center"/>
              <w:rPr>
                <w:rFonts w:ascii="Verdana" w:eastAsia="Times New Roman" w:hAnsi="Verdana"/>
                <w:color w:val="000066"/>
                <w:sz w:val="18"/>
                <w:szCs w:val="18"/>
              </w:rPr>
            </w:pPr>
            <w:hyperlink r:id="rId325" w:tooltip="See more details" w:history="1">
              <w:r w:rsidR="00EB705F">
                <w:rPr>
                  <w:rStyle w:val="Hyperlink"/>
                  <w:rFonts w:ascii="Verdana" w:eastAsia="Times New Roman" w:hAnsi="Verdana"/>
                  <w:sz w:val="18"/>
                  <w:szCs w:val="18"/>
                </w:rPr>
                <w:t>Y.3805 (2021) Amd1 (ex Y.3805)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C757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77B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Software-defined networking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8EB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099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0B09608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595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3A791" w14:textId="77777777" w:rsidR="00EB705F" w:rsidRDefault="00BB63EF" w:rsidP="00C9333D">
            <w:pPr>
              <w:jc w:val="center"/>
              <w:rPr>
                <w:rFonts w:ascii="Verdana" w:eastAsia="Times New Roman" w:hAnsi="Verdana"/>
                <w:color w:val="000066"/>
                <w:sz w:val="18"/>
                <w:szCs w:val="18"/>
              </w:rPr>
            </w:pPr>
            <w:hyperlink r:id="rId326" w:tooltip="See more details" w:history="1">
              <w:r w:rsidR="00EB705F">
                <w:rPr>
                  <w:rStyle w:val="Hyperlink"/>
                  <w:rFonts w:ascii="Verdana" w:eastAsia="Times New Roman" w:hAnsi="Verdana"/>
                  <w:sz w:val="18"/>
                  <w:szCs w:val="18"/>
                </w:rPr>
                <w:t>Y.3811 (2022) Amd1 (ex Y.3811)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1C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039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architecture for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D4A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CBA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47E8AC2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A02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AE297" w14:textId="77777777" w:rsidR="00EB705F" w:rsidRDefault="00BB63EF" w:rsidP="00C9333D">
            <w:pPr>
              <w:jc w:val="center"/>
              <w:rPr>
                <w:rFonts w:ascii="Verdana" w:eastAsia="Times New Roman" w:hAnsi="Verdana"/>
                <w:color w:val="000066"/>
                <w:sz w:val="18"/>
                <w:szCs w:val="18"/>
              </w:rPr>
            </w:pPr>
            <w:hyperlink r:id="rId327" w:tooltip="See more details" w:history="1">
              <w:r w:rsidR="00EB705F">
                <w:rPr>
                  <w:rStyle w:val="Hyperlink"/>
                  <w:rFonts w:ascii="Verdana" w:eastAsia="Times New Roman" w:hAnsi="Verdana"/>
                  <w:sz w:val="18"/>
                  <w:szCs w:val="18"/>
                </w:rPr>
                <w:t>Y.3814 (2023)Amd1 (ex Y.3814)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385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3945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 Functional requirements and architecture for machine learning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FBBC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QKDNml to include the Mx reference point and makes an editorial correction.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23B5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6C2640C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20FC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B697F" w14:textId="77777777" w:rsidR="00EB705F" w:rsidRPr="00144814" w:rsidRDefault="00BB63EF" w:rsidP="00C9333D">
            <w:pPr>
              <w:jc w:val="center"/>
              <w:rPr>
                <w:rFonts w:ascii="Verdana" w:eastAsia="Times New Roman" w:hAnsi="Verdana"/>
                <w:color w:val="000066"/>
                <w:sz w:val="18"/>
                <w:szCs w:val="18"/>
                <w:lang w:val="fr-FR"/>
              </w:rPr>
            </w:pPr>
            <w:hyperlink r:id="rId328" w:tooltip="See more details" w:history="1">
              <w:proofErr w:type="spellStart"/>
              <w:r w:rsidR="00EB705F" w:rsidRPr="00144814">
                <w:rPr>
                  <w:rStyle w:val="Hyperlink"/>
                  <w:rFonts w:ascii="Verdana" w:eastAsia="Times New Roman" w:hAnsi="Verdana"/>
                  <w:sz w:val="18"/>
                  <w:szCs w:val="18"/>
                  <w:lang w:val="fr-FR"/>
                </w:rPr>
                <w:t>Y.2325</w:t>
              </w:r>
              <w:proofErr w:type="spellEnd"/>
              <w:r w:rsidR="00EB705F" w:rsidRPr="00144814">
                <w:rPr>
                  <w:rStyle w:val="Hyperlink"/>
                  <w:rFonts w:ascii="Verdana" w:eastAsia="Times New Roman" w:hAnsi="Verdana"/>
                  <w:sz w:val="18"/>
                  <w:szCs w:val="18"/>
                  <w:lang w:val="fr-FR"/>
                </w:rPr>
                <w:t xml:space="preserve"> (ex </w:t>
              </w:r>
              <w:proofErr w:type="spellStart"/>
              <w:proofErr w:type="gramStart"/>
              <w:r w:rsidR="00EB705F" w:rsidRPr="00144814">
                <w:rPr>
                  <w:rStyle w:val="Hyperlink"/>
                  <w:rFonts w:ascii="Verdana" w:eastAsia="Times New Roman" w:hAnsi="Verdana"/>
                  <w:sz w:val="18"/>
                  <w:szCs w:val="18"/>
                  <w:lang w:val="fr-FR"/>
                </w:rPr>
                <w:t>Y.Arch</w:t>
              </w:r>
              <w:proofErr w:type="gramEnd"/>
              <w:r w:rsidR="00EB705F" w:rsidRPr="00144814">
                <w:rPr>
                  <w:rStyle w:val="Hyperlink"/>
                  <w:rFonts w:ascii="Verdana" w:eastAsia="Times New Roman" w:hAnsi="Verdana"/>
                  <w:sz w:val="18"/>
                  <w:szCs w:val="18"/>
                  <w:lang w:val="fr-FR"/>
                </w:rPr>
                <w:t>_NGNe_ncp</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AFA6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48C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Architectural evolution for Next Generation Network control plane by applying Software-Defined Networking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41B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standardize an evolved NGN control plane architecture which is scalable, simplified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10C6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B1B010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125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348BD" w14:textId="77777777" w:rsidR="00EB705F" w:rsidRDefault="00BB63EF" w:rsidP="00C9333D">
            <w:pPr>
              <w:jc w:val="center"/>
              <w:rPr>
                <w:rFonts w:ascii="Verdana" w:eastAsia="Times New Roman" w:hAnsi="Verdana"/>
                <w:color w:val="000066"/>
                <w:sz w:val="18"/>
                <w:szCs w:val="18"/>
              </w:rPr>
            </w:pPr>
            <w:hyperlink r:id="rId329" w:tooltip="See more details" w:history="1">
              <w:r w:rsidR="00EB705F">
                <w:rPr>
                  <w:rStyle w:val="Hyperlink"/>
                  <w:rFonts w:ascii="Verdana" w:eastAsia="Times New Roman" w:hAnsi="Verdana"/>
                  <w:sz w:val="18"/>
                  <w:szCs w:val="18"/>
                </w:rPr>
                <w:t>Y.2346 (ex Y.SFO)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A67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B42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framework of Service Function Orchestration based on service function chaining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63B34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166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7C56C6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35A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B23070" w14:textId="77777777" w:rsidR="00EB705F" w:rsidRDefault="00BB63EF" w:rsidP="00C9333D">
            <w:pPr>
              <w:jc w:val="center"/>
              <w:rPr>
                <w:rFonts w:ascii="Verdana" w:eastAsia="Times New Roman" w:hAnsi="Verdana"/>
                <w:color w:val="000066"/>
                <w:sz w:val="18"/>
                <w:szCs w:val="18"/>
              </w:rPr>
            </w:pPr>
            <w:hyperlink r:id="rId330" w:tooltip="See more details" w:history="1">
              <w:r w:rsidR="00EB705F">
                <w:rPr>
                  <w:rStyle w:val="Hyperlink"/>
                  <w:rFonts w:ascii="Verdana" w:eastAsia="Times New Roman" w:hAnsi="Verdana"/>
                  <w:sz w:val="18"/>
                  <w:szCs w:val="18"/>
                </w:rPr>
                <w:t>Y.3061 (ex Y.AN-Arch-fw)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F935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89A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Autonomous Networks - Architecture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DDD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requirements, architecture, components and related sequence diagrams which together comprise an architecture framework for autonomous networks. The scope of this Recommendation includes: Requirements for the architecture; Description of the architecture and its components; Sequence diagrams explaining the interactions between the architecture components.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1CD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16C567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BFE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C94ECA" w14:textId="77777777" w:rsidR="00EB705F" w:rsidRPr="004E4C9C" w:rsidRDefault="00BB63EF" w:rsidP="00C9333D">
            <w:pPr>
              <w:jc w:val="center"/>
              <w:rPr>
                <w:rFonts w:ascii="Verdana" w:eastAsia="Times New Roman" w:hAnsi="Verdana"/>
                <w:color w:val="000066"/>
                <w:sz w:val="18"/>
                <w:szCs w:val="18"/>
                <w:lang w:val="pt-BR"/>
              </w:rPr>
            </w:pPr>
            <w:hyperlink r:id="rId331" w:tooltip="See more details" w:history="1">
              <w:r w:rsidR="00EB705F" w:rsidRPr="004E4C9C">
                <w:rPr>
                  <w:rStyle w:val="Hyperlink"/>
                  <w:rFonts w:ascii="Verdana" w:eastAsia="Times New Roman" w:hAnsi="Verdana"/>
                  <w:sz w:val="18"/>
                  <w:szCs w:val="18"/>
                  <w:lang w:val="pt-BR"/>
                </w:rPr>
                <w:t>Y.3091 (ex Y.DTN-CapLevel)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E06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709E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twin network - Capability levels and evaluation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48C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twin network is a virtual representation of the physical network. It is useful for analyzing, diagnosing, simulating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DTN’s capability levels, as well as DTN’s technical maturity levels.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4AA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19A60C9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CFCD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CFBE8" w14:textId="77777777" w:rsidR="00EB705F" w:rsidRPr="004E4C9C" w:rsidRDefault="00BB63EF" w:rsidP="00C9333D">
            <w:pPr>
              <w:jc w:val="center"/>
              <w:rPr>
                <w:rFonts w:ascii="Verdana" w:eastAsia="Times New Roman" w:hAnsi="Verdana"/>
                <w:color w:val="000066"/>
                <w:sz w:val="18"/>
                <w:szCs w:val="18"/>
              </w:rPr>
            </w:pPr>
            <w:hyperlink r:id="rId332" w:tooltip="See more details" w:history="1">
              <w:proofErr w:type="spellStart"/>
              <w:r w:rsidR="00EB705F" w:rsidRPr="004E4C9C">
                <w:rPr>
                  <w:rStyle w:val="Hyperlink"/>
                  <w:rFonts w:ascii="Verdana" w:eastAsia="Times New Roman" w:hAnsi="Verdana"/>
                  <w:sz w:val="18"/>
                  <w:szCs w:val="18"/>
                </w:rPr>
                <w:t>Y.3126</w:t>
              </w:r>
              <w:proofErr w:type="spellEnd"/>
              <w:r w:rsidR="00EB705F" w:rsidRPr="004E4C9C">
                <w:rPr>
                  <w:rStyle w:val="Hyperlink"/>
                  <w:rFonts w:ascii="Verdana" w:eastAsia="Times New Roman" w:hAnsi="Verdana"/>
                  <w:sz w:val="18"/>
                  <w:szCs w:val="18"/>
                </w:rPr>
                <w:t xml:space="preserve"> (ex </w:t>
              </w:r>
              <w:proofErr w:type="spellStart"/>
              <w:r w:rsidR="00EB705F" w:rsidRPr="004E4C9C">
                <w:rPr>
                  <w:rStyle w:val="Hyperlink"/>
                  <w:rFonts w:ascii="Verdana" w:eastAsia="Times New Roman" w:hAnsi="Verdana"/>
                  <w:sz w:val="18"/>
                  <w:szCs w:val="18"/>
                </w:rPr>
                <w:t>Y.det</w:t>
              </w:r>
              <w:proofErr w:type="spellEnd"/>
              <w:r w:rsidR="00EB705F" w:rsidRPr="004E4C9C">
                <w:rPr>
                  <w:rStyle w:val="Hyperlink"/>
                  <w:rFonts w:ascii="Verdana" w:eastAsia="Times New Roman" w:hAnsi="Verdana"/>
                  <w:sz w:val="18"/>
                  <w:szCs w:val="18"/>
                </w:rPr>
                <w:t>-</w:t>
              </w:r>
              <w:proofErr w:type="spellStart"/>
              <w:r w:rsidR="00EB705F" w:rsidRPr="004E4C9C">
                <w:rPr>
                  <w:rStyle w:val="Hyperlink"/>
                  <w:rFonts w:ascii="Verdana" w:eastAsia="Times New Roman" w:hAnsi="Verdana"/>
                  <w:sz w:val="18"/>
                  <w:szCs w:val="18"/>
                </w:rPr>
                <w:t>qos</w:t>
              </w:r>
              <w:proofErr w:type="spellEnd"/>
              <w:r w:rsidR="00EB705F" w:rsidRPr="004E4C9C">
                <w:rPr>
                  <w:rStyle w:val="Hyperlink"/>
                  <w:rFonts w:ascii="Verdana" w:eastAsia="Times New Roman" w:hAnsi="Verdana"/>
                  <w:sz w:val="18"/>
                  <w:szCs w:val="18"/>
                </w:rPr>
                <w:t>-rf-</w:t>
              </w:r>
              <w:proofErr w:type="spellStart"/>
              <w:r w:rsidR="00EB705F" w:rsidRPr="004E4C9C">
                <w:rPr>
                  <w:rStyle w:val="Hyperlink"/>
                  <w:rFonts w:ascii="Verdana" w:eastAsia="Times New Roman" w:hAnsi="Verdana"/>
                  <w:sz w:val="18"/>
                  <w:szCs w:val="18"/>
                </w:rPr>
                <w:t>intwk</w:t>
              </w:r>
              <w:proofErr w:type="spellEnd"/>
              <w:r w:rsidR="00EB705F" w:rsidRPr="004E4C9C">
                <w:rPr>
                  <w:rStyle w:val="Hyperlink"/>
                  <w:rFonts w:ascii="Verdana" w:eastAsia="Times New Roman" w:hAnsi="Verdana"/>
                  <w:sz w:val="18"/>
                  <w:szCs w:val="18"/>
                </w:rPr>
                <w:t>-</w:t>
              </w:r>
              <w:proofErr w:type="spellStart"/>
              <w:r w:rsidR="00EB705F" w:rsidRPr="004E4C9C">
                <w:rPr>
                  <w:rStyle w:val="Hyperlink"/>
                  <w:rFonts w:ascii="Verdana" w:eastAsia="Times New Roman" w:hAnsi="Verdana"/>
                  <w:sz w:val="18"/>
                  <w:szCs w:val="18"/>
                </w:rPr>
                <w:t>lan</w:t>
              </w:r>
              <w:proofErr w:type="spellEnd"/>
              <w:r w:rsidR="00EB705F" w:rsidRPr="004E4C9C">
                <w:rPr>
                  <w:rStyle w:val="Hyperlink"/>
                  <w:rFonts w:ascii="Verdana" w:eastAsia="Times New Roman" w:hAnsi="Verdana"/>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18BC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0ECC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QoS requirements and framework of interworking capability for supporting deterministic communication services in local area network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83FA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Interworking capability is an essential function to support QoS-guaranteed data transmission across heterogeneous networks. The data transmission of deterministic communication service in local network usually involves in multiple technology domains. In order to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F77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8E00C8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EA6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0B534" w14:textId="77777777" w:rsidR="00EB705F" w:rsidRPr="00144814" w:rsidRDefault="00BB63EF" w:rsidP="00C9333D">
            <w:pPr>
              <w:jc w:val="center"/>
              <w:rPr>
                <w:rFonts w:ascii="Verdana" w:eastAsia="Times New Roman" w:hAnsi="Verdana"/>
                <w:color w:val="000066"/>
                <w:sz w:val="18"/>
                <w:szCs w:val="18"/>
                <w:lang w:val="fr-FR"/>
              </w:rPr>
            </w:pPr>
            <w:hyperlink r:id="rId333" w:tooltip="See more details" w:history="1">
              <w:r w:rsidR="00EB705F" w:rsidRPr="00144814">
                <w:rPr>
                  <w:rStyle w:val="Hyperlink"/>
                  <w:rFonts w:ascii="Verdana" w:eastAsia="Times New Roman" w:hAnsi="Verdana"/>
                  <w:sz w:val="18"/>
                  <w:szCs w:val="18"/>
                  <w:lang w:val="fr-FR"/>
                </w:rPr>
                <w:t>Y.3127 (ex Y.IMT2020-SOCN-req-frame)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8433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5802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Future networks including IMT-2020 - Requirements and framework for self-organizing core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273B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framework and general procedures of self-organizing core network, in the context of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E36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1E64C8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4E87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FBEF1" w14:textId="77777777" w:rsidR="00EB705F" w:rsidRPr="00144814" w:rsidRDefault="00BB63EF" w:rsidP="00C9333D">
            <w:pPr>
              <w:jc w:val="center"/>
              <w:rPr>
                <w:rFonts w:ascii="Verdana" w:eastAsia="Times New Roman" w:hAnsi="Verdana"/>
                <w:color w:val="000066"/>
                <w:sz w:val="18"/>
                <w:szCs w:val="18"/>
                <w:lang w:val="fr-FR"/>
              </w:rPr>
            </w:pPr>
            <w:hyperlink r:id="rId334" w:tooltip="See more details" w:history="1">
              <w:r w:rsidR="00EB705F" w:rsidRPr="00144814">
                <w:rPr>
                  <w:rStyle w:val="Hyperlink"/>
                  <w:rFonts w:ascii="Verdana" w:eastAsia="Times New Roman" w:hAnsi="Verdana"/>
                  <w:sz w:val="18"/>
                  <w:szCs w:val="18"/>
                  <w:lang w:val="fr-FR"/>
                </w:rPr>
                <w:t>Y.3128 (ex Y.IMT2020-NFC-req)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3CED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7BD1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network function communication between Public Networks and public network integrated Non-Public Networks in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04B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F24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B1465D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2E7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53A0FB" w14:textId="77777777" w:rsidR="00EB705F" w:rsidRDefault="00BB63EF" w:rsidP="00C9333D">
            <w:pPr>
              <w:jc w:val="center"/>
              <w:rPr>
                <w:rFonts w:ascii="Verdana" w:eastAsia="Times New Roman" w:hAnsi="Verdana"/>
                <w:color w:val="000066"/>
                <w:sz w:val="18"/>
                <w:szCs w:val="18"/>
              </w:rPr>
            </w:pPr>
            <w:hyperlink r:id="rId335" w:tooltip="See more details" w:history="1">
              <w:r w:rsidR="00EB705F">
                <w:rPr>
                  <w:rStyle w:val="Hyperlink"/>
                  <w:rFonts w:ascii="Verdana" w:eastAsia="Times New Roman" w:hAnsi="Verdana"/>
                  <w:sz w:val="18"/>
                  <w:szCs w:val="18"/>
                </w:rPr>
                <w:t>Y.3141 (ex Y.IMT2020-REEM)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391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55C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B4B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D6E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EFE72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92CA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D1BC8" w14:textId="77777777" w:rsidR="00EB705F" w:rsidRPr="00144814" w:rsidRDefault="00BB63EF" w:rsidP="00C9333D">
            <w:pPr>
              <w:jc w:val="center"/>
              <w:rPr>
                <w:rFonts w:ascii="Verdana" w:eastAsia="Times New Roman" w:hAnsi="Verdana"/>
                <w:color w:val="000066"/>
                <w:sz w:val="18"/>
                <w:szCs w:val="18"/>
                <w:lang w:val="fr-FR"/>
              </w:rPr>
            </w:pPr>
            <w:hyperlink r:id="rId336" w:tooltip="See more details" w:history="1">
              <w:r w:rsidR="00EB705F" w:rsidRPr="00144814">
                <w:rPr>
                  <w:rStyle w:val="Hyperlink"/>
                  <w:rFonts w:ascii="Verdana" w:eastAsia="Times New Roman" w:hAnsi="Verdana"/>
                  <w:sz w:val="18"/>
                  <w:szCs w:val="18"/>
                  <w:lang w:val="fr-FR"/>
                </w:rPr>
                <w:t>Y.3161 (ex Y.IMT2020-IBNMO)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FBA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1CA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Intent-based network management and orchestration for network slicing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64558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objective of this Recommendation is to specify a intent-based network management and orchestration for network slicing in IMT-2020 networks and beyond. This architecture guides the network slice deployment and management based on intent-based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1CF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23C83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D34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CDBE5" w14:textId="77777777" w:rsidR="00EB705F" w:rsidRDefault="00BB63EF" w:rsidP="00C9333D">
            <w:pPr>
              <w:jc w:val="center"/>
              <w:rPr>
                <w:rFonts w:ascii="Verdana" w:eastAsia="Times New Roman" w:hAnsi="Verdana"/>
                <w:color w:val="000066"/>
                <w:sz w:val="18"/>
                <w:szCs w:val="18"/>
              </w:rPr>
            </w:pPr>
            <w:hyperlink r:id="rId337" w:tooltip="See more details" w:history="1">
              <w:r w:rsidR="00EB705F">
                <w:rPr>
                  <w:rStyle w:val="Hyperlink"/>
                  <w:rFonts w:ascii="Verdana" w:eastAsia="Times New Roman" w:hAnsi="Verdana"/>
                  <w:sz w:val="18"/>
                  <w:szCs w:val="18"/>
                </w:rPr>
                <w:t>Y.3185 (ex Y.Arch-INRA)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CEA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EA2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intelligent awareness of network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1E9F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3B2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53B62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A6C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FC20E" w14:textId="77777777" w:rsidR="00EB705F" w:rsidRPr="00144814" w:rsidRDefault="00BB63EF" w:rsidP="00C9333D">
            <w:pPr>
              <w:jc w:val="center"/>
              <w:rPr>
                <w:rFonts w:ascii="Verdana" w:eastAsia="Times New Roman" w:hAnsi="Verdana"/>
                <w:color w:val="000066"/>
                <w:sz w:val="18"/>
                <w:szCs w:val="18"/>
                <w:lang w:val="fr-FR"/>
              </w:rPr>
            </w:pPr>
            <w:hyperlink r:id="rId338" w:tooltip="See more details" w:history="1">
              <w:r w:rsidR="00EB705F" w:rsidRPr="00144814">
                <w:rPr>
                  <w:rStyle w:val="Hyperlink"/>
                  <w:rFonts w:ascii="Verdana" w:eastAsia="Times New Roman" w:hAnsi="Verdana"/>
                  <w:sz w:val="18"/>
                  <w:szCs w:val="18"/>
                  <w:lang w:val="fr-FR"/>
                </w:rPr>
                <w:t>Y.3205 (ex Y.FMSC-IUSU-req)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467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01A9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Requirements of integrated user-centric service units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7EB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framework and security considerations of IUSU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E367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538590B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2F21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181834" w14:textId="77777777" w:rsidR="00EB705F" w:rsidRPr="00144814" w:rsidRDefault="00BB63EF" w:rsidP="00C9333D">
            <w:pPr>
              <w:jc w:val="center"/>
              <w:rPr>
                <w:rFonts w:ascii="Verdana" w:eastAsia="Times New Roman" w:hAnsi="Verdana"/>
                <w:color w:val="000066"/>
                <w:sz w:val="18"/>
                <w:szCs w:val="18"/>
                <w:lang w:val="fr-FR"/>
              </w:rPr>
            </w:pPr>
            <w:hyperlink r:id="rId339" w:tooltip="See more details" w:history="1">
              <w:r w:rsidR="00EB705F" w:rsidRPr="00144814">
                <w:rPr>
                  <w:rStyle w:val="Hyperlink"/>
                  <w:rFonts w:ascii="Verdana" w:eastAsia="Times New Roman" w:hAnsi="Verdana"/>
                  <w:sz w:val="18"/>
                  <w:szCs w:val="18"/>
                  <w:lang w:val="fr-FR"/>
                </w:rPr>
                <w:t>Y.3206 (ex Y.FMSC-CE)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57B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C44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Fixed, mobile and satellite convergence - Capability exposure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D8B9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capability exposure provides functionalities for network functions to expose their capabilities to third parties (e.g.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procedures and security considerations of capability exposure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223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FFFC66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EDE9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DC2E2" w14:textId="77777777" w:rsidR="00EB705F" w:rsidRPr="00144814" w:rsidRDefault="00BB63EF" w:rsidP="00C9333D">
            <w:pPr>
              <w:jc w:val="center"/>
              <w:rPr>
                <w:rFonts w:ascii="Verdana" w:eastAsia="Times New Roman" w:hAnsi="Verdana"/>
                <w:color w:val="000066"/>
                <w:sz w:val="18"/>
                <w:szCs w:val="18"/>
                <w:lang w:val="fr-FR"/>
              </w:rPr>
            </w:pPr>
            <w:hyperlink r:id="rId340" w:tooltip="See more details" w:history="1">
              <w:r w:rsidR="00EB705F" w:rsidRPr="00144814">
                <w:rPr>
                  <w:rStyle w:val="Hyperlink"/>
                  <w:rFonts w:ascii="Verdana" w:eastAsia="Times New Roman" w:hAnsi="Verdana"/>
                  <w:sz w:val="18"/>
                  <w:szCs w:val="18"/>
                  <w:lang w:val="fr-FR"/>
                </w:rPr>
                <w:t>Y.3400 (ex Y.IMT2020-CNC-req)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A40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6FC38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Coordination of networking and computing in IMT-2020 networks and beyond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CB1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emergence of new services puts forward the need for the support of critical service requirements on computing, networking and storage resources at the same time. The coordination among resources of the same or different types (computing, networking and storage resource types) is necessary. By the application of the coordination of utilization, control and management of computing, storage, and networking resources for the purpose of provisioning and optimization, satisfaction of requirements of resources' users and improvement of resource utilization may be achieved. This Recommendation specifies the requirements for coordination of networking and computing in IMT-2020 networks and beyond (CNC).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754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DE9A31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AE4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CB5F8D" w14:textId="77777777" w:rsidR="00EB705F" w:rsidRPr="00144814" w:rsidRDefault="00BB63EF" w:rsidP="00C9333D">
            <w:pPr>
              <w:jc w:val="center"/>
              <w:rPr>
                <w:rFonts w:ascii="Verdana" w:eastAsia="Times New Roman" w:hAnsi="Verdana"/>
                <w:color w:val="000066"/>
                <w:sz w:val="18"/>
                <w:szCs w:val="18"/>
                <w:lang w:val="fr-FR"/>
              </w:rPr>
            </w:pPr>
            <w:hyperlink r:id="rId341" w:tooltip="See more details" w:history="1">
              <w:r w:rsidR="00EB705F" w:rsidRPr="00144814">
                <w:rPr>
                  <w:rStyle w:val="Hyperlink"/>
                  <w:rFonts w:ascii="Verdana" w:eastAsia="Times New Roman" w:hAnsi="Verdana"/>
                  <w:sz w:val="18"/>
                  <w:szCs w:val="18"/>
                  <w:lang w:val="fr-FR"/>
                </w:rPr>
                <w:t>Y.3533 (ex Y.RaaS-reqts)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1D98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0AF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Cloud computing - Functional requirements for robotics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65A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A7C9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2FF1D6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228B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4B83A" w14:textId="77777777" w:rsidR="00EB705F" w:rsidRPr="004E4C9C" w:rsidRDefault="00BB63EF" w:rsidP="00C9333D">
            <w:pPr>
              <w:jc w:val="center"/>
              <w:rPr>
                <w:rFonts w:ascii="Verdana" w:eastAsia="Times New Roman" w:hAnsi="Verdana"/>
                <w:color w:val="000066"/>
                <w:sz w:val="18"/>
                <w:szCs w:val="18"/>
                <w:lang w:val="pt-BR"/>
              </w:rPr>
            </w:pPr>
            <w:hyperlink r:id="rId342" w:tooltip="See more details" w:history="1">
              <w:r w:rsidR="00EB705F" w:rsidRPr="004E4C9C">
                <w:rPr>
                  <w:rStyle w:val="Hyperlink"/>
                  <w:rFonts w:ascii="Verdana" w:eastAsia="Times New Roman" w:hAnsi="Verdana"/>
                  <w:sz w:val="18"/>
                  <w:szCs w:val="18"/>
                  <w:lang w:val="pt-BR"/>
                </w:rPr>
                <w:t>Y.3550 (ex Y.ccabom-reqts)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C36D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1225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Cloud computing - Requirements for AI based cloud service development and operation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D01A1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673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0568F66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1723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CBEC89" w14:textId="77777777" w:rsidR="00EB705F" w:rsidRPr="00144814" w:rsidRDefault="00BB63EF" w:rsidP="00C9333D">
            <w:pPr>
              <w:jc w:val="center"/>
              <w:rPr>
                <w:rFonts w:ascii="Verdana" w:eastAsia="Times New Roman" w:hAnsi="Verdana"/>
                <w:color w:val="000066"/>
                <w:sz w:val="18"/>
                <w:szCs w:val="18"/>
                <w:lang w:val="fr-FR"/>
              </w:rPr>
            </w:pPr>
            <w:hyperlink r:id="rId343" w:tooltip="See more details" w:history="1">
              <w:r w:rsidR="00EB705F" w:rsidRPr="00144814">
                <w:rPr>
                  <w:rStyle w:val="Hyperlink"/>
                  <w:rFonts w:ascii="Verdana" w:eastAsia="Times New Roman" w:hAnsi="Verdana"/>
                  <w:sz w:val="18"/>
                  <w:szCs w:val="18"/>
                  <w:lang w:val="fr-FR"/>
                </w:rPr>
                <w:t>Y.3657 (ex Y.bDDN-NVReqCap)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3E1EE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33992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Big data driven networking- requirements and capabilities of network visibility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7009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and capabilities of network visibility for big-data-driven networking (bDDN). It focuses on the scenario where network infrastructure layer of bDDN corresponds to IP bearer network. The scope of this Recommendation includes the following aspects of network visibility of bDDN: overview for network visibility of big-data-driven networking, requirements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DE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9F7BB9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06F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8D1A42" w14:textId="77777777" w:rsidR="00EB705F" w:rsidRPr="00144814" w:rsidRDefault="00BB63EF" w:rsidP="00C9333D">
            <w:pPr>
              <w:jc w:val="center"/>
              <w:rPr>
                <w:rFonts w:ascii="Verdana" w:eastAsia="Times New Roman" w:hAnsi="Verdana"/>
                <w:color w:val="000066"/>
                <w:sz w:val="18"/>
                <w:szCs w:val="18"/>
                <w:lang w:val="fr-FR"/>
              </w:rPr>
            </w:pPr>
            <w:hyperlink r:id="rId344" w:tooltip="See more details" w:history="1">
              <w:r w:rsidR="00EB705F" w:rsidRPr="00144814">
                <w:rPr>
                  <w:rStyle w:val="Hyperlink"/>
                  <w:rFonts w:ascii="Verdana" w:eastAsia="Times New Roman" w:hAnsi="Verdana"/>
                  <w:sz w:val="18"/>
                  <w:szCs w:val="18"/>
                  <w:lang w:val="fr-FR"/>
                </w:rPr>
                <w:t>Y.3819 (ex Y.QKDN-amc)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351E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4B4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Quantum key distribution networks Requirements and architectural model for autonomic management and control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030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(QKDNamc) including an overview, requirements, considerations for cognition process, an architectural model, and example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7D3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7BA7CA2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E54A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71F5C" w14:textId="77777777" w:rsidR="00EB705F" w:rsidRDefault="00BB63EF" w:rsidP="00C9333D">
            <w:pPr>
              <w:jc w:val="center"/>
              <w:rPr>
                <w:rFonts w:ascii="Verdana" w:eastAsia="Times New Roman" w:hAnsi="Verdana"/>
                <w:color w:val="000066"/>
                <w:sz w:val="18"/>
                <w:szCs w:val="18"/>
              </w:rPr>
            </w:pPr>
            <w:hyperlink r:id="rId345" w:tooltip="See more details" w:history="1">
              <w:r w:rsidR="00EB705F">
                <w:rPr>
                  <w:rStyle w:val="Hyperlink"/>
                  <w:rFonts w:ascii="Verdana" w:eastAsia="Times New Roman" w:hAnsi="Verdana"/>
                  <w:sz w:val="18"/>
                  <w:szCs w:val="18"/>
                </w:rPr>
                <w:t>G.698.1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ADB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383C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112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C96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29D000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02F8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332C9" w14:textId="77777777" w:rsidR="00EB705F" w:rsidRDefault="00BB63EF" w:rsidP="00C9333D">
            <w:pPr>
              <w:jc w:val="center"/>
              <w:rPr>
                <w:rFonts w:ascii="Verdana" w:eastAsia="Times New Roman" w:hAnsi="Verdana"/>
                <w:color w:val="000066"/>
                <w:sz w:val="18"/>
                <w:szCs w:val="18"/>
              </w:rPr>
            </w:pPr>
            <w:hyperlink r:id="rId346" w:tooltip="See more details" w:history="1">
              <w:r w:rsidR="00EB705F">
                <w:rPr>
                  <w:rStyle w:val="Hyperlink"/>
                  <w:rFonts w:ascii="Verdana" w:eastAsia="Times New Roman" w:hAnsi="Verdana"/>
                  <w:sz w:val="18"/>
                  <w:szCs w:val="18"/>
                </w:rPr>
                <w:t>G.698.4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033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E307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bi-directional DWDM applications with port agnostic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9AF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D175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D830DC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163E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675118" w14:textId="77777777" w:rsidR="00EB705F" w:rsidRDefault="00BB63EF" w:rsidP="00C9333D">
            <w:pPr>
              <w:jc w:val="center"/>
              <w:rPr>
                <w:rFonts w:ascii="Verdana" w:eastAsia="Times New Roman" w:hAnsi="Verdana"/>
                <w:color w:val="000066"/>
                <w:sz w:val="18"/>
                <w:szCs w:val="18"/>
              </w:rPr>
            </w:pPr>
            <w:hyperlink r:id="rId347" w:tooltip="See more details" w:history="1">
              <w:r w:rsidR="00EB705F">
                <w:rPr>
                  <w:rStyle w:val="Hyperlink"/>
                  <w:rFonts w:ascii="Verdana" w:eastAsia="Times New Roman" w:hAnsi="Verdana"/>
                  <w:sz w:val="18"/>
                  <w:szCs w:val="18"/>
                </w:rPr>
                <w:t>G.8013/Y.1731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9ED4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5835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Operation, administration and maintenance (OAM) functions and mechanisms for Ethernet-based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A80C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B84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3C9509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370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F52104" w14:textId="77777777" w:rsidR="00EB705F" w:rsidRDefault="00BB63EF" w:rsidP="00C9333D">
            <w:pPr>
              <w:jc w:val="center"/>
              <w:rPr>
                <w:rFonts w:ascii="Verdana" w:eastAsia="Times New Roman" w:hAnsi="Verdana"/>
                <w:color w:val="000066"/>
                <w:sz w:val="18"/>
                <w:szCs w:val="18"/>
              </w:rPr>
            </w:pPr>
            <w:hyperlink r:id="rId348" w:tooltip="See more details" w:history="1">
              <w:r w:rsidR="00EB705F">
                <w:rPr>
                  <w:rStyle w:val="Hyperlink"/>
                  <w:rFonts w:ascii="Verdana" w:eastAsia="Times New Roman" w:hAnsi="Verdana"/>
                  <w:sz w:val="18"/>
                  <w:szCs w:val="18"/>
                </w:rPr>
                <w:t>G.8051/Y.1345 (2020)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005D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97F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the Ethernet transport (ET) capable network element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2706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ETHx_FT function in clause 8.5, the MI signals for the ETHx/MCC function in clause 8.6, the one-way synthetic loss measurement (1SL) management information (MI) signal for the ETHDe_FT_Sk function in clause 8.8 and the on-demand and proactive loss measurement requirements in clause 10.2. The 2018 revision of this Recommendation updated the fault cause persistency function at the ETH connection (ETH-C) function for ring protection, the configuration management for protection switching and connection functions. Finally, in alignment with Recommendation </w:t>
            </w:r>
            <w:r>
              <w:rPr>
                <w:rFonts w:ascii="Verdana" w:eastAsia="Times New Roman" w:hAnsi="Verdana"/>
                <w:color w:val="000066"/>
                <w:sz w:val="18"/>
                <w:szCs w:val="18"/>
              </w:rPr>
              <w:lastRenderedPageBreak/>
              <w:t>ITU-T G.8021/Y.1341, this revision removed both fault management functions and the management information (MI) signals that are related to ETYn_TT, ODUkP-X-L/MT_A and ETYn/ETH_A. This revision also removed the MI signals to activate processes in adaptation functions (i.e., MI_Active). The 2020 revision of this Recommendation has updated clause 6 to clause 8 by referring to Recommendation ITU-T G.7710/Y.1701; the fault cause persistency function, and the provisioning and reporting for adaptation functions for FlexE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4FC1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2023-06-13</w:t>
            </w:r>
          </w:p>
        </w:tc>
      </w:tr>
      <w:tr w:rsidR="00EB705F" w14:paraId="569163B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1EB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24B70" w14:textId="77777777" w:rsidR="00EB705F" w:rsidRDefault="00BB63EF" w:rsidP="00C9333D">
            <w:pPr>
              <w:jc w:val="center"/>
              <w:rPr>
                <w:rFonts w:ascii="Verdana" w:eastAsia="Times New Roman" w:hAnsi="Verdana"/>
                <w:color w:val="000066"/>
                <w:sz w:val="18"/>
                <w:szCs w:val="18"/>
              </w:rPr>
            </w:pPr>
            <w:hyperlink r:id="rId349" w:tooltip="See more details" w:history="1">
              <w:r w:rsidR="00EB705F">
                <w:rPr>
                  <w:rStyle w:val="Hyperlink"/>
                  <w:rFonts w:ascii="Verdana" w:eastAsia="Times New Roman" w:hAnsi="Verdana"/>
                  <w:sz w:val="18"/>
                  <w:szCs w:val="18"/>
                </w:rPr>
                <w:t>G.8271.1/Y.1366.1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B4CC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50E0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90F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Change non-inclusive language in line with IEEE1588g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812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605E0E7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BAE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50C12E" w14:textId="77777777" w:rsidR="00EB705F" w:rsidRDefault="00BB63EF" w:rsidP="00C9333D">
            <w:pPr>
              <w:jc w:val="center"/>
              <w:rPr>
                <w:rFonts w:ascii="Verdana" w:eastAsia="Times New Roman" w:hAnsi="Verdana"/>
                <w:color w:val="000066"/>
                <w:sz w:val="18"/>
                <w:szCs w:val="18"/>
              </w:rPr>
            </w:pPr>
            <w:hyperlink r:id="rId350" w:tooltip="See more details" w:history="1">
              <w:r w:rsidR="00EB705F">
                <w:rPr>
                  <w:rStyle w:val="Hyperlink"/>
                  <w:rFonts w:ascii="Verdana" w:eastAsia="Times New Roman" w:hAnsi="Verdana"/>
                  <w:sz w:val="18"/>
                  <w:szCs w:val="18"/>
                </w:rPr>
                <w:t>G.8273.2/Y.1368.2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FD3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2490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telecom boundary clocks and telecom time synchronous clocks for use with full timing support from the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3B3D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D696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E72A23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E7D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EF7B8" w14:textId="77777777" w:rsidR="00EB705F" w:rsidRDefault="00BB63EF" w:rsidP="00C9333D">
            <w:pPr>
              <w:jc w:val="center"/>
              <w:rPr>
                <w:rFonts w:ascii="Verdana" w:eastAsia="Times New Roman" w:hAnsi="Verdana"/>
                <w:color w:val="000066"/>
                <w:sz w:val="18"/>
                <w:szCs w:val="18"/>
              </w:rPr>
            </w:pPr>
            <w:hyperlink r:id="rId351" w:tooltip="See more details" w:history="1">
              <w:r w:rsidR="00EB705F">
                <w:rPr>
                  <w:rStyle w:val="Hyperlink"/>
                  <w:rFonts w:ascii="Verdana" w:eastAsia="Times New Roman" w:hAnsi="Verdana"/>
                  <w:sz w:val="18"/>
                  <w:szCs w:val="18"/>
                </w:rPr>
                <w:t>G.8273/Y.1368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20B9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A346B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phase and time clocks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DCB4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C3DF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8DD5A0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FF7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B4B1F" w14:textId="77777777" w:rsidR="00EB705F" w:rsidRDefault="00BB63EF" w:rsidP="00C9333D">
            <w:pPr>
              <w:jc w:val="center"/>
              <w:rPr>
                <w:rFonts w:ascii="Verdana" w:eastAsia="Times New Roman" w:hAnsi="Verdana"/>
                <w:color w:val="000066"/>
                <w:sz w:val="18"/>
                <w:szCs w:val="18"/>
              </w:rPr>
            </w:pPr>
            <w:hyperlink r:id="rId352" w:tooltip="See more details" w:history="1">
              <w:r w:rsidR="00EB705F">
                <w:rPr>
                  <w:rStyle w:val="Hyperlink"/>
                  <w:rFonts w:ascii="Verdana" w:eastAsia="Times New Roman" w:hAnsi="Verdana"/>
                  <w:sz w:val="18"/>
                  <w:szCs w:val="18"/>
                </w:rPr>
                <w:t>G.9805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DDE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F105D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Coexistence of Passive Optical Network Systems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79EA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0C2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5B8E45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4BE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993DCE" w14:textId="77777777" w:rsidR="00EB705F" w:rsidRDefault="00BB63EF" w:rsidP="00C9333D">
            <w:pPr>
              <w:jc w:val="center"/>
              <w:rPr>
                <w:rFonts w:ascii="Verdana" w:eastAsia="Times New Roman" w:hAnsi="Verdana"/>
                <w:color w:val="000066"/>
                <w:sz w:val="18"/>
                <w:szCs w:val="18"/>
              </w:rPr>
            </w:pPr>
            <w:hyperlink r:id="rId353" w:tooltip="See more details" w:history="1">
              <w:r w:rsidR="00EB705F">
                <w:rPr>
                  <w:rStyle w:val="Hyperlink"/>
                  <w:rFonts w:ascii="Verdana" w:eastAsia="Times New Roman" w:hAnsi="Verdana"/>
                  <w:sz w:val="18"/>
                  <w:szCs w:val="18"/>
                </w:rPr>
                <w:t>G.987.2 (2023)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4A6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F212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10-Gigabit-capable passive optical networks (XG-PON): Physical media dependent (PMD)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86FA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Amendment 1 restores the X/S figure (Figure 10-1).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B004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ECF62C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1CAFF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6EF05" w14:textId="77777777" w:rsidR="00EB705F" w:rsidRDefault="00BB63EF" w:rsidP="00C9333D">
            <w:pPr>
              <w:jc w:val="center"/>
              <w:rPr>
                <w:rFonts w:ascii="Verdana" w:eastAsia="Times New Roman" w:hAnsi="Verdana"/>
                <w:color w:val="000066"/>
                <w:sz w:val="18"/>
                <w:szCs w:val="18"/>
              </w:rPr>
            </w:pPr>
            <w:hyperlink r:id="rId354" w:tooltip="See more details" w:history="1">
              <w:r w:rsidR="00EB705F">
                <w:rPr>
                  <w:rStyle w:val="Hyperlink"/>
                  <w:rFonts w:ascii="Verdana" w:eastAsia="Times New Roman" w:hAnsi="Verdana"/>
                  <w:sz w:val="18"/>
                  <w:szCs w:val="18"/>
                </w:rPr>
                <w:t>G.989.3 (2021)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C62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48C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40-Gigabit-capable passive optical networks (NG-PON2):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00CF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1 to ITU-T Recommendation G.989.3 Rev 2 (2021) incorporates regular maintenance items, supplying new Appendix XI describing the behavior of an NG-PON2 ONU in the Emeregency Stop state, introducing the deactivation reason code reported downstream for offline troubleshooting purposes, and fixing the inconsistency in handling of the Forgotten ONU timer TO6.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35E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8D90FA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0E45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DF8B" w14:textId="77777777" w:rsidR="00EB705F" w:rsidRDefault="00BB63EF" w:rsidP="00C9333D">
            <w:pPr>
              <w:jc w:val="center"/>
              <w:rPr>
                <w:rFonts w:ascii="Verdana" w:eastAsia="Times New Roman" w:hAnsi="Verdana"/>
                <w:color w:val="000066"/>
                <w:sz w:val="18"/>
                <w:szCs w:val="18"/>
              </w:rPr>
            </w:pPr>
            <w:hyperlink r:id="rId355" w:tooltip="See more details" w:history="1">
              <w:r w:rsidR="00EB705F">
                <w:rPr>
                  <w:rStyle w:val="Hyperlink"/>
                  <w:rFonts w:ascii="Verdana" w:eastAsia="Times New Roman" w:hAnsi="Verdana"/>
                  <w:sz w:val="18"/>
                  <w:szCs w:val="18"/>
                </w:rPr>
                <w:t>G.9960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A8F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933CE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93A94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D105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432B9E1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3A1C4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5BF336" w14:textId="77777777" w:rsidR="00EB705F" w:rsidRDefault="00BB63EF" w:rsidP="00C9333D">
            <w:pPr>
              <w:jc w:val="center"/>
              <w:rPr>
                <w:rFonts w:ascii="Verdana" w:eastAsia="Times New Roman" w:hAnsi="Verdana"/>
                <w:color w:val="000066"/>
                <w:sz w:val="18"/>
                <w:szCs w:val="18"/>
              </w:rPr>
            </w:pPr>
            <w:hyperlink r:id="rId356" w:tooltip="See more details" w:history="1">
              <w:r w:rsidR="00EB705F">
                <w:rPr>
                  <w:rStyle w:val="Hyperlink"/>
                  <w:rFonts w:ascii="Verdana" w:eastAsia="Times New Roman" w:hAnsi="Verdana"/>
                  <w:sz w:val="18"/>
                  <w:szCs w:val="18"/>
                </w:rPr>
                <w:t>G.9963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E3E8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0187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Multiple input/multiple output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FC2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ITU-T G.9961 and ITU-T G.9963 interoperate when used on the same wires.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41E4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596904B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D50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F682F" w14:textId="77777777" w:rsidR="00EB705F" w:rsidRDefault="00BB63EF" w:rsidP="00C9333D">
            <w:pPr>
              <w:jc w:val="center"/>
              <w:rPr>
                <w:rFonts w:ascii="Verdana" w:eastAsia="Times New Roman" w:hAnsi="Verdana"/>
                <w:color w:val="000066"/>
                <w:sz w:val="18"/>
                <w:szCs w:val="18"/>
              </w:rPr>
            </w:pPr>
            <w:hyperlink r:id="rId357" w:tooltip="See more details" w:history="1">
              <w:r w:rsidR="00EB705F">
                <w:rPr>
                  <w:rStyle w:val="Hyperlink"/>
                  <w:rFonts w:ascii="Verdana" w:eastAsia="Times New Roman" w:hAnsi="Verdana"/>
                  <w:sz w:val="18"/>
                  <w:szCs w:val="18"/>
                </w:rPr>
                <w:t>L.340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CA0E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673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Maintenance of telecommunication underground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4E4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DF4B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2FBFBC6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E610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17F263" w14:textId="77777777" w:rsidR="00EB705F" w:rsidRPr="004E4C9C" w:rsidRDefault="00BB63EF" w:rsidP="00C9333D">
            <w:pPr>
              <w:jc w:val="center"/>
              <w:rPr>
                <w:rFonts w:ascii="Verdana" w:eastAsia="Times New Roman" w:hAnsi="Verdana"/>
                <w:color w:val="000066"/>
                <w:sz w:val="18"/>
                <w:szCs w:val="18"/>
                <w:lang w:val="pt-BR"/>
              </w:rPr>
            </w:pPr>
            <w:hyperlink r:id="rId358" w:tooltip="See more details" w:history="1">
              <w:r w:rsidR="00EB705F" w:rsidRPr="004E4C9C">
                <w:rPr>
                  <w:rStyle w:val="Hyperlink"/>
                  <w:rFonts w:ascii="Verdana" w:eastAsia="Times New Roman" w:hAnsi="Verdana"/>
                  <w:sz w:val="18"/>
                  <w:szCs w:val="18"/>
                  <w:lang w:val="pt-BR"/>
                </w:rPr>
                <w:t>G.9802.2 (ex G.WDMPON.pmd&amp;tc)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A7E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353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Wavelength division multiplexed passive optical networks (WDM PON): physical media dependent (PMD) layer and transmission convergence (TC)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7E6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0B3D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2023-07-22</w:t>
            </w:r>
          </w:p>
        </w:tc>
      </w:tr>
      <w:tr w:rsidR="00EB705F" w14:paraId="2E11FF6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BCD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EFF5E9" w14:textId="77777777" w:rsidR="00EB705F" w:rsidRDefault="00BB63EF" w:rsidP="00C9333D">
            <w:pPr>
              <w:jc w:val="center"/>
              <w:rPr>
                <w:rFonts w:ascii="Verdana" w:eastAsia="Times New Roman" w:hAnsi="Verdana"/>
                <w:color w:val="000066"/>
                <w:sz w:val="18"/>
                <w:szCs w:val="18"/>
              </w:rPr>
            </w:pPr>
            <w:hyperlink r:id="rId359" w:tooltip="See more details" w:history="1">
              <w:r w:rsidR="00EB705F">
                <w:rPr>
                  <w:rStyle w:val="Hyperlink"/>
                  <w:rFonts w:ascii="Verdana" w:eastAsia="Times New Roman" w:hAnsi="Verdana"/>
                  <w:sz w:val="18"/>
                  <w:szCs w:val="18"/>
                </w:rPr>
                <w:t>G.709.1/Y.1331 (2018)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9DD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830D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short-reach interfaces -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AEDF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4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F83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2023-08-22</w:t>
            </w:r>
          </w:p>
        </w:tc>
      </w:tr>
      <w:tr w:rsidR="00EB705F" w14:paraId="03EE9F0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80E3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B069E" w14:textId="77777777" w:rsidR="00EB705F" w:rsidRDefault="00BB63EF" w:rsidP="00C9333D">
            <w:pPr>
              <w:jc w:val="center"/>
              <w:rPr>
                <w:rFonts w:ascii="Verdana" w:eastAsia="Times New Roman" w:hAnsi="Verdana"/>
                <w:color w:val="000066"/>
                <w:sz w:val="18"/>
                <w:szCs w:val="18"/>
              </w:rPr>
            </w:pPr>
            <w:hyperlink r:id="rId360" w:tooltip="See more details" w:history="1">
              <w:r w:rsidR="00EB705F">
                <w:rPr>
                  <w:rStyle w:val="Hyperlink"/>
                  <w:rFonts w:ascii="Verdana" w:eastAsia="Times New Roman" w:hAnsi="Verdana"/>
                  <w:sz w:val="18"/>
                  <w:szCs w:val="18"/>
                </w:rPr>
                <w:t>G.798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999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8E66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ACC21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E7B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2023-09-06</w:t>
            </w:r>
          </w:p>
        </w:tc>
      </w:tr>
      <w:tr w:rsidR="00EB705F" w14:paraId="1310298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57DB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73003" w14:textId="77777777" w:rsidR="00EB705F" w:rsidRDefault="00BB63EF" w:rsidP="00C9333D">
            <w:pPr>
              <w:jc w:val="center"/>
              <w:rPr>
                <w:rFonts w:ascii="Verdana" w:eastAsia="Times New Roman" w:hAnsi="Verdana"/>
                <w:color w:val="000066"/>
                <w:sz w:val="18"/>
                <w:szCs w:val="18"/>
              </w:rPr>
            </w:pPr>
            <w:hyperlink r:id="rId361" w:tooltip="See more details" w:history="1">
              <w:r w:rsidR="00EB705F">
                <w:rPr>
                  <w:rStyle w:val="Hyperlink"/>
                  <w:rFonts w:ascii="Verdana" w:eastAsia="Times New Roman" w:hAnsi="Verdana"/>
                  <w:sz w:val="18"/>
                  <w:szCs w:val="18"/>
                </w:rPr>
                <w:t>G.9940 (ex G.fin-SA)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49C9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5F1A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system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392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G.fin-SA belongs to the family of ITU-T G.fin Recommendations. Recommendation G.fin-SA specifies the system architecture and requirements for high speed fibre-based in-premises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076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EB705F" w14:paraId="461AD37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51B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CA49D" w14:textId="77777777" w:rsidR="00EB705F" w:rsidRDefault="00BB63EF" w:rsidP="00C9333D">
            <w:pPr>
              <w:jc w:val="center"/>
              <w:rPr>
                <w:rFonts w:ascii="Verdana" w:eastAsia="Times New Roman" w:hAnsi="Verdana"/>
                <w:color w:val="000066"/>
                <w:sz w:val="18"/>
                <w:szCs w:val="18"/>
              </w:rPr>
            </w:pPr>
            <w:hyperlink r:id="rId362" w:tooltip="See more details" w:history="1">
              <w:r w:rsidR="00EB705F">
                <w:rPr>
                  <w:rStyle w:val="Hyperlink"/>
                  <w:rFonts w:ascii="Verdana" w:eastAsia="Times New Roman" w:hAnsi="Verdana"/>
                  <w:sz w:val="18"/>
                  <w:szCs w:val="18"/>
                </w:rPr>
                <w:t>G.9961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3ED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D92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22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331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2023-12-02</w:t>
            </w:r>
          </w:p>
        </w:tc>
      </w:tr>
      <w:tr w:rsidR="00EB705F" w14:paraId="561A7D6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E3086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76B3341C" w14:textId="77777777" w:rsidR="00EB705F" w:rsidRDefault="00BB63EF" w:rsidP="00C9333D">
            <w:pPr>
              <w:jc w:val="center"/>
              <w:rPr>
                <w:rFonts w:ascii="Verdana" w:eastAsia="Times New Roman" w:hAnsi="Verdana"/>
                <w:color w:val="000066"/>
                <w:sz w:val="18"/>
                <w:szCs w:val="18"/>
              </w:rPr>
            </w:pPr>
            <w:hyperlink r:id="rId363" w:tooltip="See more details" w:history="1">
              <w:r w:rsidR="00EB705F">
                <w:rPr>
                  <w:rStyle w:val="Hyperlink"/>
                  <w:rFonts w:ascii="Verdana" w:eastAsia="Times New Roman" w:hAnsi="Verdana"/>
                  <w:sz w:val="18"/>
                  <w:szCs w:val="18"/>
                </w:rPr>
                <w:t>G.9964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3E3163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49D872E1" w14:textId="77777777" w:rsidR="00EB705F"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Unified high-speed wireline-based home networking transceivers – Power spectral density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FBC0A57" w14:textId="77777777" w:rsidR="00EB705F" w:rsidRPr="00110DED"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3BE574F6" w14:textId="77777777" w:rsidR="00EB705F" w:rsidRDefault="00EB705F" w:rsidP="00C9333D">
            <w:pPr>
              <w:rPr>
                <w:rFonts w:ascii="Verdana" w:eastAsia="Times New Roman" w:hAnsi="Verdana"/>
                <w:color w:val="000066"/>
                <w:sz w:val="18"/>
                <w:szCs w:val="18"/>
              </w:rPr>
            </w:pPr>
            <w:r w:rsidRPr="00110DED">
              <w:rPr>
                <w:rFonts w:ascii="Verdana" w:eastAsia="Times New Roman" w:hAnsi="Verdana"/>
                <w:color w:val="000066"/>
                <w:sz w:val="18"/>
                <w:szCs w:val="18"/>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6CC4D489" w14:textId="77777777" w:rsidR="00EB705F" w:rsidRDefault="00EB705F" w:rsidP="00C9333D">
            <w:pPr>
              <w:jc w:val="center"/>
              <w:rPr>
                <w:rFonts w:ascii="Verdana" w:eastAsia="Times New Roman" w:hAnsi="Verdana"/>
                <w:color w:val="000066"/>
                <w:sz w:val="18"/>
                <w:szCs w:val="18"/>
              </w:rPr>
            </w:pPr>
          </w:p>
        </w:tc>
      </w:tr>
      <w:tr w:rsidR="00EB705F" w14:paraId="120614C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AFA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70E976" w14:textId="77777777" w:rsidR="00EB705F" w:rsidRPr="004E4C9C" w:rsidRDefault="00BB63EF" w:rsidP="00C9333D">
            <w:pPr>
              <w:jc w:val="center"/>
              <w:rPr>
                <w:rFonts w:ascii="Verdana" w:eastAsia="Times New Roman" w:hAnsi="Verdana"/>
                <w:color w:val="000066"/>
                <w:sz w:val="18"/>
                <w:szCs w:val="18"/>
                <w:lang w:val="pt-BR"/>
              </w:rPr>
            </w:pPr>
            <w:hyperlink r:id="rId364" w:tooltip="See more details" w:history="1">
              <w:r w:rsidR="00EB705F" w:rsidRPr="004E4C9C">
                <w:rPr>
                  <w:rStyle w:val="Hyperlink"/>
                  <w:rFonts w:ascii="Verdana" w:eastAsia="Times New Roman" w:hAnsi="Verdana"/>
                  <w:sz w:val="18"/>
                  <w:szCs w:val="18"/>
                  <w:lang w:val="pt-BR"/>
                </w:rPr>
                <w:t>F.749.16 (ex F.CUAV-LX)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922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ADE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logistics express delivery based on civilian unmanned aerial vehicles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1A8A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EA8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EB705F" w14:paraId="0EF9E5F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57D6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BC707" w14:textId="77777777" w:rsidR="00EB705F" w:rsidRPr="00144814" w:rsidRDefault="00BB63EF" w:rsidP="00C9333D">
            <w:pPr>
              <w:jc w:val="center"/>
              <w:rPr>
                <w:rFonts w:ascii="Verdana" w:eastAsia="Times New Roman" w:hAnsi="Verdana"/>
                <w:color w:val="000066"/>
                <w:sz w:val="18"/>
                <w:szCs w:val="18"/>
                <w:lang w:val="fr-FR"/>
              </w:rPr>
            </w:pPr>
            <w:hyperlink r:id="rId365" w:tooltip="See more details" w:history="1">
              <w:r w:rsidR="00EB705F" w:rsidRPr="00144814">
                <w:rPr>
                  <w:rStyle w:val="Hyperlink"/>
                  <w:rFonts w:ascii="Verdana" w:eastAsia="Times New Roman" w:hAnsi="Verdana"/>
                  <w:sz w:val="18"/>
                  <w:szCs w:val="18"/>
                  <w:lang w:val="fr-FR"/>
                </w:rPr>
                <w:t>F.751.8 (ex H.DLT-TFR)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F3F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C875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Technical framework for DLT to cope with regulation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8440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749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2023-07-10</w:t>
            </w:r>
          </w:p>
        </w:tc>
      </w:tr>
      <w:tr w:rsidR="00EB705F" w14:paraId="1FB650B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80C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BEBF1" w14:textId="77777777" w:rsidR="00EB705F" w:rsidRDefault="00BB63EF" w:rsidP="00C9333D">
            <w:pPr>
              <w:jc w:val="center"/>
              <w:rPr>
                <w:rFonts w:ascii="Verdana" w:eastAsia="Times New Roman" w:hAnsi="Verdana"/>
                <w:color w:val="000066"/>
                <w:sz w:val="18"/>
                <w:szCs w:val="18"/>
              </w:rPr>
            </w:pPr>
            <w:hyperlink r:id="rId366" w:tooltip="See more details" w:history="1">
              <w:r w:rsidR="00EB705F">
                <w:rPr>
                  <w:rStyle w:val="Hyperlink"/>
                  <w:rFonts w:ascii="Verdana" w:eastAsia="Times New Roman" w:hAnsi="Verdana"/>
                  <w:sz w:val="18"/>
                  <w:szCs w:val="18"/>
                </w:rPr>
                <w:t>FSTP-ACC-Rural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7703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9BF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of accessibility to multimedia systems in rural and out-of-home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FE9A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connectivity and electricity. Such a unit is expected to provide inclusion of persons with disabilities, with auditory processing disorder and visual impairment, while promoting faster comprehension of the content delivered.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F421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65B580A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5390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ADE29" w14:textId="77777777" w:rsidR="00EB705F" w:rsidRDefault="00BB63EF" w:rsidP="00C9333D">
            <w:pPr>
              <w:jc w:val="center"/>
              <w:rPr>
                <w:rFonts w:ascii="Verdana" w:eastAsia="Times New Roman" w:hAnsi="Verdana"/>
                <w:color w:val="000066"/>
                <w:sz w:val="18"/>
                <w:szCs w:val="18"/>
              </w:rPr>
            </w:pPr>
            <w:hyperlink r:id="rId367" w:tooltip="See more details" w:history="1">
              <w:r w:rsidR="00EB705F">
                <w:rPr>
                  <w:rStyle w:val="Hyperlink"/>
                  <w:rFonts w:ascii="Verdana" w:eastAsia="Times New Roman" w:hAnsi="Verdana"/>
                  <w:sz w:val="18"/>
                  <w:szCs w:val="18"/>
                </w:rPr>
                <w:t>T.801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9A87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A14B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Extensions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DA5F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 and is common text with ISO/IEC 15444-2.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7BFD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2023-08-29</w:t>
            </w:r>
          </w:p>
        </w:tc>
      </w:tr>
      <w:tr w:rsidR="00EB705F" w14:paraId="07FD0FC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498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266654" w14:textId="77777777" w:rsidR="00EB705F" w:rsidRDefault="00BB63EF" w:rsidP="00C9333D">
            <w:pPr>
              <w:jc w:val="center"/>
              <w:rPr>
                <w:rFonts w:ascii="Verdana" w:eastAsia="Times New Roman" w:hAnsi="Verdana"/>
                <w:color w:val="000066"/>
                <w:sz w:val="18"/>
                <w:szCs w:val="18"/>
              </w:rPr>
            </w:pPr>
            <w:hyperlink r:id="rId368" w:tooltip="See more details" w:history="1">
              <w:r w:rsidR="00EB705F">
                <w:rPr>
                  <w:rStyle w:val="Hyperlink"/>
                  <w:rFonts w:ascii="Verdana" w:eastAsia="Times New Roman" w:hAnsi="Verdana"/>
                  <w:sz w:val="18"/>
                  <w:szCs w:val="18"/>
                </w:rPr>
                <w:t>F.740.3 (ex F.ARMSMeta)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07B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DC06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BBE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Augmented reality cultural service system (ARCSS) is a kind of digital interpretation system based on augmented reality (AR), it is able to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BA02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BD0A7C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5243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22834" w14:textId="77777777" w:rsidR="00EB705F" w:rsidRPr="004E4C9C" w:rsidRDefault="00BB63EF" w:rsidP="00C9333D">
            <w:pPr>
              <w:jc w:val="center"/>
              <w:rPr>
                <w:rFonts w:ascii="Verdana" w:eastAsia="Times New Roman" w:hAnsi="Verdana"/>
                <w:color w:val="000066"/>
                <w:sz w:val="18"/>
                <w:szCs w:val="18"/>
                <w:lang w:val="pt-BR"/>
              </w:rPr>
            </w:pPr>
            <w:hyperlink r:id="rId369" w:tooltip="See more details" w:history="1">
              <w:r w:rsidR="00EB705F" w:rsidRPr="004E4C9C">
                <w:rPr>
                  <w:rStyle w:val="Hyperlink"/>
                  <w:rFonts w:ascii="Verdana" w:eastAsia="Times New Roman" w:hAnsi="Verdana"/>
                  <w:sz w:val="18"/>
                  <w:szCs w:val="18"/>
                  <w:lang w:val="pt-BR"/>
                </w:rPr>
                <w:t>F.740.4 (ex F.DC-IAA-Meta)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FD51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ED4D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image aesthetics assessment with aesthetic attributes in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D7A1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camera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BBF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B4F810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1DE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73BD9" w14:textId="77777777" w:rsidR="00EB705F" w:rsidRPr="00144814" w:rsidRDefault="00BB63EF" w:rsidP="00C9333D">
            <w:pPr>
              <w:jc w:val="center"/>
              <w:rPr>
                <w:rFonts w:ascii="Verdana" w:eastAsia="Times New Roman" w:hAnsi="Verdana"/>
                <w:color w:val="000066"/>
                <w:sz w:val="18"/>
                <w:szCs w:val="18"/>
                <w:lang w:val="fr-FR"/>
              </w:rPr>
            </w:pPr>
            <w:hyperlink r:id="rId370" w:tooltip="See more details" w:history="1">
              <w:r w:rsidR="00EB705F" w:rsidRPr="00144814">
                <w:rPr>
                  <w:rStyle w:val="Hyperlink"/>
                  <w:rFonts w:ascii="Verdana" w:eastAsia="Times New Roman" w:hAnsi="Verdana"/>
                  <w:sz w:val="18"/>
                  <w:szCs w:val="18"/>
                  <w:lang w:val="fr-FR"/>
                </w:rPr>
                <w:t>F.740.5 (ex F.DC-AWBE)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3FD96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55C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Data collection and annotation requirements for automatic white balance (AWB) enhancement in mobile terminal for digital 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7F5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BCFC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A6532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6B5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FB64B" w14:textId="77777777" w:rsidR="00EB705F" w:rsidRPr="00144814" w:rsidRDefault="00BB63EF" w:rsidP="00C9333D">
            <w:pPr>
              <w:jc w:val="center"/>
              <w:rPr>
                <w:rFonts w:ascii="Verdana" w:eastAsia="Times New Roman" w:hAnsi="Verdana"/>
                <w:color w:val="000066"/>
                <w:sz w:val="18"/>
                <w:szCs w:val="18"/>
                <w:lang w:val="fr-FR"/>
              </w:rPr>
            </w:pPr>
            <w:hyperlink r:id="rId371" w:tooltip="See more details" w:history="1">
              <w:r w:rsidR="00EB705F" w:rsidRPr="00144814">
                <w:rPr>
                  <w:rStyle w:val="Hyperlink"/>
                  <w:rFonts w:ascii="Verdana" w:eastAsia="Times New Roman" w:hAnsi="Verdana"/>
                  <w:sz w:val="18"/>
                  <w:szCs w:val="18"/>
                  <w:lang w:val="fr-FR"/>
                </w:rPr>
                <w:t>F.740.6 (ex F.DC-EMES-RAS)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12D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EEB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framework and requirements for Internet protocol multimedia subsystem early media and extension service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211C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4E0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829F65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0C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EE5E4" w14:textId="77777777" w:rsidR="00EB705F" w:rsidRPr="00144814" w:rsidRDefault="00BB63EF" w:rsidP="00C9333D">
            <w:pPr>
              <w:jc w:val="center"/>
              <w:rPr>
                <w:rFonts w:ascii="Verdana" w:eastAsia="Times New Roman" w:hAnsi="Verdana"/>
                <w:color w:val="000066"/>
                <w:sz w:val="18"/>
                <w:szCs w:val="18"/>
                <w:lang w:val="fr-FR"/>
              </w:rPr>
            </w:pPr>
            <w:hyperlink r:id="rId372" w:tooltip="See more details" w:history="1">
              <w:r w:rsidR="00EB705F" w:rsidRPr="00144814">
                <w:rPr>
                  <w:rStyle w:val="Hyperlink"/>
                  <w:rFonts w:ascii="Verdana" w:eastAsia="Times New Roman" w:hAnsi="Verdana"/>
                  <w:sz w:val="18"/>
                  <w:szCs w:val="18"/>
                  <w:lang w:val="fr-FR"/>
                </w:rPr>
                <w:t>F.740.7 (ex F.DC-MTCPS)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61C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73E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and requirements for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BAB63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so as to provide end users better photography experiences. The aim is to define the reference architecture and requirements for the mobile terminal photography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CB6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13712E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D1D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B7D8BF" w14:textId="77777777" w:rsidR="00EB705F" w:rsidRDefault="00BB63EF" w:rsidP="00C9333D">
            <w:pPr>
              <w:jc w:val="center"/>
              <w:rPr>
                <w:rFonts w:ascii="Verdana" w:eastAsia="Times New Roman" w:hAnsi="Verdana"/>
                <w:color w:val="000066"/>
                <w:sz w:val="18"/>
                <w:szCs w:val="18"/>
              </w:rPr>
            </w:pPr>
            <w:hyperlink r:id="rId373" w:tooltip="See more details" w:history="1">
              <w:r w:rsidR="00EB705F">
                <w:rPr>
                  <w:rStyle w:val="Hyperlink"/>
                  <w:rFonts w:ascii="Verdana" w:eastAsia="Times New Roman" w:hAnsi="Verdana"/>
                  <w:sz w:val="18"/>
                  <w:szCs w:val="18"/>
                </w:rPr>
                <w:t>F.744.5 (ex F.CDN-P2P)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2EF9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DD2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content delivery networks based on P2P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4ABD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F05D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4504E1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E1F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753383" w14:textId="77777777" w:rsidR="00EB705F" w:rsidRDefault="00BB63EF" w:rsidP="00C9333D">
            <w:pPr>
              <w:jc w:val="center"/>
              <w:rPr>
                <w:rFonts w:ascii="Verdana" w:eastAsia="Times New Roman" w:hAnsi="Verdana"/>
                <w:color w:val="000066"/>
                <w:sz w:val="18"/>
                <w:szCs w:val="18"/>
              </w:rPr>
            </w:pPr>
            <w:hyperlink r:id="rId374" w:tooltip="See more details" w:history="1">
              <w:r w:rsidR="00EB705F">
                <w:rPr>
                  <w:rStyle w:val="Hyperlink"/>
                  <w:rFonts w:ascii="Verdana" w:eastAsia="Times New Roman" w:hAnsi="Verdana"/>
                  <w:sz w:val="18"/>
                  <w:szCs w:val="18"/>
                </w:rPr>
                <w:t>F.747.13 (ex F.CEC)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600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9BAA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framework of cloud-edge collaboration in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E2FB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requirements and reference framework of cloud-edge collaboration in industrial machine vision systems, and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8A37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17F3F3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57F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14E1BE" w14:textId="77777777" w:rsidR="00EB705F" w:rsidRDefault="00BB63EF" w:rsidP="00C9333D">
            <w:pPr>
              <w:jc w:val="center"/>
              <w:rPr>
                <w:rFonts w:ascii="Verdana" w:eastAsia="Times New Roman" w:hAnsi="Verdana"/>
                <w:color w:val="000066"/>
                <w:sz w:val="18"/>
                <w:szCs w:val="18"/>
              </w:rPr>
            </w:pPr>
            <w:hyperlink r:id="rId375" w:tooltip="See more details" w:history="1">
              <w:r w:rsidR="00EB705F">
                <w:rPr>
                  <w:rStyle w:val="Hyperlink"/>
                  <w:rFonts w:ascii="Verdana" w:eastAsia="Times New Roman" w:hAnsi="Verdana"/>
                  <w:sz w:val="18"/>
                  <w:szCs w:val="18"/>
                </w:rPr>
                <w:t>F.748.22 (ex H.FDISarch)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523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E41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F10E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the architecture, the functional entities, and the reference points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826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955854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9E2F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44B4F" w14:textId="77777777" w:rsidR="00EB705F" w:rsidRDefault="00BB63EF" w:rsidP="00C9333D">
            <w:pPr>
              <w:jc w:val="center"/>
              <w:rPr>
                <w:rFonts w:ascii="Verdana" w:eastAsia="Times New Roman" w:hAnsi="Verdana"/>
                <w:color w:val="000066"/>
                <w:sz w:val="18"/>
                <w:szCs w:val="18"/>
              </w:rPr>
            </w:pPr>
            <w:hyperlink r:id="rId376" w:tooltip="See more details" w:history="1">
              <w:r w:rsidR="00EB705F">
                <w:rPr>
                  <w:rStyle w:val="Hyperlink"/>
                  <w:rFonts w:ascii="Verdana" w:eastAsia="Times New Roman" w:hAnsi="Verdana"/>
                  <w:sz w:val="18"/>
                  <w:szCs w:val="18"/>
                </w:rPr>
                <w:t>F.748.25 (ex F.AI-SCS)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9F7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6C5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speech interaction of intelligent customer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1DF4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scenarios, high-layer level architecture, functional requirements and performance requirements for speech interaction of intelligent customer service. Some detailed use cases and reference process of the creation of the knowledge base are described in the appendix.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00D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C69D4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632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289C2A" w14:textId="77777777" w:rsidR="00EB705F" w:rsidRPr="00144814" w:rsidRDefault="00BB63EF" w:rsidP="00C9333D">
            <w:pPr>
              <w:jc w:val="center"/>
              <w:rPr>
                <w:rFonts w:ascii="Verdana" w:eastAsia="Times New Roman" w:hAnsi="Verdana"/>
                <w:color w:val="000066"/>
                <w:sz w:val="18"/>
                <w:szCs w:val="18"/>
                <w:lang w:val="fr-FR"/>
              </w:rPr>
            </w:pPr>
            <w:hyperlink r:id="rId377" w:tooltip="See more details" w:history="1">
              <w:r w:rsidR="00EB705F" w:rsidRPr="00144814">
                <w:rPr>
                  <w:rStyle w:val="Hyperlink"/>
                  <w:rFonts w:ascii="Verdana" w:eastAsia="Times New Roman" w:hAnsi="Verdana"/>
                  <w:sz w:val="18"/>
                  <w:szCs w:val="18"/>
                  <w:lang w:val="fr-FR"/>
                </w:rPr>
                <w:t>F.751.10 (ex H.DLT-DCS)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BF6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A9E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2C1A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54D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166306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F7BE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41CFD5" w14:textId="77777777" w:rsidR="00EB705F" w:rsidRPr="00144814" w:rsidRDefault="00BB63EF" w:rsidP="00C9333D">
            <w:pPr>
              <w:jc w:val="center"/>
              <w:rPr>
                <w:rFonts w:ascii="Verdana" w:eastAsia="Times New Roman" w:hAnsi="Verdana"/>
                <w:color w:val="000066"/>
                <w:sz w:val="18"/>
                <w:szCs w:val="18"/>
                <w:lang w:val="fr-FR"/>
              </w:rPr>
            </w:pPr>
            <w:hyperlink r:id="rId378" w:tooltip="See more details" w:history="1">
              <w:r w:rsidR="00EB705F" w:rsidRPr="00144814">
                <w:rPr>
                  <w:rStyle w:val="Hyperlink"/>
                  <w:rFonts w:ascii="Verdana" w:eastAsia="Times New Roman" w:hAnsi="Verdana"/>
                  <w:sz w:val="18"/>
                  <w:szCs w:val="18"/>
                  <w:lang w:val="fr-FR"/>
                </w:rPr>
                <w:t>F.751.11 (ex H.DLT-PTS)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F0E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E77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Performance test suite for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560C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comprehensively, and find the most suitable path to improve the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131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5D60F3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AC2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F673BE" w14:textId="77777777" w:rsidR="00EB705F" w:rsidRPr="00144814" w:rsidRDefault="00BB63EF" w:rsidP="00C9333D">
            <w:pPr>
              <w:jc w:val="center"/>
              <w:rPr>
                <w:rFonts w:ascii="Verdana" w:eastAsia="Times New Roman" w:hAnsi="Verdana"/>
                <w:color w:val="000066"/>
                <w:sz w:val="18"/>
                <w:szCs w:val="18"/>
                <w:lang w:val="fr-FR"/>
              </w:rPr>
            </w:pPr>
            <w:hyperlink r:id="rId379" w:tooltip="See more details" w:history="1">
              <w:r w:rsidR="00EB705F" w:rsidRPr="00144814">
                <w:rPr>
                  <w:rStyle w:val="Hyperlink"/>
                  <w:rFonts w:ascii="Verdana" w:eastAsia="Times New Roman" w:hAnsi="Verdana"/>
                  <w:sz w:val="18"/>
                  <w:szCs w:val="18"/>
                  <w:lang w:val="fr-FR"/>
                </w:rPr>
                <w:t>F.751.12 (ex H.DLT-VERI)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C328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F76B9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Formal verification framework for smart contract on distributed ledger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E817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contracts can be used to reduce complex business contracts by directly enforcing the contract's payment methods and paybacks, and by automating the process of contract execution and verification into the network, without the intervention and cost of the person checking the contract's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requirement and architecture in its framework, as well as the main technical direction of its formal method component. This Recommendation can be used as a guideline for smart contract developer to build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CB8C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900026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30C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9EBD8" w14:textId="77777777" w:rsidR="00EB705F" w:rsidRPr="00144814" w:rsidRDefault="00BB63EF" w:rsidP="00C9333D">
            <w:pPr>
              <w:jc w:val="center"/>
              <w:rPr>
                <w:rFonts w:ascii="Verdana" w:eastAsia="Times New Roman" w:hAnsi="Verdana"/>
                <w:color w:val="000066"/>
                <w:sz w:val="18"/>
                <w:szCs w:val="18"/>
                <w:lang w:val="fr-FR"/>
              </w:rPr>
            </w:pPr>
            <w:hyperlink r:id="rId380" w:tooltip="See more details" w:history="1">
              <w:r w:rsidR="00EB705F" w:rsidRPr="00144814">
                <w:rPr>
                  <w:rStyle w:val="Hyperlink"/>
                  <w:rFonts w:ascii="Verdana" w:eastAsia="Times New Roman" w:hAnsi="Verdana"/>
                  <w:sz w:val="18"/>
                  <w:szCs w:val="18"/>
                  <w:lang w:val="fr-FR"/>
                </w:rPr>
                <w:t>F.751.13 (ex F.DLT-DPT)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396A4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EF1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distributed ledger technology-based distributed power trading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6414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779E4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4357771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69FA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6E223" w14:textId="77777777" w:rsidR="00EB705F" w:rsidRDefault="00BB63EF" w:rsidP="00C9333D">
            <w:pPr>
              <w:jc w:val="center"/>
              <w:rPr>
                <w:rFonts w:ascii="Verdana" w:eastAsia="Times New Roman" w:hAnsi="Verdana"/>
                <w:color w:val="000066"/>
                <w:sz w:val="18"/>
                <w:szCs w:val="18"/>
              </w:rPr>
            </w:pPr>
            <w:hyperlink r:id="rId381" w:tooltip="See more details" w:history="1">
              <w:r w:rsidR="00EB705F">
                <w:rPr>
                  <w:rStyle w:val="Hyperlink"/>
                  <w:rFonts w:ascii="Verdana" w:eastAsia="Times New Roman" w:hAnsi="Verdana"/>
                  <w:sz w:val="18"/>
                  <w:szCs w:val="18"/>
                </w:rPr>
                <w:t>F.751.9 (ex H.DLT-TEE)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E011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4D18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execution environment based confidential computing on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B6148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a trusted execution environment based confidential computing on distributed ledger technology system: decomposes user’s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E62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6A1267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08C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8FF22D" w14:textId="77777777" w:rsidR="00EB705F" w:rsidRDefault="00BB63EF" w:rsidP="00C9333D">
            <w:pPr>
              <w:jc w:val="center"/>
              <w:rPr>
                <w:rFonts w:ascii="Verdana" w:eastAsia="Times New Roman" w:hAnsi="Verdana"/>
                <w:color w:val="000066"/>
                <w:sz w:val="18"/>
                <w:szCs w:val="18"/>
              </w:rPr>
            </w:pPr>
            <w:hyperlink r:id="rId382" w:tooltip="See more details" w:history="1">
              <w:r w:rsidR="00EB705F">
                <w:rPr>
                  <w:rStyle w:val="Hyperlink"/>
                  <w:rFonts w:ascii="Verdana" w:eastAsia="Times New Roman" w:hAnsi="Verdana"/>
                  <w:sz w:val="18"/>
                  <w:szCs w:val="18"/>
                </w:rPr>
                <w:t>F.780.4 (ex F.TELM)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4A53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7DED2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framework, requirements and scenarios for telemedicine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02A3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reference framework, requirements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construction and evaluation of telemedicine system in different countries and regions.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159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2B67D4E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DF4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41F53" w14:textId="77777777" w:rsidR="00EB705F" w:rsidRDefault="00BB63EF" w:rsidP="00C9333D">
            <w:pPr>
              <w:jc w:val="center"/>
              <w:rPr>
                <w:rFonts w:ascii="Verdana" w:eastAsia="Times New Roman" w:hAnsi="Verdana"/>
                <w:color w:val="000066"/>
                <w:sz w:val="18"/>
                <w:szCs w:val="18"/>
              </w:rPr>
            </w:pPr>
            <w:hyperlink r:id="rId383" w:tooltip="See more details" w:history="1">
              <w:r w:rsidR="00EB705F">
                <w:rPr>
                  <w:rStyle w:val="Hyperlink"/>
                  <w:rFonts w:ascii="Verdana" w:eastAsia="Times New Roman" w:hAnsi="Verdana"/>
                  <w:sz w:val="18"/>
                  <w:szCs w:val="18"/>
                </w:rPr>
                <w:t>H.265 (V9)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28B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F7F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efficiency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64FB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the specification of additional levels (levels 6.3, 7, 7.1, and 7.2), the specification of level 8.5 for the video profiles, and also includes corrections to various minor defects in the prior content of the Specification. This Recommendation | International Standard was developed jointly with ISO/IEC JTC 1/SC 29 and corresponds in a technically aligned manner to ISO/IEC 23008-2.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1E09B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68E3B9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F5B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44AAE3" w14:textId="77777777" w:rsidR="00EB705F" w:rsidRDefault="00BB63EF" w:rsidP="00C9333D">
            <w:pPr>
              <w:jc w:val="center"/>
              <w:rPr>
                <w:rFonts w:ascii="Verdana" w:eastAsia="Times New Roman" w:hAnsi="Verdana"/>
                <w:color w:val="000066"/>
                <w:sz w:val="18"/>
                <w:szCs w:val="18"/>
              </w:rPr>
            </w:pPr>
            <w:hyperlink r:id="rId384" w:tooltip="See more details" w:history="1">
              <w:r w:rsidR="00EB705F">
                <w:rPr>
                  <w:rStyle w:val="Hyperlink"/>
                  <w:rFonts w:ascii="Verdana" w:eastAsia="Times New Roman" w:hAnsi="Verdana"/>
                  <w:sz w:val="18"/>
                  <w:szCs w:val="18"/>
                </w:rPr>
                <w:t>H.266.1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CAB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52EF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Conformance specification for ITU-T H.266 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88CE0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29, and corresponds with ISO/IEC 23090-15 as technically aligned twin text. The conformance bitstreams needed for this Recommendation are available at the following link: https://www.itu.int/wftp3/av-arch/jvet-site/bitstream_exchange/VVC2ndEd/FDIS.zip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55AE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63355A4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210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8E6692" w14:textId="77777777" w:rsidR="00EB705F" w:rsidRDefault="00BB63EF" w:rsidP="00C9333D">
            <w:pPr>
              <w:jc w:val="center"/>
              <w:rPr>
                <w:rFonts w:ascii="Verdana" w:eastAsia="Times New Roman" w:hAnsi="Verdana"/>
                <w:color w:val="000066"/>
                <w:sz w:val="18"/>
                <w:szCs w:val="18"/>
              </w:rPr>
            </w:pPr>
            <w:hyperlink r:id="rId385" w:tooltip="See more details" w:history="1">
              <w:r w:rsidR="00EB705F">
                <w:rPr>
                  <w:rStyle w:val="Hyperlink"/>
                  <w:rFonts w:ascii="Verdana" w:eastAsia="Times New Roman" w:hAnsi="Verdana"/>
                  <w:sz w:val="18"/>
                  <w:szCs w:val="18"/>
                </w:rPr>
                <w:t>H.430.3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B1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359C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Service scenario of immersive live experience (ILE)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754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H.430.3 identifies service scenarios by analysing several use cases on immersive live experience (ILE) services, in order to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730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68063F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D49E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4607" w14:textId="77777777" w:rsidR="00EB705F" w:rsidRPr="00144814" w:rsidRDefault="00BB63EF" w:rsidP="00C9333D">
            <w:pPr>
              <w:jc w:val="center"/>
              <w:rPr>
                <w:rFonts w:ascii="Verdana" w:eastAsia="Times New Roman" w:hAnsi="Verdana"/>
                <w:color w:val="000066"/>
                <w:sz w:val="18"/>
                <w:szCs w:val="18"/>
                <w:lang w:val="fr-FR"/>
              </w:rPr>
            </w:pPr>
            <w:hyperlink r:id="rId386" w:tooltip="See more details" w:history="1">
              <w:r w:rsidR="00EB705F" w:rsidRPr="00144814">
                <w:rPr>
                  <w:rStyle w:val="Hyperlink"/>
                  <w:rFonts w:ascii="Verdana" w:eastAsia="Times New Roman" w:hAnsi="Verdana"/>
                  <w:sz w:val="18"/>
                  <w:szCs w:val="18"/>
                  <w:lang w:val="fr-FR"/>
                </w:rPr>
                <w:t>H.430.6 (ex H.ILE-Haptic)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56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8E1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Media transport protocols, signalling information of haptic transmission for immersive live experience (ILE)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CCCE3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ILE systems may handle haptic information, such as vibrotactile and kinaesthetic actions, for increasing more immersiveness in addition to audio and video. Haptic information should be transmitted synchronously with audio, video and lighting information. This draft Recommendation identifies media transport protocol and signalling information of haptic transmission for immersive live experience (ILE) systems, in order to transmit haptic information synchronously for provide ILE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FC8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3120C3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78B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014CE" w14:textId="77777777" w:rsidR="00EB705F" w:rsidRPr="00144814" w:rsidRDefault="00BB63EF" w:rsidP="00C9333D">
            <w:pPr>
              <w:jc w:val="center"/>
              <w:rPr>
                <w:rFonts w:ascii="Verdana" w:eastAsia="Times New Roman" w:hAnsi="Verdana"/>
                <w:color w:val="000066"/>
                <w:sz w:val="18"/>
                <w:szCs w:val="18"/>
                <w:lang w:val="fr-FR"/>
              </w:rPr>
            </w:pPr>
            <w:hyperlink r:id="rId387" w:tooltip="See more details" w:history="1">
              <w:r w:rsidR="00EB705F" w:rsidRPr="00144814">
                <w:rPr>
                  <w:rStyle w:val="Hyperlink"/>
                  <w:rFonts w:ascii="Verdana" w:eastAsia="Times New Roman" w:hAnsi="Verdana"/>
                  <w:sz w:val="18"/>
                  <w:szCs w:val="18"/>
                  <w:lang w:val="fr-FR"/>
                </w:rPr>
                <w:t>H.430.7 (ex H.IIS-reqts)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AF21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6FCC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interactive immersive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B572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QoE scheduling, are specified in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A3D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18322FD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B0F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99D9D" w14:textId="77777777" w:rsidR="00EB705F" w:rsidRDefault="00BB63EF" w:rsidP="00C9333D">
            <w:pPr>
              <w:jc w:val="center"/>
              <w:rPr>
                <w:rFonts w:ascii="Verdana" w:eastAsia="Times New Roman" w:hAnsi="Verdana"/>
                <w:color w:val="000066"/>
                <w:sz w:val="18"/>
                <w:szCs w:val="18"/>
              </w:rPr>
            </w:pPr>
            <w:hyperlink r:id="rId388" w:tooltip="See more details" w:history="1">
              <w:r w:rsidR="00EB705F">
                <w:rPr>
                  <w:rStyle w:val="Hyperlink"/>
                  <w:rFonts w:ascii="Verdana" w:eastAsia="Times New Roman" w:hAnsi="Verdana"/>
                  <w:sz w:val="18"/>
                  <w:szCs w:val="18"/>
                </w:rPr>
                <w:t>H.644.6 (ex H.VDSSArch)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069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54C8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for video distribution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9539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deployment and maintenance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DDAC9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EBC9E2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1F3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9DED0" w14:textId="77777777" w:rsidR="00EB705F" w:rsidRDefault="00BB63EF" w:rsidP="00C9333D">
            <w:pPr>
              <w:jc w:val="center"/>
              <w:rPr>
                <w:rFonts w:ascii="Verdana" w:eastAsia="Times New Roman" w:hAnsi="Verdana"/>
                <w:color w:val="000066"/>
                <w:sz w:val="18"/>
                <w:szCs w:val="18"/>
              </w:rPr>
            </w:pPr>
            <w:hyperlink r:id="rId389" w:tooltip="See more details" w:history="1">
              <w:r w:rsidR="00EB705F">
                <w:rPr>
                  <w:rStyle w:val="Hyperlink"/>
                  <w:rFonts w:ascii="Verdana" w:eastAsia="Times New Roman" w:hAnsi="Verdana"/>
                  <w:sz w:val="18"/>
                  <w:szCs w:val="18"/>
                </w:rPr>
                <w:t>H.644.7 (ex H.MPSArch)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5A2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F88EB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media processing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76E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functional architecture for the media processing services. In particular, the scope of this Recommendation includes domains and functional roles relationship, functional architecture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97A5B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874167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0C9E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7ED9D" w14:textId="77777777" w:rsidR="00EB705F" w:rsidRPr="004E4C9C" w:rsidRDefault="00BB63EF" w:rsidP="00C9333D">
            <w:pPr>
              <w:jc w:val="center"/>
              <w:rPr>
                <w:rFonts w:ascii="Verdana" w:eastAsia="Times New Roman" w:hAnsi="Verdana"/>
                <w:color w:val="000066"/>
                <w:sz w:val="18"/>
                <w:szCs w:val="18"/>
                <w:lang w:val="pt-BR"/>
              </w:rPr>
            </w:pPr>
            <w:hyperlink r:id="rId390" w:tooltip="See more details" w:history="1">
              <w:r w:rsidR="00EB705F" w:rsidRPr="004E4C9C">
                <w:rPr>
                  <w:rStyle w:val="Hyperlink"/>
                  <w:rFonts w:ascii="Verdana" w:eastAsia="Times New Roman" w:hAnsi="Verdana"/>
                  <w:sz w:val="18"/>
                  <w:szCs w:val="18"/>
                  <w:lang w:val="pt-BR"/>
                </w:rPr>
                <w:t>H.705.1 (ex H.IPTV-LSFA)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A36B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6530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Layered specification for the IPTV service platform functional architecture based on open service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0706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It’s of benefit to promote service capability of IPTV and further enhance user experience on using diversified IPTV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216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5780DD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EA1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951C7" w14:textId="77777777" w:rsidR="00EB705F" w:rsidRPr="00144814" w:rsidRDefault="00BB63EF" w:rsidP="00C9333D">
            <w:pPr>
              <w:jc w:val="center"/>
              <w:rPr>
                <w:rFonts w:ascii="Verdana" w:eastAsia="Times New Roman" w:hAnsi="Verdana"/>
                <w:color w:val="000066"/>
                <w:sz w:val="18"/>
                <w:szCs w:val="18"/>
                <w:lang w:val="fr-FR"/>
              </w:rPr>
            </w:pPr>
            <w:hyperlink r:id="rId391" w:tooltip="See more details" w:history="1">
              <w:r w:rsidR="00EB705F" w:rsidRPr="00144814">
                <w:rPr>
                  <w:rStyle w:val="Hyperlink"/>
                  <w:rFonts w:ascii="Verdana" w:eastAsia="Times New Roman" w:hAnsi="Verdana"/>
                  <w:sz w:val="18"/>
                  <w:szCs w:val="18"/>
                  <w:lang w:val="fr-FR"/>
                </w:rPr>
                <w:t>H.705.2 (ex H.IPTV-QUICReq)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52F5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B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live streaming systems based on QUIC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27E9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9028C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3390A4E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B6CA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0DE82" w14:textId="77777777" w:rsidR="00EB705F" w:rsidRDefault="00BB63EF" w:rsidP="00C9333D">
            <w:pPr>
              <w:jc w:val="center"/>
              <w:rPr>
                <w:rFonts w:ascii="Verdana" w:eastAsia="Times New Roman" w:hAnsi="Verdana"/>
                <w:color w:val="000066"/>
                <w:sz w:val="18"/>
                <w:szCs w:val="18"/>
              </w:rPr>
            </w:pPr>
            <w:hyperlink r:id="rId392" w:tooltip="See more details" w:history="1">
              <w:r w:rsidR="00EB705F">
                <w:rPr>
                  <w:rStyle w:val="Hyperlink"/>
                  <w:rFonts w:ascii="Verdana" w:eastAsia="Times New Roman" w:hAnsi="Verdana"/>
                  <w:sz w:val="18"/>
                  <w:szCs w:val="18"/>
                </w:rPr>
                <w:t>H.862.6 (ex F.CS-AEI)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500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44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requirements for counselling services based on artificial emotional intelligence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7F87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B18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527D66C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41F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EC6F8" w14:textId="77777777" w:rsidR="00EB705F" w:rsidRDefault="00BB63EF" w:rsidP="00C9333D">
            <w:pPr>
              <w:jc w:val="center"/>
              <w:rPr>
                <w:rFonts w:ascii="Verdana" w:eastAsia="Times New Roman" w:hAnsi="Verdana"/>
                <w:color w:val="000066"/>
                <w:sz w:val="18"/>
                <w:szCs w:val="18"/>
              </w:rPr>
            </w:pPr>
            <w:hyperlink r:id="rId393" w:tooltip="See more details" w:history="1">
              <w:r w:rsidR="00EB705F">
                <w:rPr>
                  <w:rStyle w:val="Hyperlink"/>
                  <w:rFonts w:ascii="Verdana" w:eastAsia="Times New Roman" w:hAnsi="Verdana"/>
                  <w:sz w:val="18"/>
                  <w:szCs w:val="18"/>
                </w:rPr>
                <w:t>T.873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F403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B90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Digital compression and coding of continuous-tone still images: Reference software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592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Pr>
                <w:rFonts w:ascii="Verdana" w:eastAsia="Times New Roman" w:hAnsi="Verdana"/>
                <w:color w:val="000066"/>
                <w:sz w:val="18"/>
                <w:szCs w:val="18"/>
              </w:rPr>
              <w:softHyphen/>
              <w:t>-bit codestreams in one single integrated code.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A9D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C5F749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C8B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04D3E" w14:textId="77777777" w:rsidR="00EB705F" w:rsidRDefault="00BB63EF" w:rsidP="00C9333D">
            <w:pPr>
              <w:jc w:val="center"/>
              <w:rPr>
                <w:rFonts w:ascii="Verdana" w:eastAsia="Times New Roman" w:hAnsi="Verdana"/>
                <w:color w:val="000066"/>
                <w:sz w:val="18"/>
                <w:szCs w:val="18"/>
              </w:rPr>
            </w:pPr>
            <w:hyperlink r:id="rId394" w:tooltip="See more details" w:history="1">
              <w:r w:rsidR="00EB705F">
                <w:rPr>
                  <w:rStyle w:val="Hyperlink"/>
                  <w:rFonts w:ascii="Verdana" w:eastAsia="Times New Roman" w:hAnsi="Verdana"/>
                  <w:sz w:val="18"/>
                  <w:szCs w:val="18"/>
                </w:rPr>
                <w:t>H.266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3008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8AE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B9EB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Pr>
                <w:rFonts w:ascii="Verdana" w:eastAsia="Times New Roman" w:hAnsi="Verdana"/>
                <w:color w:val="000066"/>
                <w:sz w:val="18"/>
                <w:szCs w:val="18"/>
              </w:rPr>
              <w:br/>
            </w:r>
            <w:r>
              <w:rPr>
                <w:rFonts w:ascii="Verdana" w:eastAsia="Times New Roman" w:hAnsi="Verdana"/>
                <w:color w:val="000066"/>
                <w:sz w:val="18"/>
                <w:szCs w:val="18"/>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23090?3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51D3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375F155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7BC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D6CAC5" w14:textId="77777777" w:rsidR="00EB705F" w:rsidRDefault="00BB63EF" w:rsidP="00C9333D">
            <w:pPr>
              <w:jc w:val="center"/>
              <w:rPr>
                <w:rFonts w:ascii="Verdana" w:eastAsia="Times New Roman" w:hAnsi="Verdana"/>
                <w:color w:val="000066"/>
                <w:sz w:val="18"/>
                <w:szCs w:val="18"/>
              </w:rPr>
            </w:pPr>
            <w:hyperlink r:id="rId395" w:tooltip="See more details" w:history="1">
              <w:r w:rsidR="00EB705F">
                <w:rPr>
                  <w:rStyle w:val="Hyperlink"/>
                  <w:rFonts w:ascii="Verdana" w:eastAsia="Times New Roman" w:hAnsi="Verdana"/>
                  <w:sz w:val="18"/>
                  <w:szCs w:val="18"/>
                </w:rPr>
                <w:t>H.273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DCCB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390E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Coding-independent code points for video signal type identification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BA50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revised Rec. ITU-T H.273 adds the specification of code point identifiers for YCgCo-R colour representation with equal luma and chroma bit depths and for the colour representation specified in SMPTE ST 2128. The new code points for YCgCo-R are referred to as YCgCo-Re and YCgCo-Ro,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691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2B5CB64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C1D9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B4C2BB" w14:textId="77777777" w:rsidR="00EB705F" w:rsidRDefault="00BB63EF" w:rsidP="00C9333D">
            <w:pPr>
              <w:jc w:val="center"/>
              <w:rPr>
                <w:rFonts w:ascii="Verdana" w:eastAsia="Times New Roman" w:hAnsi="Verdana"/>
                <w:color w:val="000066"/>
                <w:sz w:val="18"/>
                <w:szCs w:val="18"/>
              </w:rPr>
            </w:pPr>
            <w:hyperlink r:id="rId396" w:tooltip="See more details" w:history="1">
              <w:r w:rsidR="00EB705F">
                <w:rPr>
                  <w:rStyle w:val="Hyperlink"/>
                  <w:rFonts w:ascii="Verdana" w:eastAsia="Times New Roman" w:hAnsi="Verdana"/>
                  <w:sz w:val="18"/>
                  <w:szCs w:val="18"/>
                </w:rPr>
                <w:t>H.274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9F22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B24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Versatile supplemental enhancement information messages for coded video bitstreams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9203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Pr>
                <w:rFonts w:ascii="Verdana" w:eastAsia="Times New Roman" w:hAnsi="Verdana"/>
                <w:color w:val="000066"/>
                <w:sz w:val="18"/>
                <w:szCs w:val="18"/>
              </w:rPr>
              <w:br/>
            </w:r>
            <w:r>
              <w:rPr>
                <w:rFonts w:ascii="Verdana" w:eastAsia="Times New Roman" w:hAnsi="Verdana"/>
                <w:color w:val="000066"/>
                <w:sz w:val="18"/>
                <w:szCs w:val="18"/>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Pr>
                <w:rFonts w:ascii="Verdana" w:eastAsia="Times New Roman" w:hAnsi="Verdana"/>
                <w:color w:val="000066"/>
                <w:sz w:val="18"/>
                <w:szCs w:val="18"/>
              </w:rPr>
              <w:br/>
            </w:r>
            <w:r>
              <w:rPr>
                <w:rFonts w:ascii="Verdana" w:eastAsia="Times New Roman" w:hAnsi="Verdana"/>
                <w:color w:val="000066"/>
                <w:sz w:val="18"/>
                <w:szCs w:val="18"/>
              </w:rPr>
              <w:br/>
              <w:t>This Recommendation was developed collaboratively with ISO/IEC JTC 1/SC 29 and corresponds with ISO/IEC 23002 7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6D6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2023-09-29</w:t>
            </w:r>
          </w:p>
        </w:tc>
      </w:tr>
      <w:tr w:rsidR="00EB705F" w14:paraId="70C4104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A128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63A48" w14:textId="77777777" w:rsidR="00EB705F" w:rsidRDefault="00BB63EF" w:rsidP="00C9333D">
            <w:pPr>
              <w:jc w:val="center"/>
              <w:rPr>
                <w:rFonts w:ascii="Verdana" w:eastAsia="Times New Roman" w:hAnsi="Verdana"/>
                <w:color w:val="000066"/>
                <w:sz w:val="18"/>
                <w:szCs w:val="18"/>
              </w:rPr>
            </w:pPr>
            <w:hyperlink r:id="rId397" w:tooltip="See more details" w:history="1">
              <w:r w:rsidR="00EB705F">
                <w:rPr>
                  <w:rStyle w:val="Hyperlink"/>
                  <w:rFonts w:ascii="Verdana" w:eastAsia="Times New Roman" w:hAnsi="Verdana"/>
                  <w:sz w:val="18"/>
                  <w:szCs w:val="18"/>
                </w:rPr>
                <w:t>F.743.23 (ex F.VSSReqs)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6C98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F07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for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E1AA8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8C6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20B7F2F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B0CC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A3505B" w14:textId="77777777" w:rsidR="00EB705F" w:rsidRDefault="00BB63EF" w:rsidP="00C9333D">
            <w:pPr>
              <w:jc w:val="center"/>
              <w:rPr>
                <w:rFonts w:ascii="Verdana" w:eastAsia="Times New Roman" w:hAnsi="Verdana"/>
                <w:color w:val="000066"/>
                <w:sz w:val="18"/>
                <w:szCs w:val="18"/>
              </w:rPr>
            </w:pPr>
            <w:hyperlink r:id="rId398" w:tooltip="See more details" w:history="1">
              <w:r w:rsidR="00EB705F">
                <w:rPr>
                  <w:rStyle w:val="Hyperlink"/>
                  <w:rFonts w:ascii="Verdana" w:eastAsia="Times New Roman" w:hAnsi="Verdana"/>
                  <w:sz w:val="18"/>
                  <w:szCs w:val="18"/>
                </w:rPr>
                <w:t>X.1051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4E69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0826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security, cybersecurity and privacy protection - Information security controls based on ISO/IEC 27002 for telecommunications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7552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to establishes guidelines and general principles for initiating, implementing, maintaining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B7C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2023-06-13</w:t>
            </w:r>
          </w:p>
        </w:tc>
      </w:tr>
      <w:tr w:rsidR="00EB705F" w14:paraId="2606638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FAF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0A1A6" w14:textId="77777777" w:rsidR="00EB705F" w:rsidRDefault="00BB63EF" w:rsidP="00C9333D">
            <w:pPr>
              <w:jc w:val="center"/>
              <w:rPr>
                <w:rFonts w:ascii="Verdana" w:eastAsia="Times New Roman" w:hAnsi="Verdana"/>
                <w:color w:val="000066"/>
                <w:sz w:val="18"/>
                <w:szCs w:val="18"/>
              </w:rPr>
            </w:pPr>
            <w:hyperlink r:id="rId399" w:tooltip="See more details" w:history="1">
              <w:r w:rsidR="00EB705F">
                <w:rPr>
                  <w:rStyle w:val="Hyperlink"/>
                  <w:rFonts w:ascii="Verdana" w:eastAsia="Times New Roman" w:hAnsi="Verdana"/>
                  <w:sz w:val="18"/>
                  <w:szCs w:val="18"/>
                </w:rPr>
                <w:t>TR.ba-iot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E635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A4DAB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Broadcast authentication scheme for Internet of Things (IoT)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6E4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49F3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DE8806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4F43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B957A4" w14:textId="77777777" w:rsidR="00EB705F" w:rsidRDefault="00BB63EF" w:rsidP="00C9333D">
            <w:pPr>
              <w:jc w:val="center"/>
              <w:rPr>
                <w:rFonts w:ascii="Verdana" w:eastAsia="Times New Roman" w:hAnsi="Verdana"/>
                <w:color w:val="000066"/>
                <w:sz w:val="18"/>
                <w:szCs w:val="18"/>
              </w:rPr>
            </w:pPr>
            <w:hyperlink r:id="rId400" w:tooltip="See more details" w:history="1">
              <w:r w:rsidR="00EB705F">
                <w:rPr>
                  <w:rStyle w:val="Hyperlink"/>
                  <w:rFonts w:ascii="Verdana" w:eastAsia="Times New Roman" w:hAnsi="Verdana"/>
                  <w:sz w:val="18"/>
                  <w:szCs w:val="18"/>
                </w:rPr>
                <w:t>TR.cpn-col-sec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405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4206F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considerations of collaboration of multiple computing power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117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356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285EE4D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1DB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095A5" w14:textId="77777777" w:rsidR="00EB705F" w:rsidRDefault="00BB63EF" w:rsidP="00C9333D">
            <w:pPr>
              <w:jc w:val="center"/>
              <w:rPr>
                <w:rFonts w:ascii="Verdana" w:eastAsia="Times New Roman" w:hAnsi="Verdana"/>
                <w:color w:val="000066"/>
                <w:sz w:val="18"/>
                <w:szCs w:val="18"/>
              </w:rPr>
            </w:pPr>
            <w:hyperlink r:id="rId401" w:tooltip="See more details" w:history="1">
              <w:r w:rsidR="00EB705F">
                <w:rPr>
                  <w:rStyle w:val="Hyperlink"/>
                  <w:rFonts w:ascii="Verdana" w:eastAsia="Times New Roman" w:hAnsi="Verdana"/>
                  <w:sz w:val="18"/>
                  <w:szCs w:val="18"/>
                </w:rPr>
                <w:t>TR.qs-dlt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3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5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Guidelines for Quantum-Safe DLT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290E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quantum-safe DLT system are presented. Moreover, the measures to transit from the current DLT system to the quantum-safe one are suggested.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E2A7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F43B3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7D60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04D6E" w14:textId="77777777" w:rsidR="00EB705F" w:rsidRPr="004E4C9C" w:rsidRDefault="00BB63EF" w:rsidP="00C9333D">
            <w:pPr>
              <w:jc w:val="center"/>
              <w:rPr>
                <w:rFonts w:ascii="Verdana" w:eastAsia="Times New Roman" w:hAnsi="Verdana"/>
                <w:color w:val="000066"/>
                <w:sz w:val="18"/>
                <w:szCs w:val="18"/>
                <w:lang w:val="pt-BR"/>
              </w:rPr>
            </w:pPr>
            <w:hyperlink r:id="rId402" w:tooltip="See more details" w:history="1">
              <w:r w:rsidR="00EB705F" w:rsidRPr="004E4C9C">
                <w:rPr>
                  <w:rStyle w:val="Hyperlink"/>
                  <w:rFonts w:ascii="Verdana" w:eastAsia="Times New Roman" w:hAnsi="Verdana"/>
                  <w:sz w:val="18"/>
                  <w:szCs w:val="18"/>
                  <w:lang w:val="pt-BR"/>
                </w:rPr>
                <w:t>TR.sgfdm (ex TR.sgfdcml)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076B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A28F6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Fully Homomorphic Encryption (FHE) - based data aggregation in machine learning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63B5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3DE9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1713B86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394CC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43FBD0" w14:textId="77777777" w:rsidR="00EB705F" w:rsidRDefault="00BB63EF" w:rsidP="00C9333D">
            <w:pPr>
              <w:jc w:val="center"/>
              <w:rPr>
                <w:rFonts w:ascii="Verdana" w:eastAsia="Times New Roman" w:hAnsi="Verdana"/>
                <w:color w:val="000066"/>
                <w:sz w:val="18"/>
                <w:szCs w:val="18"/>
              </w:rPr>
            </w:pPr>
            <w:hyperlink r:id="rId403" w:tooltip="See more details" w:history="1">
              <w:r w:rsidR="00EB705F">
                <w:rPr>
                  <w:rStyle w:val="Hyperlink"/>
                  <w:rFonts w:ascii="Verdana" w:eastAsia="Times New Roman" w:hAnsi="Verdana"/>
                  <w:sz w:val="18"/>
                  <w:szCs w:val="18"/>
                </w:rPr>
                <w:t>TR.x509ac4sc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01B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B2F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use case of X.509 Attribute Certificate for Supply 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57A8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in order to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95E4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241904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A5265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D58D6" w14:textId="77777777" w:rsidR="00EB705F" w:rsidRDefault="00BB63EF" w:rsidP="00C9333D">
            <w:pPr>
              <w:jc w:val="center"/>
              <w:rPr>
                <w:rFonts w:ascii="Verdana" w:eastAsia="Times New Roman" w:hAnsi="Verdana"/>
                <w:color w:val="000066"/>
                <w:sz w:val="18"/>
                <w:szCs w:val="18"/>
              </w:rPr>
            </w:pPr>
            <w:hyperlink r:id="rId404" w:tooltip="See more details" w:history="1">
              <w:r w:rsidR="00EB705F">
                <w:rPr>
                  <w:rStyle w:val="Hyperlink"/>
                  <w:rFonts w:ascii="Verdana" w:eastAsia="Times New Roman" w:hAnsi="Verdana"/>
                  <w:sz w:val="18"/>
                  <w:szCs w:val="18"/>
                </w:rPr>
                <w:t>X.1454 (ex X.sles)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5D3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83191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measures for location enabled smart office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7A7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In order to ensure the security of location enabled smart office services, security threats and relevant security requirements specific to location enabled services need to be analyzed and the overall security measures established. This Recommendation analyzes the typical application scenarios of location enabled smart office services, specifies their security threats and requirements and establishes security measures for the operator and key stakeholders in a smart office to safeguard location enabled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9D79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5C7F2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8A9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909060" w14:textId="77777777" w:rsidR="00EB705F" w:rsidRPr="004E4C9C" w:rsidRDefault="00BB63EF" w:rsidP="00C9333D">
            <w:pPr>
              <w:jc w:val="center"/>
              <w:rPr>
                <w:rFonts w:ascii="Verdana" w:eastAsia="Times New Roman" w:hAnsi="Verdana"/>
                <w:color w:val="000066"/>
                <w:sz w:val="18"/>
                <w:szCs w:val="18"/>
                <w:lang w:val="pt-BR"/>
              </w:rPr>
            </w:pPr>
            <w:hyperlink r:id="rId405" w:tooltip="See more details" w:history="1">
              <w:r w:rsidR="00EB705F" w:rsidRPr="004E4C9C">
                <w:rPr>
                  <w:rStyle w:val="Hyperlink"/>
                  <w:rFonts w:ascii="Verdana" w:eastAsia="Times New Roman" w:hAnsi="Verdana"/>
                  <w:sz w:val="18"/>
                  <w:szCs w:val="18"/>
                  <w:lang w:val="pt-BR"/>
                </w:rPr>
                <w:t>X.1645 (ex X.nssa-cc)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FF94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E58D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780A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E47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4DB128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BC1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A8590" w14:textId="77777777" w:rsidR="00EB705F" w:rsidRPr="00144814" w:rsidRDefault="00BB63EF" w:rsidP="00C9333D">
            <w:pPr>
              <w:jc w:val="center"/>
              <w:rPr>
                <w:rFonts w:ascii="Verdana" w:eastAsia="Times New Roman" w:hAnsi="Verdana"/>
                <w:color w:val="000066"/>
                <w:sz w:val="18"/>
                <w:szCs w:val="18"/>
                <w:lang w:val="fr-FR"/>
              </w:rPr>
            </w:pPr>
            <w:hyperlink r:id="rId406" w:tooltip="See more details" w:history="1">
              <w:r w:rsidR="00EB705F" w:rsidRPr="00144814">
                <w:rPr>
                  <w:rStyle w:val="Hyperlink"/>
                  <w:rFonts w:ascii="Verdana" w:eastAsia="Times New Roman" w:hAnsi="Verdana"/>
                  <w:sz w:val="18"/>
                  <w:szCs w:val="18"/>
                  <w:lang w:val="fr-FR"/>
                </w:rPr>
                <w:t>X.1817 (ex X.5Gsec-message)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F2BDB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56F4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for IMT-2020/5G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B91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security requirements for 5G messaging service, including use security requirements, management security requirements and control security requirements for 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BC7B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0E7A1FF6"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6298E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0201F" w14:textId="77777777" w:rsidR="00EB705F" w:rsidRPr="00144814" w:rsidRDefault="00BB63EF" w:rsidP="00C9333D">
            <w:pPr>
              <w:jc w:val="center"/>
              <w:rPr>
                <w:rFonts w:ascii="Verdana" w:eastAsia="Times New Roman" w:hAnsi="Verdana"/>
                <w:color w:val="000066"/>
                <w:sz w:val="18"/>
                <w:szCs w:val="18"/>
                <w:lang w:val="fr-FR"/>
              </w:rPr>
            </w:pPr>
            <w:hyperlink r:id="rId407" w:tooltip="See more details" w:history="1">
              <w:r w:rsidR="00EB705F" w:rsidRPr="00144814">
                <w:rPr>
                  <w:rStyle w:val="Hyperlink"/>
                  <w:rFonts w:ascii="Verdana" w:eastAsia="Times New Roman" w:hAnsi="Verdana"/>
                  <w:sz w:val="18"/>
                  <w:szCs w:val="18"/>
                  <w:lang w:val="fr-FR"/>
                </w:rPr>
                <w:t>X.suppl.39 (ex X.rdda)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D0F1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7D5C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X.1148 - Supplement on requirements for data de-identification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1A5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E1BB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1780F8B"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F8F5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DA6F32" w14:textId="77777777" w:rsidR="00EB705F" w:rsidRDefault="00BB63EF" w:rsidP="00C9333D">
            <w:pPr>
              <w:jc w:val="center"/>
              <w:rPr>
                <w:rFonts w:ascii="Verdana" w:eastAsia="Times New Roman" w:hAnsi="Verdana"/>
                <w:color w:val="000066"/>
                <w:sz w:val="18"/>
                <w:szCs w:val="18"/>
              </w:rPr>
            </w:pPr>
            <w:hyperlink r:id="rId408" w:tooltip="See more details" w:history="1">
              <w:r w:rsidR="00EB705F">
                <w:rPr>
                  <w:rStyle w:val="Hyperlink"/>
                  <w:rFonts w:ascii="Verdana" w:eastAsia="Times New Roman" w:hAnsi="Verdana"/>
                  <w:sz w:val="18"/>
                  <w:szCs w:val="18"/>
                </w:rPr>
                <w:t>X.510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E8974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119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Open systems Interconnection - The Directory - Protocol specifications for secure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2AC46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exist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cryptographic algorithm pluck-in and migration capabilities. Recommendation ITU-T X.510 | ISO/IEC 9594-11 also specifies three protocols that make use of the wrapper protocol protection. This includes a protocol </w:t>
            </w:r>
            <w:r>
              <w:rPr>
                <w:rFonts w:ascii="Verdana" w:eastAsia="Times New Roman" w:hAnsi="Verdana"/>
                <w:color w:val="000066"/>
                <w:sz w:val="18"/>
                <w:szCs w:val="18"/>
              </w:rPr>
              <w:lastRenderedPageBreak/>
              <w:t>for maintenance of authorization and validation lists (AVLs), a protocol for subscribing of public-key certificate status and a protocol for accessing a trust broker.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DF5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2023-10-29</w:t>
            </w:r>
          </w:p>
        </w:tc>
      </w:tr>
      <w:tr w:rsidR="00EB705F" w14:paraId="7A8459DE"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9246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F68C9C" w14:textId="77777777" w:rsidR="00EB705F" w:rsidRDefault="00BB63EF" w:rsidP="00C9333D">
            <w:pPr>
              <w:jc w:val="center"/>
              <w:rPr>
                <w:rFonts w:ascii="Verdana" w:eastAsia="Times New Roman" w:hAnsi="Verdana"/>
                <w:color w:val="000066"/>
                <w:sz w:val="18"/>
                <w:szCs w:val="18"/>
              </w:rPr>
            </w:pPr>
            <w:hyperlink r:id="rId409" w:tooltip="See more details" w:history="1">
              <w:r w:rsidR="00EB705F">
                <w:rPr>
                  <w:rStyle w:val="Hyperlink"/>
                  <w:rFonts w:ascii="Verdana" w:eastAsia="Times New Roman" w:hAnsi="Verdana"/>
                  <w:sz w:val="18"/>
                  <w:szCs w:val="18"/>
                </w:rPr>
                <w:t>X.590 (ex X.jss)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7D2C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0EA9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JSON Signature Scheme (JSS)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49E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290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1E0D51C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88C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B3326B" w14:textId="77777777" w:rsidR="00EB705F" w:rsidRDefault="00BB63EF" w:rsidP="00C9333D">
            <w:pPr>
              <w:jc w:val="center"/>
              <w:rPr>
                <w:rFonts w:ascii="Verdana" w:eastAsia="Times New Roman" w:hAnsi="Verdana"/>
                <w:color w:val="000066"/>
                <w:sz w:val="18"/>
                <w:szCs w:val="18"/>
              </w:rPr>
            </w:pPr>
            <w:hyperlink r:id="rId410" w:tooltip="See more details" w:history="1">
              <w:r w:rsidR="00EB705F">
                <w:rPr>
                  <w:rStyle w:val="Hyperlink"/>
                  <w:rFonts w:ascii="Verdana" w:eastAsia="Times New Roman" w:hAnsi="Verdana"/>
                  <w:sz w:val="18"/>
                  <w:szCs w:val="18"/>
                </w:rPr>
                <w:t>Z.161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A1E8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212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core language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31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on the basis of the core language.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4C59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88A70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7F9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A3BD2" w14:textId="77777777" w:rsidR="00EB705F" w:rsidRDefault="00BB63EF" w:rsidP="00C9333D">
            <w:pPr>
              <w:jc w:val="center"/>
              <w:rPr>
                <w:rFonts w:ascii="Verdana" w:eastAsia="Times New Roman" w:hAnsi="Verdana"/>
                <w:color w:val="000066"/>
                <w:sz w:val="18"/>
                <w:szCs w:val="18"/>
              </w:rPr>
            </w:pPr>
            <w:hyperlink r:id="rId411" w:tooltip="See more details" w:history="1">
              <w:r w:rsidR="00EB705F">
                <w:rPr>
                  <w:rStyle w:val="Hyperlink"/>
                  <w:rFonts w:ascii="Verdana" w:eastAsia="Times New Roman" w:hAnsi="Verdana"/>
                  <w:sz w:val="18"/>
                  <w:szCs w:val="18"/>
                </w:rPr>
                <w:t>Z.166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D5CF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55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TTCN-3 control interface (TCI)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E78B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8F7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7F0138E2"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F9FB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31622" w14:textId="77777777" w:rsidR="00EB705F" w:rsidRDefault="00BB63EF" w:rsidP="00C9333D">
            <w:pPr>
              <w:jc w:val="center"/>
              <w:rPr>
                <w:rFonts w:ascii="Verdana" w:eastAsia="Times New Roman" w:hAnsi="Verdana"/>
                <w:color w:val="000066"/>
                <w:sz w:val="18"/>
                <w:szCs w:val="18"/>
              </w:rPr>
            </w:pPr>
            <w:hyperlink r:id="rId412" w:tooltip="See more details" w:history="1">
              <w:r w:rsidR="00EB705F">
                <w:rPr>
                  <w:rStyle w:val="Hyperlink"/>
                  <w:rFonts w:ascii="Verdana" w:eastAsia="Times New Roman" w:hAnsi="Verdana"/>
                  <w:sz w:val="18"/>
                  <w:szCs w:val="18"/>
                </w:rPr>
                <w:t>Z.171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B4D8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1C3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Testing and Test Control Notation version 3: Using JSON with TTCN-3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71F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2534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2023-10-29</w:t>
            </w:r>
          </w:p>
        </w:tc>
      </w:tr>
      <w:tr w:rsidR="00EB705F" w14:paraId="6E742CA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F026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19B4B" w14:textId="77777777" w:rsidR="00EB705F" w:rsidRPr="00144814" w:rsidRDefault="00BB63EF" w:rsidP="00C9333D">
            <w:pPr>
              <w:jc w:val="center"/>
              <w:rPr>
                <w:rFonts w:ascii="Verdana" w:eastAsia="Times New Roman" w:hAnsi="Verdana"/>
                <w:color w:val="000066"/>
                <w:sz w:val="18"/>
                <w:szCs w:val="18"/>
                <w:lang w:val="fr-FR"/>
              </w:rPr>
            </w:pPr>
            <w:hyperlink r:id="rId413" w:tooltip="See more details" w:history="1">
              <w:proofErr w:type="spellStart"/>
              <w:r w:rsidR="00EB705F" w:rsidRPr="00144814">
                <w:rPr>
                  <w:rStyle w:val="Hyperlink"/>
                  <w:rFonts w:ascii="Verdana" w:eastAsia="Times New Roman" w:hAnsi="Verdana"/>
                  <w:sz w:val="18"/>
                  <w:szCs w:val="18"/>
                  <w:lang w:val="fr-FR"/>
                </w:rPr>
                <w:t>X.1095</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X.pet_auth</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AF7F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2003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Entity authentication service for pet animals using telebiometrics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EED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an entity authentication infrastructure for pet animals using telebiometrics. It specifies multimodal telebiometrics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telebiometrics for pet entity authentication. And there are requirements for devices that acquire multimodal telebiometrics, and architecture in the operating platform for stable multimodal telebiometric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telebiometrics cover nose patterns and faces; Biometric capture devices cover digital cameras, mobile cameras, specific cameras such as infrared cameras, high-speed cameras, and optical scanners.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6AE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2C8EEE5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16F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01471" w14:textId="77777777" w:rsidR="00EB705F" w:rsidRDefault="00BB63EF" w:rsidP="00C9333D">
            <w:pPr>
              <w:jc w:val="center"/>
              <w:rPr>
                <w:rFonts w:ascii="Verdana" w:eastAsia="Times New Roman" w:hAnsi="Verdana"/>
                <w:color w:val="000066"/>
                <w:sz w:val="18"/>
                <w:szCs w:val="18"/>
              </w:rPr>
            </w:pPr>
            <w:hyperlink r:id="rId414" w:tooltip="See more details" w:history="1">
              <w:r w:rsidR="00EB705F">
                <w:rPr>
                  <w:rStyle w:val="Hyperlink"/>
                  <w:rFonts w:ascii="Verdana" w:eastAsia="Times New Roman" w:hAnsi="Verdana"/>
                  <w:sz w:val="18"/>
                  <w:szCs w:val="18"/>
                </w:rPr>
                <w:t>X.1220 (ex X.spmoh)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D0D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9FD7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framework for storage protection against malware attacks on hosts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DA77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7DDC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1EE6CFD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595FB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98B21" w14:textId="77777777" w:rsidR="00EB705F" w:rsidRPr="004E4C9C" w:rsidRDefault="00BB63EF" w:rsidP="00C9333D">
            <w:pPr>
              <w:jc w:val="center"/>
              <w:rPr>
                <w:rFonts w:ascii="Verdana" w:eastAsia="Times New Roman" w:hAnsi="Verdana"/>
                <w:color w:val="000066"/>
                <w:sz w:val="18"/>
                <w:szCs w:val="18"/>
                <w:lang w:val="pt-BR"/>
              </w:rPr>
            </w:pPr>
            <w:hyperlink r:id="rId415" w:tooltip="See more details" w:history="1">
              <w:r w:rsidR="00EB705F" w:rsidRPr="004E4C9C">
                <w:rPr>
                  <w:rStyle w:val="Hyperlink"/>
                  <w:rFonts w:ascii="Verdana" w:eastAsia="Times New Roman" w:hAnsi="Verdana"/>
                  <w:sz w:val="18"/>
                  <w:szCs w:val="18"/>
                  <w:lang w:val="pt-BR"/>
                </w:rPr>
                <w:t>X.1236 (ex X.sr-ctea)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1B4BC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37EE0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requirements and countermeasures for targeted email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2AA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Targeted email attacks are designed to damage or compromise target entities’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3860C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64893E0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BF97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D953C" w14:textId="77777777" w:rsidR="00EB705F" w:rsidRDefault="00BB63EF" w:rsidP="00C9333D">
            <w:pPr>
              <w:jc w:val="center"/>
              <w:rPr>
                <w:rFonts w:ascii="Verdana" w:eastAsia="Times New Roman" w:hAnsi="Verdana"/>
                <w:color w:val="000066"/>
                <w:sz w:val="18"/>
                <w:szCs w:val="18"/>
              </w:rPr>
            </w:pPr>
            <w:hyperlink r:id="rId416" w:tooltip="See more details" w:history="1">
              <w:r w:rsidR="00EB705F">
                <w:rPr>
                  <w:rStyle w:val="Hyperlink"/>
                  <w:rFonts w:ascii="Verdana" w:eastAsia="Times New Roman" w:hAnsi="Verdana"/>
                  <w:sz w:val="18"/>
                  <w:szCs w:val="18"/>
                </w:rPr>
                <w:t>X.1282 (ex X.scpa)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F2F4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FBE8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measures for countering password related online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CB44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intended to analyze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DF2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2023-11-13</w:t>
            </w:r>
          </w:p>
        </w:tc>
      </w:tr>
      <w:tr w:rsidR="00EB705F" w14:paraId="1A04552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C6C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8770D" w14:textId="77777777" w:rsidR="00EB705F" w:rsidRPr="00144814" w:rsidRDefault="00BB63EF" w:rsidP="00C9333D">
            <w:pPr>
              <w:jc w:val="center"/>
              <w:rPr>
                <w:rFonts w:ascii="Verdana" w:eastAsia="Times New Roman" w:hAnsi="Verdana"/>
                <w:color w:val="000066"/>
                <w:sz w:val="18"/>
                <w:szCs w:val="18"/>
                <w:lang w:val="fr-FR"/>
              </w:rPr>
            </w:pPr>
            <w:hyperlink r:id="rId417" w:tooltip="See more details" w:history="1">
              <w:r w:rsidR="00EB705F" w:rsidRPr="00144814">
                <w:rPr>
                  <w:rStyle w:val="Hyperlink"/>
                  <w:rFonts w:ascii="Verdana" w:eastAsia="Times New Roman" w:hAnsi="Verdana"/>
                  <w:sz w:val="18"/>
                  <w:szCs w:val="18"/>
                  <w:lang w:val="fr-FR"/>
                </w:rPr>
                <w:t>Y.4604 (ex Y.IoT-MCSI)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C055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4C3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Metadata for camera sensing information of autonomous mobile IoT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34B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FE65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2023-09-13</w:t>
            </w:r>
          </w:p>
        </w:tc>
      </w:tr>
      <w:tr w:rsidR="00EB705F" w14:paraId="012A54D4"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4264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286EB7" w14:textId="77777777" w:rsidR="00EB705F" w:rsidRDefault="00BB63EF" w:rsidP="00C9333D">
            <w:pPr>
              <w:jc w:val="center"/>
              <w:rPr>
                <w:rFonts w:ascii="Verdana" w:eastAsia="Times New Roman" w:hAnsi="Verdana"/>
                <w:color w:val="000066"/>
                <w:sz w:val="18"/>
                <w:szCs w:val="18"/>
              </w:rPr>
            </w:pPr>
            <w:hyperlink r:id="rId418" w:tooltip="See more details" w:history="1">
              <w:r w:rsidR="00EB705F">
                <w:rPr>
                  <w:rStyle w:val="Hyperlink"/>
                  <w:rFonts w:ascii="Verdana" w:eastAsia="Times New Roman" w:hAnsi="Verdana"/>
                  <w:sz w:val="18"/>
                  <w:szCs w:val="18"/>
                </w:rPr>
                <w:t>YSTP.AIoT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C16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BC94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Challenges of and Guidelines to Standardization on Artificial Intelligence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5E8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Artificial Intelligence of Things (AIoT)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features and approaches of AIoT. Then, it presents challenges and guidelines for standardization on AIoT. It aims to provide technical insight and a clear direction for AIoT standardization from an ITU-T SG20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501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2023-09-20</w:t>
            </w:r>
          </w:p>
        </w:tc>
      </w:tr>
      <w:tr w:rsidR="00EB705F" w14:paraId="503509E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04FD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F7DA2" w14:textId="77777777" w:rsidR="00EB705F" w:rsidRPr="00144814" w:rsidRDefault="00BB63EF" w:rsidP="00C9333D">
            <w:pPr>
              <w:jc w:val="center"/>
              <w:rPr>
                <w:rFonts w:ascii="Verdana" w:eastAsia="Times New Roman" w:hAnsi="Verdana"/>
                <w:color w:val="000066"/>
                <w:sz w:val="18"/>
                <w:szCs w:val="18"/>
                <w:lang w:val="fr-FR"/>
              </w:rPr>
            </w:pPr>
            <w:hyperlink r:id="rId419" w:tooltip="See more details" w:history="1">
              <w:r w:rsidR="00EB705F" w:rsidRPr="00144814">
                <w:rPr>
                  <w:rStyle w:val="Hyperlink"/>
                  <w:rFonts w:ascii="Verdana" w:eastAsia="Times New Roman" w:hAnsi="Verdana"/>
                  <w:sz w:val="18"/>
                  <w:szCs w:val="18"/>
                  <w:lang w:val="fr-FR"/>
                </w:rPr>
                <w:t>Y.4223 (ex Y.SCC-Reqts)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03A7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6C91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Common requirements and capabilities of smart cities and communities from IoT and ICT perspectives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9E34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tourism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DD5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10C388F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A0B2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9E8DF" w14:textId="77777777" w:rsidR="00EB705F" w:rsidRPr="00770357" w:rsidRDefault="00BB63EF" w:rsidP="00C9333D">
            <w:pPr>
              <w:jc w:val="center"/>
              <w:rPr>
                <w:rFonts w:ascii="Verdana" w:eastAsia="Times New Roman" w:hAnsi="Verdana"/>
                <w:color w:val="000066"/>
                <w:sz w:val="18"/>
                <w:szCs w:val="18"/>
                <w:lang w:val="fr-FR"/>
              </w:rPr>
            </w:pPr>
            <w:hyperlink r:id="rId420" w:tooltip="See more details" w:history="1">
              <w:r w:rsidR="00EB705F" w:rsidRPr="00770357">
                <w:rPr>
                  <w:rStyle w:val="Hyperlink"/>
                  <w:rFonts w:ascii="Verdana" w:eastAsia="Times New Roman" w:hAnsi="Verdana"/>
                  <w:sz w:val="18"/>
                  <w:szCs w:val="18"/>
                  <w:lang w:val="fr-FR"/>
                </w:rPr>
                <w:t>Y.Suppl.76 (ex Y.Sup.SmartAgri-usecases)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7A4D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B2F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Y.4000-series – Use cases of IoT based smart agriculture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52E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livestock, and monitors the growth environment of crops and livestock anytime, anywhere, and prescribes them in a timely manner, even if less labor,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a number of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to: 1) smart greenhouse, 2) smart open field, 3) smart hydroponics, 4) smart livestock barn, and 5) smart agriculture data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B5F6A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AF5BB63"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9EC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5DDE" w14:textId="77777777" w:rsidR="00EB705F" w:rsidRPr="00770357" w:rsidRDefault="00BB63EF" w:rsidP="00C9333D">
            <w:pPr>
              <w:jc w:val="center"/>
              <w:rPr>
                <w:rFonts w:ascii="Verdana" w:eastAsia="Times New Roman" w:hAnsi="Verdana"/>
                <w:color w:val="000066"/>
                <w:sz w:val="18"/>
                <w:szCs w:val="18"/>
                <w:lang w:val="fr-FR"/>
              </w:rPr>
            </w:pPr>
            <w:hyperlink r:id="rId421" w:tooltip="See more details" w:history="1">
              <w:r w:rsidR="00EB705F" w:rsidRPr="00770357">
                <w:rPr>
                  <w:rStyle w:val="Hyperlink"/>
                  <w:rFonts w:ascii="Verdana" w:eastAsia="Times New Roman" w:hAnsi="Verdana"/>
                  <w:sz w:val="18"/>
                  <w:szCs w:val="18"/>
                  <w:lang w:val="fr-FR"/>
                </w:rPr>
                <w:t>Y.Suppl.77 (ex Y.Sup.DT-definition)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2E8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9B35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transformation for people-centred smart cities and communities: an analysis of definitions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6A090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A0C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2644CC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22C40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7B63D" w14:textId="77777777" w:rsidR="00EB705F" w:rsidRPr="00144814" w:rsidRDefault="00BB63EF" w:rsidP="00C9333D">
            <w:pPr>
              <w:jc w:val="center"/>
              <w:rPr>
                <w:rFonts w:ascii="Verdana" w:eastAsia="Times New Roman" w:hAnsi="Verdana"/>
                <w:color w:val="000066"/>
                <w:sz w:val="18"/>
                <w:szCs w:val="18"/>
                <w:lang w:val="fr-FR"/>
              </w:rPr>
            </w:pPr>
            <w:hyperlink r:id="rId422" w:tooltip="See more details" w:history="1">
              <w:r w:rsidR="00EB705F" w:rsidRPr="00144814">
                <w:rPr>
                  <w:rStyle w:val="Hyperlink"/>
                  <w:rFonts w:ascii="Verdana" w:eastAsia="Times New Roman" w:hAnsi="Verdana"/>
                  <w:sz w:val="18"/>
                  <w:szCs w:val="18"/>
                  <w:lang w:val="fr-FR"/>
                </w:rPr>
                <w:t>Y.Suppl.78 (ex Y.Sup-SSC-UCE)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6E6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FDA4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Use Cases on implemented or evaluated SSC solutions based on ITU-T Y.4900 Recommendation Series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56A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similar to their own and, therefore, have a higher probability of success by avoiding improper practices, enriching the experience, optimizing investments and improving the scope and complexity of the solutions adopted.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9B29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50D6810"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147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28D9D" w14:textId="77777777" w:rsidR="00EB705F" w:rsidRDefault="00BB63EF" w:rsidP="00C9333D">
            <w:pPr>
              <w:jc w:val="center"/>
              <w:rPr>
                <w:rFonts w:ascii="Verdana" w:eastAsia="Times New Roman" w:hAnsi="Verdana"/>
                <w:color w:val="000066"/>
                <w:sz w:val="18"/>
                <w:szCs w:val="18"/>
              </w:rPr>
            </w:pPr>
            <w:hyperlink r:id="rId423" w:tooltip="See more details" w:history="1">
              <w:r w:rsidR="00EB705F">
                <w:rPr>
                  <w:rStyle w:val="Hyperlink"/>
                  <w:rFonts w:ascii="Verdana" w:eastAsia="Times New Roman" w:hAnsi="Verdana"/>
                  <w:sz w:val="18"/>
                  <w:szCs w:val="18"/>
                </w:rPr>
                <w:t>YSTR.HTSA-overview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F9B9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115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2413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D71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F51BF0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DEC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C52AD" w14:textId="77777777" w:rsidR="00EB705F" w:rsidRPr="00144814" w:rsidRDefault="00BB63EF" w:rsidP="00C9333D">
            <w:pPr>
              <w:jc w:val="center"/>
              <w:rPr>
                <w:rFonts w:ascii="Verdana" w:eastAsia="Times New Roman" w:hAnsi="Verdana"/>
                <w:color w:val="000066"/>
                <w:sz w:val="18"/>
                <w:szCs w:val="18"/>
                <w:lang w:val="fr-FR"/>
              </w:rPr>
            </w:pPr>
            <w:hyperlink r:id="rId424" w:tooltip="See more details" w:history="1">
              <w:r w:rsidR="00EB705F" w:rsidRPr="00144814">
                <w:rPr>
                  <w:rStyle w:val="Hyperlink"/>
                  <w:rFonts w:ascii="Verdana" w:eastAsia="Times New Roman" w:hAnsi="Verdana"/>
                  <w:sz w:val="18"/>
                  <w:szCs w:val="18"/>
                  <w:lang w:val="fr-FR"/>
                </w:rPr>
                <w:t>Y.4224 (ex Y.dtf-reqts)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3C76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82F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98D5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life-cycle of the objects of interest. The digital twin can provide real-time monitoring and proactive control, predictive maintenance by data analytics, cost and downtime reduction, and so on. Due to these benefits, various industries have adopted the digital twin technology. The smart cities and communities may have many kinds of cross domain problems, such as manufacturing, transportation, energy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This Recommendation defines the requirements for digital twin federation.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606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21FC3DA8"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1A1D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E0F299" w14:textId="77777777" w:rsidR="00EB705F" w:rsidRPr="00144814" w:rsidRDefault="00BB63EF" w:rsidP="00C9333D">
            <w:pPr>
              <w:jc w:val="center"/>
              <w:rPr>
                <w:rFonts w:ascii="Verdana" w:eastAsia="Times New Roman" w:hAnsi="Verdana"/>
                <w:color w:val="000066"/>
                <w:sz w:val="18"/>
                <w:szCs w:val="18"/>
                <w:lang w:val="fr-FR"/>
              </w:rPr>
            </w:pPr>
            <w:hyperlink r:id="rId425" w:tooltip="See more details" w:history="1">
              <w:proofErr w:type="spellStart"/>
              <w:r w:rsidR="00EB705F" w:rsidRPr="00144814">
                <w:rPr>
                  <w:rStyle w:val="Hyperlink"/>
                  <w:rFonts w:ascii="Verdana" w:eastAsia="Times New Roman" w:hAnsi="Verdana"/>
                  <w:sz w:val="18"/>
                  <w:szCs w:val="18"/>
                  <w:lang w:val="fr-FR"/>
                </w:rPr>
                <w:t>Y.4489</w:t>
              </w:r>
              <w:proofErr w:type="spellEnd"/>
              <w:r w:rsidR="00EB705F" w:rsidRPr="00144814">
                <w:rPr>
                  <w:rStyle w:val="Hyperlink"/>
                  <w:rFonts w:ascii="Verdana" w:eastAsia="Times New Roman" w:hAnsi="Verdana"/>
                  <w:sz w:val="18"/>
                  <w:szCs w:val="18"/>
                  <w:lang w:val="fr-FR"/>
                </w:rPr>
                <w:t xml:space="preserve"> (ex </w:t>
              </w:r>
              <w:proofErr w:type="spellStart"/>
              <w:r w:rsidR="00EB705F" w:rsidRPr="00144814">
                <w:rPr>
                  <w:rStyle w:val="Hyperlink"/>
                  <w:rFonts w:ascii="Verdana" w:eastAsia="Times New Roman" w:hAnsi="Verdana"/>
                  <w:sz w:val="18"/>
                  <w:szCs w:val="18"/>
                  <w:lang w:val="fr-FR"/>
                </w:rPr>
                <w:t>Y.dtf-rach</w:t>
              </w:r>
              <w:proofErr w:type="spellEnd"/>
              <w:r w:rsidR="00EB705F" w:rsidRPr="00144814">
                <w:rPr>
                  <w:rStyle w:val="Hyperlink"/>
                  <w:rFonts w:ascii="Verdana" w:eastAsia="Times New Roman" w:hAnsi="Verdana"/>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C7A2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386D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of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9C1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B9B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5C08E161"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615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23DFC" w14:textId="77777777" w:rsidR="00EB705F" w:rsidRPr="00144814" w:rsidRDefault="00BB63EF" w:rsidP="00C9333D">
            <w:pPr>
              <w:jc w:val="center"/>
              <w:rPr>
                <w:rFonts w:ascii="Verdana" w:eastAsia="Times New Roman" w:hAnsi="Verdana"/>
                <w:color w:val="000066"/>
                <w:sz w:val="18"/>
                <w:szCs w:val="18"/>
                <w:lang w:val="fr-FR"/>
              </w:rPr>
            </w:pPr>
            <w:hyperlink r:id="rId426" w:tooltip="See more details" w:history="1">
              <w:r w:rsidR="00EB705F" w:rsidRPr="00144814">
                <w:rPr>
                  <w:rStyle w:val="Hyperlink"/>
                  <w:rFonts w:ascii="Verdana" w:eastAsia="Times New Roman" w:hAnsi="Verdana"/>
                  <w:sz w:val="18"/>
                  <w:szCs w:val="18"/>
                  <w:lang w:val="fr-FR"/>
                </w:rPr>
                <w:t>Y.4490 (ex Y.water-SFP)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0B11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D73A5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monitoring of water system for smart fire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E6EE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fire protection is important in smart cities. It ensures the safety of people's life and property. Water supply system is the most commonly used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information, and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6439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5CE3E9FC"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BB23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546ABB" w14:textId="77777777" w:rsidR="00EB705F" w:rsidRDefault="00BB63EF" w:rsidP="00C9333D">
            <w:pPr>
              <w:jc w:val="center"/>
              <w:rPr>
                <w:rFonts w:ascii="Verdana" w:eastAsia="Times New Roman" w:hAnsi="Verdana"/>
                <w:color w:val="000066"/>
                <w:sz w:val="18"/>
                <w:szCs w:val="18"/>
              </w:rPr>
            </w:pPr>
            <w:hyperlink r:id="rId427" w:tooltip="See more details" w:history="1">
              <w:r w:rsidR="00EB705F">
                <w:rPr>
                  <w:rStyle w:val="Hyperlink"/>
                  <w:rFonts w:ascii="Verdana" w:eastAsia="Times New Roman" w:hAnsi="Verdana"/>
                  <w:sz w:val="18"/>
                  <w:szCs w:val="18"/>
                </w:rPr>
                <w:t>Y.4491 (ex Y.BC-SON)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F5B5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F85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blockchain-based self-organization networking in IoT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A9EC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BFA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C0DB68A"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9443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47F71" w14:textId="77777777" w:rsidR="00EB705F" w:rsidRPr="00144814" w:rsidRDefault="00BB63EF" w:rsidP="00C9333D">
            <w:pPr>
              <w:jc w:val="center"/>
              <w:rPr>
                <w:rFonts w:ascii="Verdana" w:eastAsia="Times New Roman" w:hAnsi="Verdana"/>
                <w:color w:val="000066"/>
                <w:sz w:val="18"/>
                <w:szCs w:val="18"/>
                <w:lang w:val="fr-FR"/>
              </w:rPr>
            </w:pPr>
            <w:hyperlink r:id="rId428" w:tooltip="See more details" w:history="1">
              <w:r w:rsidR="00EB705F" w:rsidRPr="00144814">
                <w:rPr>
                  <w:rStyle w:val="Hyperlink"/>
                  <w:rFonts w:ascii="Verdana" w:eastAsia="Times New Roman" w:hAnsi="Verdana"/>
                  <w:sz w:val="18"/>
                  <w:szCs w:val="18"/>
                  <w:lang w:val="fr-FR"/>
                </w:rPr>
                <w:t>Y.4492 (ex Y.dec-IoT-arch)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C9CB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A32F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Decentralized IoT communication architecture based on information centric networking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2A3C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290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2129A185"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0A85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E80EFF" w14:textId="77777777" w:rsidR="00EB705F" w:rsidRPr="004E4C9C" w:rsidRDefault="00BB63EF" w:rsidP="00C9333D">
            <w:pPr>
              <w:jc w:val="center"/>
              <w:rPr>
                <w:rFonts w:ascii="Verdana" w:eastAsia="Times New Roman" w:hAnsi="Verdana"/>
                <w:color w:val="000066"/>
                <w:sz w:val="18"/>
                <w:szCs w:val="18"/>
                <w:lang w:val="pt-BR"/>
              </w:rPr>
            </w:pPr>
            <w:hyperlink r:id="rId429" w:tooltip="See more details" w:history="1">
              <w:r w:rsidR="00EB705F" w:rsidRPr="004E4C9C">
                <w:rPr>
                  <w:rStyle w:val="Hyperlink"/>
                  <w:rFonts w:ascii="Verdana" w:eastAsia="Times New Roman" w:hAnsi="Verdana"/>
                  <w:sz w:val="18"/>
                  <w:szCs w:val="18"/>
                  <w:lang w:val="pt-BR"/>
                </w:rPr>
                <w:t>Y.4493 (ex Y.IoT-AOS-prot)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93EF0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5C7B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Autonomic operations support protocols in the Internet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AC90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description of the autonomic operations support protocols in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42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34DD5669"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62C8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862BC1" w14:textId="77777777" w:rsidR="00EB705F" w:rsidRPr="004E4C9C" w:rsidRDefault="00BB63EF" w:rsidP="00C9333D">
            <w:pPr>
              <w:jc w:val="center"/>
              <w:rPr>
                <w:rFonts w:ascii="Verdana" w:eastAsia="Times New Roman" w:hAnsi="Verdana"/>
                <w:color w:val="000066"/>
                <w:sz w:val="18"/>
                <w:szCs w:val="18"/>
                <w:lang w:val="pt-BR"/>
              </w:rPr>
            </w:pPr>
            <w:hyperlink r:id="rId430" w:tooltip="See more details" w:history="1">
              <w:r w:rsidR="00EB705F" w:rsidRPr="004E4C9C">
                <w:rPr>
                  <w:rStyle w:val="Hyperlink"/>
                  <w:rFonts w:ascii="Verdana" w:eastAsia="Times New Roman" w:hAnsi="Verdana"/>
                  <w:sz w:val="18"/>
                  <w:szCs w:val="18"/>
                  <w:lang w:val="pt-BR"/>
                </w:rPr>
                <w:t>Y.4494 (ex Y.CDML-arc)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94B4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8C2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Reference architecture of collaborative decentralized machine learning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113F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75E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701F3FB7"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8D5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118FC" w14:textId="77777777" w:rsidR="00EB705F" w:rsidRPr="00144814" w:rsidRDefault="00BB63EF" w:rsidP="00C9333D">
            <w:pPr>
              <w:jc w:val="center"/>
              <w:rPr>
                <w:rFonts w:ascii="Verdana" w:eastAsia="Times New Roman" w:hAnsi="Verdana"/>
                <w:color w:val="000066"/>
                <w:sz w:val="18"/>
                <w:szCs w:val="18"/>
                <w:lang w:val="fr-FR"/>
              </w:rPr>
            </w:pPr>
            <w:hyperlink r:id="rId431" w:tooltip="See more details" w:history="1">
              <w:r w:rsidR="00EB705F" w:rsidRPr="00144814">
                <w:rPr>
                  <w:rStyle w:val="Hyperlink"/>
                  <w:rFonts w:ascii="Verdana" w:eastAsia="Times New Roman" w:hAnsi="Verdana"/>
                  <w:sz w:val="18"/>
                  <w:szCs w:val="18"/>
                  <w:lang w:val="fr-FR"/>
                </w:rPr>
                <w:t>Y.4495 (ex Y.DSGS-reqts)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861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E149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48CB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In order to efficiently manage and analyze vast amounts of data and to create various services based on the analyzed data, a standardized data model for data collection and management system is required. In particular, compatibility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9CD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44936A1D"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DC38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326EF" w14:textId="77777777" w:rsidR="00EB705F" w:rsidRPr="00144814" w:rsidRDefault="00BB63EF" w:rsidP="00C9333D">
            <w:pPr>
              <w:jc w:val="center"/>
              <w:rPr>
                <w:rFonts w:ascii="Verdana" w:eastAsia="Times New Roman" w:hAnsi="Verdana"/>
                <w:color w:val="000066"/>
                <w:sz w:val="18"/>
                <w:szCs w:val="18"/>
                <w:lang w:val="fr-FR"/>
              </w:rPr>
            </w:pPr>
            <w:hyperlink r:id="rId432" w:tooltip="See more details" w:history="1">
              <w:r w:rsidR="00EB705F" w:rsidRPr="00144814">
                <w:rPr>
                  <w:rStyle w:val="Hyperlink"/>
                  <w:rFonts w:ascii="Verdana" w:eastAsia="Times New Roman" w:hAnsi="Verdana"/>
                  <w:sz w:val="18"/>
                  <w:szCs w:val="18"/>
                  <w:lang w:val="fr-FR"/>
                </w:rPr>
                <w:t>Y.4605 (ex Y.dtf-infoex)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94E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A76C1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B55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registry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754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r w:rsidR="00EB705F" w14:paraId="0D1E3D9F" w14:textId="77777777" w:rsidTr="00C9333D">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5AA0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DE1A0B" w14:textId="77777777" w:rsidR="00EB705F" w:rsidRPr="00144814" w:rsidRDefault="00BB63EF" w:rsidP="00C9333D">
            <w:pPr>
              <w:jc w:val="center"/>
              <w:rPr>
                <w:rFonts w:ascii="Verdana" w:eastAsia="Times New Roman" w:hAnsi="Verdana"/>
                <w:color w:val="000066"/>
                <w:sz w:val="18"/>
                <w:szCs w:val="18"/>
                <w:lang w:val="fr-FR"/>
              </w:rPr>
            </w:pPr>
            <w:hyperlink r:id="rId433" w:tooltip="See more details" w:history="1">
              <w:r w:rsidR="00EB705F" w:rsidRPr="00144814">
                <w:rPr>
                  <w:rStyle w:val="Hyperlink"/>
                  <w:rFonts w:ascii="Verdana" w:eastAsia="Times New Roman" w:hAnsi="Verdana"/>
                  <w:sz w:val="18"/>
                  <w:szCs w:val="18"/>
                  <w:lang w:val="fr-FR"/>
                </w:rPr>
                <w:t>Y.4606 (ex Y.DSGS-dms)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99EA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89CF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model of data management system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4C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data analysis technologies can evolve IoT-based smart greenhouse services more intelligently. To enable those service, a huge size of data related to environmental condition as well as farm configuration is required to be analyzed; to enable the data to be well analyzed,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95C11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2023-11-29</w:t>
            </w:r>
          </w:p>
        </w:tc>
      </w:tr>
    </w:tbl>
    <w:p w14:paraId="5C2EA658" w14:textId="77777777" w:rsidR="00EB705F" w:rsidRDefault="00EB705F" w:rsidP="00EB705F">
      <w:pPr>
        <w:pStyle w:val="Note"/>
      </w:pPr>
    </w:p>
    <w:p w14:paraId="04B076E8" w14:textId="77777777" w:rsidR="00EB705F" w:rsidRDefault="00EB705F" w:rsidP="00EB705F">
      <w:pPr>
        <w:spacing w:before="0"/>
        <w:rPr>
          <w:rFonts w:eastAsia="Times New Roman"/>
          <w:szCs w:val="20"/>
          <w:lang w:eastAsia="en-US"/>
        </w:rPr>
      </w:pPr>
      <w:r>
        <w:br w:type="page"/>
      </w:r>
    </w:p>
    <w:p w14:paraId="00CE5C34" w14:textId="0A59BADE" w:rsidR="00EB705F" w:rsidRPr="003465DC" w:rsidRDefault="00EB705F" w:rsidP="00EB705F">
      <w:pPr>
        <w:pStyle w:val="Note"/>
        <w:jc w:val="center"/>
        <w:rPr>
          <w:b/>
          <w:bCs/>
        </w:rPr>
      </w:pPr>
      <w:r w:rsidRPr="003465DC">
        <w:rPr>
          <w:b/>
          <w:bCs/>
        </w:rPr>
        <w:lastRenderedPageBreak/>
        <w:t>List of texts under approval process</w:t>
      </w:r>
      <w:r w:rsidR="00D7403C">
        <w:rPr>
          <w:b/>
          <w:bCs/>
        </w:rPr>
        <w:t>, as of 18 December 2023</w:t>
      </w:r>
    </w:p>
    <w:p w14:paraId="07B3FA08" w14:textId="77777777" w:rsidR="00EB705F" w:rsidRDefault="00EB705F" w:rsidP="00EB705F"/>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EB705F" w14:paraId="34152C7D" w14:textId="77777777" w:rsidTr="008E25B5">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8BAECB"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FBD7553"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24AF5F6"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0CAC9E4"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EAFFC68"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6072EDAF" w14:textId="77777777" w:rsidR="00EB705F" w:rsidRDefault="00EB705F" w:rsidP="00C9333D">
            <w:pPr>
              <w:jc w:val="center"/>
              <w:rPr>
                <w:rFonts w:ascii="Verdana" w:eastAsia="Times New Roman" w:hAnsi="Verdana"/>
                <w:b/>
                <w:bCs/>
                <w:sz w:val="18"/>
                <w:szCs w:val="18"/>
              </w:rPr>
            </w:pPr>
            <w:r>
              <w:rPr>
                <w:rFonts w:ascii="Verdana" w:eastAsia="Times New Roman" w:hAnsi="Verdana"/>
                <w:b/>
                <w:bCs/>
                <w:sz w:val="18"/>
                <w:szCs w:val="18"/>
              </w:rPr>
              <w:t>Consent/</w:t>
            </w:r>
            <w:r>
              <w:rPr>
                <w:rFonts w:ascii="Verdana" w:eastAsia="Times New Roman" w:hAnsi="Verdana"/>
                <w:b/>
                <w:bCs/>
                <w:sz w:val="18"/>
                <w:szCs w:val="18"/>
              </w:rPr>
              <w:br/>
              <w:t>Determ. date</w:t>
            </w:r>
          </w:p>
        </w:tc>
      </w:tr>
      <w:tr w:rsidR="00EB705F" w14:paraId="1403EF1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890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9B17FD" w14:textId="77777777" w:rsidR="00EB705F" w:rsidRDefault="00BB63EF" w:rsidP="00C9333D">
            <w:pPr>
              <w:jc w:val="center"/>
              <w:rPr>
                <w:rFonts w:ascii="Verdana" w:eastAsia="Times New Roman" w:hAnsi="Verdana"/>
                <w:color w:val="000066"/>
                <w:sz w:val="18"/>
                <w:szCs w:val="18"/>
              </w:rPr>
            </w:pPr>
            <w:hyperlink r:id="rId434" w:tooltip="See more details" w:history="1">
              <w:r w:rsidR="00EB705F">
                <w:rPr>
                  <w:rStyle w:val="Hyperlink"/>
                  <w:rFonts w:ascii="Verdana" w:eastAsia="Times New Roman" w:hAnsi="Verdana"/>
                  <w:sz w:val="18"/>
                  <w:szCs w:val="18"/>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F439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5D0EA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090DF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accessibility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A88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2023-06-20</w:t>
            </w:r>
          </w:p>
        </w:tc>
      </w:tr>
      <w:tr w:rsidR="00EB705F" w14:paraId="4DEB4F0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930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DB2E" w14:textId="77777777" w:rsidR="00EB705F" w:rsidRDefault="00BB63EF" w:rsidP="00C9333D">
            <w:pPr>
              <w:jc w:val="center"/>
              <w:rPr>
                <w:rFonts w:ascii="Verdana" w:eastAsia="Times New Roman" w:hAnsi="Verdana"/>
                <w:color w:val="000066"/>
                <w:sz w:val="18"/>
                <w:szCs w:val="18"/>
              </w:rPr>
            </w:pPr>
            <w:hyperlink r:id="rId435" w:tooltip="See more details" w:history="1">
              <w:r w:rsidR="00EB705F">
                <w:rPr>
                  <w:rStyle w:val="Hyperlink"/>
                  <w:rFonts w:ascii="Verdana" w:eastAsia="Times New Roman" w:hAnsi="Verdana"/>
                  <w:sz w:val="18"/>
                  <w:szCs w:val="18"/>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97C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85B0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58590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70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2023-11-10</w:t>
            </w:r>
          </w:p>
        </w:tc>
      </w:tr>
      <w:tr w:rsidR="00EB705F" w14:paraId="50166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42BF5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34E9D" w14:textId="77777777" w:rsidR="00EB705F" w:rsidRDefault="00BB63EF" w:rsidP="00C9333D">
            <w:pPr>
              <w:jc w:val="center"/>
              <w:rPr>
                <w:rFonts w:ascii="Verdana" w:eastAsia="Times New Roman" w:hAnsi="Verdana"/>
                <w:color w:val="000066"/>
                <w:sz w:val="18"/>
                <w:szCs w:val="18"/>
              </w:rPr>
            </w:pPr>
            <w:hyperlink r:id="rId436" w:tooltip="See more details" w:history="1">
              <w:r w:rsidR="00EB705F">
                <w:rPr>
                  <w:rStyle w:val="Hyperlink"/>
                  <w:rFonts w:ascii="Verdana" w:eastAsia="Times New Roman" w:hAnsi="Verdana"/>
                  <w:sz w:val="18"/>
                  <w:szCs w:val="18"/>
                </w:rPr>
                <w:t>K.154 (ex K.lp)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BA6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21C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AD1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462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0B94AA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15A4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11A340" w14:textId="77777777" w:rsidR="00EB705F" w:rsidRDefault="00BB63EF" w:rsidP="00C9333D">
            <w:pPr>
              <w:jc w:val="center"/>
              <w:rPr>
                <w:rFonts w:ascii="Verdana" w:eastAsia="Times New Roman" w:hAnsi="Verdana"/>
                <w:color w:val="000066"/>
                <w:sz w:val="18"/>
                <w:szCs w:val="18"/>
              </w:rPr>
            </w:pPr>
            <w:hyperlink r:id="rId437" w:tooltip="See more details" w:history="1">
              <w:r w:rsidR="00EB705F">
                <w:rPr>
                  <w:rStyle w:val="Hyperlink"/>
                  <w:rFonts w:ascii="Verdana" w:eastAsia="Times New Roman" w:hAnsi="Verdana"/>
                  <w:sz w:val="18"/>
                  <w:szCs w:val="18"/>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083F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3CA5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722A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a.c. power distribution networks in buildings, avoidance of disturbing equipment close to telecommunications equipment, environmental control and well?designed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387A5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65557D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088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F2441" w14:textId="77777777" w:rsidR="00EB705F" w:rsidRDefault="00BB63EF" w:rsidP="00C9333D">
            <w:pPr>
              <w:jc w:val="center"/>
              <w:rPr>
                <w:rFonts w:ascii="Verdana" w:eastAsia="Times New Roman" w:hAnsi="Verdana"/>
                <w:color w:val="000066"/>
                <w:sz w:val="18"/>
                <w:szCs w:val="18"/>
              </w:rPr>
            </w:pPr>
            <w:hyperlink r:id="rId438" w:tooltip="See more details" w:history="1">
              <w:r w:rsidR="00EB705F">
                <w:rPr>
                  <w:rStyle w:val="Hyperlink"/>
                  <w:rFonts w:ascii="Verdana" w:eastAsia="Times New Roman" w:hAnsi="Verdana"/>
                  <w:sz w:val="18"/>
                  <w:szCs w:val="18"/>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ED01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1F39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CA137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5A68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A0D6E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17AC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7122D" w14:textId="77777777" w:rsidR="00EB705F" w:rsidRDefault="00BB63EF" w:rsidP="00C9333D">
            <w:pPr>
              <w:jc w:val="center"/>
              <w:rPr>
                <w:rFonts w:ascii="Verdana" w:eastAsia="Times New Roman" w:hAnsi="Verdana"/>
                <w:color w:val="000066"/>
                <w:sz w:val="18"/>
                <w:szCs w:val="18"/>
              </w:rPr>
            </w:pPr>
            <w:hyperlink r:id="rId439" w:tooltip="See more details" w:history="1">
              <w:r w:rsidR="00EB705F">
                <w:rPr>
                  <w:rStyle w:val="Hyperlink"/>
                  <w:rFonts w:ascii="Verdana" w:eastAsia="Times New Roman" w:hAnsi="Verdana"/>
                  <w:sz w:val="18"/>
                  <w:szCs w:val="18"/>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139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4BD5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4C90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K.83 gives guidance on how to make long-term measurements for the monitoring of electromagnetic fields (EMF) in the selected areas that are under public concern, in order to show that EMFs are under control and under the limits. The purpose of this Recommendation is to provide the general public,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968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CFFD5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57C6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5542B" w14:textId="77777777" w:rsidR="00EB705F" w:rsidRDefault="00BB63EF" w:rsidP="00C9333D">
            <w:pPr>
              <w:jc w:val="center"/>
              <w:rPr>
                <w:rFonts w:ascii="Verdana" w:eastAsia="Times New Roman" w:hAnsi="Verdana"/>
                <w:color w:val="000066"/>
                <w:sz w:val="18"/>
                <w:szCs w:val="18"/>
              </w:rPr>
            </w:pPr>
            <w:hyperlink r:id="rId440" w:tooltip="See more details" w:history="1">
              <w:r w:rsidR="00EB705F">
                <w:rPr>
                  <w:rStyle w:val="Hyperlink"/>
                  <w:rFonts w:ascii="Verdana" w:eastAsia="Times New Roman" w:hAnsi="Verdana"/>
                  <w:sz w:val="18"/>
                  <w:szCs w:val="18"/>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AAB0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0B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89E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DB52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AEA16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BD1A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21516" w14:textId="77777777" w:rsidR="00EB705F" w:rsidRDefault="00BB63EF" w:rsidP="00C9333D">
            <w:pPr>
              <w:jc w:val="center"/>
              <w:rPr>
                <w:rFonts w:ascii="Verdana" w:eastAsia="Times New Roman" w:hAnsi="Verdana"/>
                <w:color w:val="000066"/>
                <w:sz w:val="18"/>
                <w:szCs w:val="18"/>
              </w:rPr>
            </w:pPr>
            <w:hyperlink r:id="rId441" w:tooltip="See more details" w:history="1">
              <w:r w:rsidR="00EB705F">
                <w:rPr>
                  <w:rStyle w:val="Hyperlink"/>
                  <w:rFonts w:ascii="Verdana" w:eastAsia="Times New Roman" w:hAnsi="Verdana"/>
                  <w:sz w:val="18"/>
                  <w:szCs w:val="18"/>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E2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A9B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DFB8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e?waste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880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1EE9C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5E3E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99659F" w14:textId="77777777" w:rsidR="00EB705F" w:rsidRDefault="00BB63EF" w:rsidP="00C9333D">
            <w:pPr>
              <w:jc w:val="center"/>
              <w:rPr>
                <w:rFonts w:ascii="Verdana" w:eastAsia="Times New Roman" w:hAnsi="Verdana"/>
                <w:color w:val="000066"/>
                <w:sz w:val="18"/>
                <w:szCs w:val="18"/>
              </w:rPr>
            </w:pPr>
            <w:hyperlink r:id="rId442" w:tooltip="See more details" w:history="1">
              <w:r w:rsidR="00EB705F">
                <w:rPr>
                  <w:rStyle w:val="Hyperlink"/>
                  <w:rFonts w:ascii="Verdana" w:eastAsia="Times New Roman" w:hAnsi="Verdana"/>
                  <w:sz w:val="18"/>
                  <w:szCs w:val="18"/>
                </w:rPr>
                <w:t>L.1307 (ex L.EEMDC)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DC6E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95CF8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8481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160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1A0E47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02C0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6E736" w14:textId="77777777" w:rsidR="00EB705F" w:rsidRDefault="00BB63EF" w:rsidP="00C9333D">
            <w:pPr>
              <w:jc w:val="center"/>
              <w:rPr>
                <w:rFonts w:ascii="Verdana" w:eastAsia="Times New Roman" w:hAnsi="Verdana"/>
                <w:color w:val="000066"/>
                <w:sz w:val="18"/>
                <w:szCs w:val="18"/>
              </w:rPr>
            </w:pPr>
            <w:hyperlink r:id="rId443" w:tooltip="See more details" w:history="1">
              <w:r w:rsidR="00EB705F">
                <w:rPr>
                  <w:rStyle w:val="Hyperlink"/>
                  <w:rFonts w:ascii="Verdana" w:eastAsia="Times New Roman" w:hAnsi="Verdana"/>
                  <w:sz w:val="18"/>
                  <w:szCs w:val="18"/>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0B9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8983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BC9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81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63C621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89D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4E56C5" w14:textId="77777777" w:rsidR="00EB705F" w:rsidRDefault="00BB63EF" w:rsidP="00C9333D">
            <w:pPr>
              <w:jc w:val="center"/>
              <w:rPr>
                <w:rFonts w:ascii="Verdana" w:eastAsia="Times New Roman" w:hAnsi="Verdana"/>
                <w:color w:val="000066"/>
                <w:sz w:val="18"/>
                <w:szCs w:val="18"/>
              </w:rPr>
            </w:pPr>
            <w:hyperlink r:id="rId444" w:tooltip="See more details" w:history="1">
              <w:r w:rsidR="00EB705F">
                <w:rPr>
                  <w:rStyle w:val="Hyperlink"/>
                  <w:rFonts w:ascii="Verdana" w:eastAsia="Times New Roman" w:hAnsi="Verdana"/>
                  <w:sz w:val="18"/>
                  <w:szCs w:val="18"/>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38A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D71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5716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CAAE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D43C2B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349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4E9E7" w14:textId="77777777" w:rsidR="00EB705F" w:rsidRDefault="00BB63EF" w:rsidP="00C9333D">
            <w:pPr>
              <w:jc w:val="center"/>
              <w:rPr>
                <w:rFonts w:ascii="Verdana" w:eastAsia="Times New Roman" w:hAnsi="Verdana"/>
                <w:color w:val="000066"/>
                <w:sz w:val="18"/>
                <w:szCs w:val="18"/>
              </w:rPr>
            </w:pPr>
            <w:hyperlink r:id="rId445" w:tooltip="See more details" w:history="1">
              <w:r w:rsidR="00EB705F">
                <w:rPr>
                  <w:rStyle w:val="Hyperlink"/>
                  <w:rFonts w:ascii="Verdana" w:eastAsia="Times New Roman" w:hAnsi="Verdana"/>
                  <w:sz w:val="18"/>
                  <w:szCs w:val="18"/>
                </w:rPr>
                <w:t>L.1508 (ex L.CAcoast)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E3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C073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2B45F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Coastal cities and areas are particularly vulnerable to the impacts of climate change, including flooding, rising sea level, storm surge, precipitation, and more. The frequency and intensity of these impacts continue to deepen, as a result of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75D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02A0E15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118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35C80" w14:textId="77777777" w:rsidR="00EB705F" w:rsidRDefault="00BB63EF" w:rsidP="00C9333D">
            <w:pPr>
              <w:jc w:val="center"/>
              <w:rPr>
                <w:rFonts w:ascii="Verdana" w:eastAsia="Times New Roman" w:hAnsi="Verdana"/>
                <w:color w:val="000066"/>
                <w:sz w:val="18"/>
                <w:szCs w:val="18"/>
              </w:rPr>
            </w:pPr>
            <w:hyperlink r:id="rId446" w:tooltip="See more details" w:history="1">
              <w:r w:rsidR="00EB705F">
                <w:rPr>
                  <w:rStyle w:val="Hyperlink"/>
                  <w:rFonts w:ascii="Verdana" w:eastAsia="Times New Roman" w:hAnsi="Verdana"/>
                  <w:sz w:val="18"/>
                  <w:szCs w:val="18"/>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B09D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BD82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0C9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2015, the UN approved the 2030 Agenda for Sustainable Development, which contains global sustainable development goals (SDGs), including sustainable cities and communities (SDG11) and climate action (SDG13). In the era of economic globalization, cities consume a large amount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analyzing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08CCA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C71ED9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18D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DF0707" w14:textId="77777777" w:rsidR="00EB705F" w:rsidRDefault="00BB63EF" w:rsidP="00C9333D">
            <w:pPr>
              <w:jc w:val="center"/>
              <w:rPr>
                <w:rFonts w:ascii="Verdana" w:eastAsia="Times New Roman" w:hAnsi="Verdana"/>
                <w:color w:val="000066"/>
                <w:sz w:val="18"/>
                <w:szCs w:val="18"/>
              </w:rPr>
            </w:pPr>
            <w:hyperlink r:id="rId447" w:tooltip="See more details" w:history="1">
              <w:r w:rsidR="00EB705F">
                <w:rPr>
                  <w:rStyle w:val="Hyperlink"/>
                  <w:rFonts w:ascii="Verdana" w:eastAsia="Times New Roman" w:hAnsi="Verdana"/>
                  <w:sz w:val="18"/>
                  <w:szCs w:val="18"/>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D9C6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5841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A3A0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020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721515E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B510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4AADC0" w14:textId="77777777" w:rsidR="00EB705F" w:rsidRPr="004E4C9C" w:rsidRDefault="00BB63EF" w:rsidP="00C9333D">
            <w:pPr>
              <w:jc w:val="center"/>
              <w:rPr>
                <w:rFonts w:ascii="Verdana" w:eastAsia="Times New Roman" w:hAnsi="Verdana"/>
                <w:color w:val="000066"/>
                <w:sz w:val="18"/>
                <w:szCs w:val="18"/>
                <w:lang w:val="pt-BR"/>
              </w:rPr>
            </w:pPr>
            <w:hyperlink r:id="rId448" w:tooltip="See more details" w:history="1">
              <w:r w:rsidR="00EB705F" w:rsidRPr="004E4C9C">
                <w:rPr>
                  <w:rStyle w:val="Hyperlink"/>
                  <w:rFonts w:ascii="Verdana" w:eastAsia="Times New Roman" w:hAnsi="Verdana"/>
                  <w:sz w:val="18"/>
                  <w:szCs w:val="18"/>
                  <w:lang w:val="pt-BR"/>
                </w:rPr>
                <w:t>J.1206 (ex J.stvos-api)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F875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BB701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C7ED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J.1206 specifies the application programming interface of a smart TV operating system over integrated broadcast and broadband cable networks. A smart TV operating system is intended to be installed in an integrated broadcast and broadband (IBB)?capable cable set-top box (STB) and TV and to enable broadcasting and IP-based interactive services provided by cable television operators and third?party providers. By running a smart TV operating system, the IBB-capable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115F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12C8F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6F3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742CB" w14:textId="77777777" w:rsidR="00EB705F" w:rsidRPr="002A010F" w:rsidRDefault="00BB63EF" w:rsidP="00C9333D">
            <w:pPr>
              <w:jc w:val="center"/>
              <w:rPr>
                <w:rFonts w:ascii="Verdana" w:eastAsia="Times New Roman" w:hAnsi="Verdana"/>
                <w:color w:val="000066"/>
                <w:sz w:val="18"/>
                <w:szCs w:val="18"/>
                <w:lang w:val="fr-FR"/>
              </w:rPr>
            </w:pPr>
            <w:hyperlink r:id="rId449" w:tooltip="See more details" w:history="1">
              <w:r w:rsidR="00EB705F" w:rsidRPr="002A010F">
                <w:rPr>
                  <w:rStyle w:val="Hyperlink"/>
                  <w:rFonts w:ascii="Verdana" w:eastAsia="Times New Roman" w:hAnsi="Verdana"/>
                  <w:sz w:val="18"/>
                  <w:szCs w:val="18"/>
                  <w:lang w:val="fr-FR"/>
                </w:rPr>
                <w:t>J.198.2 (ex J.HiNoC3-PHY)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FA5D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C9B3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Physical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AA95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define the physical (PHY) layer specification of third generation high performance network over coax (HiNoC 3.0) which provides 10 Gbit/s data transmission over coaxial networks in the cable industry. The HiNoC network consists of a HiNoC bridge (HB) and HiNoC modems (HMs). The HiNoC protocol stack includes Media Access Control (MAC) layer and Physical (PHY) layer. This Recommendation contains descriptions for the signal transmission mechanism of the HiNoC 3.0 PHY layer, including frame structure, channel coding and modulation techniques. The HiNoC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0EBF2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36ACB36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BB0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12C3F" w14:textId="77777777" w:rsidR="00EB705F" w:rsidRPr="002A010F" w:rsidRDefault="00BB63EF" w:rsidP="00C9333D">
            <w:pPr>
              <w:jc w:val="center"/>
              <w:rPr>
                <w:rFonts w:ascii="Verdana" w:eastAsia="Times New Roman" w:hAnsi="Verdana"/>
                <w:color w:val="000066"/>
                <w:sz w:val="18"/>
                <w:szCs w:val="18"/>
                <w:lang w:val="fr-FR"/>
              </w:rPr>
            </w:pPr>
            <w:hyperlink r:id="rId450" w:tooltip="See more details" w:history="1">
              <w:r w:rsidR="00EB705F" w:rsidRPr="002A010F">
                <w:rPr>
                  <w:rStyle w:val="Hyperlink"/>
                  <w:rFonts w:ascii="Verdana" w:eastAsia="Times New Roman" w:hAnsi="Verdana"/>
                  <w:sz w:val="18"/>
                  <w:szCs w:val="18"/>
                  <w:lang w:val="fr-FR"/>
                </w:rPr>
                <w:t>J.198.3 (ex J.HiNoC3-MAC)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7B65F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3C9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MAC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4EE35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draft new Recommendation aims to define the MAC layer specification of third generation high performance network over coax (HiNoC 3.0) which provides 10 Gbit/s data transmission over coaxial networks in the cable industry. HiNoC consists of HiNoC Bridge (HB) and HiNoC Modem (HM) in terms of architectural functional entity and is layered as Media Access Control (MAC) layer and Physical (PHY) layer. HiNoC 3.0 MAC layer selects the Time Division Duplexing (TDD) mode to adjust the bandwidth for upstream and downstream feasibly. HiNoC 3.0 MAC layer adopts Time Division Multiple Access (TDMA) and optional Orthogonal Frequency Division Multiple Access (OFDMA). HiNoC 3.0 MAC layer supports channel bonding mechanism. The HiNoC 3.0 MAC layer is composed of the Convergence Sublayer (CS), the Common Part Sublayer (CPS) and the optional Security Sublayer (SS). This draft new Recommendation contains descriptions for HiNoC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391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2023-11-23</w:t>
            </w:r>
          </w:p>
        </w:tc>
      </w:tr>
      <w:tr w:rsidR="00EB705F" w14:paraId="595DEF8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C03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310D2" w14:textId="77777777" w:rsidR="00EB705F" w:rsidRDefault="00BB63EF" w:rsidP="00C9333D">
            <w:pPr>
              <w:jc w:val="center"/>
              <w:rPr>
                <w:rFonts w:ascii="Verdana" w:eastAsia="Times New Roman" w:hAnsi="Verdana"/>
                <w:color w:val="000066"/>
                <w:sz w:val="18"/>
                <w:szCs w:val="18"/>
              </w:rPr>
            </w:pPr>
            <w:hyperlink r:id="rId451" w:tooltip="See more details" w:history="1">
              <w:r w:rsidR="00EB705F">
                <w:rPr>
                  <w:rStyle w:val="Hyperlink"/>
                  <w:rFonts w:ascii="Verdana" w:eastAsia="Times New Roman" w:hAnsi="Verdana"/>
                  <w:sz w:val="18"/>
                  <w:szCs w:val="18"/>
                </w:rPr>
                <w:t>Y.2086 (ex Y.DNI-fr)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90D9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3B81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45F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9D6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2021-07-16</w:t>
            </w:r>
          </w:p>
        </w:tc>
      </w:tr>
      <w:tr w:rsidR="00EB705F" w14:paraId="2FDF9C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BB2D3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18326" w14:textId="77777777" w:rsidR="00EB705F" w:rsidRPr="002A010F" w:rsidRDefault="00BB63EF" w:rsidP="00C9333D">
            <w:pPr>
              <w:jc w:val="center"/>
              <w:rPr>
                <w:rFonts w:ascii="Verdana" w:eastAsia="Times New Roman" w:hAnsi="Verdana"/>
                <w:color w:val="000066"/>
                <w:sz w:val="18"/>
                <w:szCs w:val="18"/>
                <w:lang w:val="fr-FR"/>
              </w:rPr>
            </w:pPr>
            <w:hyperlink r:id="rId452" w:tooltip="See more details" w:history="1">
              <w:proofErr w:type="spellStart"/>
              <w:r w:rsidR="00EB705F" w:rsidRPr="002A010F">
                <w:rPr>
                  <w:rStyle w:val="Hyperlink"/>
                  <w:rFonts w:ascii="Verdana" w:eastAsia="Times New Roman" w:hAnsi="Verdana"/>
                  <w:sz w:val="18"/>
                  <w:szCs w:val="18"/>
                  <w:lang w:val="fr-FR"/>
                </w:rPr>
                <w:t>Y.2344</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Y.IBN-reqts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D114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01E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A1BC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aims to provide the scenarios and requirements of Intent-Based Network for network evolution. The scope of this Recommendation includes: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A59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2022-07-15</w:t>
            </w:r>
          </w:p>
        </w:tc>
      </w:tr>
      <w:tr w:rsidR="00EB705F" w14:paraId="4DDBE2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7AA2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C00670" w14:textId="77777777" w:rsidR="00EB705F" w:rsidRDefault="00BB63EF" w:rsidP="00C9333D">
            <w:pPr>
              <w:jc w:val="center"/>
              <w:rPr>
                <w:rFonts w:ascii="Verdana" w:eastAsia="Times New Roman" w:hAnsi="Verdana"/>
                <w:color w:val="000066"/>
                <w:sz w:val="18"/>
                <w:szCs w:val="18"/>
              </w:rPr>
            </w:pPr>
            <w:hyperlink r:id="rId453" w:tooltip="See more details" w:history="1">
              <w:r w:rsidR="00EB705F">
                <w:rPr>
                  <w:rStyle w:val="Hyperlink"/>
                  <w:rFonts w:ascii="Verdana" w:eastAsia="Times New Roman" w:hAnsi="Verdana"/>
                  <w:sz w:val="18"/>
                  <w:szCs w:val="18"/>
                </w:rPr>
                <w:t>Y.3059 (ex Y.Trust-Registry)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E1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C15E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65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interrogation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3C5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2023-11-03</w:t>
            </w:r>
          </w:p>
        </w:tc>
      </w:tr>
      <w:tr w:rsidR="00EB705F" w14:paraId="74C0CEC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9C0B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65F96C" w14:textId="77777777" w:rsidR="00EB705F" w:rsidRDefault="00BB63EF" w:rsidP="00C9333D">
            <w:pPr>
              <w:jc w:val="center"/>
              <w:rPr>
                <w:rFonts w:ascii="Verdana" w:eastAsia="Times New Roman" w:hAnsi="Verdana"/>
                <w:color w:val="000066"/>
                <w:sz w:val="18"/>
                <w:szCs w:val="18"/>
              </w:rPr>
            </w:pPr>
            <w:hyperlink r:id="rId454" w:tooltip="See more details" w:history="1">
              <w:r w:rsidR="00EB705F">
                <w:rPr>
                  <w:rStyle w:val="Hyperlink"/>
                  <w:rFonts w:ascii="Verdana" w:eastAsia="Times New Roman" w:hAnsi="Verdana"/>
                  <w:sz w:val="18"/>
                  <w:szCs w:val="18"/>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E54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EF8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5695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G.650.1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version of Recommendation ITU-T G.650.1 added the test method </w:t>
            </w:r>
            <w:r>
              <w:rPr>
                <w:rFonts w:ascii="Verdana" w:eastAsia="Times New Roman" w:hAnsi="Verdana"/>
                <w:color w:val="000066"/>
                <w:sz w:val="18"/>
                <w:szCs w:val="18"/>
              </w:rPr>
              <w:lastRenderedPageBreak/>
              <w:t xml:space="preserve">"Test methods for the macrobend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wavelengths, and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of the detector and the distance from fibre end. The minimum dynamic range has been generalized. The description of the detector for the far-field scan </w:t>
            </w:r>
            <w:r>
              <w:rPr>
                <w:rFonts w:ascii="Verdana" w:eastAsia="Times New Roman" w:hAnsi="Verdana"/>
                <w:color w:val="000066"/>
                <w:sz w:val="18"/>
                <w:szCs w:val="18"/>
              </w:rPr>
              <w:lastRenderedPageBreak/>
              <w:t>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7F9A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7A16CB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C9D6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3F289" w14:textId="77777777" w:rsidR="00EB705F" w:rsidRDefault="00BB63EF" w:rsidP="00C9333D">
            <w:pPr>
              <w:jc w:val="center"/>
              <w:rPr>
                <w:rFonts w:ascii="Verdana" w:eastAsia="Times New Roman" w:hAnsi="Verdana"/>
                <w:color w:val="000066"/>
                <w:sz w:val="18"/>
                <w:szCs w:val="18"/>
              </w:rPr>
            </w:pPr>
            <w:hyperlink r:id="rId455" w:tooltip="See more details" w:history="1">
              <w:r w:rsidR="00EB705F">
                <w:rPr>
                  <w:rStyle w:val="Hyperlink"/>
                  <w:rFonts w:ascii="Verdana" w:eastAsia="Times New Roman" w:hAnsi="Verdana"/>
                  <w:sz w:val="18"/>
                  <w:szCs w:val="18"/>
                </w:rPr>
                <w:t>G.698.5 (ex G.owdm)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C2A9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29CA6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5AC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A6C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FB382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342A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A22670" w14:textId="77777777" w:rsidR="00EB705F" w:rsidRDefault="00BB63EF" w:rsidP="00C9333D">
            <w:pPr>
              <w:jc w:val="center"/>
              <w:rPr>
                <w:rFonts w:ascii="Verdana" w:eastAsia="Times New Roman" w:hAnsi="Verdana"/>
                <w:color w:val="000066"/>
                <w:sz w:val="18"/>
                <w:szCs w:val="18"/>
              </w:rPr>
            </w:pPr>
            <w:hyperlink r:id="rId456" w:tooltip="See more details" w:history="1">
              <w:r w:rsidR="00EB705F">
                <w:rPr>
                  <w:rStyle w:val="Hyperlink"/>
                  <w:rFonts w:ascii="Verdana" w:eastAsia="Times New Roman" w:hAnsi="Verdana"/>
                  <w:sz w:val="18"/>
                  <w:szCs w:val="18"/>
                </w:rPr>
                <w:t>G.698.6 (ex G.owdm2)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981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C7E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C0F26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1FE5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1879A3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12B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4E1" w14:textId="77777777" w:rsidR="00EB705F" w:rsidRDefault="00BB63EF" w:rsidP="00C9333D">
            <w:pPr>
              <w:jc w:val="center"/>
              <w:rPr>
                <w:rFonts w:ascii="Verdana" w:eastAsia="Times New Roman" w:hAnsi="Verdana"/>
                <w:color w:val="000066"/>
                <w:sz w:val="18"/>
                <w:szCs w:val="18"/>
              </w:rPr>
            </w:pPr>
            <w:hyperlink r:id="rId457" w:tooltip="See more details" w:history="1">
              <w:r w:rsidR="00EB705F">
                <w:rPr>
                  <w:rStyle w:val="Hyperlink"/>
                  <w:rFonts w:ascii="Verdana" w:eastAsia="Times New Roman" w:hAnsi="Verdana"/>
                  <w:sz w:val="18"/>
                  <w:szCs w:val="18"/>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C40C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DE1A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638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G.709.1 specifies common elements and signal structures used by various types of FlexO interfaces. Edition 3.0 removes short-reach interfaces which are moved to [ITU-T G.709.5]. This Recommendation is renamed and focuses on common FlexO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8424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D4014A8"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52B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5C223" w14:textId="77777777" w:rsidR="00EB705F" w:rsidRDefault="00BB63EF" w:rsidP="00C9333D">
            <w:pPr>
              <w:jc w:val="center"/>
              <w:rPr>
                <w:rFonts w:ascii="Verdana" w:eastAsia="Times New Roman" w:hAnsi="Verdana"/>
                <w:color w:val="000066"/>
                <w:sz w:val="18"/>
                <w:szCs w:val="18"/>
              </w:rPr>
            </w:pPr>
            <w:hyperlink r:id="rId458" w:tooltip="See more details" w:history="1">
              <w:r w:rsidR="00EB705F">
                <w:rPr>
                  <w:rStyle w:val="Hyperlink"/>
                  <w:rFonts w:ascii="Verdana" w:eastAsia="Times New Roman" w:hAnsi="Verdana"/>
                  <w:sz w:val="18"/>
                  <w:szCs w:val="18"/>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556C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B64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8FB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functions provided by the fine grain OTN (fgOTN)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4222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ABA4B3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5319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2D6A44" w14:textId="77777777" w:rsidR="00EB705F" w:rsidRDefault="00BB63EF" w:rsidP="00C9333D">
            <w:pPr>
              <w:jc w:val="center"/>
              <w:rPr>
                <w:rFonts w:ascii="Verdana" w:eastAsia="Times New Roman" w:hAnsi="Verdana"/>
                <w:color w:val="000066"/>
                <w:sz w:val="18"/>
                <w:szCs w:val="18"/>
              </w:rPr>
            </w:pPr>
            <w:hyperlink r:id="rId459" w:tooltip="See more details" w:history="1">
              <w:r w:rsidR="00EB705F">
                <w:rPr>
                  <w:rStyle w:val="Hyperlink"/>
                  <w:rFonts w:ascii="Verdana" w:eastAsia="Times New Roman" w:hAnsi="Verdana"/>
                  <w:sz w:val="18"/>
                  <w:szCs w:val="18"/>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293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035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10E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G.709.3 specifies 100G, 200G and 400G FlexO Beyond 100G (B100G) long-reach interfaces. The Recommendation specifies the structure using forward error correction codes with a higher coding gain suitable for longer reach applications, and references common elements from [ITU-T G.709.1] and FEC structures from [ITU-T G.709.2]. Edition 3 contains the following extensions to Edition 2.1: – Removal of FlexO-1-SC and FOIC1.k-SC interface – Move of OTUCn GMP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E464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AE62B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42C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889129" w14:textId="77777777" w:rsidR="00EB705F" w:rsidRDefault="00BB63EF" w:rsidP="00C9333D">
            <w:pPr>
              <w:jc w:val="center"/>
              <w:rPr>
                <w:rFonts w:ascii="Verdana" w:eastAsia="Times New Roman" w:hAnsi="Verdana"/>
                <w:color w:val="000066"/>
                <w:sz w:val="18"/>
                <w:szCs w:val="18"/>
              </w:rPr>
            </w:pPr>
            <w:hyperlink r:id="rId460" w:tooltip="See more details" w:history="1">
              <w:r w:rsidR="00EB705F">
                <w:rPr>
                  <w:rStyle w:val="Hyperlink"/>
                  <w:rFonts w:ascii="Verdana" w:eastAsia="Times New Roman" w:hAnsi="Verdana"/>
                  <w:sz w:val="18"/>
                  <w:szCs w:val="18"/>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35A3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3AAE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1834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G.709.5 specifies 100G, 200G, 400G and 800G FlexO short-reach interfaces. The Recommendation specifies the structure using forward error correction code with a coding gain suitable for short-reach applications, and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0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9D8458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1711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173704" w14:textId="77777777" w:rsidR="00EB705F" w:rsidRDefault="00BB63EF" w:rsidP="00C9333D">
            <w:pPr>
              <w:jc w:val="center"/>
              <w:rPr>
                <w:rFonts w:ascii="Verdana" w:eastAsia="Times New Roman" w:hAnsi="Verdana"/>
                <w:color w:val="000066"/>
                <w:sz w:val="18"/>
                <w:szCs w:val="18"/>
              </w:rPr>
            </w:pPr>
            <w:hyperlink r:id="rId461" w:tooltip="See more details" w:history="1">
              <w:r w:rsidR="00EB705F">
                <w:rPr>
                  <w:rStyle w:val="Hyperlink"/>
                  <w:rFonts w:ascii="Verdana" w:eastAsia="Times New Roman" w:hAnsi="Verdana"/>
                  <w:sz w:val="18"/>
                  <w:szCs w:val="18"/>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67BC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76DB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68D8F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G.709.6 specifies 400G and 800G FlexO Beyond 400G (B400G) long-reach interfaces. The Recommendation specifies the structure using forward error correction codes with a higher coding gain suitable for longer reach applications, and references common elements from [ITU?T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7C9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00C74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106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A51C48" w14:textId="77777777" w:rsidR="00EB705F" w:rsidRDefault="00BB63EF" w:rsidP="00C9333D">
            <w:pPr>
              <w:jc w:val="center"/>
              <w:rPr>
                <w:rFonts w:ascii="Verdana" w:eastAsia="Times New Roman" w:hAnsi="Verdana"/>
                <w:color w:val="000066"/>
                <w:sz w:val="18"/>
                <w:szCs w:val="18"/>
              </w:rPr>
            </w:pPr>
            <w:hyperlink r:id="rId462" w:tooltip="See more details" w:history="1">
              <w:r w:rsidR="00EB705F">
                <w:rPr>
                  <w:rStyle w:val="Hyperlink"/>
                  <w:rFonts w:ascii="Verdana" w:eastAsia="Times New Roman" w:hAnsi="Verdana"/>
                  <w:sz w:val="18"/>
                  <w:szCs w:val="18"/>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B4D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9AA2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06E2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CDE6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3B373E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11A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D487B1" w14:textId="77777777" w:rsidR="00EB705F" w:rsidRDefault="00BB63EF" w:rsidP="00C9333D">
            <w:pPr>
              <w:jc w:val="center"/>
              <w:rPr>
                <w:rFonts w:ascii="Verdana" w:eastAsia="Times New Roman" w:hAnsi="Verdana"/>
                <w:color w:val="000066"/>
                <w:sz w:val="18"/>
                <w:szCs w:val="18"/>
              </w:rPr>
            </w:pPr>
            <w:hyperlink r:id="rId463" w:tooltip="See more details" w:history="1">
              <w:r w:rsidR="00EB705F">
                <w:rPr>
                  <w:rStyle w:val="Hyperlink"/>
                  <w:rFonts w:ascii="Verdana" w:eastAsia="Times New Roman" w:hAnsi="Verdana"/>
                  <w:sz w:val="18"/>
                  <w:szCs w:val="18"/>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672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4888E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B87D1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A331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90BA3E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363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EB186" w14:textId="77777777" w:rsidR="00EB705F" w:rsidRDefault="00BB63EF" w:rsidP="00C9333D">
            <w:pPr>
              <w:jc w:val="center"/>
              <w:rPr>
                <w:rFonts w:ascii="Verdana" w:eastAsia="Times New Roman" w:hAnsi="Verdana"/>
                <w:color w:val="000066"/>
                <w:sz w:val="18"/>
                <w:szCs w:val="18"/>
              </w:rPr>
            </w:pPr>
            <w:hyperlink r:id="rId464" w:tooltip="See more details" w:history="1">
              <w:r w:rsidR="00EB705F">
                <w:rPr>
                  <w:rStyle w:val="Hyperlink"/>
                  <w:rFonts w:ascii="Verdana" w:eastAsia="Times New Roman" w:hAnsi="Verdana"/>
                  <w:sz w:val="18"/>
                  <w:szCs w:val="18"/>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D0E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847C9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AC4AE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2538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A2076A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E20CF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765E5" w14:textId="77777777" w:rsidR="00EB705F" w:rsidRDefault="00BB63EF" w:rsidP="00C9333D">
            <w:pPr>
              <w:jc w:val="center"/>
              <w:rPr>
                <w:rFonts w:ascii="Verdana" w:eastAsia="Times New Roman" w:hAnsi="Verdana"/>
                <w:color w:val="000066"/>
                <w:sz w:val="18"/>
                <w:szCs w:val="18"/>
              </w:rPr>
            </w:pPr>
            <w:hyperlink r:id="rId465" w:tooltip="See more details" w:history="1">
              <w:r w:rsidR="00EB705F">
                <w:rPr>
                  <w:rStyle w:val="Hyperlink"/>
                  <w:rFonts w:ascii="Verdana" w:eastAsia="Times New Roman" w:hAnsi="Verdana"/>
                  <w:sz w:val="18"/>
                  <w:szCs w:val="18"/>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CF5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4205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83E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G.8021/Y.1341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ODUflexP to ETH adaptation function using IMP by reference to Recommendation ITU-T G.798 (2023), and incorporates Implementer's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2D55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36E7D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5AA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BFB85" w14:textId="77777777" w:rsidR="00EB705F" w:rsidRDefault="00BB63EF" w:rsidP="00C9333D">
            <w:pPr>
              <w:jc w:val="center"/>
              <w:rPr>
                <w:rFonts w:ascii="Verdana" w:eastAsia="Times New Roman" w:hAnsi="Verdana"/>
                <w:color w:val="000066"/>
                <w:sz w:val="18"/>
                <w:szCs w:val="18"/>
              </w:rPr>
            </w:pPr>
            <w:hyperlink r:id="rId466" w:tooltip="See more details" w:history="1">
              <w:r w:rsidR="00EB705F">
                <w:rPr>
                  <w:rStyle w:val="Hyperlink"/>
                  <w:rFonts w:ascii="Verdana" w:eastAsia="Times New Roman" w:hAnsi="Verdana"/>
                  <w:sz w:val="18"/>
                  <w:szCs w:val="18"/>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8D0E8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362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4315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G.8023 specifies both the functional components and the methodology that should be used in order to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04CE6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974A46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668D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E6E4F" w14:textId="77777777" w:rsidR="00EB705F" w:rsidRDefault="00BB63EF" w:rsidP="00C9333D">
            <w:pPr>
              <w:jc w:val="center"/>
              <w:rPr>
                <w:rFonts w:ascii="Verdana" w:eastAsia="Times New Roman" w:hAnsi="Verdana"/>
                <w:color w:val="000066"/>
                <w:sz w:val="18"/>
                <w:szCs w:val="18"/>
              </w:rPr>
            </w:pPr>
            <w:hyperlink r:id="rId467" w:tooltip="See more details" w:history="1">
              <w:r w:rsidR="00EB705F">
                <w:rPr>
                  <w:rStyle w:val="Hyperlink"/>
                  <w:rFonts w:ascii="Verdana" w:eastAsia="Times New Roman" w:hAnsi="Verdana"/>
                  <w:sz w:val="18"/>
                  <w:szCs w:val="18"/>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AC22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987E1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29D2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ITU?T G.8051. The 2016 revision of this Recommendation changes the UML modelling tool from RSA to open source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v0.2.13, deletes ODUkP-X-L (from the CsfRdiFdiEnableSink_Pac, CsfRdiFdiEnableSource_Pac, and CsfReportSink_Pac), replaces ETY termination points with ETHnull termination points, removes ODUkp/ETH_A and ODU2P/ETHPP-OS_A, adds Annex A for the Ethernet Spec model. Edition 4.0 of this Recommendation adds the FlexE UML model and updates the ETH model to prune and refactor the TTP, CTP, Connectivity, Auxiliary MEP and MIP object classes from the G.7711 core model object classes, and up-versions the modeling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EC6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0D7D64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43B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C1BF4" w14:textId="77777777" w:rsidR="00EB705F" w:rsidRDefault="00BB63EF" w:rsidP="00C9333D">
            <w:pPr>
              <w:jc w:val="center"/>
              <w:rPr>
                <w:rFonts w:ascii="Verdana" w:eastAsia="Times New Roman" w:hAnsi="Verdana"/>
                <w:color w:val="000066"/>
                <w:sz w:val="18"/>
                <w:szCs w:val="18"/>
              </w:rPr>
            </w:pPr>
            <w:hyperlink r:id="rId468" w:tooltip="See more details" w:history="1">
              <w:r w:rsidR="00EB705F">
                <w:rPr>
                  <w:rStyle w:val="Hyperlink"/>
                  <w:rFonts w:ascii="Verdana" w:eastAsia="Times New Roman" w:hAnsi="Verdana"/>
                  <w:sz w:val="18"/>
                  <w:szCs w:val="18"/>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C95A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43D0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6B5A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375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1161176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442A5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88567" w14:textId="77777777" w:rsidR="00EB705F" w:rsidRDefault="00BB63EF" w:rsidP="00C9333D">
            <w:pPr>
              <w:jc w:val="center"/>
              <w:rPr>
                <w:rFonts w:ascii="Verdana" w:eastAsia="Times New Roman" w:hAnsi="Verdana"/>
                <w:color w:val="000066"/>
                <w:sz w:val="18"/>
                <w:szCs w:val="18"/>
              </w:rPr>
            </w:pPr>
            <w:hyperlink r:id="rId469" w:tooltip="See more details" w:history="1">
              <w:r w:rsidR="00EB705F">
                <w:rPr>
                  <w:rStyle w:val="Hyperlink"/>
                  <w:rFonts w:ascii="Verdana" w:eastAsia="Times New Roman" w:hAnsi="Verdana"/>
                  <w:sz w:val="18"/>
                  <w:szCs w:val="18"/>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C26C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96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Characteristics of MPLS-TP </w:t>
            </w:r>
            <w:r>
              <w:rPr>
                <w:rFonts w:ascii="Verdana" w:eastAsia="Times New Roman" w:hAnsi="Verdana"/>
                <w:color w:val="000066"/>
                <w:sz w:val="18"/>
                <w:szCs w:val="18"/>
              </w:rPr>
              <w:lastRenderedPageBreak/>
              <w:t>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4D5B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lastRenderedPageBreak/>
              <w:t xml:space="preserve">Recommendation ITU-T G.8121/Y.1381 specifies both the </w:t>
            </w:r>
            <w:r>
              <w:rPr>
                <w:rFonts w:ascii="Verdana" w:eastAsia="Times New Roman" w:hAnsi="Verdana"/>
                <w:color w:val="000066"/>
                <w:sz w:val="18"/>
                <w:szCs w:val="18"/>
              </w:rPr>
              <w:lastRenderedPageBreak/>
              <w:t>functional components and the methodology that should be used in order to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27C2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44ED4D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CB069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959C1" w14:textId="77777777" w:rsidR="00EB705F" w:rsidRDefault="00BB63EF" w:rsidP="00C9333D">
            <w:pPr>
              <w:jc w:val="center"/>
              <w:rPr>
                <w:rFonts w:ascii="Verdana" w:eastAsia="Times New Roman" w:hAnsi="Verdana"/>
                <w:color w:val="000066"/>
                <w:sz w:val="18"/>
                <w:szCs w:val="18"/>
              </w:rPr>
            </w:pPr>
            <w:hyperlink r:id="rId470" w:tooltip="See more details" w:history="1">
              <w:r w:rsidR="00EB705F">
                <w:rPr>
                  <w:rStyle w:val="Hyperlink"/>
                  <w:rFonts w:ascii="Verdana" w:eastAsia="Times New Roman" w:hAnsi="Verdana"/>
                  <w:sz w:val="18"/>
                  <w:szCs w:val="18"/>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84F4B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ADD6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1E6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ITU?T G.8121/Y.1381, G.8121.1/Y.1381.1 and G.8121.2/Y.1381.2. Amendment 1 to this Recommendation updates the Administrative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E99B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FF24A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C6388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26B80" w14:textId="77777777" w:rsidR="00EB705F" w:rsidRDefault="00BB63EF" w:rsidP="00C9333D">
            <w:pPr>
              <w:jc w:val="center"/>
              <w:rPr>
                <w:rFonts w:ascii="Verdana" w:eastAsia="Times New Roman" w:hAnsi="Verdana"/>
                <w:color w:val="000066"/>
                <w:sz w:val="18"/>
                <w:szCs w:val="18"/>
              </w:rPr>
            </w:pPr>
            <w:hyperlink r:id="rId471" w:tooltip="See more details" w:history="1">
              <w:r w:rsidR="00EB705F">
                <w:rPr>
                  <w:rStyle w:val="Hyperlink"/>
                  <w:rFonts w:ascii="Verdana" w:eastAsia="Times New Roman" w:hAnsi="Verdana"/>
                  <w:sz w:val="18"/>
                  <w:szCs w:val="18"/>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93080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70DF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FA3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MT_SubnetworkProtectionGroup specifies the FcSwitch, and MT_CrossConnection specifies the ForwardingConstruct. Edition 3.0 of this Recommendation updates the MPLS-TP model to prune and refactor the TTP, CTP, Connectivity, Auxiliary MEP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BBA9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7791F4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2CCF2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2D5FD" w14:textId="77777777" w:rsidR="00EB705F" w:rsidRDefault="00BB63EF" w:rsidP="00C9333D">
            <w:pPr>
              <w:jc w:val="center"/>
              <w:rPr>
                <w:rFonts w:ascii="Verdana" w:eastAsia="Times New Roman" w:hAnsi="Verdana"/>
                <w:color w:val="000066"/>
                <w:sz w:val="18"/>
                <w:szCs w:val="18"/>
              </w:rPr>
            </w:pPr>
            <w:hyperlink r:id="rId472" w:tooltip="See more details" w:history="1">
              <w:r w:rsidR="00EB705F">
                <w:rPr>
                  <w:rStyle w:val="Hyperlink"/>
                  <w:rFonts w:ascii="Verdana" w:eastAsia="Times New Roman" w:hAnsi="Verdana"/>
                  <w:sz w:val="18"/>
                  <w:szCs w:val="18"/>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8432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5B6E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E717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G.8260 provides the definitions, terminology and abbreviations used in ITU?T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New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325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11AD9E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B116C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35DB5" w14:textId="77777777" w:rsidR="00EB705F" w:rsidRDefault="00BB63EF" w:rsidP="00C9333D">
            <w:pPr>
              <w:jc w:val="center"/>
              <w:rPr>
                <w:rFonts w:ascii="Verdana" w:eastAsia="Times New Roman" w:hAnsi="Verdana"/>
                <w:color w:val="000066"/>
                <w:sz w:val="18"/>
                <w:szCs w:val="18"/>
              </w:rPr>
            </w:pPr>
            <w:hyperlink r:id="rId473" w:tooltip="See more details" w:history="1">
              <w:r w:rsidR="00EB705F">
                <w:rPr>
                  <w:rStyle w:val="Hyperlink"/>
                  <w:rFonts w:ascii="Verdana" w:eastAsia="Times New Roman" w:hAnsi="Verdana"/>
                  <w:sz w:val="18"/>
                  <w:szCs w:val="18"/>
                </w:rPr>
                <w:t>G.8264/Y.1364 (2017)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EEAF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E0531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E08F7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G.8264/Y.1364 outlines aspects of distribution of timing information through packet networks and initially focuses on Ethernet networks. A number of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in order to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BC6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F051D6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A8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08A2A0" w14:textId="77777777" w:rsidR="00EB705F" w:rsidRDefault="00BB63EF" w:rsidP="00C9333D">
            <w:pPr>
              <w:jc w:val="center"/>
              <w:rPr>
                <w:rFonts w:ascii="Verdana" w:eastAsia="Times New Roman" w:hAnsi="Verdana"/>
                <w:color w:val="000066"/>
                <w:sz w:val="18"/>
                <w:szCs w:val="18"/>
              </w:rPr>
            </w:pPr>
            <w:hyperlink r:id="rId474" w:tooltip="See more details" w:history="1">
              <w:r w:rsidR="00EB705F">
                <w:rPr>
                  <w:rStyle w:val="Hyperlink"/>
                  <w:rFonts w:ascii="Verdana" w:eastAsia="Times New Roman" w:hAnsi="Verdana"/>
                  <w:sz w:val="18"/>
                  <w:szCs w:val="18"/>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DA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FE27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E96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F1A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EF4A07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63B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B2A77" w14:textId="77777777" w:rsidR="00EB705F" w:rsidRDefault="00BB63EF" w:rsidP="00C9333D">
            <w:pPr>
              <w:jc w:val="center"/>
              <w:rPr>
                <w:rFonts w:ascii="Verdana" w:eastAsia="Times New Roman" w:hAnsi="Verdana"/>
                <w:color w:val="000066"/>
                <w:sz w:val="18"/>
                <w:szCs w:val="18"/>
              </w:rPr>
            </w:pPr>
            <w:hyperlink r:id="rId475" w:tooltip="See more details" w:history="1">
              <w:r w:rsidR="00EB705F">
                <w:rPr>
                  <w:rStyle w:val="Hyperlink"/>
                  <w:rFonts w:ascii="Verdana" w:eastAsia="Times New Roman" w:hAnsi="Verdana"/>
                  <w:sz w:val="18"/>
                  <w:szCs w:val="18"/>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78DD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D9B2D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AE92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G.8272.1 specifies the requirements for enhanced primary reference time clocks (ePRTCs) suitable for time and phase synchronization in packet networks. It defines the error allowed at the time output of the ePRTC.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348C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511D04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BC66F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80AFF" w14:textId="77777777" w:rsidR="00EB705F" w:rsidRDefault="00BB63EF" w:rsidP="00C9333D">
            <w:pPr>
              <w:jc w:val="center"/>
              <w:rPr>
                <w:rFonts w:ascii="Verdana" w:eastAsia="Times New Roman" w:hAnsi="Verdana"/>
                <w:color w:val="000066"/>
                <w:sz w:val="18"/>
                <w:szCs w:val="18"/>
              </w:rPr>
            </w:pPr>
            <w:hyperlink r:id="rId476" w:tooltip="See more details" w:history="1">
              <w:r w:rsidR="00EB705F">
                <w:rPr>
                  <w:rStyle w:val="Hyperlink"/>
                  <w:rFonts w:ascii="Verdana" w:eastAsia="Times New Roman" w:hAnsi="Verdana"/>
                  <w:sz w:val="18"/>
                  <w:szCs w:val="18"/>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AA1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F701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F1AF4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coherent network primary reference time clocks (cnPRTCs) suitable for time, phase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D8A5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2A17648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FFA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6B368" w14:textId="77777777" w:rsidR="00EB705F" w:rsidRDefault="00BB63EF" w:rsidP="00C9333D">
            <w:pPr>
              <w:jc w:val="center"/>
              <w:rPr>
                <w:rFonts w:ascii="Verdana" w:eastAsia="Times New Roman" w:hAnsi="Verdana"/>
                <w:color w:val="000066"/>
                <w:sz w:val="18"/>
                <w:szCs w:val="18"/>
              </w:rPr>
            </w:pPr>
            <w:hyperlink r:id="rId477" w:tooltip="See more details" w:history="1">
              <w:r w:rsidR="00EB705F">
                <w:rPr>
                  <w:rStyle w:val="Hyperlink"/>
                  <w:rFonts w:ascii="Verdana" w:eastAsia="Times New Roman" w:hAnsi="Verdana"/>
                  <w:sz w:val="18"/>
                  <w:szCs w:val="18"/>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AD7BB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6FFAB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F213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57C8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846938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8FAF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41BB96" w14:textId="77777777" w:rsidR="00EB705F" w:rsidRDefault="00BB63EF" w:rsidP="00C9333D">
            <w:pPr>
              <w:jc w:val="center"/>
              <w:rPr>
                <w:rFonts w:ascii="Verdana" w:eastAsia="Times New Roman" w:hAnsi="Verdana"/>
                <w:color w:val="000066"/>
                <w:sz w:val="18"/>
                <w:szCs w:val="18"/>
              </w:rPr>
            </w:pPr>
            <w:hyperlink r:id="rId478" w:tooltip="See more details" w:history="1">
              <w:r w:rsidR="00EB705F">
                <w:rPr>
                  <w:rStyle w:val="Hyperlink"/>
                  <w:rFonts w:ascii="Verdana" w:eastAsia="Times New Roman" w:hAnsi="Verdana"/>
                  <w:sz w:val="18"/>
                  <w:szCs w:val="18"/>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6571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8C3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D5E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[ITU?T G.8275]. Amendment 1 incorporates the following updates: Clarifications on some dataset members use in the dataset comparison algorithm, Update PTSF functionality to include monitoring ports, Clarify the setting of the frequencyTraceable flag, Clarify defaultDS.deviceType, Add performance monitoring Annex F of [ITU?T G.8275]. as an optional feature of this profile, Add clarification to Annex G and Annex K, Revised terminology based on inclusive language, Add new dataset members into Table A.1 and Table A.5, Add new profileVersion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8A9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6CAD34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5B60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73D452" w14:textId="77777777" w:rsidR="00EB705F" w:rsidRDefault="00BB63EF" w:rsidP="00C9333D">
            <w:pPr>
              <w:jc w:val="center"/>
              <w:rPr>
                <w:rFonts w:ascii="Verdana" w:eastAsia="Times New Roman" w:hAnsi="Verdana"/>
                <w:color w:val="000066"/>
                <w:sz w:val="18"/>
                <w:szCs w:val="18"/>
              </w:rPr>
            </w:pPr>
            <w:hyperlink r:id="rId479" w:tooltip="See more details" w:history="1">
              <w:r w:rsidR="00EB705F">
                <w:rPr>
                  <w:rStyle w:val="Hyperlink"/>
                  <w:rFonts w:ascii="Verdana" w:eastAsia="Times New Roman" w:hAnsi="Verdana"/>
                  <w:sz w:val="18"/>
                  <w:szCs w:val="18"/>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5421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4CF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98AC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[ITU?T G.8260]. Amendment 1 to Recommendation ITU-T G.8275.2 (2022/11) provides the following updates: Added notes to clause 6.7.9 “Data set comparison algorithm” with references to [IEEE 1588] on defaultDS.timeReceiverOnly, portDS.masterOnly, and portDS.notMaster. Added a note to “Table 3 – Applicable clockClass values” on T-BC-A holdover Added performance monitoring Annex F of [ITU-T G.8275] as an optional feature of this profile Clarified defaultDS.deviceType with a note added to Table A.1 Revised terminology based on inclusive language Incremented profileVersion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D41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52239E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18733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984DC" w14:textId="77777777" w:rsidR="00EB705F" w:rsidRDefault="00BB63EF" w:rsidP="00C9333D">
            <w:pPr>
              <w:jc w:val="center"/>
              <w:rPr>
                <w:rFonts w:ascii="Verdana" w:eastAsia="Times New Roman" w:hAnsi="Verdana"/>
                <w:color w:val="000066"/>
                <w:sz w:val="18"/>
                <w:szCs w:val="18"/>
              </w:rPr>
            </w:pPr>
            <w:hyperlink r:id="rId480" w:tooltip="See more details" w:history="1">
              <w:r w:rsidR="00EB705F">
                <w:rPr>
                  <w:rStyle w:val="Hyperlink"/>
                  <w:rFonts w:ascii="Verdana" w:eastAsia="Times New Roman" w:hAnsi="Verdana"/>
                  <w:sz w:val="18"/>
                  <w:szCs w:val="18"/>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AD16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7F27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9E70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G.8310 describes the functional architecture of the metro transport network (MTN) using the modelling methodology described in Recommendations ITU?T G.800 and ITU?T G.805. MTN is primarily intended to support transport of distributed radio access network (D?RAN) and cloud radio access network (C?RAN)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non?recursive layers, the MTN path layer, and the MTN section layer. The MTN path layer uses the MTN section layer as its server layer. The MTN path layer provides configurable connection-oriented connectivity. The server layer for the MTN section layer is provided by 50GBASE?R, 100GBASE?R, 200GBASE?R, and 400GBASE?R Ethernet interfaces. Amendment 1 adds the architecture of fine-grain MTN layer which uses the MTN Path as its server layer. 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C0FF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90A8D9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74C1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E203C" w14:textId="77777777" w:rsidR="00EB705F" w:rsidRDefault="00BB63EF" w:rsidP="00C9333D">
            <w:pPr>
              <w:jc w:val="center"/>
              <w:rPr>
                <w:rFonts w:ascii="Verdana" w:eastAsia="Times New Roman" w:hAnsi="Verdana"/>
                <w:color w:val="000066"/>
                <w:sz w:val="18"/>
                <w:szCs w:val="18"/>
              </w:rPr>
            </w:pPr>
            <w:hyperlink r:id="rId481" w:tooltip="See more details" w:history="1">
              <w:r w:rsidR="00EB705F">
                <w:rPr>
                  <w:rStyle w:val="Hyperlink"/>
                  <w:rFonts w:ascii="Verdana" w:eastAsia="Times New Roman" w:hAnsi="Verdana"/>
                  <w:sz w:val="18"/>
                  <w:szCs w:val="18"/>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746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E7CEB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27A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(FlexE) implementation logic. Amendment one adds several clarifications and also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564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3A48C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662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1120B" w14:textId="77777777" w:rsidR="00EB705F" w:rsidRDefault="00BB63EF" w:rsidP="00C9333D">
            <w:pPr>
              <w:jc w:val="center"/>
              <w:rPr>
                <w:rFonts w:ascii="Verdana" w:eastAsia="Times New Roman" w:hAnsi="Verdana"/>
                <w:color w:val="000066"/>
                <w:sz w:val="18"/>
                <w:szCs w:val="18"/>
              </w:rPr>
            </w:pPr>
            <w:hyperlink r:id="rId482" w:tooltip="See more details" w:history="1">
              <w:r w:rsidR="00EB705F">
                <w:rPr>
                  <w:rStyle w:val="Hyperlink"/>
                  <w:rFonts w:ascii="Verdana" w:eastAsia="Times New Roman" w:hAnsi="Verdana"/>
                  <w:sz w:val="18"/>
                  <w:szCs w:val="18"/>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E04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2F1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4F8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an overview of the functions provided by the fine-grain MTN (fgMTN)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6AE9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70EB0F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1EC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D15354" w14:textId="77777777" w:rsidR="00EB705F" w:rsidRDefault="00BB63EF" w:rsidP="00C9333D">
            <w:pPr>
              <w:jc w:val="center"/>
              <w:rPr>
                <w:rFonts w:ascii="Verdana" w:eastAsia="Times New Roman" w:hAnsi="Verdana"/>
                <w:color w:val="000066"/>
                <w:sz w:val="18"/>
                <w:szCs w:val="18"/>
              </w:rPr>
            </w:pPr>
            <w:hyperlink r:id="rId483" w:tooltip="See more details" w:history="1">
              <w:r w:rsidR="00EB705F">
                <w:rPr>
                  <w:rStyle w:val="Hyperlink"/>
                  <w:rFonts w:ascii="Verdana" w:eastAsia="Times New Roman" w:hAnsi="Verdana"/>
                  <w:sz w:val="18"/>
                  <w:szCs w:val="18"/>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6BD5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AAE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E08A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cLOBA related requirements in clause 7 to align with G.8321 (11/2022) .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6DF2F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E7BC63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854B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65279" w14:textId="77777777" w:rsidR="00EB705F" w:rsidRDefault="00BB63EF" w:rsidP="00C9333D">
            <w:pPr>
              <w:jc w:val="center"/>
              <w:rPr>
                <w:rFonts w:ascii="Verdana" w:eastAsia="Times New Roman" w:hAnsi="Verdana"/>
                <w:color w:val="000066"/>
                <w:sz w:val="18"/>
                <w:szCs w:val="18"/>
              </w:rPr>
            </w:pPr>
            <w:hyperlink r:id="rId484" w:tooltip="See more details" w:history="1">
              <w:r w:rsidR="00EB705F">
                <w:rPr>
                  <w:rStyle w:val="Hyperlink"/>
                  <w:rFonts w:ascii="Verdana" w:eastAsia="Times New Roman" w:hAnsi="Verdana"/>
                  <w:sz w:val="18"/>
                  <w:szCs w:val="18"/>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56BC4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81E5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42ED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G.872 describes the functional architecture of the optical transport network (OTN) using the modelling methodology described in Recommendations ITU?T G.800, ITU?T G.805 and ITU?T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ITU?T G.709. The media portion of the network is described in terms of media constructs, media elements and optical signal maintenance entities. Revision 6.0 adds description of fgOTN. The description of FlexO is enhanced to reflect additional functionality in the 2024 suite of ITU?T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AEAE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97A8C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F656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1CFFF" w14:textId="77777777" w:rsidR="00EB705F" w:rsidRDefault="00BB63EF" w:rsidP="00C9333D">
            <w:pPr>
              <w:jc w:val="center"/>
              <w:rPr>
                <w:rFonts w:ascii="Verdana" w:eastAsia="Times New Roman" w:hAnsi="Verdana"/>
                <w:color w:val="000066"/>
                <w:sz w:val="18"/>
                <w:szCs w:val="18"/>
              </w:rPr>
            </w:pPr>
            <w:hyperlink r:id="rId485" w:tooltip="See more details" w:history="1">
              <w:r w:rsidR="00EB705F">
                <w:rPr>
                  <w:rStyle w:val="Hyperlink"/>
                  <w:rFonts w:ascii="Verdana" w:eastAsia="Times New Roman" w:hAnsi="Verdana"/>
                  <w:sz w:val="18"/>
                  <w:szCs w:val="18"/>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550A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545A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6666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ITU?T G.7710/Y.1701, and replaced the generic text with pointers to Recommendation ITU-T G.7710/Y.1701. Recommendation ITU-T G.874 (2010) added the management of new transport functions that were introduced in ITU-T G.798 (2010), including OPSMnk_TT, OPSM/OTUk a_A, and ODUk for k=0, 2e, 4, and flex. Recommendation ITU-T G.874 (2013) added the management of hitless adjustment of ODUflex(GFP) (HAO), automatic protection switching (APS), application codes and performance management (PM) data collection. Recommendation ITU-T G.874 (2017) added a description to cover OTUCn GCC0, added the application code related MI signals, updated the MI signals for ODU2eP/FC-1200_A, OSM256.4/CBRx_A, OSx/CBRx-b_A_Sk and OSx/CBRx-c_A_Sk, removed the nDelay, nES, and fES primitives, moved the description of O.MN, O.MSN, and O.NE to the convention clause, updated the default values of DEGThr and DEGM, updated Appendix III to align with Table 15-9 of ITU-T G.709/Y.1331 (2016), and removed the adaptation function activation and MI_Active to align with ITU-T G.798. Recommendation ITU-T G.874 (2020) aligns with the latest editions of ITU-T G.709 and ITU-T G.798, and harmonizes generic </w:t>
            </w:r>
            <w:r>
              <w:rPr>
                <w:rFonts w:ascii="Verdana" w:eastAsia="Times New Roman" w:hAnsi="Verdana"/>
                <w:color w:val="000066"/>
                <w:sz w:val="18"/>
                <w:szCs w:val="18"/>
              </w:rPr>
              <w:lastRenderedPageBreak/>
              <w:t>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400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2023-12-01</w:t>
            </w:r>
          </w:p>
        </w:tc>
      </w:tr>
      <w:tr w:rsidR="00EB705F" w14:paraId="1FFD470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6304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AFDA7F" w14:textId="77777777" w:rsidR="00EB705F" w:rsidRDefault="00BB63EF" w:rsidP="00C9333D">
            <w:pPr>
              <w:jc w:val="center"/>
              <w:rPr>
                <w:rFonts w:ascii="Verdana" w:eastAsia="Times New Roman" w:hAnsi="Verdana"/>
                <w:color w:val="000066"/>
                <w:sz w:val="18"/>
                <w:szCs w:val="18"/>
              </w:rPr>
            </w:pPr>
            <w:hyperlink r:id="rId486" w:tooltip="See more details" w:history="1">
              <w:r w:rsidR="00EB705F">
                <w:rPr>
                  <w:rStyle w:val="Hyperlink"/>
                  <w:rFonts w:ascii="Verdana" w:eastAsia="Times New Roman" w:hAnsi="Verdana"/>
                  <w:sz w:val="18"/>
                  <w:szCs w:val="18"/>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5DFEB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00D4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A553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3F5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4566E6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9D2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1AEFCB" w14:textId="77777777" w:rsidR="00EB705F" w:rsidRDefault="00BB63EF" w:rsidP="00C9333D">
            <w:pPr>
              <w:jc w:val="center"/>
              <w:rPr>
                <w:rFonts w:ascii="Verdana" w:eastAsia="Times New Roman" w:hAnsi="Verdana"/>
                <w:color w:val="000066"/>
                <w:sz w:val="18"/>
                <w:szCs w:val="18"/>
              </w:rPr>
            </w:pPr>
            <w:hyperlink r:id="rId487" w:tooltip="See more details" w:history="1">
              <w:r w:rsidR="00EB705F">
                <w:rPr>
                  <w:rStyle w:val="Hyperlink"/>
                  <w:rFonts w:ascii="Verdana" w:eastAsia="Times New Roman" w:hAnsi="Verdana"/>
                  <w:sz w:val="18"/>
                  <w:szCs w:val="18"/>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E20C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B561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1AEB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G.959.1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90C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EB7458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D55CA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11FCE" w14:textId="77777777" w:rsidR="00EB705F" w:rsidRDefault="00BB63EF" w:rsidP="00C9333D">
            <w:pPr>
              <w:jc w:val="center"/>
              <w:rPr>
                <w:rFonts w:ascii="Verdana" w:eastAsia="Times New Roman" w:hAnsi="Verdana"/>
                <w:color w:val="000066"/>
                <w:sz w:val="18"/>
                <w:szCs w:val="18"/>
              </w:rPr>
            </w:pPr>
            <w:hyperlink r:id="rId488" w:tooltip="See more details" w:history="1">
              <w:r w:rsidR="00EB705F">
                <w:rPr>
                  <w:rStyle w:val="Hyperlink"/>
                  <w:rFonts w:ascii="Verdana" w:eastAsia="Times New Roman" w:hAnsi="Verdana"/>
                  <w:sz w:val="18"/>
                  <w:szCs w:val="18"/>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DFC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010C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DC5F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F7F6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5BC339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F2D4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F6D39" w14:textId="77777777" w:rsidR="00EB705F" w:rsidRDefault="00BB63EF" w:rsidP="00C9333D">
            <w:pPr>
              <w:jc w:val="center"/>
              <w:rPr>
                <w:rFonts w:ascii="Verdana" w:eastAsia="Times New Roman" w:hAnsi="Verdana"/>
                <w:color w:val="000066"/>
                <w:sz w:val="18"/>
                <w:szCs w:val="18"/>
              </w:rPr>
            </w:pPr>
            <w:hyperlink r:id="rId489" w:tooltip="See more details" w:history="1">
              <w:r w:rsidR="00EB705F">
                <w:rPr>
                  <w:rStyle w:val="Hyperlink"/>
                  <w:rFonts w:ascii="Verdana" w:eastAsia="Times New Roman" w:hAnsi="Verdana"/>
                  <w:sz w:val="18"/>
                  <w:szCs w:val="18"/>
                </w:rPr>
                <w:t>G.9804.3 (2021)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9DF01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F4CC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2877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142A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0D6EF7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374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76F1D" w14:textId="77777777" w:rsidR="00EB705F" w:rsidRDefault="00BB63EF" w:rsidP="00C9333D">
            <w:pPr>
              <w:jc w:val="center"/>
              <w:rPr>
                <w:rFonts w:ascii="Verdana" w:eastAsia="Times New Roman" w:hAnsi="Verdana"/>
                <w:color w:val="000066"/>
                <w:sz w:val="18"/>
                <w:szCs w:val="18"/>
              </w:rPr>
            </w:pPr>
            <w:hyperlink r:id="rId490" w:tooltip="See more details" w:history="1">
              <w:r w:rsidR="00EB705F">
                <w:rPr>
                  <w:rStyle w:val="Hyperlink"/>
                  <w:rFonts w:ascii="Verdana" w:eastAsia="Times New Roman" w:hAnsi="Verdana"/>
                  <w:sz w:val="18"/>
                  <w:szCs w:val="18"/>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E97B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AFC5D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Higher-speed bidirectional, single fibre, point-to-point optical access system (HS-PtP)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67C7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administration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21982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3B8C9D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ADF6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7F476" w14:textId="77777777" w:rsidR="00EB705F" w:rsidRDefault="00BB63EF" w:rsidP="00C9333D">
            <w:pPr>
              <w:jc w:val="center"/>
              <w:rPr>
                <w:rFonts w:ascii="Verdana" w:eastAsia="Times New Roman" w:hAnsi="Verdana"/>
                <w:color w:val="000066"/>
                <w:sz w:val="18"/>
                <w:szCs w:val="18"/>
              </w:rPr>
            </w:pPr>
            <w:hyperlink r:id="rId491" w:tooltip="See more details" w:history="1">
              <w:r w:rsidR="00EB705F">
                <w:rPr>
                  <w:rStyle w:val="Hyperlink"/>
                  <w:rFonts w:ascii="Verdana" w:eastAsia="Times New Roman" w:hAnsi="Verdana"/>
                  <w:sz w:val="18"/>
                  <w:szCs w:val="18"/>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A3C7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0D92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B404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2CB79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674F8A3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78DE2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EFC327" w14:textId="77777777" w:rsidR="00EB705F" w:rsidRDefault="00BB63EF" w:rsidP="00C9333D">
            <w:pPr>
              <w:jc w:val="center"/>
              <w:rPr>
                <w:rFonts w:ascii="Verdana" w:eastAsia="Times New Roman" w:hAnsi="Verdana"/>
                <w:color w:val="000066"/>
                <w:sz w:val="18"/>
                <w:szCs w:val="18"/>
              </w:rPr>
            </w:pPr>
            <w:hyperlink r:id="rId492" w:tooltip="See more details" w:history="1">
              <w:r w:rsidR="00EB705F">
                <w:rPr>
                  <w:rStyle w:val="Hyperlink"/>
                  <w:rFonts w:ascii="Verdana" w:eastAsia="Times New Roman" w:hAnsi="Verdana"/>
                  <w:sz w:val="18"/>
                  <w:szCs w:val="18"/>
                </w:rPr>
                <w:t>G.9930 (ex G.p2pf)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1E9D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8BA01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89859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G.p2pf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70E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D6BB61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77085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871A89" w14:textId="77777777" w:rsidR="00EB705F" w:rsidRPr="002A010F" w:rsidRDefault="00BB63EF" w:rsidP="00C9333D">
            <w:pPr>
              <w:jc w:val="center"/>
              <w:rPr>
                <w:rFonts w:ascii="Verdana" w:eastAsia="Times New Roman" w:hAnsi="Verdana"/>
                <w:color w:val="000066"/>
                <w:sz w:val="18"/>
                <w:szCs w:val="18"/>
                <w:lang w:val="fr-FR"/>
              </w:rPr>
            </w:pPr>
            <w:hyperlink r:id="rId493" w:tooltip="See more details" w:history="1">
              <w:proofErr w:type="spellStart"/>
              <w:r w:rsidR="00EB705F" w:rsidRPr="002A010F">
                <w:rPr>
                  <w:rStyle w:val="Hyperlink"/>
                  <w:rFonts w:ascii="Verdana" w:eastAsia="Times New Roman" w:hAnsi="Verdana"/>
                  <w:sz w:val="18"/>
                  <w:szCs w:val="18"/>
                  <w:lang w:val="fr-FR"/>
                </w:rPr>
                <w:t>G.9941</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G.fin</w:t>
              </w:r>
              <w:proofErr w:type="spellEnd"/>
              <w:r w:rsidR="00EB705F" w:rsidRPr="002A010F">
                <w:rPr>
                  <w:rStyle w:val="Hyperlink"/>
                  <w:rFonts w:ascii="Verdana" w:eastAsia="Times New Roman" w:hAnsi="Verdana"/>
                  <w:sz w:val="18"/>
                  <w:szCs w:val="18"/>
                  <w:lang w:val="fr-FR"/>
                </w:rPr>
                <w:t>-PHY)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11F79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39B5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B49B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G.fin-PHY belongs to the family of ITU-T G.fin Recommendations. Recommendation G.fin-PHY specifies the physical layer of high speed fibre-based in-premises (G.fin)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C9090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195ED9C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68A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29FEF" w14:textId="77777777" w:rsidR="00EB705F" w:rsidRDefault="00BB63EF" w:rsidP="00C9333D">
            <w:pPr>
              <w:jc w:val="center"/>
              <w:rPr>
                <w:rFonts w:ascii="Verdana" w:eastAsia="Times New Roman" w:hAnsi="Verdana"/>
                <w:color w:val="000066"/>
                <w:sz w:val="18"/>
                <w:szCs w:val="18"/>
              </w:rPr>
            </w:pPr>
            <w:hyperlink r:id="rId494" w:tooltip="See more details" w:history="1">
              <w:r w:rsidR="00EB705F">
                <w:rPr>
                  <w:rStyle w:val="Hyperlink"/>
                  <w:rFonts w:ascii="Verdana" w:eastAsia="Times New Roman" w:hAnsi="Verdana"/>
                  <w:sz w:val="18"/>
                  <w:szCs w:val="18"/>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E573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38B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D1122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G.9960 (2023) comprises ITU-T G.9960 (2018) plus its Corrigendum 1, Amendment 1, Amendment 2, Corrigendum 2 and Amendment 3, along with the specification of a new PHY frame type for use by ITU-T G.9991. 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B2331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890A9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D5EB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6AF83" w14:textId="77777777" w:rsidR="00EB705F" w:rsidRDefault="00BB63EF" w:rsidP="00C9333D">
            <w:pPr>
              <w:jc w:val="center"/>
              <w:rPr>
                <w:rFonts w:ascii="Verdana" w:eastAsia="Times New Roman" w:hAnsi="Verdana"/>
                <w:color w:val="000066"/>
                <w:sz w:val="18"/>
                <w:szCs w:val="18"/>
              </w:rPr>
            </w:pPr>
            <w:hyperlink r:id="rId495" w:tooltip="See more details" w:history="1">
              <w:r w:rsidR="00EB705F">
                <w:rPr>
                  <w:rStyle w:val="Hyperlink"/>
                  <w:rFonts w:ascii="Verdana" w:eastAsia="Times New Roman" w:hAnsi="Verdana"/>
                  <w:sz w:val="18"/>
                  <w:szCs w:val="18"/>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7FD6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1E0F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1322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CD35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473D0A8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37F2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2957F" w14:textId="77777777" w:rsidR="00EB705F" w:rsidRDefault="00BB63EF" w:rsidP="00C9333D">
            <w:pPr>
              <w:jc w:val="center"/>
              <w:rPr>
                <w:rFonts w:ascii="Verdana" w:eastAsia="Times New Roman" w:hAnsi="Verdana"/>
                <w:color w:val="000066"/>
                <w:sz w:val="18"/>
                <w:szCs w:val="18"/>
              </w:rPr>
            </w:pPr>
            <w:hyperlink r:id="rId496" w:tooltip="See more details" w:history="1">
              <w:r w:rsidR="00EB705F">
                <w:rPr>
                  <w:rStyle w:val="Hyperlink"/>
                  <w:rFonts w:ascii="Verdana" w:eastAsia="Times New Roman" w:hAnsi="Verdana"/>
                  <w:sz w:val="18"/>
                  <w:szCs w:val="18"/>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5E132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1E68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6CD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in order to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8464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D2A15C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C8C23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D09406" w14:textId="77777777" w:rsidR="00EB705F" w:rsidRDefault="00BB63EF" w:rsidP="00C9333D">
            <w:pPr>
              <w:jc w:val="center"/>
              <w:rPr>
                <w:rFonts w:ascii="Verdana" w:eastAsia="Times New Roman" w:hAnsi="Verdana"/>
                <w:color w:val="000066"/>
                <w:sz w:val="18"/>
                <w:szCs w:val="18"/>
              </w:rPr>
            </w:pPr>
            <w:hyperlink r:id="rId497" w:tooltip="See more details" w:history="1">
              <w:r w:rsidR="00EB705F">
                <w:rPr>
                  <w:rStyle w:val="Hyperlink"/>
                  <w:rFonts w:ascii="Verdana" w:eastAsia="Times New Roman" w:hAnsi="Verdana"/>
                  <w:sz w:val="18"/>
                  <w:szCs w:val="18"/>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B794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977F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7CBF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CBCAA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8C5BFE1"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2341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5CE4B" w14:textId="77777777" w:rsidR="00EB705F" w:rsidRDefault="00BB63EF" w:rsidP="00C9333D">
            <w:pPr>
              <w:jc w:val="center"/>
              <w:rPr>
                <w:rFonts w:ascii="Verdana" w:eastAsia="Times New Roman" w:hAnsi="Verdana"/>
                <w:color w:val="000066"/>
                <w:sz w:val="18"/>
                <w:szCs w:val="18"/>
              </w:rPr>
            </w:pPr>
            <w:hyperlink r:id="rId498" w:tooltip="See more details" w:history="1">
              <w:r w:rsidR="00EB705F">
                <w:rPr>
                  <w:rStyle w:val="Hyperlink"/>
                  <w:rFonts w:ascii="Verdana" w:eastAsia="Times New Roman" w:hAnsi="Verdana"/>
                  <w:sz w:val="18"/>
                  <w:szCs w:val="18"/>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7EE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0713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1486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L.250 (ex L.90) describes the optical access network to be used in the design and construction of fibre to the x (FTTx),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C3E21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085CCD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F230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FD355" w14:textId="77777777" w:rsidR="00EB705F" w:rsidRDefault="00BB63EF" w:rsidP="00C9333D">
            <w:pPr>
              <w:jc w:val="center"/>
              <w:rPr>
                <w:rFonts w:ascii="Verdana" w:eastAsia="Times New Roman" w:hAnsi="Verdana"/>
                <w:color w:val="000066"/>
                <w:sz w:val="18"/>
                <w:szCs w:val="18"/>
              </w:rPr>
            </w:pPr>
            <w:hyperlink r:id="rId499" w:tooltip="See more details" w:history="1">
              <w:r w:rsidR="00EB705F">
                <w:rPr>
                  <w:rStyle w:val="Hyperlink"/>
                  <w:rFonts w:ascii="Verdana" w:eastAsia="Times New Roman" w:hAnsi="Verdana"/>
                  <w:sz w:val="18"/>
                  <w:szCs w:val="18"/>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B2D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304A1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97708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3F3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2023-12-01</w:t>
            </w:r>
          </w:p>
        </w:tc>
      </w:tr>
      <w:tr w:rsidR="00EB705F" w14:paraId="7D29C40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F76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FAD13" w14:textId="77777777" w:rsidR="00EB705F" w:rsidRPr="002A010F" w:rsidRDefault="00BB63EF" w:rsidP="00C9333D">
            <w:pPr>
              <w:jc w:val="center"/>
              <w:rPr>
                <w:rFonts w:ascii="Verdana" w:eastAsia="Times New Roman" w:hAnsi="Verdana"/>
                <w:color w:val="000066"/>
                <w:sz w:val="18"/>
                <w:szCs w:val="18"/>
                <w:lang w:val="fr-FR"/>
              </w:rPr>
            </w:pPr>
            <w:hyperlink r:id="rId500" w:tooltip="See more details" w:history="1">
              <w:r w:rsidR="00EB705F" w:rsidRPr="002A010F">
                <w:rPr>
                  <w:rStyle w:val="Hyperlink"/>
                  <w:rFonts w:ascii="Verdana" w:eastAsia="Times New Roman" w:hAnsi="Verdana"/>
                  <w:sz w:val="18"/>
                  <w:szCs w:val="18"/>
                  <w:lang w:val="fr-FR"/>
                </w:rPr>
                <w:t>F.748.23 (ex F.ML-ICSMIReqs)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FBD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D573E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C12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7D6D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6A33C66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523D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0B757" w14:textId="77777777" w:rsidR="00EB705F" w:rsidRPr="002A010F" w:rsidRDefault="00BB63EF" w:rsidP="00C9333D">
            <w:pPr>
              <w:jc w:val="center"/>
              <w:rPr>
                <w:rFonts w:ascii="Verdana" w:eastAsia="Times New Roman" w:hAnsi="Verdana"/>
                <w:color w:val="000066"/>
                <w:sz w:val="18"/>
                <w:szCs w:val="18"/>
                <w:lang w:val="fr-FR"/>
              </w:rPr>
            </w:pPr>
            <w:hyperlink r:id="rId501" w:tooltip="See more details" w:history="1">
              <w:r w:rsidR="00EB705F" w:rsidRPr="002A010F">
                <w:rPr>
                  <w:rStyle w:val="Hyperlink"/>
                  <w:rFonts w:ascii="Verdana" w:eastAsia="Times New Roman" w:hAnsi="Verdana"/>
                  <w:sz w:val="18"/>
                  <w:szCs w:val="18"/>
                  <w:lang w:val="fr-FR"/>
                </w:rPr>
                <w:t>F.748.24 (ex F.TCEF-FML)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66A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C217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0BF21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475B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3F1BEC1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4EC1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723B2C" w14:textId="77777777" w:rsidR="00EB705F" w:rsidRPr="004E4C9C" w:rsidRDefault="00BB63EF" w:rsidP="00C9333D">
            <w:pPr>
              <w:jc w:val="center"/>
              <w:rPr>
                <w:rFonts w:ascii="Verdana" w:eastAsia="Times New Roman" w:hAnsi="Verdana"/>
                <w:color w:val="000066"/>
                <w:sz w:val="18"/>
                <w:szCs w:val="18"/>
                <w:lang w:val="pt-BR"/>
              </w:rPr>
            </w:pPr>
            <w:hyperlink r:id="rId502" w:tooltip="See more details" w:history="1">
              <w:r w:rsidR="00EB705F" w:rsidRPr="004E4C9C">
                <w:rPr>
                  <w:rStyle w:val="Hyperlink"/>
                  <w:rFonts w:ascii="Verdana" w:eastAsia="Times New Roman" w:hAnsi="Verdana"/>
                  <w:sz w:val="18"/>
                  <w:szCs w:val="18"/>
                  <w:lang w:val="pt-BR"/>
                </w:rPr>
                <w:t>F.749.17 (ex F.CUAV-MVAreqs)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4E8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8426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965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BB78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06D41F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3CFD7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52A55" w14:textId="77777777" w:rsidR="00EB705F" w:rsidRPr="004E4C9C" w:rsidRDefault="00BB63EF" w:rsidP="00C9333D">
            <w:pPr>
              <w:jc w:val="center"/>
              <w:rPr>
                <w:rFonts w:ascii="Verdana" w:eastAsia="Times New Roman" w:hAnsi="Verdana"/>
                <w:color w:val="000066"/>
                <w:sz w:val="18"/>
                <w:szCs w:val="18"/>
                <w:lang w:val="pt-BR"/>
              </w:rPr>
            </w:pPr>
            <w:hyperlink r:id="rId503" w:tooltip="See more details" w:history="1">
              <w:r w:rsidR="00EB705F" w:rsidRPr="004E4C9C">
                <w:rPr>
                  <w:rStyle w:val="Hyperlink"/>
                  <w:rFonts w:ascii="Verdana" w:eastAsia="Times New Roman" w:hAnsi="Verdana"/>
                  <w:sz w:val="18"/>
                  <w:szCs w:val="18"/>
                  <w:lang w:val="pt-BR"/>
                </w:rPr>
                <w:t>F.760.2 (ex F.FR-ERSS)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5BFC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AA79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BCFC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BDE3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04574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7AF8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4BEC8" w14:textId="77777777" w:rsidR="00EB705F" w:rsidRPr="002A010F" w:rsidRDefault="00BB63EF" w:rsidP="00C9333D">
            <w:pPr>
              <w:jc w:val="center"/>
              <w:rPr>
                <w:rFonts w:ascii="Verdana" w:eastAsia="Times New Roman" w:hAnsi="Verdana"/>
                <w:color w:val="000066"/>
                <w:sz w:val="18"/>
                <w:szCs w:val="18"/>
                <w:lang w:val="fr-FR"/>
              </w:rPr>
            </w:pPr>
            <w:hyperlink r:id="rId504" w:tooltip="See more details" w:history="1">
              <w:r w:rsidR="00EB705F" w:rsidRPr="002A010F">
                <w:rPr>
                  <w:rStyle w:val="Hyperlink"/>
                  <w:rFonts w:ascii="Verdana" w:eastAsia="Times New Roman" w:hAnsi="Verdana"/>
                  <w:sz w:val="18"/>
                  <w:szCs w:val="18"/>
                  <w:lang w:val="fr-FR"/>
                </w:rPr>
                <w:t>H.741.5 (ex H.IPTV-PS)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A7CD1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4657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56C3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personalized IPTV service is an example of application event handling. With the end-user’s permission, service providers are allowed to provide personalized service, such as contents recommendation, personalized user interface, personalized advertisement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F50F4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2023-07-21</w:t>
            </w:r>
          </w:p>
        </w:tc>
      </w:tr>
      <w:tr w:rsidR="00EB705F" w14:paraId="701B12A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6EC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A250A" w14:textId="77777777" w:rsidR="00EB705F" w:rsidRDefault="00BB63EF" w:rsidP="00C9333D">
            <w:pPr>
              <w:jc w:val="center"/>
              <w:rPr>
                <w:rFonts w:ascii="Verdana" w:eastAsia="Times New Roman" w:hAnsi="Verdana"/>
                <w:color w:val="000066"/>
                <w:sz w:val="18"/>
                <w:szCs w:val="18"/>
              </w:rPr>
            </w:pPr>
            <w:hyperlink r:id="rId505" w:tooltip="See more details" w:history="1">
              <w:r w:rsidR="00EB705F">
                <w:rPr>
                  <w:rStyle w:val="Hyperlink"/>
                  <w:rFonts w:ascii="Verdana" w:eastAsia="Times New Roman" w:hAnsi="Verdana"/>
                  <w:sz w:val="18"/>
                  <w:szCs w:val="18"/>
                </w:rPr>
                <w:t>F.742.2 (ex H.DLFrm)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FBDE6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8FF33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72E1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D0D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0B3220A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6C82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58C725" w14:textId="77777777" w:rsidR="00EB705F" w:rsidRPr="002A010F" w:rsidRDefault="00BB63EF" w:rsidP="00C9333D">
            <w:pPr>
              <w:jc w:val="center"/>
              <w:rPr>
                <w:rFonts w:ascii="Verdana" w:eastAsia="Times New Roman" w:hAnsi="Verdana"/>
                <w:color w:val="000066"/>
                <w:sz w:val="18"/>
                <w:szCs w:val="18"/>
                <w:lang w:val="fr-FR"/>
              </w:rPr>
            </w:pPr>
            <w:hyperlink r:id="rId506" w:tooltip="See more details" w:history="1">
              <w:r w:rsidR="00EB705F" w:rsidRPr="002A010F">
                <w:rPr>
                  <w:rStyle w:val="Hyperlink"/>
                  <w:rFonts w:ascii="Verdana" w:eastAsia="Times New Roman" w:hAnsi="Verdana"/>
                  <w:sz w:val="18"/>
                  <w:szCs w:val="18"/>
                  <w:lang w:val="fr-FR"/>
                </w:rPr>
                <w:t>F.748.27 (ex F.3DIDH-reqts)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CCD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D2F8E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33FF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terms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980E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5C9EFF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1AF2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3C21A" w14:textId="77777777" w:rsidR="00EB705F" w:rsidRPr="002A010F" w:rsidRDefault="00BB63EF" w:rsidP="00C9333D">
            <w:pPr>
              <w:jc w:val="center"/>
              <w:rPr>
                <w:rFonts w:ascii="Verdana" w:eastAsia="Times New Roman" w:hAnsi="Verdana"/>
                <w:color w:val="000066"/>
                <w:sz w:val="18"/>
                <w:szCs w:val="18"/>
                <w:lang w:val="fr-FR"/>
              </w:rPr>
            </w:pPr>
            <w:hyperlink r:id="rId507" w:tooltip="See more details" w:history="1">
              <w:proofErr w:type="spellStart"/>
              <w:r w:rsidR="00EB705F" w:rsidRPr="002A010F">
                <w:rPr>
                  <w:rStyle w:val="Hyperlink"/>
                  <w:rFonts w:ascii="Verdana" w:eastAsia="Times New Roman" w:hAnsi="Verdana"/>
                  <w:sz w:val="18"/>
                  <w:szCs w:val="18"/>
                  <w:lang w:val="fr-FR"/>
                </w:rPr>
                <w:t>F.749.7</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F.VGP-RDSreqs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A2C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04DB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81733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driving, and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DDE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E3366B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0789C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CA5B3" w14:textId="77777777" w:rsidR="00EB705F" w:rsidRPr="002A010F" w:rsidRDefault="00BB63EF" w:rsidP="00C9333D">
            <w:pPr>
              <w:jc w:val="center"/>
              <w:rPr>
                <w:rFonts w:ascii="Verdana" w:eastAsia="Times New Roman" w:hAnsi="Verdana"/>
                <w:color w:val="000066"/>
                <w:sz w:val="18"/>
                <w:szCs w:val="18"/>
                <w:lang w:val="fr-FR"/>
              </w:rPr>
            </w:pPr>
            <w:hyperlink r:id="rId508" w:tooltip="See more details" w:history="1">
              <w:r w:rsidR="00EB705F" w:rsidRPr="002A010F">
                <w:rPr>
                  <w:rStyle w:val="Hyperlink"/>
                  <w:rFonts w:ascii="Verdana" w:eastAsia="Times New Roman" w:hAnsi="Verdana"/>
                  <w:sz w:val="18"/>
                  <w:szCs w:val="18"/>
                  <w:lang w:val="fr-FR"/>
                </w:rPr>
                <w:t>F.749.8 (ex H.VMMA-FCR)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DB62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31757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54A9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VMMA concept, the VMMA framework, the functional requirements, the functional APIs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BCAC8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1D6782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7A89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0B47E1" w14:textId="77777777" w:rsidR="00EB705F" w:rsidRDefault="00BB63EF" w:rsidP="00C9333D">
            <w:pPr>
              <w:jc w:val="center"/>
              <w:rPr>
                <w:rFonts w:ascii="Verdana" w:eastAsia="Times New Roman" w:hAnsi="Verdana"/>
                <w:color w:val="000066"/>
                <w:sz w:val="18"/>
                <w:szCs w:val="18"/>
              </w:rPr>
            </w:pPr>
            <w:hyperlink r:id="rId509" w:tooltip="See more details" w:history="1">
              <w:r w:rsidR="00EB705F">
                <w:rPr>
                  <w:rStyle w:val="Hyperlink"/>
                  <w:rFonts w:ascii="Verdana" w:eastAsia="Times New Roman" w:hAnsi="Verdana"/>
                  <w:sz w:val="18"/>
                  <w:szCs w:val="18"/>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D13D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3EE07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35E9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as the subsequent Recommendation of ITU-T F.746.14, specifies the functional architecture of cloud virtual reality systems. It describes the overall functional architecture including control layer, resource layer, network layer, terminal layer, OA&amp;M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B37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70E034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FC326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25935F" w14:textId="77777777" w:rsidR="00EB705F" w:rsidRPr="004E4C9C" w:rsidRDefault="00BB63EF" w:rsidP="00C9333D">
            <w:pPr>
              <w:jc w:val="center"/>
              <w:rPr>
                <w:rFonts w:ascii="Verdana" w:eastAsia="Times New Roman" w:hAnsi="Verdana"/>
                <w:color w:val="000066"/>
                <w:sz w:val="18"/>
                <w:szCs w:val="18"/>
                <w:lang w:val="pt-BR"/>
              </w:rPr>
            </w:pPr>
            <w:hyperlink r:id="rId510" w:tooltip="See more details" w:history="1">
              <w:r w:rsidR="00EB705F" w:rsidRPr="004E4C9C">
                <w:rPr>
                  <w:rStyle w:val="Hyperlink"/>
                  <w:rFonts w:ascii="Verdana" w:eastAsia="Times New Roman" w:hAnsi="Verdana"/>
                  <w:sz w:val="18"/>
                  <w:szCs w:val="18"/>
                  <w:lang w:val="pt-BR"/>
                </w:rPr>
                <w:t>H.552 (ex H.VM-VMIA)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37F1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ED46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6EE0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633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2023-11-16</w:t>
            </w:r>
          </w:p>
        </w:tc>
      </w:tr>
      <w:tr w:rsidR="00EB705F" w14:paraId="279C406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3FC0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913A2" w14:textId="77777777" w:rsidR="00EB705F" w:rsidRDefault="00BB63EF" w:rsidP="00C9333D">
            <w:pPr>
              <w:jc w:val="center"/>
              <w:rPr>
                <w:rFonts w:ascii="Verdana" w:eastAsia="Times New Roman" w:hAnsi="Verdana"/>
                <w:color w:val="000066"/>
                <w:sz w:val="18"/>
                <w:szCs w:val="18"/>
              </w:rPr>
            </w:pPr>
            <w:hyperlink r:id="rId511" w:tooltip="See more details" w:history="1">
              <w:r w:rsidR="00EB705F">
                <w:rPr>
                  <w:rStyle w:val="Hyperlink"/>
                  <w:rFonts w:ascii="Verdana" w:eastAsia="Times New Roman" w:hAnsi="Verdana"/>
                  <w:sz w:val="18"/>
                  <w:szCs w:val="18"/>
                </w:rPr>
                <w:t>F.780.5 (ex F.TMonRDH)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2D4F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0DA8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C3B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190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5C52B72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5F203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636FF6" w14:textId="77777777" w:rsidR="00EB705F" w:rsidRDefault="00BB63EF" w:rsidP="00C9333D">
            <w:pPr>
              <w:jc w:val="center"/>
              <w:rPr>
                <w:rFonts w:ascii="Verdana" w:eastAsia="Times New Roman" w:hAnsi="Verdana"/>
                <w:color w:val="000066"/>
                <w:sz w:val="18"/>
                <w:szCs w:val="18"/>
              </w:rPr>
            </w:pPr>
            <w:hyperlink r:id="rId512" w:tooltip="See more details" w:history="1">
              <w:r w:rsidR="00EB705F">
                <w:rPr>
                  <w:rStyle w:val="Hyperlink"/>
                  <w:rFonts w:ascii="Verdana" w:eastAsia="Times New Roman" w:hAnsi="Verdana"/>
                  <w:sz w:val="18"/>
                  <w:szCs w:val="18"/>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B20F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D3D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F1704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6C144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338953D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48C7A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F4660" w14:textId="77777777" w:rsidR="00EB705F" w:rsidRDefault="00BB63EF" w:rsidP="00C9333D">
            <w:pPr>
              <w:jc w:val="center"/>
              <w:rPr>
                <w:rFonts w:ascii="Verdana" w:eastAsia="Times New Roman" w:hAnsi="Verdana"/>
                <w:color w:val="000066"/>
                <w:sz w:val="18"/>
                <w:szCs w:val="18"/>
              </w:rPr>
            </w:pPr>
            <w:hyperlink r:id="rId513" w:tooltip="See more details" w:history="1">
              <w:r w:rsidR="00EB705F">
                <w:rPr>
                  <w:rStyle w:val="Hyperlink"/>
                  <w:rFonts w:ascii="Verdana" w:eastAsia="Times New Roman" w:hAnsi="Verdana"/>
                  <w:sz w:val="18"/>
                  <w:szCs w:val="18"/>
                </w:rPr>
                <w:t>H.862.7 (ex F.IF-SLM)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DBB77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19AA2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A202F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In order to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8CB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2023-11-22</w:t>
            </w:r>
          </w:p>
        </w:tc>
      </w:tr>
      <w:tr w:rsidR="00EB705F" w14:paraId="7B9B24C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61D28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D5FE5F" w14:textId="77777777" w:rsidR="00EB705F" w:rsidRDefault="00BB63EF" w:rsidP="00C9333D">
            <w:pPr>
              <w:jc w:val="center"/>
              <w:rPr>
                <w:rFonts w:ascii="Verdana" w:eastAsia="Times New Roman" w:hAnsi="Verdana"/>
                <w:color w:val="000066"/>
                <w:sz w:val="18"/>
                <w:szCs w:val="18"/>
              </w:rPr>
            </w:pPr>
            <w:hyperlink r:id="rId514" w:tooltip="See more details" w:history="1">
              <w:r w:rsidR="00EB705F">
                <w:rPr>
                  <w:rStyle w:val="Hyperlink"/>
                  <w:rFonts w:ascii="Verdana" w:eastAsia="Times New Roman" w:hAnsi="Verdana"/>
                  <w:sz w:val="18"/>
                  <w:szCs w:val="18"/>
                </w:rPr>
                <w:t>F.743.24 (ex F.BVSSI)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8C7C5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8B23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D020D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the overview of the video surveillance system interworking based on distributed ledger technology, and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891FF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4073700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E00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61907" w14:textId="77777777" w:rsidR="00EB705F" w:rsidRDefault="00BB63EF" w:rsidP="00C9333D">
            <w:pPr>
              <w:jc w:val="center"/>
              <w:rPr>
                <w:rFonts w:ascii="Verdana" w:eastAsia="Times New Roman" w:hAnsi="Verdana"/>
                <w:color w:val="000066"/>
                <w:sz w:val="18"/>
                <w:szCs w:val="18"/>
              </w:rPr>
            </w:pPr>
            <w:hyperlink r:id="rId515" w:tooltip="See more details" w:history="1">
              <w:r w:rsidR="00EB705F">
                <w:rPr>
                  <w:rStyle w:val="Hyperlink"/>
                  <w:rFonts w:ascii="Verdana" w:eastAsia="Times New Roman" w:hAnsi="Verdana"/>
                  <w:sz w:val="18"/>
                  <w:szCs w:val="18"/>
                </w:rPr>
                <w:t>H.626.6 (ex H.VSBD)</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6B04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7C000"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D8EA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752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2FD9C15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E667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CD7824" w14:textId="77777777" w:rsidR="00EB705F" w:rsidRDefault="00BB63EF" w:rsidP="00C9333D">
            <w:pPr>
              <w:jc w:val="center"/>
              <w:rPr>
                <w:rFonts w:ascii="Verdana" w:eastAsia="Times New Roman" w:hAnsi="Verdana"/>
                <w:color w:val="000066"/>
                <w:sz w:val="18"/>
                <w:szCs w:val="18"/>
              </w:rPr>
            </w:pPr>
            <w:hyperlink r:id="rId516" w:tooltip="See more details" w:history="1">
              <w:r w:rsidR="00EB705F">
                <w:rPr>
                  <w:rStyle w:val="Hyperlink"/>
                  <w:rFonts w:ascii="Verdana" w:eastAsia="Times New Roman" w:hAnsi="Verdana"/>
                  <w:sz w:val="18"/>
                  <w:szCs w:val="18"/>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86A43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5BE9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7DD96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Rec. ITU-T T.800 | ISO/IEC 15444-1 describes an image compression system that allows great flexibility, not only for the compression of images but also for access into the codestream. The codestream provides a number of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w:t>
            </w:r>
            <w:r w:rsidRPr="002A010F">
              <w:rPr>
                <w:rFonts w:ascii="Verdana" w:eastAsia="Times New Roman" w:hAnsi="Verdana"/>
                <w:color w:val="000066"/>
                <w:sz w:val="18"/>
                <w:szCs w:val="18"/>
                <w:lang w:val="fr-FR"/>
              </w:rPr>
              <w:t xml:space="preserve">ITU-T T.800 | ISO/IEC 15444-1 or Rec. ITU-T T.814 | ISO/IEC 15444-15. </w:t>
            </w:r>
            <w:r>
              <w:rPr>
                <w:rFonts w:ascii="Verdana" w:eastAsia="Times New Roman" w:hAnsi="Verdana"/>
                <w:color w:val="000066"/>
                <w:sz w:val="18"/>
                <w:szCs w:val="18"/>
              </w:rPr>
              <w:t xml:space="preserve">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International Telecommunication Union (ITU) and in its fourth </w:t>
            </w:r>
            <w:r>
              <w:rPr>
                <w:rFonts w:ascii="Verdana" w:eastAsia="Times New Roman" w:hAnsi="Verdana"/>
                <w:color w:val="000066"/>
                <w:sz w:val="18"/>
                <w:szCs w:val="18"/>
              </w:rPr>
              <w:lastRenderedPageBreak/>
              <w:t xml:space="preserve">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codestreams, have been relaxed in a few cases to ensure that well designed 16-bit fixed-point implementations of the inverse discrete wavelet transform should be able to pass all compliance tests for Class 1. ? two additional test codestreams have been added along with conformance bounds, to facilitate testing of inverse wavelet and component decorrelating transform accuracy. ? a number of codestreams and files conforming to Rec. ITU-T T.801 | ISO/IEC 15444-2 have been included for informative purposes only, to facilitate the development of decoders and file format readers that are able to support features beyond the core capabilities found in Rec. </w:t>
            </w:r>
            <w:r w:rsidRPr="002A010F">
              <w:rPr>
                <w:rFonts w:ascii="Verdana" w:eastAsia="Times New Roman" w:hAnsi="Verdana"/>
                <w:color w:val="000066"/>
                <w:sz w:val="18"/>
                <w:szCs w:val="18"/>
                <w:lang w:val="fr-FR"/>
              </w:rPr>
              <w:t xml:space="preserve">ITU-T T.800 | ISO/IEC 15444-1 and Rec. ITU-T T.814 | ISO/IEC 15444-15. </w:t>
            </w:r>
            <w:r>
              <w:rPr>
                <w:rFonts w:ascii="Verdana" w:eastAsia="Times New Roman" w:hAnsi="Verdana"/>
                <w:color w:val="000066"/>
                <w:sz w:val="18"/>
                <w:szCs w:val="18"/>
              </w:rPr>
              <w:t>This Recommendation | International Standard contains a normative electronic attachment with the codestreams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0A653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2023-12-14</w:t>
            </w:r>
          </w:p>
        </w:tc>
      </w:tr>
      <w:tr w:rsidR="00EB705F" w14:paraId="22F0321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A7E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42E6B2" w14:textId="77777777" w:rsidR="00EB705F" w:rsidRDefault="00BB63EF" w:rsidP="00C9333D">
            <w:pPr>
              <w:jc w:val="center"/>
              <w:rPr>
                <w:rFonts w:ascii="Verdana" w:eastAsia="Times New Roman" w:hAnsi="Verdana"/>
                <w:color w:val="000066"/>
                <w:sz w:val="18"/>
                <w:szCs w:val="18"/>
              </w:rPr>
            </w:pPr>
            <w:hyperlink r:id="rId517" w:tooltip="See more details" w:history="1">
              <w:r w:rsidR="00EB705F">
                <w:rPr>
                  <w:rStyle w:val="Hyperlink"/>
                  <w:rFonts w:ascii="Verdana" w:eastAsia="Times New Roman" w:hAnsi="Verdana"/>
                  <w:sz w:val="18"/>
                  <w:szCs w:val="18"/>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98E3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99F3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Information technology – Digital compression and coding of continuous-tone still images: APPn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3EF4D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 xml:space="preserve">This Recommendation | International Standard provides definitions for JPEG application specific markers (APPn) found in Rec. </w:t>
            </w:r>
            <w:r w:rsidRPr="002A010F">
              <w:rPr>
                <w:rFonts w:ascii="Verdana" w:eastAsia="Times New Roman" w:hAnsi="Verdana"/>
                <w:color w:val="000066"/>
                <w:sz w:val="18"/>
                <w:szCs w:val="18"/>
                <w:lang w:val="fr-FR"/>
              </w:rPr>
              <w:t xml:space="preserve">ITU-T T.81 | ISO/IEC 10918-1 and Rec. ITU-T T.84 | ISO/IEC 10918-3. </w:t>
            </w:r>
            <w:r>
              <w:rPr>
                <w:rFonts w:ascii="Verdana" w:eastAsia="Times New Roman" w:hAnsi="Verdana"/>
                <w:color w:val="000066"/>
                <w:sz w:val="18"/>
                <w:szCs w:val="18"/>
              </w:rPr>
              <w:t>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4154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2023-12-14</w:t>
            </w:r>
          </w:p>
        </w:tc>
      </w:tr>
      <w:tr w:rsidR="00EB705F" w14:paraId="3ADC307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BE36C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495B3E" w14:textId="77777777" w:rsidR="00EB705F" w:rsidRPr="002A010F" w:rsidRDefault="00BB63EF" w:rsidP="00C9333D">
            <w:pPr>
              <w:jc w:val="center"/>
              <w:rPr>
                <w:rFonts w:ascii="Verdana" w:eastAsia="Times New Roman" w:hAnsi="Verdana"/>
                <w:color w:val="000066"/>
                <w:sz w:val="18"/>
                <w:szCs w:val="18"/>
                <w:lang w:val="fr-FR"/>
              </w:rPr>
            </w:pPr>
            <w:hyperlink r:id="rId518" w:tooltip="See more details" w:history="1">
              <w:r w:rsidR="00EB705F" w:rsidRPr="002A010F">
                <w:rPr>
                  <w:rStyle w:val="Hyperlink"/>
                  <w:rFonts w:ascii="Verdana" w:eastAsia="Times New Roman" w:hAnsi="Verdana"/>
                  <w:sz w:val="18"/>
                  <w:szCs w:val="18"/>
                  <w:lang w:val="fr-FR"/>
                </w:rPr>
                <w:t>X.1150 (ex X.saf-dfs)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E54A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18F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9315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86FE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680A1F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BD89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EFE0E9" w14:textId="77777777" w:rsidR="00EB705F" w:rsidRDefault="00BB63EF" w:rsidP="00C9333D">
            <w:pPr>
              <w:jc w:val="center"/>
              <w:rPr>
                <w:rFonts w:ascii="Verdana" w:eastAsia="Times New Roman" w:hAnsi="Verdana"/>
                <w:color w:val="000066"/>
                <w:sz w:val="18"/>
                <w:szCs w:val="18"/>
              </w:rPr>
            </w:pPr>
            <w:hyperlink r:id="rId519" w:tooltip="See more details" w:history="1">
              <w:r w:rsidR="00EB705F">
                <w:rPr>
                  <w:rStyle w:val="Hyperlink"/>
                  <w:rFonts w:ascii="Verdana" w:eastAsia="Times New Roman" w:hAnsi="Verdana"/>
                  <w:sz w:val="18"/>
                  <w:szCs w:val="18"/>
                </w:rPr>
                <w:t>X.1221 (ex X.stie)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9400E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F318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2442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E01D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0B73077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37B0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36F64" w14:textId="77777777" w:rsidR="00EB705F" w:rsidRDefault="00BB63EF" w:rsidP="00C9333D">
            <w:pPr>
              <w:jc w:val="center"/>
              <w:rPr>
                <w:rFonts w:ascii="Verdana" w:eastAsia="Times New Roman" w:hAnsi="Verdana"/>
                <w:color w:val="000066"/>
                <w:sz w:val="18"/>
                <w:szCs w:val="18"/>
              </w:rPr>
            </w:pPr>
            <w:hyperlink r:id="rId520" w:tooltip="See more details" w:history="1">
              <w:r w:rsidR="00EB705F">
                <w:rPr>
                  <w:rStyle w:val="Hyperlink"/>
                  <w:rFonts w:ascii="Verdana" w:eastAsia="Times New Roman" w:hAnsi="Verdana"/>
                  <w:sz w:val="18"/>
                  <w:szCs w:val="18"/>
                </w:rPr>
                <w:t>X.1222 (ex X.taeii)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543D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87A5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9BF9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C7938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59C2CC5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167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25E13C" w14:textId="77777777" w:rsidR="00EB705F" w:rsidRDefault="00BB63EF" w:rsidP="00C9333D">
            <w:pPr>
              <w:jc w:val="center"/>
              <w:rPr>
                <w:rFonts w:ascii="Verdana" w:eastAsia="Times New Roman" w:hAnsi="Verdana"/>
                <w:color w:val="000066"/>
                <w:sz w:val="18"/>
                <w:szCs w:val="18"/>
              </w:rPr>
            </w:pPr>
            <w:hyperlink r:id="rId521" w:tooltip="See more details" w:history="1">
              <w:r w:rsidR="00EB705F">
                <w:rPr>
                  <w:rStyle w:val="Hyperlink"/>
                  <w:rFonts w:ascii="Verdana" w:eastAsia="Times New Roman" w:hAnsi="Verdana"/>
                  <w:sz w:val="18"/>
                  <w:szCs w:val="18"/>
                </w:rPr>
                <w:t>X.1280 (ex X.oob-sa)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3E5BE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904C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978B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decribes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38312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215EEF3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25BC0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A7E7B" w14:textId="77777777" w:rsidR="00EB705F" w:rsidRDefault="00BB63EF" w:rsidP="00C9333D">
            <w:pPr>
              <w:jc w:val="center"/>
              <w:rPr>
                <w:rFonts w:ascii="Verdana" w:eastAsia="Times New Roman" w:hAnsi="Verdana"/>
                <w:color w:val="000066"/>
                <w:sz w:val="18"/>
                <w:szCs w:val="18"/>
              </w:rPr>
            </w:pPr>
            <w:hyperlink r:id="rId522" w:tooltip="See more details" w:history="1">
              <w:r w:rsidR="00EB705F">
                <w:rPr>
                  <w:rStyle w:val="Hyperlink"/>
                  <w:rFonts w:ascii="Verdana" w:eastAsia="Times New Roman" w:hAnsi="Verdana"/>
                  <w:sz w:val="18"/>
                  <w:szCs w:val="18"/>
                </w:rPr>
                <w:t>X.1281 (ex X.osia)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C301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28525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EB90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9F1D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76764E4"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0CCB0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D4C904" w14:textId="77777777" w:rsidR="00EB705F" w:rsidRDefault="00BB63EF" w:rsidP="00C9333D">
            <w:pPr>
              <w:jc w:val="center"/>
              <w:rPr>
                <w:rFonts w:ascii="Verdana" w:eastAsia="Times New Roman" w:hAnsi="Verdana"/>
                <w:color w:val="000066"/>
                <w:sz w:val="18"/>
                <w:szCs w:val="18"/>
              </w:rPr>
            </w:pPr>
            <w:hyperlink r:id="rId523" w:tooltip="See more details" w:history="1">
              <w:r w:rsidR="00EB705F">
                <w:rPr>
                  <w:rStyle w:val="Hyperlink"/>
                  <w:rFonts w:ascii="Verdana" w:eastAsia="Times New Roman" w:hAnsi="Verdana"/>
                  <w:sz w:val="18"/>
                  <w:szCs w:val="18"/>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08E9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DC406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EA22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C0897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4CF63FB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96488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6A6599" w14:textId="77777777" w:rsidR="00EB705F" w:rsidRDefault="00BB63EF" w:rsidP="00C9333D">
            <w:pPr>
              <w:jc w:val="center"/>
              <w:rPr>
                <w:rFonts w:ascii="Verdana" w:eastAsia="Times New Roman" w:hAnsi="Verdana"/>
                <w:color w:val="000066"/>
                <w:sz w:val="18"/>
                <w:szCs w:val="18"/>
              </w:rPr>
            </w:pPr>
            <w:hyperlink r:id="rId524" w:tooltip="See more details" w:history="1">
              <w:r w:rsidR="00EB705F">
                <w:rPr>
                  <w:rStyle w:val="Hyperlink"/>
                  <w:rFonts w:ascii="Verdana" w:eastAsia="Times New Roman" w:hAnsi="Verdana"/>
                  <w:sz w:val="18"/>
                  <w:szCs w:val="18"/>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87BA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3C33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8A9EF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in order to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016E6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22FC779"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7FDF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D6D16F" w14:textId="77777777" w:rsidR="00EB705F" w:rsidRPr="002A010F" w:rsidRDefault="00BB63EF" w:rsidP="00C9333D">
            <w:pPr>
              <w:jc w:val="center"/>
              <w:rPr>
                <w:rFonts w:ascii="Verdana" w:eastAsia="Times New Roman" w:hAnsi="Verdana"/>
                <w:color w:val="000066"/>
                <w:sz w:val="18"/>
                <w:szCs w:val="18"/>
                <w:lang w:val="fr-FR"/>
              </w:rPr>
            </w:pPr>
            <w:hyperlink r:id="rId525" w:tooltip="See more details" w:history="1">
              <w:r w:rsidR="00EB705F" w:rsidRPr="002A010F">
                <w:rPr>
                  <w:rStyle w:val="Hyperlink"/>
                  <w:rFonts w:ascii="Verdana" w:eastAsia="Times New Roman" w:hAnsi="Verdana"/>
                  <w:sz w:val="18"/>
                  <w:szCs w:val="18"/>
                  <w:lang w:val="fr-FR"/>
                </w:rPr>
                <w:t>X.1818 (ex X.5Gsec-ctrl)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2D6DF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E03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1099D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EB267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2023-09-08</w:t>
            </w:r>
          </w:p>
        </w:tc>
      </w:tr>
      <w:tr w:rsidR="00EB705F" w14:paraId="3F7D6D4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44CC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2C770" w14:textId="77777777" w:rsidR="00EB705F" w:rsidRDefault="00BB63EF" w:rsidP="00C9333D">
            <w:pPr>
              <w:jc w:val="center"/>
              <w:rPr>
                <w:rFonts w:ascii="Verdana" w:eastAsia="Times New Roman" w:hAnsi="Verdana"/>
                <w:color w:val="000066"/>
                <w:sz w:val="18"/>
                <w:szCs w:val="18"/>
              </w:rPr>
            </w:pPr>
            <w:hyperlink r:id="rId526" w:tooltip="See more details" w:history="1">
              <w:r w:rsidR="00EB705F">
                <w:rPr>
                  <w:rStyle w:val="Hyperlink"/>
                  <w:rFonts w:ascii="Verdana" w:eastAsia="Times New Roman" w:hAnsi="Verdana"/>
                  <w:sz w:val="18"/>
                  <w:szCs w:val="18"/>
                </w:rPr>
                <w:t>E.1120 (ex E.gap)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A9D67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4CD8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E508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84D8C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2023-03-22</w:t>
            </w:r>
          </w:p>
        </w:tc>
      </w:tr>
      <w:tr w:rsidR="00EB705F" w14:paraId="5732A74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57FE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79ABB" w14:textId="77777777" w:rsidR="00EB705F" w:rsidRDefault="00BB63EF" w:rsidP="00C9333D">
            <w:pPr>
              <w:jc w:val="center"/>
              <w:rPr>
                <w:rFonts w:ascii="Verdana" w:eastAsia="Times New Roman" w:hAnsi="Verdana"/>
                <w:color w:val="000066"/>
                <w:sz w:val="18"/>
                <w:szCs w:val="18"/>
              </w:rPr>
            </w:pPr>
            <w:hyperlink r:id="rId527" w:tooltip="See more details" w:history="1">
              <w:r w:rsidR="00EB705F">
                <w:rPr>
                  <w:rStyle w:val="Hyperlink"/>
                  <w:rFonts w:ascii="Verdana" w:eastAsia="Times New Roman" w:hAnsi="Verdana"/>
                  <w:sz w:val="18"/>
                  <w:szCs w:val="18"/>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7B00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C9E4C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B4C8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94093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31602CA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48F57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E7EF3" w14:textId="77777777" w:rsidR="00EB705F" w:rsidRDefault="00BB63EF" w:rsidP="00C9333D">
            <w:pPr>
              <w:jc w:val="center"/>
              <w:rPr>
                <w:rFonts w:ascii="Verdana" w:eastAsia="Times New Roman" w:hAnsi="Verdana"/>
                <w:color w:val="000066"/>
                <w:sz w:val="18"/>
                <w:szCs w:val="18"/>
              </w:rPr>
            </w:pPr>
            <w:hyperlink r:id="rId528" w:tooltip="See more details" w:history="1">
              <w:r w:rsidR="00EB705F">
                <w:rPr>
                  <w:rStyle w:val="Hyperlink"/>
                  <w:rFonts w:ascii="Verdana" w:eastAsia="Times New Roman" w:hAnsi="Verdana"/>
                  <w:sz w:val="18"/>
                  <w:szCs w:val="18"/>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8EF2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B212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2D2D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networks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06D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79314BE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EC2E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84B38" w14:textId="77777777" w:rsidR="00EB705F" w:rsidRDefault="00BB63EF" w:rsidP="00C9333D">
            <w:pPr>
              <w:jc w:val="center"/>
              <w:rPr>
                <w:rFonts w:ascii="Verdana" w:eastAsia="Times New Roman" w:hAnsi="Verdana"/>
                <w:color w:val="000066"/>
                <w:sz w:val="18"/>
                <w:szCs w:val="18"/>
              </w:rPr>
            </w:pPr>
            <w:hyperlink r:id="rId529" w:tooltip="See more details" w:history="1">
              <w:r w:rsidR="00EB705F">
                <w:rPr>
                  <w:rStyle w:val="Hyperlink"/>
                  <w:rFonts w:ascii="Verdana" w:eastAsia="Times New Roman" w:hAnsi="Verdana"/>
                  <w:sz w:val="18"/>
                  <w:szCs w:val="18"/>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A96B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5579A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8967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structure of the terrestrial trunk radio ITSI, and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23AA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172A73D0"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397C9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6E6694" w14:textId="77777777" w:rsidR="00EB705F" w:rsidRPr="004E4C9C" w:rsidRDefault="00BB63EF" w:rsidP="00C9333D">
            <w:pPr>
              <w:jc w:val="center"/>
              <w:rPr>
                <w:rFonts w:ascii="Verdana" w:eastAsia="Times New Roman" w:hAnsi="Verdana"/>
                <w:color w:val="000066"/>
                <w:sz w:val="18"/>
                <w:szCs w:val="18"/>
                <w:lang w:val="pt-BR"/>
              </w:rPr>
            </w:pPr>
            <w:hyperlink r:id="rId530" w:tooltip="See more details" w:history="1">
              <w:r w:rsidR="00EB705F" w:rsidRPr="004E4C9C">
                <w:rPr>
                  <w:rStyle w:val="Hyperlink"/>
                  <w:rFonts w:ascii="Verdana" w:eastAsia="Times New Roman" w:hAnsi="Verdana"/>
                  <w:sz w:val="18"/>
                  <w:szCs w:val="18"/>
                  <w:lang w:val="pt-BR"/>
                </w:rPr>
                <w:t>M.3173.1 (ex M.smcsn-ir)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229F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189E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4354B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560A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5B4C830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9B76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E814D" w14:textId="77777777" w:rsidR="00EB705F" w:rsidRPr="002A010F" w:rsidRDefault="00BB63EF" w:rsidP="00C9333D">
            <w:pPr>
              <w:jc w:val="center"/>
              <w:rPr>
                <w:rFonts w:ascii="Verdana" w:eastAsia="Times New Roman" w:hAnsi="Verdana"/>
                <w:color w:val="000066"/>
                <w:sz w:val="18"/>
                <w:szCs w:val="18"/>
                <w:lang w:val="fr-FR"/>
              </w:rPr>
            </w:pPr>
            <w:hyperlink r:id="rId531" w:tooltip="See more details" w:history="1">
              <w:r w:rsidR="00EB705F" w:rsidRPr="002A010F">
                <w:rPr>
                  <w:rStyle w:val="Hyperlink"/>
                  <w:rFonts w:ascii="Verdana" w:eastAsia="Times New Roman" w:hAnsi="Verdana"/>
                  <w:sz w:val="18"/>
                  <w:szCs w:val="18"/>
                  <w:lang w:val="fr-FR"/>
                </w:rPr>
                <w:t>M.3386 (ex M.rmnoc-AI)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E3435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BF8D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6107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D2A68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6637AE5A"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C987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81C1AF" w14:textId="77777777" w:rsidR="00EB705F" w:rsidRDefault="00BB63EF" w:rsidP="00C9333D">
            <w:pPr>
              <w:jc w:val="center"/>
              <w:rPr>
                <w:rFonts w:ascii="Verdana" w:eastAsia="Times New Roman" w:hAnsi="Verdana"/>
                <w:color w:val="000066"/>
                <w:sz w:val="18"/>
                <w:szCs w:val="18"/>
              </w:rPr>
            </w:pPr>
            <w:hyperlink r:id="rId532" w:tooltip="See more details" w:history="1">
              <w:r w:rsidR="00EB705F">
                <w:rPr>
                  <w:rStyle w:val="Hyperlink"/>
                  <w:rFonts w:ascii="Verdana" w:eastAsia="Times New Roman" w:hAnsi="Verdana"/>
                  <w:sz w:val="18"/>
                  <w:szCs w:val="18"/>
                </w:rPr>
                <w:t>M.3387 (ex M.rfmls)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F00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8DC9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5279C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are considered to be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In order to facilitatepromote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6654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2023-11-17</w:t>
            </w:r>
          </w:p>
        </w:tc>
      </w:tr>
      <w:tr w:rsidR="00EB705F" w14:paraId="175DA99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28ABE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89F42" w14:textId="77777777" w:rsidR="00EB705F" w:rsidRPr="002A010F" w:rsidRDefault="00BB63EF" w:rsidP="00C9333D">
            <w:pPr>
              <w:jc w:val="center"/>
              <w:rPr>
                <w:rFonts w:ascii="Verdana" w:eastAsia="Times New Roman" w:hAnsi="Verdana"/>
                <w:color w:val="000066"/>
                <w:sz w:val="18"/>
                <w:szCs w:val="18"/>
                <w:lang w:val="fr-FR"/>
              </w:rPr>
            </w:pPr>
            <w:hyperlink r:id="rId533" w:tooltip="See more details" w:history="1">
              <w:r w:rsidR="00EB705F" w:rsidRPr="002A010F">
                <w:rPr>
                  <w:rStyle w:val="Hyperlink"/>
                  <w:rFonts w:ascii="Verdana" w:eastAsia="Times New Roman" w:hAnsi="Verdana"/>
                  <w:sz w:val="18"/>
                  <w:szCs w:val="18"/>
                  <w:lang w:val="fr-FR"/>
                </w:rPr>
                <w:t>Y.4222 (ex Y.smart-evacuation)</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E259A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552B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93E5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0ABD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EB705F" w14:paraId="58E63C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F755E"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8698D9" w14:textId="77777777" w:rsidR="00EB705F" w:rsidRPr="002A010F" w:rsidRDefault="00BB63EF" w:rsidP="00C9333D">
            <w:pPr>
              <w:jc w:val="center"/>
              <w:rPr>
                <w:rFonts w:ascii="Verdana" w:eastAsia="Times New Roman" w:hAnsi="Verdana"/>
                <w:color w:val="000066"/>
                <w:sz w:val="18"/>
                <w:szCs w:val="18"/>
                <w:lang w:val="fr-FR"/>
              </w:rPr>
            </w:pPr>
            <w:hyperlink r:id="rId534" w:tooltip="See more details" w:history="1">
              <w:r w:rsidR="00EB705F" w:rsidRPr="002A010F">
                <w:rPr>
                  <w:rStyle w:val="Hyperlink"/>
                  <w:rFonts w:ascii="Verdana" w:eastAsia="Times New Roman" w:hAnsi="Verdana"/>
                  <w:sz w:val="18"/>
                  <w:szCs w:val="18"/>
                  <w:lang w:val="fr-FR"/>
                </w:rPr>
                <w:t>Y.4487 (ex Y.RMDFS-arch)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2A6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7FA3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72E4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so as to achieve accurate perception of road information, and support for autonomous driving applications. Recommendation ITU-T Y.4487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838C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2023-02-10</w:t>
            </w:r>
          </w:p>
        </w:tc>
      </w:tr>
      <w:tr w:rsidR="00EB705F" w14:paraId="03493AD2"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B8360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FDA068" w14:textId="77777777" w:rsidR="00EB705F" w:rsidRPr="002A010F" w:rsidRDefault="00BB63EF" w:rsidP="00C9333D">
            <w:pPr>
              <w:jc w:val="center"/>
              <w:rPr>
                <w:rFonts w:ascii="Verdana" w:eastAsia="Times New Roman" w:hAnsi="Verdana"/>
                <w:color w:val="000066"/>
                <w:sz w:val="18"/>
                <w:szCs w:val="18"/>
                <w:lang w:val="fr-FR"/>
              </w:rPr>
            </w:pPr>
            <w:hyperlink r:id="rId535" w:tooltip="See more details" w:history="1">
              <w:r w:rsidR="00EB705F" w:rsidRPr="002A010F">
                <w:rPr>
                  <w:rStyle w:val="Hyperlink"/>
                  <w:rFonts w:ascii="Verdana" w:eastAsia="Times New Roman" w:hAnsi="Verdana"/>
                  <w:sz w:val="18"/>
                  <w:szCs w:val="18"/>
                  <w:lang w:val="fr-FR"/>
                </w:rPr>
                <w:t>Y.4221 (ex Y.ElecMon-Reqts)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F84E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A8AEE"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D08D5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CB74B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321895F"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22F7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35293" w14:textId="77777777" w:rsidR="00EB705F" w:rsidRDefault="00BB63EF" w:rsidP="00C9333D">
            <w:pPr>
              <w:jc w:val="center"/>
              <w:rPr>
                <w:rFonts w:ascii="Verdana" w:eastAsia="Times New Roman" w:hAnsi="Verdana"/>
                <w:color w:val="000066"/>
                <w:sz w:val="18"/>
                <w:szCs w:val="18"/>
              </w:rPr>
            </w:pPr>
            <w:hyperlink r:id="rId536" w:tooltip="See more details" w:history="1">
              <w:r w:rsidR="00EB705F">
                <w:rPr>
                  <w:rStyle w:val="Hyperlink"/>
                  <w:rFonts w:ascii="Verdana" w:eastAsia="Times New Roman" w:hAnsi="Verdana"/>
                  <w:sz w:val="18"/>
                  <w:szCs w:val="18"/>
                </w:rPr>
                <w:t>Y.4225 (ex Y.dt-ITS)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3D5A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83213"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55C48A"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1C07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6275CFC3"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FC9D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0E3BA2" w14:textId="77777777" w:rsidR="00EB705F" w:rsidRPr="002A010F" w:rsidRDefault="00BB63EF" w:rsidP="00C9333D">
            <w:pPr>
              <w:jc w:val="center"/>
              <w:rPr>
                <w:rFonts w:ascii="Verdana" w:eastAsia="Times New Roman" w:hAnsi="Verdana"/>
                <w:color w:val="000066"/>
                <w:sz w:val="18"/>
                <w:szCs w:val="18"/>
                <w:lang w:val="fr-FR"/>
              </w:rPr>
            </w:pPr>
            <w:hyperlink r:id="rId537" w:tooltip="See more details" w:history="1">
              <w:r w:rsidR="00EB705F" w:rsidRPr="002A010F">
                <w:rPr>
                  <w:rStyle w:val="Hyperlink"/>
                  <w:rFonts w:ascii="Verdana" w:eastAsia="Times New Roman" w:hAnsi="Verdana"/>
                  <w:sz w:val="18"/>
                  <w:szCs w:val="18"/>
                  <w:lang w:val="fr-FR"/>
                </w:rPr>
                <w:t>Y.4488 (ex Y.IoT-SPWE)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126E20"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784E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2BCD4"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and functional architecture of data services provided via Internet of things (IoT)-based technologies for the safety protection of three typical working environments, including working environment with high temperature, high dust and harmful gases. By deploying data services provided via IoT-based technologies, these working environment make use of the IoT technologies to collect information remotely, identify risky behaviour, control equipments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22F74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46D592CC"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B04B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3EB89" w14:textId="77777777" w:rsidR="00EB705F" w:rsidRDefault="00BB63EF" w:rsidP="00C9333D">
            <w:pPr>
              <w:jc w:val="center"/>
              <w:rPr>
                <w:rFonts w:ascii="Verdana" w:eastAsia="Times New Roman" w:hAnsi="Verdana"/>
                <w:color w:val="000066"/>
                <w:sz w:val="18"/>
                <w:szCs w:val="18"/>
              </w:rPr>
            </w:pPr>
            <w:hyperlink r:id="rId538" w:tooltip="See more details" w:history="1">
              <w:r w:rsidR="00EB705F">
                <w:rPr>
                  <w:rStyle w:val="Hyperlink"/>
                  <w:rFonts w:ascii="Verdana" w:eastAsia="Times New Roman" w:hAnsi="Verdana"/>
                  <w:sz w:val="18"/>
                  <w:szCs w:val="18"/>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FCFB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51984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4C6125"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37917F"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BB660DE"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6D77E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9D7997" w14:textId="77777777" w:rsidR="00EB705F" w:rsidRPr="002A010F" w:rsidRDefault="00BB63EF" w:rsidP="00C9333D">
            <w:pPr>
              <w:jc w:val="center"/>
              <w:rPr>
                <w:rFonts w:ascii="Verdana" w:eastAsia="Times New Roman" w:hAnsi="Verdana"/>
                <w:color w:val="000066"/>
                <w:sz w:val="18"/>
                <w:szCs w:val="18"/>
                <w:lang w:val="fr-FR"/>
              </w:rPr>
            </w:pPr>
            <w:hyperlink r:id="rId539" w:tooltip="See more details" w:history="1">
              <w:r w:rsidR="00EB705F" w:rsidRPr="002A010F">
                <w:rPr>
                  <w:rStyle w:val="Hyperlink"/>
                  <w:rFonts w:ascii="Verdana" w:eastAsia="Times New Roman" w:hAnsi="Verdana"/>
                  <w:sz w:val="18"/>
                  <w:szCs w:val="18"/>
                  <w:lang w:val="fr-FR"/>
                </w:rPr>
                <w:t>Y.4497 (ex Y.Smart-SBS)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E50D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F869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5C3EAD"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describes the requirements and functional architecture of smart sharing bicycle (SSB) service to meet people's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D669D"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4ECC3E7"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AED13A"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9DA132" w14:textId="77777777" w:rsidR="00EB705F" w:rsidRPr="004E4C9C" w:rsidRDefault="00BB63EF" w:rsidP="00C9333D">
            <w:pPr>
              <w:jc w:val="center"/>
              <w:rPr>
                <w:rFonts w:ascii="Verdana" w:eastAsia="Times New Roman" w:hAnsi="Verdana"/>
                <w:color w:val="000066"/>
                <w:sz w:val="18"/>
                <w:szCs w:val="18"/>
                <w:lang w:val="pt-BR"/>
              </w:rPr>
            </w:pPr>
            <w:hyperlink r:id="rId540" w:tooltip="See more details" w:history="1">
              <w:r w:rsidR="00EB705F" w:rsidRPr="004E4C9C">
                <w:rPr>
                  <w:rStyle w:val="Hyperlink"/>
                  <w:rFonts w:ascii="Verdana" w:eastAsia="Times New Roman" w:hAnsi="Verdana"/>
                  <w:sz w:val="18"/>
                  <w:szCs w:val="18"/>
                  <w:lang w:val="pt-BR"/>
                </w:rPr>
                <w:t>Y.4498 (ex Y.energy-data)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DD03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96151"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C70EA8"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management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A1FA5"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00374B45"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428EB"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429B75" w14:textId="77777777" w:rsidR="00EB705F" w:rsidRPr="004E4C9C" w:rsidRDefault="00BB63EF" w:rsidP="00C9333D">
            <w:pPr>
              <w:jc w:val="center"/>
              <w:rPr>
                <w:rFonts w:ascii="Verdana" w:eastAsia="Times New Roman" w:hAnsi="Verdana"/>
                <w:color w:val="000066"/>
                <w:sz w:val="18"/>
                <w:szCs w:val="18"/>
                <w:lang w:val="pt-BR"/>
              </w:rPr>
            </w:pPr>
            <w:hyperlink r:id="rId541" w:tooltip="See more details" w:history="1">
              <w:r w:rsidR="00EB705F" w:rsidRPr="004E4C9C">
                <w:rPr>
                  <w:rStyle w:val="Hyperlink"/>
                  <w:rFonts w:ascii="Verdana" w:eastAsia="Times New Roman" w:hAnsi="Verdana"/>
                  <w:sz w:val="18"/>
                  <w:szCs w:val="18"/>
                  <w:lang w:val="pt-BR"/>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52BA6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61EFF"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9FCFBC"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Urban infrastructure refers to the fundamental facilities and systems that a city must have for its operation and development. It has the characteristics of large quantity, wide distribution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15AD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7B1E8966"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4F4306"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CB2D6B" w14:textId="77777777" w:rsidR="00EB705F" w:rsidRPr="002A010F" w:rsidRDefault="00BB63EF" w:rsidP="00C9333D">
            <w:pPr>
              <w:jc w:val="center"/>
              <w:rPr>
                <w:rFonts w:ascii="Verdana" w:eastAsia="Times New Roman" w:hAnsi="Verdana"/>
                <w:color w:val="000066"/>
                <w:sz w:val="18"/>
                <w:szCs w:val="18"/>
                <w:lang w:val="fr-FR"/>
              </w:rPr>
            </w:pPr>
            <w:hyperlink r:id="rId542" w:tooltip="See more details" w:history="1">
              <w:proofErr w:type="spellStart"/>
              <w:r w:rsidR="00EB705F" w:rsidRPr="002A010F">
                <w:rPr>
                  <w:rStyle w:val="Hyperlink"/>
                  <w:rFonts w:ascii="Verdana" w:eastAsia="Times New Roman" w:hAnsi="Verdana"/>
                  <w:sz w:val="18"/>
                  <w:szCs w:val="18"/>
                  <w:lang w:val="fr-FR"/>
                </w:rPr>
                <w:t>Y.4607</w:t>
              </w:r>
              <w:proofErr w:type="spellEnd"/>
              <w:r w:rsidR="00EB705F" w:rsidRPr="002A010F">
                <w:rPr>
                  <w:rStyle w:val="Hyperlink"/>
                  <w:rFonts w:ascii="Verdana" w:eastAsia="Times New Roman" w:hAnsi="Verdana"/>
                  <w:sz w:val="18"/>
                  <w:szCs w:val="18"/>
                  <w:lang w:val="fr-FR"/>
                </w:rPr>
                <w:t xml:space="preserve"> (ex </w:t>
              </w:r>
              <w:proofErr w:type="spellStart"/>
              <w:r w:rsidR="00EB705F" w:rsidRPr="002A010F">
                <w:rPr>
                  <w:rStyle w:val="Hyperlink"/>
                  <w:rFonts w:ascii="Verdana" w:eastAsia="Times New Roman" w:hAnsi="Verdana"/>
                  <w:sz w:val="18"/>
                  <w:szCs w:val="18"/>
                  <w:lang w:val="fr-FR"/>
                </w:rPr>
                <w:t>Y.DRI-reqts</w:t>
              </w:r>
              <w:proofErr w:type="spellEnd"/>
              <w:r w:rsidR="00EB705F" w:rsidRPr="002A010F">
                <w:rPr>
                  <w:rStyle w:val="Hyperlink"/>
                  <w:rFonts w:ascii="Verdana" w:eastAsia="Times New Roman" w:hAnsi="Verdana"/>
                  <w:sz w:val="18"/>
                  <w:szCs w:val="18"/>
                  <w:lang w:val="fr-FR"/>
                </w:rPr>
                <w: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9A2F33"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17C6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DB90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04472"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119AD92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8A12E7"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0403B5" w14:textId="77777777" w:rsidR="00EB705F" w:rsidRPr="004E4C9C" w:rsidRDefault="00BB63EF" w:rsidP="00C9333D">
            <w:pPr>
              <w:jc w:val="center"/>
              <w:rPr>
                <w:rFonts w:ascii="Verdana" w:eastAsia="Times New Roman" w:hAnsi="Verdana"/>
                <w:color w:val="000066"/>
                <w:sz w:val="18"/>
                <w:szCs w:val="18"/>
                <w:lang w:val="pt-BR"/>
              </w:rPr>
            </w:pPr>
            <w:hyperlink r:id="rId543" w:tooltip="See more details" w:history="1">
              <w:r w:rsidR="00EB705F" w:rsidRPr="004E4C9C">
                <w:rPr>
                  <w:rStyle w:val="Hyperlink"/>
                  <w:rFonts w:ascii="Verdana" w:eastAsia="Times New Roman" w:hAnsi="Verdana"/>
                  <w:sz w:val="18"/>
                  <w:szCs w:val="18"/>
                  <w:lang w:val="pt-BR"/>
                </w:rPr>
                <w:t>Y.4703 (ex Y.TM.SM-API)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EFDC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2AE95B"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6F9A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E4ABA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368E356D"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8A583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66C052" w14:textId="77777777" w:rsidR="00EB705F" w:rsidRPr="004E4C9C" w:rsidRDefault="00BB63EF" w:rsidP="00C9333D">
            <w:pPr>
              <w:jc w:val="center"/>
              <w:rPr>
                <w:rFonts w:ascii="Verdana" w:eastAsia="Times New Roman" w:hAnsi="Verdana"/>
                <w:color w:val="000066"/>
                <w:sz w:val="18"/>
                <w:szCs w:val="18"/>
                <w:lang w:val="pt-BR"/>
              </w:rPr>
            </w:pPr>
            <w:hyperlink r:id="rId544" w:tooltip="See more details" w:history="1">
              <w:r w:rsidR="00EB705F" w:rsidRPr="004E4C9C">
                <w:rPr>
                  <w:rStyle w:val="Hyperlink"/>
                  <w:rFonts w:ascii="Verdana" w:eastAsia="Times New Roman" w:hAnsi="Verdana"/>
                  <w:sz w:val="18"/>
                  <w:szCs w:val="18"/>
                  <w:lang w:val="pt-BR"/>
                </w:rPr>
                <w:t>Y.4704 (ex Y.TM.DM-API)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CE654"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CE482"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70759"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1BD0C"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2023-09-22</w:t>
            </w:r>
          </w:p>
        </w:tc>
      </w:tr>
      <w:tr w:rsidR="00EB705F" w14:paraId="257D0C0B" w14:textId="77777777" w:rsidTr="008E25B5">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A455B1"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781888" w14:textId="77777777" w:rsidR="00EB705F" w:rsidRDefault="00BB63EF" w:rsidP="00C9333D">
            <w:pPr>
              <w:jc w:val="center"/>
              <w:rPr>
                <w:rFonts w:ascii="Verdana" w:eastAsia="Times New Roman" w:hAnsi="Verdana"/>
                <w:color w:val="000066"/>
                <w:sz w:val="18"/>
                <w:szCs w:val="18"/>
              </w:rPr>
            </w:pPr>
            <w:hyperlink r:id="rId545" w:tooltip="See more details" w:history="1">
              <w:r w:rsidR="00EB705F">
                <w:rPr>
                  <w:rStyle w:val="Hyperlink"/>
                  <w:rFonts w:ascii="Verdana" w:eastAsia="Times New Roman" w:hAnsi="Verdana"/>
                  <w:sz w:val="18"/>
                  <w:szCs w:val="18"/>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51D9D8"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F1566"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84D367" w14:textId="77777777" w:rsidR="00EB705F" w:rsidRDefault="00EB705F" w:rsidP="00C9333D">
            <w:pPr>
              <w:rPr>
                <w:rFonts w:ascii="Verdana" w:eastAsia="Times New Roman" w:hAnsi="Verdana"/>
                <w:color w:val="000066"/>
                <w:sz w:val="18"/>
                <w:szCs w:val="18"/>
              </w:rPr>
            </w:pPr>
            <w:r>
              <w:rPr>
                <w:rFonts w:ascii="Verdana" w:eastAsia="Times New Roman" w:hAnsi="Verdana"/>
                <w:color w:val="000066"/>
                <w:sz w:val="18"/>
                <w:szCs w:val="18"/>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EFF19" w14:textId="77777777" w:rsidR="00EB705F" w:rsidRDefault="00EB705F" w:rsidP="00C9333D">
            <w:pPr>
              <w:jc w:val="center"/>
              <w:rPr>
                <w:rFonts w:ascii="Verdana" w:eastAsia="Times New Roman" w:hAnsi="Verdana"/>
                <w:color w:val="000066"/>
                <w:sz w:val="18"/>
                <w:szCs w:val="18"/>
              </w:rPr>
            </w:pPr>
            <w:r>
              <w:rPr>
                <w:rFonts w:ascii="Verdana" w:eastAsia="Times New Roman" w:hAnsi="Verdana"/>
                <w:color w:val="000066"/>
                <w:sz w:val="18"/>
                <w:szCs w:val="18"/>
              </w:rPr>
              <w:t>2023-06-02</w:t>
            </w:r>
          </w:p>
        </w:tc>
      </w:tr>
    </w:tbl>
    <w:p w14:paraId="207795A5" w14:textId="6B88318E" w:rsidR="00EB705F" w:rsidRPr="00180BDF" w:rsidRDefault="00EB705F" w:rsidP="00EB705F">
      <w:pPr>
        <w:jc w:val="center"/>
      </w:pPr>
      <w:r>
        <w:t>______</w:t>
      </w:r>
    </w:p>
    <w:p w14:paraId="16AB967C" w14:textId="0A5B1C49" w:rsidR="00373D43" w:rsidRPr="00180BDF" w:rsidRDefault="00373D43" w:rsidP="00180BDF"/>
    <w:sectPr w:rsidR="00373D43" w:rsidRPr="00180BDF" w:rsidSect="00D16770">
      <w:headerReference w:type="even" r:id="rId546"/>
      <w:headerReference w:type="default" r:id="rId547"/>
      <w:footerReference w:type="even" r:id="rId548"/>
      <w:footerReference w:type="default" r:id="rId549"/>
      <w:headerReference w:type="first" r:id="rId550"/>
      <w:footerReference w:type="first" r:id="rId55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AB70" w14:textId="77777777" w:rsidR="006E6EF9" w:rsidRDefault="006E6EF9">
      <w:r>
        <w:separator/>
      </w:r>
    </w:p>
  </w:endnote>
  <w:endnote w:type="continuationSeparator" w:id="0">
    <w:p w14:paraId="6605340F" w14:textId="77777777" w:rsidR="006E6EF9" w:rsidRDefault="006E6EF9">
      <w:r>
        <w:continuationSeparator/>
      </w:r>
    </w:p>
  </w:endnote>
  <w:endnote w:type="continuationNotice" w:id="1">
    <w:p w14:paraId="6E1C767A" w14:textId="77777777" w:rsidR="006E6EF9" w:rsidRDefault="006E6E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 w:name="Yu Mincho">
    <w:charset w:val="80"/>
    <w:family w:val="roman"/>
    <w:pitch w:val="variable"/>
    <w:sig w:usb0="800002E7" w:usb1="2AC7FCFF" w:usb2="00000012" w:usb3="00000000" w:csb0="0002009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4982" w14:textId="77777777" w:rsidR="00BB63EF" w:rsidRDefault="00BB6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6E19" w14:textId="535504E2" w:rsidR="006E76F9" w:rsidRPr="00BB63EF" w:rsidRDefault="006E76F9" w:rsidP="00BB6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10CB" w14:textId="0058377A" w:rsidR="006E76F9" w:rsidRPr="00BB63EF" w:rsidRDefault="006E76F9" w:rsidP="00BB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AA63" w14:textId="77777777" w:rsidR="006E6EF9" w:rsidRDefault="006E6EF9">
      <w:r>
        <w:separator/>
      </w:r>
    </w:p>
  </w:footnote>
  <w:footnote w:type="continuationSeparator" w:id="0">
    <w:p w14:paraId="69BEBB53" w14:textId="77777777" w:rsidR="006E6EF9" w:rsidRDefault="006E6EF9">
      <w:r>
        <w:continuationSeparator/>
      </w:r>
    </w:p>
  </w:footnote>
  <w:footnote w:type="continuationNotice" w:id="1">
    <w:p w14:paraId="11F6A3B4" w14:textId="77777777" w:rsidR="006E6EF9" w:rsidRDefault="006E6E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F08" w14:textId="77777777" w:rsidR="00BB63EF" w:rsidRDefault="00BB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3DCF963A" w:rsidR="00BB7AB2" w:rsidRDefault="006C4954" w:rsidP="00BB7AB2">
    <w:pPr>
      <w:pStyle w:val="Header"/>
      <w:rPr>
        <w:noProof/>
      </w:rPr>
    </w:pPr>
    <w:r>
      <w:rPr>
        <w:noProof/>
      </w:rPr>
      <w:t>TSAG-TD</w:t>
    </w:r>
    <w:r w:rsidR="00BB7AB2">
      <w:rPr>
        <w:noProof/>
      </w:rPr>
      <w:t>409</w:t>
    </w:r>
    <w:r w:rsidR="006E76F9">
      <w:rPr>
        <w:noProof/>
      </w:rPr>
      <w:t>-C</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6551" w14:textId="77777777" w:rsidR="00BB63EF" w:rsidRDefault="00BB6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2"/>
  </w:num>
  <w:num w:numId="6" w16cid:durableId="1342971559">
    <w:abstractNumId w:val="19"/>
  </w:num>
  <w:num w:numId="7" w16cid:durableId="1080449936">
    <w:abstractNumId w:val="26"/>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0"/>
  </w:num>
  <w:num w:numId="17" w16cid:durableId="482698090">
    <w:abstractNumId w:val="31"/>
  </w:num>
  <w:num w:numId="18" w16cid:durableId="1255092107">
    <w:abstractNumId w:val="18"/>
  </w:num>
  <w:num w:numId="19" w16cid:durableId="1527207171">
    <w:abstractNumId w:val="13"/>
  </w:num>
  <w:num w:numId="20" w16cid:durableId="1541934029">
    <w:abstractNumId w:val="13"/>
  </w:num>
  <w:num w:numId="21" w16cid:durableId="2001538963">
    <w:abstractNumId w:val="25"/>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4"/>
  </w:num>
  <w:num w:numId="27" w16cid:durableId="1284072246">
    <w:abstractNumId w:val="12"/>
  </w:num>
  <w:num w:numId="28" w16cid:durableId="2080668314">
    <w:abstractNumId w:val="9"/>
  </w:num>
  <w:num w:numId="29" w16cid:durableId="308755749">
    <w:abstractNumId w:val="27"/>
  </w:num>
  <w:num w:numId="30" w16cid:durableId="1723750918">
    <w:abstractNumId w:val="28"/>
  </w:num>
  <w:num w:numId="31" w16cid:durableId="1898123529">
    <w:abstractNumId w:val="10"/>
  </w:num>
  <w:num w:numId="32" w16cid:durableId="1674722823">
    <w:abstractNumId w:val="20"/>
  </w:num>
  <w:num w:numId="33" w16cid:durableId="334967219">
    <w:abstractNumId w:val="7"/>
  </w:num>
  <w:num w:numId="34" w16cid:durableId="98231941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6C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9C"/>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4A98"/>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6F9"/>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3EF"/>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88F"/>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3AA"/>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0AE5"/>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standardsday.org/home.html" TargetMode="External"/><Relationship Id="rId21" Type="http://schemas.openxmlformats.org/officeDocument/2006/relationships/hyperlink" Target="https://www.itu.int/cities/publications/" TargetMode="External"/><Relationship Id="rId324" Type="http://schemas.openxmlformats.org/officeDocument/2006/relationships/hyperlink" Target="http://www.itu.int/itu-t/workprog/wp_item.aspx?isn=18977" TargetMode="External"/><Relationship Id="rId531" Type="http://schemas.openxmlformats.org/officeDocument/2006/relationships/hyperlink" Target="http://www.itu.int/itu-t/workprog/wp_item.aspx?isn=17426" TargetMode="External"/><Relationship Id="rId170" Type="http://schemas.openxmlformats.org/officeDocument/2006/relationships/hyperlink" Target="https://www.itu.int/en/ITU-T/Workshops-and-Seminars/bsg/Pages/default.aspx" TargetMode="External"/><Relationship Id="rId268" Type="http://schemas.openxmlformats.org/officeDocument/2006/relationships/hyperlink" Target="http://www.itu.int/itu-t/workprog/wp_item.aspx?isn=17752" TargetMode="External"/><Relationship Id="rId475" Type="http://schemas.openxmlformats.org/officeDocument/2006/relationships/hyperlink" Target="http://www.itu.int/itu-t/workprog/wp_item.aspx?isn=18223" TargetMode="External"/><Relationship Id="rId32" Type="http://schemas.openxmlformats.org/officeDocument/2006/relationships/hyperlink" Target="https://www.itu.int/en/ITU-T/gap/Pages/default.aspx" TargetMode="External"/><Relationship Id="rId128" Type="http://schemas.openxmlformats.org/officeDocument/2006/relationships/hyperlink" Target="https://www.itu.int/en/irg/ava" TargetMode="External"/><Relationship Id="rId335" Type="http://schemas.openxmlformats.org/officeDocument/2006/relationships/hyperlink" Target="http://www.itu.int/itu-t/workprog/wp_item.aspx?isn=18155" TargetMode="External"/><Relationship Id="rId542" Type="http://schemas.openxmlformats.org/officeDocument/2006/relationships/hyperlink" Target="http://www.itu.int/itu-t/workprog/wp_item.aspx?isn=18457" TargetMode="External"/><Relationship Id="rId181" Type="http://schemas.openxmlformats.org/officeDocument/2006/relationships/hyperlink" Target="https://www.itu.int/en/ITU-T/NoW/Pages/default.aspx" TargetMode="External"/><Relationship Id="rId402" Type="http://schemas.openxmlformats.org/officeDocument/2006/relationships/hyperlink" Target="http://www.itu.int/itu-t/workprog/wp_item.aspx?isn=17999" TargetMode="External"/><Relationship Id="rId279" Type="http://schemas.openxmlformats.org/officeDocument/2006/relationships/hyperlink" Target="http://www.itu.int/itu-t/workprog/wp_item.aspx?isn=17862" TargetMode="External"/><Relationship Id="rId486" Type="http://schemas.openxmlformats.org/officeDocument/2006/relationships/hyperlink" Target="http://www.itu.int/itu-t/workprog/wp_item.aspx?isn=18271" TargetMode="External"/><Relationship Id="rId43" Type="http://schemas.openxmlformats.org/officeDocument/2006/relationships/hyperlink" Target="https://www.itu.int/go/tsg13" TargetMode="External"/><Relationship Id="rId139" Type="http://schemas.openxmlformats.org/officeDocument/2006/relationships/hyperlink" Target="https://www.itu.int/wsis/index.html" TargetMode="External"/><Relationship Id="rId346" Type="http://schemas.openxmlformats.org/officeDocument/2006/relationships/hyperlink" Target="http://www.itu.int/itu-t/workprog/wp_item.aspx?isn=18225" TargetMode="External"/><Relationship Id="rId553" Type="http://schemas.openxmlformats.org/officeDocument/2006/relationships/glossaryDocument" Target="glossary/document.xml"/><Relationship Id="rId192" Type="http://schemas.openxmlformats.org/officeDocument/2006/relationships/chart" Target="charts/chart7.xml"/><Relationship Id="rId206" Type="http://schemas.openxmlformats.org/officeDocument/2006/relationships/hyperlink" Target="https://bigbluebutton.org" TargetMode="External"/><Relationship Id="rId413" Type="http://schemas.openxmlformats.org/officeDocument/2006/relationships/hyperlink" Target="http://www.itu.int/itu-t/workprog/wp_item.aspx?isn=18003" TargetMode="External"/><Relationship Id="rId497" Type="http://schemas.openxmlformats.org/officeDocument/2006/relationships/hyperlink" Target="http://www.itu.int/itu-t/workprog/wp_item.aspx?isn=18294" TargetMode="External"/><Relationship Id="rId357" Type="http://schemas.openxmlformats.org/officeDocument/2006/relationships/hyperlink" Target="http://www.itu.int/itu-t/workprog/wp_item.aspx?isn=18263" TargetMode="External"/><Relationship Id="rId54" Type="http://schemas.openxmlformats.org/officeDocument/2006/relationships/hyperlink" Target="https://www.itu.int/en/ITU-T/focusgroups/an/Pages/default.aspx" TargetMode="External"/><Relationship Id="rId96" Type="http://schemas.openxmlformats.org/officeDocument/2006/relationships/hyperlink" Target="https://www.itu.int/en/ITU-T/extcoop/cits/Pages/egcomad.aspx" TargetMode="External"/><Relationship Id="rId161" Type="http://schemas.openxmlformats.org/officeDocument/2006/relationships/hyperlink" Target="https://www.itu.int/en/ITU-T/accessibility/Pages/default.aspx" TargetMode="External"/><Relationship Id="rId217" Type="http://schemas.openxmlformats.org/officeDocument/2006/relationships/hyperlink" Target="https://www.itu.int/en/ITU-T/publications/Pages/dbase.aspx" TargetMode="External"/><Relationship Id="rId399" Type="http://schemas.openxmlformats.org/officeDocument/2006/relationships/hyperlink" Target="http://www.itu.int/itu-t/workprog/wp_item.aspx?isn=18347" TargetMode="External"/><Relationship Id="rId259" Type="http://schemas.openxmlformats.org/officeDocument/2006/relationships/hyperlink" Target="http://www.itu.int/itu-t/workprog/wp_item.aspx?isn=18511" TargetMode="External"/><Relationship Id="rId424" Type="http://schemas.openxmlformats.org/officeDocument/2006/relationships/hyperlink" Target="http://www.itu.int/itu-t/workprog/wp_item.aspx?isn=17951" TargetMode="External"/><Relationship Id="rId466" Type="http://schemas.openxmlformats.org/officeDocument/2006/relationships/hyperlink" Target="http://www.itu.int/itu-t/workprog/wp_item.aspx?isn=18875" TargetMode="External"/><Relationship Id="rId23" Type="http://schemas.openxmlformats.org/officeDocument/2006/relationships/hyperlink" Target="https://www.itu.int/en/ITU-T/tsbdir/cto/Documents/Communique_ITU_CxO_2023.pdf" TargetMode="External"/><Relationship Id="rId119" Type="http://schemas.openxmlformats.org/officeDocument/2006/relationships/hyperlink" Target="https://www.worldstandardscooperation.org/g20/g20-2022/" TargetMode="External"/><Relationship Id="rId270" Type="http://schemas.openxmlformats.org/officeDocument/2006/relationships/hyperlink" Target="http://www.itu.int/itu-t/workprog/wp_item.aspx?isn=18895" TargetMode="External"/><Relationship Id="rId326" Type="http://schemas.openxmlformats.org/officeDocument/2006/relationships/hyperlink" Target="http://www.itu.int/itu-t/workprog/wp_item.aspx?isn=18979" TargetMode="External"/><Relationship Id="rId533" Type="http://schemas.openxmlformats.org/officeDocument/2006/relationships/hyperlink" Target="http://www.itu.int/itu-t/workprog/wp_item.aspx?isn=17886" TargetMode="External"/><Relationship Id="rId65" Type="http://schemas.openxmlformats.org/officeDocument/2006/relationships/hyperlink" Target="https://aiforgood.itu.int/summit23/" TargetMode="External"/><Relationship Id="rId130" Type="http://schemas.openxmlformats.org/officeDocument/2006/relationships/hyperlink" Target="https://www.itu.int/en/irg/ibb" TargetMode="External"/><Relationship Id="rId368" Type="http://schemas.openxmlformats.org/officeDocument/2006/relationships/hyperlink" Target="http://www.itu.int/itu-t/workprog/wp_item.aspx?isn=17514" TargetMode="External"/><Relationship Id="rId172" Type="http://schemas.openxmlformats.org/officeDocument/2006/relationships/hyperlink" Target="https://academy.itu.int/training-courses/full-catalogue/itu-t-working-methods-and-other-mechanisms" TargetMode="External"/><Relationship Id="rId228" Type="http://schemas.openxmlformats.org/officeDocument/2006/relationships/hyperlink" Target="https://www.itu.int/itu-t/landscape/?topic=tx153" TargetMode="External"/><Relationship Id="rId435" Type="http://schemas.openxmlformats.org/officeDocument/2006/relationships/hyperlink" Target="http://www.itu.int/itu-t/workprog/wp_item.aspx?isn=19160" TargetMode="External"/><Relationship Id="rId477" Type="http://schemas.openxmlformats.org/officeDocument/2006/relationships/hyperlink" Target="http://www.itu.int/itu-t/workprog/wp_item.aspx?isn=18636" TargetMode="External"/><Relationship Id="rId281" Type="http://schemas.openxmlformats.org/officeDocument/2006/relationships/hyperlink" Target="http://www.itu.int/itu-t/workprog/wp_item.aspx?isn=17849" TargetMode="External"/><Relationship Id="rId337" Type="http://schemas.openxmlformats.org/officeDocument/2006/relationships/hyperlink" Target="http://www.itu.int/itu-t/workprog/wp_item.aspx?isn=18082" TargetMode="External"/><Relationship Id="rId502" Type="http://schemas.openxmlformats.org/officeDocument/2006/relationships/hyperlink" Target="http://www.itu.int/itu-t/workprog/wp_item.aspx?isn=17592" TargetMode="External"/><Relationship Id="rId34" Type="http://schemas.openxmlformats.org/officeDocument/2006/relationships/hyperlink" Target="https://www.itu.int/en/ITU-T/C-I/Pages/default.aspx" TargetMode="External"/><Relationship Id="rId76" Type="http://schemas.openxmlformats.org/officeDocument/2006/relationships/hyperlink" Target="https://figi.itu.int/figi-resources/dfs-security-lab/" TargetMode="External"/><Relationship Id="rId141" Type="http://schemas.openxmlformats.org/officeDocument/2006/relationships/hyperlink" Target="https://www.itu.int/ITU-T/workprog/wp_item.aspx?isn=17090" TargetMode="External"/><Relationship Id="rId379" Type="http://schemas.openxmlformats.org/officeDocument/2006/relationships/hyperlink" Target="http://www.itu.int/itu-t/workprog/wp_item.aspx?isn=17520" TargetMode="External"/><Relationship Id="rId544" Type="http://schemas.openxmlformats.org/officeDocument/2006/relationships/hyperlink" Target="http://www.itu.int/itu-t/workprog/wp_item.aspx?isn=17920" TargetMode="External"/><Relationship Id="rId7" Type="http://schemas.openxmlformats.org/officeDocument/2006/relationships/settings" Target="settings.xml"/><Relationship Id="rId183" Type="http://schemas.openxmlformats.org/officeDocument/2006/relationships/hyperlink" Target="file:///D:\2020\08_08_2019\continue%20to%20be%20among%20TSB's%20priorities" TargetMode="External"/><Relationship Id="rId239" Type="http://schemas.openxmlformats.org/officeDocument/2006/relationships/hyperlink" Target="https://www.itu.int/net/itu-t/inrdb/secured/e118iin.aspx" TargetMode="External"/><Relationship Id="rId390" Type="http://schemas.openxmlformats.org/officeDocument/2006/relationships/hyperlink" Target="http://www.itu.int/itu-t/workprog/wp_item.aspx?isn=17477" TargetMode="External"/><Relationship Id="rId404" Type="http://schemas.openxmlformats.org/officeDocument/2006/relationships/hyperlink" Target="http://www.itu.int/itu-t/workprog/wp_item.aspx?isn=17993" TargetMode="External"/><Relationship Id="rId446" Type="http://schemas.openxmlformats.org/officeDocument/2006/relationships/hyperlink" Target="http://www.itu.int/itu-t/workprog/wp_item.aspx?isn=18397" TargetMode="External"/><Relationship Id="rId250" Type="http://schemas.openxmlformats.org/officeDocument/2006/relationships/hyperlink" Target="http://www.itu.int/itu-t/workprog/wp_item.aspx?isn=17696" TargetMode="External"/><Relationship Id="rId292" Type="http://schemas.openxmlformats.org/officeDocument/2006/relationships/hyperlink" Target="http://www.itu.int/itu-t/workprog/wp_item.aspx?isn=18710" TargetMode="External"/><Relationship Id="rId306" Type="http://schemas.openxmlformats.org/officeDocument/2006/relationships/hyperlink" Target="http://www.itu.int/itu-t/workprog/wp_item.aspx?isn=18165" TargetMode="External"/><Relationship Id="rId488" Type="http://schemas.openxmlformats.org/officeDocument/2006/relationships/hyperlink" Target="http://www.itu.int/itu-t/workprog/wp_item.aspx?isn=18279" TargetMode="External"/><Relationship Id="rId45" Type="http://schemas.openxmlformats.org/officeDocument/2006/relationships/hyperlink" Target="https://www.itu.int/go/tsg15" TargetMode="External"/><Relationship Id="rId87" Type="http://schemas.openxmlformats.org/officeDocument/2006/relationships/hyperlink" Target="https://www.itu.int/en/ITU-T/ssc/united/Pages/publication-U4SSC-KPIs.aspx" TargetMode="External"/><Relationship Id="rId110" Type="http://schemas.openxmlformats.org/officeDocument/2006/relationships/hyperlink" Target="https://www.itu.int/en/ITU-T/academia/kaleidoscope/Pages/default.aspx" TargetMode="External"/><Relationship Id="rId348" Type="http://schemas.openxmlformats.org/officeDocument/2006/relationships/hyperlink" Target="http://www.itu.int/itu-t/workprog/wp_item.aspx?isn=18310" TargetMode="External"/><Relationship Id="rId513" Type="http://schemas.openxmlformats.org/officeDocument/2006/relationships/hyperlink" Target="http://www.itu.int/itu-t/workprog/wp_item.aspx?isn=18529" TargetMode="External"/><Relationship Id="rId152" Type="http://schemas.openxmlformats.org/officeDocument/2006/relationships/hyperlink" Target="https://ilac.org/ilac-mra-and-signatories/" TargetMode="External"/><Relationship Id="rId194" Type="http://schemas.openxmlformats.org/officeDocument/2006/relationships/hyperlink" Target="https://www.itu.int/wtsa/2024/" TargetMode="External"/><Relationship Id="rId208" Type="http://schemas.openxmlformats.org/officeDocument/2006/relationships/hyperlink" Target="https://www.itu.int/myworkspace/" TargetMode="External"/><Relationship Id="rId415" Type="http://schemas.openxmlformats.org/officeDocument/2006/relationships/hyperlink" Target="http://www.itu.int/itu-t/workprog/wp_item.aspx?isn=18346" TargetMode="External"/><Relationship Id="rId457" Type="http://schemas.openxmlformats.org/officeDocument/2006/relationships/hyperlink" Target="http://www.itu.int/itu-t/workprog/wp_item.aspx?isn=18869" TargetMode="External"/><Relationship Id="rId261" Type="http://schemas.openxmlformats.org/officeDocument/2006/relationships/hyperlink" Target="http://www.itu.int/itu-t/workprog/wp_item.aspx?isn=18519" TargetMode="External"/><Relationship Id="rId499" Type="http://schemas.openxmlformats.org/officeDocument/2006/relationships/hyperlink" Target="http://www.itu.int/itu-t/workprog/wp_item.aspx?isn=18624" TargetMode="External"/><Relationship Id="rId14" Type="http://schemas.openxmlformats.org/officeDocument/2006/relationships/hyperlink" Target="https://www.itu.int/en/ITU-T/Workshops-and-Seminars/Pages/default.aspx" TargetMode="External"/><Relationship Id="rId56" Type="http://schemas.openxmlformats.org/officeDocument/2006/relationships/hyperlink" Target="https://www.itu.int/en/ITU-T/focusgroups/ai4ee/Pages/default.aspx" TargetMode="External"/><Relationship Id="rId317" Type="http://schemas.openxmlformats.org/officeDocument/2006/relationships/hyperlink" Target="http://www.itu.int/itu-t/workprog/wp_item.aspx?isn=18943" TargetMode="External"/><Relationship Id="rId359" Type="http://schemas.openxmlformats.org/officeDocument/2006/relationships/hyperlink" Target="http://www.itu.int/itu-t/workprog/wp_item.aspx?isn=18591" TargetMode="External"/><Relationship Id="rId524" Type="http://schemas.openxmlformats.org/officeDocument/2006/relationships/hyperlink" Target="http://www.itu.int/itu-t/workprog/wp_item.aspx?isn=17976" TargetMode="External"/><Relationship Id="rId98" Type="http://schemas.openxmlformats.org/officeDocument/2006/relationships/hyperlink" Target="https://www.itu.int/en/ITU-T/ITS/Pages/default.aspx" TargetMode="External"/><Relationship Id="rId121" Type="http://schemas.openxmlformats.org/officeDocument/2006/relationships/hyperlink" Target="https://www.itu.int/en/ITU-T/extcoop/Pages/WSC-coordination.aspx" TargetMode="External"/><Relationship Id="rId163" Type="http://schemas.openxmlformats.org/officeDocument/2006/relationships/hyperlink" Target="http://www.itu.int/en/ITU-T/ipr/Pages/revpatent.aspx" TargetMode="External"/><Relationship Id="rId219" Type="http://schemas.openxmlformats.org/officeDocument/2006/relationships/hyperlink" Target="http://www.itu.int/search" TargetMode="External"/><Relationship Id="rId370" Type="http://schemas.openxmlformats.org/officeDocument/2006/relationships/hyperlink" Target="http://www.itu.int/itu-t/workprog/wp_item.aspx?isn=17605" TargetMode="External"/><Relationship Id="rId426" Type="http://schemas.openxmlformats.org/officeDocument/2006/relationships/hyperlink" Target="http://www.itu.int/itu-t/workprog/wp_item.aspx?isn=17907" TargetMode="External"/><Relationship Id="rId230" Type="http://schemas.openxmlformats.org/officeDocument/2006/relationships/hyperlink" Target="https://www.itu.int/itu-t/landscape/?topic=tx379" TargetMode="External"/><Relationship Id="rId468" Type="http://schemas.openxmlformats.org/officeDocument/2006/relationships/hyperlink" Target="http://www.itu.int/itu-t/workprog/wp_item.aspx?isn=18574" TargetMode="External"/><Relationship Id="rId25" Type="http://schemas.openxmlformats.org/officeDocument/2006/relationships/hyperlink" Target="https://www.worldstandardscooperation.org/" TargetMode="External"/><Relationship Id="rId67" Type="http://schemas.openxmlformats.org/officeDocument/2006/relationships/hyperlink" Target="https://aiforgood.itu.int/programme/" TargetMode="External"/><Relationship Id="rId272" Type="http://schemas.openxmlformats.org/officeDocument/2006/relationships/hyperlink" Target="http://www.itu.int/itu-t/workprog/wp_item.aspx?isn=17846" TargetMode="External"/><Relationship Id="rId328" Type="http://schemas.openxmlformats.org/officeDocument/2006/relationships/hyperlink" Target="http://www.itu.int/itu-t/workprog/wp_item.aspx?isn=18654" TargetMode="External"/><Relationship Id="rId535" Type="http://schemas.openxmlformats.org/officeDocument/2006/relationships/hyperlink" Target="http://www.itu.int/itu-t/workprog/wp_item.aspx?isn=17933" TargetMode="External"/><Relationship Id="rId132" Type="http://schemas.openxmlformats.org/officeDocument/2006/relationships/hyperlink" Target="https://www.itu.int/en/ITU-T/extcoop/cits/Pages/default.aspx" TargetMode="External"/><Relationship Id="rId174" Type="http://schemas.openxmlformats.org/officeDocument/2006/relationships/hyperlink" Target="https://www.itu.int/md/meetingdoc.asp?lang=en&amp;parent=T22-TSAG-240122-TD-GEN-0422" TargetMode="External"/><Relationship Id="rId381" Type="http://schemas.openxmlformats.org/officeDocument/2006/relationships/hyperlink" Target="http://www.itu.int/itu-t/workprog/wp_item.aspx?isn=17579" TargetMode="External"/><Relationship Id="rId241" Type="http://schemas.openxmlformats.org/officeDocument/2006/relationships/hyperlink" Target="http://www.itu.int/itu-t/workprog/wp_item.aspx?isn=18790" TargetMode="External"/><Relationship Id="rId437" Type="http://schemas.openxmlformats.org/officeDocument/2006/relationships/hyperlink" Target="http://www.itu.int/itu-t/workprog/wp_item.aspx?isn=18949" TargetMode="External"/><Relationship Id="rId479" Type="http://schemas.openxmlformats.org/officeDocument/2006/relationships/hyperlink" Target="http://www.itu.int/itu-t/workprog/wp_item.aspx?isn=18638" TargetMode="External"/><Relationship Id="rId36" Type="http://schemas.openxmlformats.org/officeDocument/2006/relationships/hyperlink" Target="https://www.itu.int/en/ITU-T/studygroups/Pages/default.aspx" TargetMode="External"/><Relationship Id="rId283" Type="http://schemas.openxmlformats.org/officeDocument/2006/relationships/hyperlink" Target="http://www.itu.int/itu-t/workprog/wp_item.aspx?isn=17847" TargetMode="External"/><Relationship Id="rId339" Type="http://schemas.openxmlformats.org/officeDocument/2006/relationships/hyperlink" Target="http://www.itu.int/itu-t/workprog/wp_item.aspx?isn=18133" TargetMode="External"/><Relationship Id="rId490" Type="http://schemas.openxmlformats.org/officeDocument/2006/relationships/hyperlink" Target="http://www.itu.int/itu-t/workprog/wp_item.aspx?isn=18250" TargetMode="External"/><Relationship Id="rId504" Type="http://schemas.openxmlformats.org/officeDocument/2006/relationships/hyperlink" Target="http://www.itu.int/itu-t/workprog/wp_item.aspx?isn=17478" TargetMode="External"/><Relationship Id="rId546" Type="http://schemas.openxmlformats.org/officeDocument/2006/relationships/header" Target="header1.xml"/><Relationship Id="rId78" Type="http://schemas.openxmlformats.org/officeDocument/2006/relationships/hyperlink" Target="https://figi.itu.int/figi-resources/dfs-security-lab/" TargetMode="External"/><Relationship Id="rId101" Type="http://schemas.openxmlformats.org/officeDocument/2006/relationships/hyperlink" Target="https://www.itu.int/en/ITU-T/tsbdir/cto/Documents/Communique_ITU_CxO_2023.pdf" TargetMode="External"/><Relationship Id="rId143" Type="http://schemas.openxmlformats.org/officeDocument/2006/relationships/hyperlink" Target="https://www.itu.int/rec/T-REC-A.4" TargetMode="External"/><Relationship Id="rId185" Type="http://schemas.openxmlformats.org/officeDocument/2006/relationships/hyperlink" Target="https://www.itu.int/md/S23-CL-C-0076/" TargetMode="External"/><Relationship Id="rId350" Type="http://schemas.openxmlformats.org/officeDocument/2006/relationships/hyperlink" Target="http://www.itu.int/itu-t/workprog/wp_item.aspx?isn=18635" TargetMode="External"/><Relationship Id="rId406" Type="http://schemas.openxmlformats.org/officeDocument/2006/relationships/hyperlink" Target="http://www.itu.int/itu-t/workprog/wp_item.aspx?isn=18018" TargetMode="External"/><Relationship Id="rId9" Type="http://schemas.openxmlformats.org/officeDocument/2006/relationships/footnotes" Target="footnotes.xml"/><Relationship Id="rId210" Type="http://schemas.openxmlformats.org/officeDocument/2006/relationships/hyperlink" Target="https://www.itu.int/myworkspace/" TargetMode="External"/><Relationship Id="rId392" Type="http://schemas.openxmlformats.org/officeDocument/2006/relationships/hyperlink" Target="http://www.itu.int/itu-t/workprog/wp_item.aspx?isn=17627" TargetMode="External"/><Relationship Id="rId448" Type="http://schemas.openxmlformats.org/officeDocument/2006/relationships/hyperlink" Target="http://www.itu.int/itu-t/workprog/wp_item.aspx?isn=18898" TargetMode="External"/><Relationship Id="rId252" Type="http://schemas.openxmlformats.org/officeDocument/2006/relationships/hyperlink" Target="http://www.itu.int/itu-t/workprog/wp_item.aspx?isn=17736" TargetMode="External"/><Relationship Id="rId294" Type="http://schemas.openxmlformats.org/officeDocument/2006/relationships/hyperlink" Target="http://www.itu.int/itu-t/workprog/wp_item.aspx?isn=17833" TargetMode="External"/><Relationship Id="rId308" Type="http://schemas.openxmlformats.org/officeDocument/2006/relationships/hyperlink" Target="http://www.itu.int/itu-t/workprog/wp_item.aspx?isn=18046" TargetMode="External"/><Relationship Id="rId515" Type="http://schemas.openxmlformats.org/officeDocument/2006/relationships/hyperlink" Target="http://www.itu.int/itu-t/workprog/wp_item.aspx?isn=17475" TargetMode="External"/><Relationship Id="rId47" Type="http://schemas.openxmlformats.org/officeDocument/2006/relationships/hyperlink" Target="https://www.itu.int/go/tsg20" TargetMode="External"/><Relationship Id="rId89" Type="http://schemas.openxmlformats.org/officeDocument/2006/relationships/hyperlink" Target="https://u4ssc.itu.int/latest-meetings/7th-meeting/" TargetMode="External"/><Relationship Id="rId112" Type="http://schemas.openxmlformats.org/officeDocument/2006/relationships/hyperlink" Target="https://www.itu.int/en/journal/j-fet/webinars/Pages/default.aspx" TargetMode="External"/><Relationship Id="rId154" Type="http://schemas.openxmlformats.org/officeDocument/2006/relationships/hyperlink" Target="https://www.itu.int/pub/T-SP" TargetMode="External"/><Relationship Id="rId361" Type="http://schemas.openxmlformats.org/officeDocument/2006/relationships/hyperlink" Target="http://www.itu.int/itu-t/workprog/wp_item.aspx?isn=18226" TargetMode="External"/><Relationship Id="rId196" Type="http://schemas.openxmlformats.org/officeDocument/2006/relationships/hyperlink" Target="https://gss.itu.int" TargetMode="External"/><Relationship Id="rId417" Type="http://schemas.openxmlformats.org/officeDocument/2006/relationships/hyperlink" Target="http://www.itu.int/itu-t/workprog/wp_item.aspx?isn=17956" TargetMode="External"/><Relationship Id="rId459" Type="http://schemas.openxmlformats.org/officeDocument/2006/relationships/hyperlink" Target="http://www.itu.int/itu-t/workprog/wp_item.aspx?isn=18870" TargetMode="External"/><Relationship Id="rId16" Type="http://schemas.openxmlformats.org/officeDocument/2006/relationships/hyperlink" Target="https://www.itu.int/hub/2023/07/new-un-initiative-aims-to-step-up-ais-contribution-to-health/" TargetMode="External"/><Relationship Id="rId221" Type="http://schemas.openxmlformats.org/officeDocument/2006/relationships/hyperlink" Target="https://www.itu.int/t/aap/aap-recs" TargetMode="External"/><Relationship Id="rId263" Type="http://schemas.openxmlformats.org/officeDocument/2006/relationships/hyperlink" Target="http://www.itu.int/itu-t/workprog/wp_item.aspx?isn=18506" TargetMode="External"/><Relationship Id="rId319" Type="http://schemas.openxmlformats.org/officeDocument/2006/relationships/hyperlink" Target="http://www.itu.int/itu-t/workprog/wp_item.aspx?isn=18658" TargetMode="External"/><Relationship Id="rId470" Type="http://schemas.openxmlformats.org/officeDocument/2006/relationships/hyperlink" Target="http://www.itu.int/itu-t/workprog/wp_item.aspx?isn=18575" TargetMode="External"/><Relationship Id="rId526" Type="http://schemas.openxmlformats.org/officeDocument/2006/relationships/hyperlink" Target="http://www.itu.int/itu-t/workprog/wp_item.aspx?isn=17430" TargetMode="External"/><Relationship Id="rId58" Type="http://schemas.openxmlformats.org/officeDocument/2006/relationships/hyperlink" Target="https://www.itu.int/en/ITU-T/focusgroups/vm/Pages/default.aspx" TargetMode="External"/><Relationship Id="rId123" Type="http://schemas.openxmlformats.org/officeDocument/2006/relationships/hyperlink" Target="https://www.itu.int/en/ITU-T/gsc/Pages/default.aspx" TargetMode="External"/><Relationship Id="rId330" Type="http://schemas.openxmlformats.org/officeDocument/2006/relationships/hyperlink" Target="http://www.itu.int/itu-t/workprog/wp_item.aspx?isn=18587" TargetMode="External"/><Relationship Id="rId165" Type="http://schemas.openxmlformats.org/officeDocument/2006/relationships/hyperlink" Target="https://www.itu.int/oth/T0402/en" TargetMode="External"/><Relationship Id="rId372" Type="http://schemas.openxmlformats.org/officeDocument/2006/relationships/hyperlink" Target="http://www.itu.int/itu-t/workprog/wp_item.aspx?isn=17545" TargetMode="External"/><Relationship Id="rId428" Type="http://schemas.openxmlformats.org/officeDocument/2006/relationships/hyperlink" Target="http://www.itu.int/itu-t/workprog/wp_item.aspx?isn=17893" TargetMode="External"/><Relationship Id="rId232" Type="http://schemas.openxmlformats.org/officeDocument/2006/relationships/hyperlink" Target="https://www.itu.int/itu-t/landscape/?topic=tx380" TargetMode="External"/><Relationship Id="rId274" Type="http://schemas.openxmlformats.org/officeDocument/2006/relationships/hyperlink" Target="http://www.itu.int/itu-t/workprog/wp_item.aspx?isn=17869" TargetMode="External"/><Relationship Id="rId481" Type="http://schemas.openxmlformats.org/officeDocument/2006/relationships/hyperlink" Target="http://www.itu.int/itu-t/workprog/wp_item.aspx?isn=18877" TargetMode="External"/><Relationship Id="rId27" Type="http://schemas.openxmlformats.org/officeDocument/2006/relationships/hyperlink" Target="https://aiforgood.itu.int/about-ai-for-good/aiml-solutions-for-climate-change/" TargetMode="External"/><Relationship Id="rId69" Type="http://schemas.openxmlformats.org/officeDocument/2006/relationships/hyperlink" Target="https://github.com/ITU-AI-ML-in-5G-Challenge" TargetMode="External"/><Relationship Id="rId134" Type="http://schemas.openxmlformats.org/officeDocument/2006/relationships/hyperlink" Target="https://www.itu.int/en/ITU-T/focusgroups/dfc/Pages/default.aspx" TargetMode="External"/><Relationship Id="rId537" Type="http://schemas.openxmlformats.org/officeDocument/2006/relationships/hyperlink" Target="http://www.itu.int/itu-t/workprog/wp_item.aspx?isn=17945" TargetMode="External"/><Relationship Id="rId80" Type="http://schemas.openxmlformats.org/officeDocument/2006/relationships/hyperlink" Target="https://www.itu.int/en/ITU-T/webinars/dfs/sc/Pages/default.aspx" TargetMode="External"/><Relationship Id="rId176" Type="http://schemas.openxmlformats.org/officeDocument/2006/relationships/image" Target="media/image3.png"/><Relationship Id="rId341" Type="http://schemas.openxmlformats.org/officeDocument/2006/relationships/hyperlink" Target="http://www.itu.int/itu-t/workprog/wp_item.aspx?isn=18102" TargetMode="External"/><Relationship Id="rId383" Type="http://schemas.openxmlformats.org/officeDocument/2006/relationships/hyperlink" Target="http://www.itu.int/itu-t/workprog/wp_item.aspx?isn=17601" TargetMode="External"/><Relationship Id="rId439" Type="http://schemas.openxmlformats.org/officeDocument/2006/relationships/hyperlink" Target="http://www.itu.int/itu-t/workprog/wp_item.aspx?isn=19182" TargetMode="External"/><Relationship Id="rId201" Type="http://schemas.openxmlformats.org/officeDocument/2006/relationships/hyperlink" Target="https://extranet.itu.int/sites/ITU-T/" TargetMode="External"/><Relationship Id="rId243" Type="http://schemas.openxmlformats.org/officeDocument/2006/relationships/hyperlink" Target="http://www.itu.int/itu-t/workprog/wp_item.aspx?isn=19044" TargetMode="External"/><Relationship Id="rId285" Type="http://schemas.openxmlformats.org/officeDocument/2006/relationships/hyperlink" Target="http://www.itu.int/itu-t/workprog/wp_item.aspx?isn=17873" TargetMode="External"/><Relationship Id="rId450" Type="http://schemas.openxmlformats.org/officeDocument/2006/relationships/hyperlink" Target="http://www.itu.int/itu-t/workprog/wp_item.aspx?isn=18516" TargetMode="External"/><Relationship Id="rId506" Type="http://schemas.openxmlformats.org/officeDocument/2006/relationships/hyperlink" Target="http://www.itu.int/itu-t/workprog/wp_item.aspx?isn=18604" TargetMode="External"/><Relationship Id="rId38" Type="http://schemas.openxmlformats.org/officeDocument/2006/relationships/hyperlink" Target="https://www.itu.int/go/tsg3" TargetMode="External"/><Relationship Id="rId103" Type="http://schemas.openxmlformats.org/officeDocument/2006/relationships/hyperlink" Target="https://www.itu.int/initiatives/green-digital-action-atcop28/about/outcomes/" TargetMode="External"/><Relationship Id="rId310" Type="http://schemas.openxmlformats.org/officeDocument/2006/relationships/hyperlink" Target="http://www.itu.int/itu-t/workprog/wp_item.aspx?isn=18126" TargetMode="External"/><Relationship Id="rId492" Type="http://schemas.openxmlformats.org/officeDocument/2006/relationships/hyperlink" Target="http://www.itu.int/itu-t/workprog/wp_item.aspx?isn=18860" TargetMode="External"/><Relationship Id="rId548" Type="http://schemas.openxmlformats.org/officeDocument/2006/relationships/footer" Target="footer1.xml"/><Relationship Id="rId91" Type="http://schemas.openxmlformats.org/officeDocument/2006/relationships/hyperlink" Target="https://www.itu.int/cities/publications/" TargetMode="External"/><Relationship Id="rId145" Type="http://schemas.openxmlformats.org/officeDocument/2006/relationships/hyperlink" Target="https://www.itu.int/rec/T-REC-A.6" TargetMode="External"/><Relationship Id="rId187" Type="http://schemas.openxmlformats.org/officeDocument/2006/relationships/hyperlink" Target="https://learnqi.unece.org/courses/gender-responsive-standards/" TargetMode="External"/><Relationship Id="rId352" Type="http://schemas.openxmlformats.org/officeDocument/2006/relationships/hyperlink" Target="http://www.itu.int/itu-t/workprog/wp_item.aspx?isn=18586" TargetMode="External"/><Relationship Id="rId394" Type="http://schemas.openxmlformats.org/officeDocument/2006/relationships/hyperlink" Target="http://www.itu.int/itu-t/workprog/wp_item.aspx?isn=17648" TargetMode="External"/><Relationship Id="rId408" Type="http://schemas.openxmlformats.org/officeDocument/2006/relationships/hyperlink" Target="http://www.itu.int/itu-t/workprog/wp_item.aspx?isn=18013" TargetMode="External"/><Relationship Id="rId212" Type="http://schemas.openxmlformats.org/officeDocument/2006/relationships/hyperlink" Target="https://www.itu.int/myworkspace/" TargetMode="External"/><Relationship Id="rId254" Type="http://schemas.openxmlformats.org/officeDocument/2006/relationships/hyperlink" Target="http://www.itu.int/itu-t/workprog/wp_item.aspx?isn=17676" TargetMode="External"/><Relationship Id="rId49" Type="http://schemas.openxmlformats.org/officeDocument/2006/relationships/hyperlink" Target="https://www.itu.int/en/ITU-T/focusgroups/cd/Pages/default.aspx" TargetMode="External"/><Relationship Id="rId114" Type="http://schemas.openxmlformats.org/officeDocument/2006/relationships/hyperlink" Target="https://www.itu.int/wtsa/2024/prepmeet/" TargetMode="External"/><Relationship Id="rId296" Type="http://schemas.openxmlformats.org/officeDocument/2006/relationships/hyperlink" Target="http://www.itu.int/itu-t/workprog/wp_item.aspx?isn=17827" TargetMode="External"/><Relationship Id="rId461" Type="http://schemas.openxmlformats.org/officeDocument/2006/relationships/hyperlink" Target="http://www.itu.int/itu-t/workprog/wp_item.aspx?isn=18872" TargetMode="External"/><Relationship Id="rId517" Type="http://schemas.openxmlformats.org/officeDocument/2006/relationships/hyperlink" Target="http://www.itu.int/itu-t/workprog/wp_item.aspx?isn=18690" TargetMode="External"/><Relationship Id="rId60" Type="http://schemas.openxmlformats.org/officeDocument/2006/relationships/hyperlink" Target="https://www.itu.int/en/ITU-T/Workshops-and-Seminars/Pages/default.aspx" TargetMode="External"/><Relationship Id="rId156" Type="http://schemas.openxmlformats.org/officeDocument/2006/relationships/hyperlink" Target="https://www.itu.int/net/itu-t/cdb/secured/Register16.aspx" TargetMode="External"/><Relationship Id="rId198" Type="http://schemas.openxmlformats.org/officeDocument/2006/relationships/hyperlink" Target="http://itu.int/go/itu-t/rgm" TargetMode="External"/><Relationship Id="rId321" Type="http://schemas.openxmlformats.org/officeDocument/2006/relationships/hyperlink" Target="http://www.itu.int/itu-t/workprog/wp_item.aspx?isn=18657" TargetMode="External"/><Relationship Id="rId363" Type="http://schemas.openxmlformats.org/officeDocument/2006/relationships/hyperlink" Target="https://www.itu.int/ITU-T/workprog/wp_item.aspx?isn=18859" TargetMode="External"/><Relationship Id="rId419" Type="http://schemas.openxmlformats.org/officeDocument/2006/relationships/hyperlink" Target="http://www.itu.int/itu-t/workprog/wp_item.aspx?isn=17889" TargetMode="External"/><Relationship Id="rId223" Type="http://schemas.openxmlformats.org/officeDocument/2006/relationships/hyperlink" Target="https://www.itu.int/net4/ITU-T/ls" TargetMode="External"/><Relationship Id="rId430" Type="http://schemas.openxmlformats.org/officeDocument/2006/relationships/hyperlink" Target="http://www.itu.int/itu-t/workprog/wp_item.aspx?isn=17938" TargetMode="External"/><Relationship Id="rId18" Type="http://schemas.openxmlformats.org/officeDocument/2006/relationships/hyperlink" Target="http://www.itu.int/en/ITU-T/ssc/united/Pages/default.aspx" TargetMode="External"/><Relationship Id="rId265" Type="http://schemas.openxmlformats.org/officeDocument/2006/relationships/hyperlink" Target="http://www.itu.int/itu-t/workprog/wp_item.aspx?isn=18866" TargetMode="External"/><Relationship Id="rId472" Type="http://schemas.openxmlformats.org/officeDocument/2006/relationships/hyperlink" Target="http://www.itu.int/itu-t/workprog/wp_item.aspx?isn=18884" TargetMode="External"/><Relationship Id="rId528" Type="http://schemas.openxmlformats.org/officeDocument/2006/relationships/hyperlink" Target="http://www.itu.int/itu-t/workprog/wp_item.aspx?isn=19101" TargetMode="External"/><Relationship Id="rId125" Type="http://schemas.openxmlformats.org/officeDocument/2006/relationships/hyperlink" Target="https://www.itu.int/en/ITU-T/extcoop/Documents/tor/ToR_SPCG.pdf" TargetMode="External"/><Relationship Id="rId167" Type="http://schemas.openxmlformats.org/officeDocument/2006/relationships/chart" Target="charts/chart2.xml"/><Relationship Id="rId332" Type="http://schemas.openxmlformats.org/officeDocument/2006/relationships/hyperlink" Target="http://www.itu.int/itu-t/workprog/wp_item.aspx?isn=18675" TargetMode="External"/><Relationship Id="rId374" Type="http://schemas.openxmlformats.org/officeDocument/2006/relationships/hyperlink" Target="http://www.itu.int/itu-t/workprog/wp_item.aspx?isn=17635" TargetMode="External"/><Relationship Id="rId71" Type="http://schemas.openxmlformats.org/officeDocument/2006/relationships/hyperlink" Target="https://www.itu.int/en/journal/j-fet/2024/003/Pages/default.aspx" TargetMode="External"/><Relationship Id="rId234" Type="http://schemas.openxmlformats.org/officeDocument/2006/relationships/hyperlink" Target="https://www.itu.int/br_tsb_terms/" TargetMode="External"/><Relationship Id="rId2" Type="http://schemas.openxmlformats.org/officeDocument/2006/relationships/customXml" Target="../customXml/item2.xml"/><Relationship Id="rId29" Type="http://schemas.openxmlformats.org/officeDocument/2006/relationships/hyperlink" Target="https://www.itu.int/en/journal/j-fet/Pages/default.aspx" TargetMode="External"/><Relationship Id="rId276" Type="http://schemas.openxmlformats.org/officeDocument/2006/relationships/hyperlink" Target="http://www.itu.int/itu-t/workprog/wp_item.aspx?isn=17871" TargetMode="External"/><Relationship Id="rId441" Type="http://schemas.openxmlformats.org/officeDocument/2006/relationships/hyperlink" Target="http://www.itu.int/itu-t/workprog/wp_item.aspx?isn=17733" TargetMode="External"/><Relationship Id="rId483" Type="http://schemas.openxmlformats.org/officeDocument/2006/relationships/hyperlink" Target="http://www.itu.int/itu-t/workprog/wp_item.aspx?isn=18578" TargetMode="External"/><Relationship Id="rId539" Type="http://schemas.openxmlformats.org/officeDocument/2006/relationships/hyperlink" Target="http://www.itu.int/itu-t/workprog/wp_item.aspx?isn=17923" TargetMode="External"/><Relationship Id="rId40" Type="http://schemas.openxmlformats.org/officeDocument/2006/relationships/hyperlink" Target="https://www.itu.int/go/tsg9" TargetMode="External"/><Relationship Id="rId136" Type="http://schemas.openxmlformats.org/officeDocument/2006/relationships/hyperlink" Target="https://www.itu.int/en/ITU-T/extcoop/figisymposium/Pages/default.aspx" TargetMode="External"/><Relationship Id="rId178" Type="http://schemas.openxmlformats.org/officeDocument/2006/relationships/hyperlink" Target="https://www.itu.int/md/T22-TSAG-230530-TD-GEN-0196/en" TargetMode="External"/><Relationship Id="rId301" Type="http://schemas.openxmlformats.org/officeDocument/2006/relationships/hyperlink" Target="http://www.itu.int/itu-t/workprog/wp_item.aspx?isn=18736" TargetMode="External"/><Relationship Id="rId343" Type="http://schemas.openxmlformats.org/officeDocument/2006/relationships/hyperlink" Target="http://www.itu.int/itu-t/workprog/wp_item.aspx?isn=18122" TargetMode="External"/><Relationship Id="rId550" Type="http://schemas.openxmlformats.org/officeDocument/2006/relationships/header" Target="header3.xml"/><Relationship Id="rId82" Type="http://schemas.openxmlformats.org/officeDocument/2006/relationships/hyperlink" Target="https://www.itu.int/cities/year-in-review-2023/" TargetMode="External"/><Relationship Id="rId203" Type="http://schemas.openxmlformats.org/officeDocument/2006/relationships/hyperlink" Target="https://www.itu.int/myworkspace/" TargetMode="External"/><Relationship Id="rId385" Type="http://schemas.openxmlformats.org/officeDocument/2006/relationships/hyperlink" Target="http://www.itu.int/itu-t/workprog/wp_item.aspx?isn=17599" TargetMode="External"/><Relationship Id="rId245" Type="http://schemas.openxmlformats.org/officeDocument/2006/relationships/hyperlink" Target="http://www.itu.int/itu-t/workprog/wp_item.aspx?isn=18401" TargetMode="External"/><Relationship Id="rId287" Type="http://schemas.openxmlformats.org/officeDocument/2006/relationships/hyperlink" Target="http://www.itu.int/itu-t/workprog/wp_item.aspx?isn=17874" TargetMode="External"/><Relationship Id="rId410" Type="http://schemas.openxmlformats.org/officeDocument/2006/relationships/hyperlink" Target="http://www.itu.int/itu-t/workprog/wp_item.aspx?isn=18951" TargetMode="External"/><Relationship Id="rId452" Type="http://schemas.openxmlformats.org/officeDocument/2006/relationships/hyperlink" Target="http://www.itu.int/itu-t/workprog/wp_item.aspx?isn=18111" TargetMode="External"/><Relationship Id="rId494" Type="http://schemas.openxmlformats.org/officeDocument/2006/relationships/hyperlink" Target="http://www.itu.int/itu-t/workprog/wp_item.aspx?isn=19225" TargetMode="External"/><Relationship Id="rId508" Type="http://schemas.openxmlformats.org/officeDocument/2006/relationships/hyperlink" Target="http://www.itu.int/itu-t/workprog/wp_item.aspx?isn=17611" TargetMode="External"/><Relationship Id="rId105" Type="http://schemas.openxmlformats.org/officeDocument/2006/relationships/hyperlink" Target="http://www.itu.int/initiatives/green-digital-action-atcop28/wp-content/uploads/sites/4/2023/12/Call-to-Action-Pillar4-Green-standards.pdf" TargetMode="External"/><Relationship Id="rId147" Type="http://schemas.openxmlformats.org/officeDocument/2006/relationships/hyperlink" Target="https://www.itu.int/md/meetingdoc.asp?lang=en&amp;parent=T17-TSB-CIR-0368" TargetMode="External"/><Relationship Id="rId312" Type="http://schemas.openxmlformats.org/officeDocument/2006/relationships/hyperlink" Target="http://www.itu.int/itu-t/workprog/wp_item.aspx?isn=18676" TargetMode="External"/><Relationship Id="rId354" Type="http://schemas.openxmlformats.org/officeDocument/2006/relationships/hyperlink" Target="http://www.itu.int/itu-t/workprog/wp_item.aspx?isn=18553" TargetMode="External"/><Relationship Id="rId51" Type="http://schemas.openxmlformats.org/officeDocument/2006/relationships/hyperlink" Target="https://www.itu.int/en/ITU-T/focusgroups/tbfxg/Pages/default.aspx" TargetMode="External"/><Relationship Id="rId93" Type="http://schemas.openxmlformats.org/officeDocument/2006/relationships/hyperlink" Target="https://www.itu.int/cities/dt-resource-hub/" TargetMode="External"/><Relationship Id="rId189" Type="http://schemas.openxmlformats.org/officeDocument/2006/relationships/chart" Target="charts/chart4.xml"/><Relationship Id="rId396" Type="http://schemas.openxmlformats.org/officeDocument/2006/relationships/hyperlink" Target="http://www.itu.int/itu-t/workprog/wp_item.aspx?isn=17602" TargetMode="External"/><Relationship Id="rId214" Type="http://schemas.openxmlformats.org/officeDocument/2006/relationships/hyperlink" Target="https://www.itu.int/myworkspace/" TargetMode="External"/><Relationship Id="rId256" Type="http://schemas.openxmlformats.org/officeDocument/2006/relationships/hyperlink" Target="http://www.itu.int/itu-t/workprog/wp_item.aspx?isn=17712" TargetMode="External"/><Relationship Id="rId298" Type="http://schemas.openxmlformats.org/officeDocument/2006/relationships/hyperlink" Target="http://www.itu.int/itu-t/workprog/wp_item.aspx?isn=19054" TargetMode="External"/><Relationship Id="rId421" Type="http://schemas.openxmlformats.org/officeDocument/2006/relationships/hyperlink" Target="http://www.itu.int/itu-t/workprog/wp_item.aspx?isn=18472" TargetMode="External"/><Relationship Id="rId463" Type="http://schemas.openxmlformats.org/officeDocument/2006/relationships/hyperlink" Target="http://www.itu.int/itu-t/workprog/wp_item.aspx?isn=18631" TargetMode="External"/><Relationship Id="rId519" Type="http://schemas.openxmlformats.org/officeDocument/2006/relationships/hyperlink" Target="http://www.itu.int/itu-t/workprog/wp_item.aspx?isn=18496" TargetMode="External"/><Relationship Id="rId116" Type="http://schemas.openxmlformats.org/officeDocument/2006/relationships/hyperlink" Target="https://www.itu.int/en/ITU-T/extcoop/Pages/wsc.aspx" TargetMode="External"/><Relationship Id="rId158" Type="http://schemas.openxmlformats.org/officeDocument/2006/relationships/hyperlink" Target="https://www.itu.int/md/T22-SG11-230510-TD-GEN-0507/en" TargetMode="External"/><Relationship Id="rId323" Type="http://schemas.openxmlformats.org/officeDocument/2006/relationships/hyperlink" Target="http://www.itu.int/itu-t/workprog/wp_item.aspx?isn=18976" TargetMode="External"/><Relationship Id="rId530" Type="http://schemas.openxmlformats.org/officeDocument/2006/relationships/hyperlink" Target="http://www.itu.int/itu-t/workprog/wp_item.aspx?isn=18337" TargetMode="External"/><Relationship Id="rId20" Type="http://schemas.openxmlformats.org/officeDocument/2006/relationships/hyperlink" Target="https://u4ssc.itu.int/latest-meetings/7th-meeting/" TargetMode="External"/><Relationship Id="rId62" Type="http://schemas.openxmlformats.org/officeDocument/2006/relationships/hyperlink" Target="https://aiforgood.itu.int/" TargetMode="External"/><Relationship Id="rId365" Type="http://schemas.openxmlformats.org/officeDocument/2006/relationships/hyperlink" Target="http://www.itu.int/itu-t/workprog/wp_item.aspx?isn=17522" TargetMode="External"/><Relationship Id="rId225" Type="http://schemas.openxmlformats.org/officeDocument/2006/relationships/hyperlink" Target="https://www.itu.int/itu-t/landscape" TargetMode="External"/><Relationship Id="rId267" Type="http://schemas.openxmlformats.org/officeDocument/2006/relationships/hyperlink" Target="http://www.itu.int/itu-t/workprog/wp_item.aspx?isn=18865" TargetMode="External"/><Relationship Id="rId432" Type="http://schemas.openxmlformats.org/officeDocument/2006/relationships/hyperlink" Target="http://www.itu.int/itu-t/workprog/wp_item.aspx?isn=18456" TargetMode="External"/><Relationship Id="rId474" Type="http://schemas.openxmlformats.org/officeDocument/2006/relationships/hyperlink" Target="http://www.itu.int/itu-t/workprog/wp_item.aspx?isn=18887" TargetMode="External"/><Relationship Id="rId127" Type="http://schemas.openxmlformats.org/officeDocument/2006/relationships/hyperlink" Target="https://collaborate.iec.ch/" TargetMode="External"/><Relationship Id="rId31" Type="http://schemas.openxmlformats.org/officeDocument/2006/relationships/hyperlink" Target="https://www.itu.int/en/journal/j-fet/webinars/Pages/default.aspx" TargetMode="External"/><Relationship Id="rId73" Type="http://schemas.openxmlformats.org/officeDocument/2006/relationships/hyperlink" Target="https://www.itu.int/en/ITU-T/focusgroups/ai4h/Pages/default.aspx" TargetMode="External"/><Relationship Id="rId169" Type="http://schemas.openxmlformats.org/officeDocument/2006/relationships/hyperlink" Target="https://www.itu.int/en/ITU-T/regional-groups/Pages/default.aspx" TargetMode="External"/><Relationship Id="rId334" Type="http://schemas.openxmlformats.org/officeDocument/2006/relationships/hyperlink" Target="http://www.itu.int/itu-t/workprog/wp_item.aspx?isn=18432" TargetMode="External"/><Relationship Id="rId376" Type="http://schemas.openxmlformats.org/officeDocument/2006/relationships/hyperlink" Target="http://www.itu.int/itu-t/workprog/wp_item.aspx?isn=17531" TargetMode="External"/><Relationship Id="rId541" Type="http://schemas.openxmlformats.org/officeDocument/2006/relationships/hyperlink" Target="http://www.itu.int/itu-t/workprog/wp_item.aspx?isn=17944" TargetMode="External"/><Relationship Id="rId4" Type="http://schemas.openxmlformats.org/officeDocument/2006/relationships/customXml" Target="../customXml/item4.xml"/><Relationship Id="rId180" Type="http://schemas.openxmlformats.org/officeDocument/2006/relationships/hyperlink" Target="https://www.itu.int/md/T22-TSAG-240122-TD-GEN-0423/en" TargetMode="External"/><Relationship Id="rId236" Type="http://schemas.openxmlformats.org/officeDocument/2006/relationships/hyperlink" Target="https://www.itu.int/itu-t/nnp/" TargetMode="External"/><Relationship Id="rId278" Type="http://schemas.openxmlformats.org/officeDocument/2006/relationships/hyperlink" Target="http://www.itu.int/itu-t/workprog/wp_item.aspx?isn=18709" TargetMode="External"/><Relationship Id="rId401" Type="http://schemas.openxmlformats.org/officeDocument/2006/relationships/hyperlink" Target="http://www.itu.int/itu-t/workprog/wp_item.aspx?isn=18016" TargetMode="External"/><Relationship Id="rId443" Type="http://schemas.openxmlformats.org/officeDocument/2006/relationships/hyperlink" Target="http://www.itu.int/itu-t/workprog/wp_item.aspx?isn=17688" TargetMode="External"/><Relationship Id="rId303" Type="http://schemas.openxmlformats.org/officeDocument/2006/relationships/hyperlink" Target="http://www.itu.int/itu-t/workprog/wp_item.aspx?isn=18083" TargetMode="External"/><Relationship Id="rId485" Type="http://schemas.openxmlformats.org/officeDocument/2006/relationships/hyperlink" Target="http://www.itu.int/itu-t/workprog/wp_item.aspx?isn=18891" TargetMode="External"/><Relationship Id="rId42" Type="http://schemas.openxmlformats.org/officeDocument/2006/relationships/hyperlink" Target="https://www.itu.int/go/tsg12" TargetMode="External"/><Relationship Id="rId84" Type="http://schemas.openxmlformats.org/officeDocument/2006/relationships/hyperlink" Target="https://www.itu.int/cities/standards4dt/" TargetMode="External"/><Relationship Id="rId138" Type="http://schemas.openxmlformats.org/officeDocument/2006/relationships/hyperlink" Target="https://www.itu.int/en/ITU-T/wsis/Pages/default.aspx" TargetMode="External"/><Relationship Id="rId345" Type="http://schemas.openxmlformats.org/officeDocument/2006/relationships/hyperlink" Target="http://www.itu.int/itu-t/workprog/wp_item.aspx?isn=18221" TargetMode="External"/><Relationship Id="rId387" Type="http://schemas.openxmlformats.org/officeDocument/2006/relationships/hyperlink" Target="http://www.itu.int/itu-t/workprog/wp_item.aspx?isn=17607" TargetMode="External"/><Relationship Id="rId510" Type="http://schemas.openxmlformats.org/officeDocument/2006/relationships/hyperlink" Target="http://www.itu.int/itu-t/workprog/wp_item.aspx?isn=18498" TargetMode="External"/><Relationship Id="rId552" Type="http://schemas.openxmlformats.org/officeDocument/2006/relationships/fontTable" Target="fontTable.xml"/><Relationship Id="rId191" Type="http://schemas.openxmlformats.org/officeDocument/2006/relationships/chart" Target="charts/chart6.xml"/><Relationship Id="rId205" Type="http://schemas.openxmlformats.org/officeDocument/2006/relationships/hyperlink" Target="https://www.itu.int/myworkspace/" TargetMode="External"/><Relationship Id="rId247" Type="http://schemas.openxmlformats.org/officeDocument/2006/relationships/hyperlink" Target="http://www.itu.int/itu-t/workprog/wp_item.aspx?isn=18547" TargetMode="External"/><Relationship Id="rId412" Type="http://schemas.openxmlformats.org/officeDocument/2006/relationships/hyperlink" Target="http://www.itu.int/itu-t/workprog/wp_item.aspx?isn=18954" TargetMode="External"/><Relationship Id="rId107" Type="http://schemas.openxmlformats.org/officeDocument/2006/relationships/hyperlink" Target="https://aiforgood.itu.int/about-ai-for-good/innovation-factory/" TargetMode="External"/><Relationship Id="rId289" Type="http://schemas.openxmlformats.org/officeDocument/2006/relationships/hyperlink" Target="http://www.itu.int/itu-t/workprog/wp_item.aspx?isn=17839" TargetMode="External"/><Relationship Id="rId454" Type="http://schemas.openxmlformats.org/officeDocument/2006/relationships/hyperlink" Target="http://www.itu.int/itu-t/workprog/wp_item.aspx?isn=18292" TargetMode="External"/><Relationship Id="rId496" Type="http://schemas.openxmlformats.org/officeDocument/2006/relationships/hyperlink" Target="http://www.itu.int/itu-t/workprog/wp_item.aspx?isn=19227" TargetMode="External"/><Relationship Id="rId11" Type="http://schemas.openxmlformats.org/officeDocument/2006/relationships/image" Target="media/image1.png"/><Relationship Id="rId53" Type="http://schemas.openxmlformats.org/officeDocument/2006/relationships/hyperlink" Target="https://www.itu.int/en/ITU-T/focusgroups/ai4ndm/Pages/default.aspx" TargetMode="External"/><Relationship Id="rId149" Type="http://schemas.openxmlformats.org/officeDocument/2006/relationships/hyperlink" Target="http://www.itu.int/net/itu-t/cdb/ConformityDB.aspx" TargetMode="External"/><Relationship Id="rId314" Type="http://schemas.openxmlformats.org/officeDocument/2006/relationships/hyperlink" Target="http://www.itu.int/itu-t/workprog/wp_item.aspx?isn=18101" TargetMode="External"/><Relationship Id="rId356" Type="http://schemas.openxmlformats.org/officeDocument/2006/relationships/hyperlink" Target="http://www.itu.int/itu-t/workprog/wp_item.aspx?isn=18836" TargetMode="External"/><Relationship Id="rId398" Type="http://schemas.openxmlformats.org/officeDocument/2006/relationships/hyperlink" Target="http://www.itu.int/itu-t/workprog/wp_item.aspx?isn=17998" TargetMode="External"/><Relationship Id="rId521" Type="http://schemas.openxmlformats.org/officeDocument/2006/relationships/hyperlink" Target="http://www.itu.int/itu-t/workprog/wp_item.aspx?isn=18036" TargetMode="External"/><Relationship Id="rId95" Type="http://schemas.openxmlformats.org/officeDocument/2006/relationships/hyperlink" Target="https://www.itu.int/en/ITU-T/extcoop/cits/Pages/default.aspx" TargetMode="External"/><Relationship Id="rId160" Type="http://schemas.openxmlformats.org/officeDocument/2006/relationships/hyperlink" Target="https://www.itu.int/en/action/accessibility/Pages/hlmdd2013.aspx" TargetMode="External"/><Relationship Id="rId216" Type="http://schemas.openxmlformats.org/officeDocument/2006/relationships/hyperlink" Target="http://tsbcloud.itu.int" TargetMode="External"/><Relationship Id="rId423" Type="http://schemas.openxmlformats.org/officeDocument/2006/relationships/hyperlink" Target="http://www.itu.int/itu-t/workprog/wp_item.aspx?isn=18477" TargetMode="External"/><Relationship Id="rId258" Type="http://schemas.openxmlformats.org/officeDocument/2006/relationships/hyperlink" Target="http://www.itu.int/itu-t/workprog/wp_item.aspx?isn=18962" TargetMode="External"/><Relationship Id="rId465" Type="http://schemas.openxmlformats.org/officeDocument/2006/relationships/hyperlink" Target="http://www.itu.int/itu-t/workprog/wp_item.aspx?isn=18590" TargetMode="External"/><Relationship Id="rId22" Type="http://schemas.openxmlformats.org/officeDocument/2006/relationships/hyperlink" Target="https://fnc.itu.int/" TargetMode="External"/><Relationship Id="rId64" Type="http://schemas.openxmlformats.org/officeDocument/2006/relationships/hyperlink" Target="https://www.itu.int/en/itu-wsis/Pages/default.aspx" TargetMode="External"/><Relationship Id="rId118" Type="http://schemas.openxmlformats.org/officeDocument/2006/relationships/hyperlink" Target="https://www.worldstandardscooperation.org/what-we-do/world-standards-day/" TargetMode="External"/><Relationship Id="rId325" Type="http://schemas.openxmlformats.org/officeDocument/2006/relationships/hyperlink" Target="http://www.itu.int/itu-t/workprog/wp_item.aspx?isn=18978" TargetMode="External"/><Relationship Id="rId367" Type="http://schemas.openxmlformats.org/officeDocument/2006/relationships/hyperlink" Target="http://www.itu.int/itu-t/workprog/wp_item.aspx?isn=17650" TargetMode="External"/><Relationship Id="rId532" Type="http://schemas.openxmlformats.org/officeDocument/2006/relationships/hyperlink" Target="http://www.itu.int/itu-t/workprog/wp_item.aspx?isn=17427" TargetMode="External"/><Relationship Id="rId171" Type="http://schemas.openxmlformats.org/officeDocument/2006/relationships/hyperlink" Target="https://www.itu.int/en/ITU-T/gap/Documents/nss-rep-may.pdf" TargetMode="External"/><Relationship Id="rId227" Type="http://schemas.openxmlformats.org/officeDocument/2006/relationships/hyperlink" Target="https://www.itu.int/itu-t/landscape/?topic=tx378" TargetMode="External"/><Relationship Id="rId269" Type="http://schemas.openxmlformats.org/officeDocument/2006/relationships/hyperlink" Target="http://www.itu.int/itu-t/workprog/wp_item.aspx?isn=18897" TargetMode="External"/><Relationship Id="rId434" Type="http://schemas.openxmlformats.org/officeDocument/2006/relationships/hyperlink" Target="http://www.itu.int/itu-t/workprog/wp_item.aspx?isn=18780" TargetMode="External"/><Relationship Id="rId476" Type="http://schemas.openxmlformats.org/officeDocument/2006/relationships/hyperlink" Target="http://www.itu.int/itu-t/workprog/wp_item.aspx?isn=18308" TargetMode="External"/><Relationship Id="rId33" Type="http://schemas.openxmlformats.org/officeDocument/2006/relationships/hyperlink" Target="https://www.itu.int/en/ITU-T/studygroups/com11/casc/Pages/default.aspx" TargetMode="External"/><Relationship Id="rId129" Type="http://schemas.openxmlformats.org/officeDocument/2006/relationships/hyperlink" Target="https://www.itu.int/en/irg/avqa" TargetMode="External"/><Relationship Id="rId280" Type="http://schemas.openxmlformats.org/officeDocument/2006/relationships/hyperlink" Target="http://www.itu.int/itu-t/workprog/wp_item.aspx?isn=17870" TargetMode="External"/><Relationship Id="rId336" Type="http://schemas.openxmlformats.org/officeDocument/2006/relationships/hyperlink" Target="http://www.itu.int/itu-t/workprog/wp_item.aspx?isn=18124" TargetMode="External"/><Relationship Id="rId501" Type="http://schemas.openxmlformats.org/officeDocument/2006/relationships/hyperlink" Target="http://www.itu.int/itu-t/workprog/wp_item.aspx?isn=17619" TargetMode="External"/><Relationship Id="rId543" Type="http://schemas.openxmlformats.org/officeDocument/2006/relationships/hyperlink" Target="http://www.itu.int/itu-t/workprog/wp_item.aspx?isn=17919" TargetMode="External"/><Relationship Id="rId75" Type="http://schemas.openxmlformats.org/officeDocument/2006/relationships/hyperlink" Target="https://www.itu.int/en/ITU-T/dfs/Pages/default.aspx" TargetMode="External"/><Relationship Id="rId140" Type="http://schemas.openxmlformats.org/officeDocument/2006/relationships/hyperlink" Target="https://www.itu.int/ITU-T/workprog/wp_item.aspx?isn=17089" TargetMode="External"/><Relationship Id="rId182" Type="http://schemas.openxmlformats.org/officeDocument/2006/relationships/hyperlink" Target="mailto:nowinitut@lists.itu.int" TargetMode="External"/><Relationship Id="rId378" Type="http://schemas.openxmlformats.org/officeDocument/2006/relationships/hyperlink" Target="http://www.itu.int/itu-t/workprog/wp_item.aspx?isn=18613" TargetMode="External"/><Relationship Id="rId403" Type="http://schemas.openxmlformats.org/officeDocument/2006/relationships/hyperlink" Target="http://www.itu.int/itu-t/workprog/wp_item.aspx?isn=18500" TargetMode="External"/><Relationship Id="rId6" Type="http://schemas.openxmlformats.org/officeDocument/2006/relationships/styles" Target="styles.xml"/><Relationship Id="rId238" Type="http://schemas.openxmlformats.org/officeDocument/2006/relationships/hyperlink" Target="https://www.itu.int/en/ITU-T/inr/unum/Pages/default.aspx" TargetMode="External"/><Relationship Id="rId445" Type="http://schemas.openxmlformats.org/officeDocument/2006/relationships/hyperlink" Target="http://www.itu.int/itu-t/workprog/wp_item.aspx?isn=18390" TargetMode="External"/><Relationship Id="rId487" Type="http://schemas.openxmlformats.org/officeDocument/2006/relationships/hyperlink" Target="http://www.itu.int/itu-t/workprog/wp_item.aspx?isn=18623" TargetMode="External"/><Relationship Id="rId291" Type="http://schemas.openxmlformats.org/officeDocument/2006/relationships/hyperlink" Target="http://www.itu.int/itu-t/workprog/wp_item.aspx?isn=18481" TargetMode="External"/><Relationship Id="rId305" Type="http://schemas.openxmlformats.org/officeDocument/2006/relationships/hyperlink" Target="http://www.itu.int/itu-t/workprog/wp_item.aspx?isn=18049" TargetMode="External"/><Relationship Id="rId347" Type="http://schemas.openxmlformats.org/officeDocument/2006/relationships/hyperlink" Target="http://www.itu.int/itu-t/workprog/wp_item.aspx?isn=18589" TargetMode="External"/><Relationship Id="rId512" Type="http://schemas.openxmlformats.org/officeDocument/2006/relationships/hyperlink" Target="http://www.itu.int/itu-t/workprog/wp_item.aspx?isn=17486" TargetMode="External"/><Relationship Id="rId44" Type="http://schemas.openxmlformats.org/officeDocument/2006/relationships/hyperlink" Target="https://www.itu.int/en/ITU-T/studygroups/2022-2024/16/Pages/default.aspx" TargetMode="External"/><Relationship Id="rId86" Type="http://schemas.openxmlformats.org/officeDocument/2006/relationships/hyperlink" Target="http://www.itu.int/en/ITU-T/ssc/united/Pages/default.aspx" TargetMode="External"/><Relationship Id="rId151" Type="http://schemas.openxmlformats.org/officeDocument/2006/relationships/hyperlink" Target="https://www.itu.int/en/ITU-T/extcoop/Documents/mou/MoU-ITU-T-IAF-ILAC-20220824.pdf" TargetMode="External"/><Relationship Id="rId389" Type="http://schemas.openxmlformats.org/officeDocument/2006/relationships/hyperlink" Target="http://www.itu.int/itu-t/workprog/wp_item.aspx?isn=17517" TargetMode="External"/><Relationship Id="rId554" Type="http://schemas.openxmlformats.org/officeDocument/2006/relationships/theme" Target="theme/theme1.xml"/><Relationship Id="rId193" Type="http://schemas.openxmlformats.org/officeDocument/2006/relationships/hyperlink" Target="https://www.itu.int/br_tsb_terms/" TargetMode="External"/><Relationship Id="rId207" Type="http://schemas.openxmlformats.org/officeDocument/2006/relationships/hyperlink" Target="https://www.itu.int/myworkspace/" TargetMode="External"/><Relationship Id="rId249" Type="http://schemas.openxmlformats.org/officeDocument/2006/relationships/hyperlink" Target="http://www.itu.int/itu-t/workprog/wp_item.aspx?isn=18411" TargetMode="External"/><Relationship Id="rId414" Type="http://schemas.openxmlformats.org/officeDocument/2006/relationships/hyperlink" Target="http://www.itu.int/itu-t/workprog/wp_item.aspx?isn=18345" TargetMode="External"/><Relationship Id="rId456" Type="http://schemas.openxmlformats.org/officeDocument/2006/relationships/hyperlink" Target="http://www.itu.int/itu-t/workprog/wp_item.aspx?isn=18295" TargetMode="External"/><Relationship Id="rId498" Type="http://schemas.openxmlformats.org/officeDocument/2006/relationships/hyperlink" Target="http://www.itu.int/itu-t/workprog/wp_item.aspx?isn=18264"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journal/j-fet/Pages/default.aspx" TargetMode="External"/><Relationship Id="rId260" Type="http://schemas.openxmlformats.org/officeDocument/2006/relationships/hyperlink" Target="http://www.itu.int/itu-t/workprog/wp_item.aspx?isn=18515" TargetMode="External"/><Relationship Id="rId316" Type="http://schemas.openxmlformats.org/officeDocument/2006/relationships/hyperlink" Target="http://www.itu.int/itu-t/workprog/wp_item.aspx?isn=18065" TargetMode="External"/><Relationship Id="rId523" Type="http://schemas.openxmlformats.org/officeDocument/2006/relationships/hyperlink" Target="http://www.itu.int/itu-t/workprog/wp_item.aspx?isn=19045" TargetMode="External"/><Relationship Id="rId55" Type="http://schemas.openxmlformats.org/officeDocument/2006/relationships/hyperlink" Target="https://www.itu.int/en/ITU-T/focusgroups/ai4h/Pages/default.aspx" TargetMode="External"/><Relationship Id="rId97" Type="http://schemas.openxmlformats.org/officeDocument/2006/relationships/hyperlink" Target="https://www.itu.int/net4/ITU-T/landscape" TargetMode="External"/><Relationship Id="rId120" Type="http://schemas.openxmlformats.org/officeDocument/2006/relationships/hyperlink" Target="https://www.worldstandardscooperation.org/" TargetMode="External"/><Relationship Id="rId358" Type="http://schemas.openxmlformats.org/officeDocument/2006/relationships/hyperlink" Target="http://www.itu.int/itu-t/workprog/wp_item.aspx?isn=18233" TargetMode="External"/><Relationship Id="rId162" Type="http://schemas.openxmlformats.org/officeDocument/2006/relationships/hyperlink" Target="http://www.itu.int/en/ITU-T/ipr/Pages/adhoc.aspx" TargetMode="External"/><Relationship Id="rId218" Type="http://schemas.openxmlformats.org/officeDocument/2006/relationships/hyperlink" Target="https://www.itu.int/en/ITU-T/ewm/Pages/sync-app.aspx" TargetMode="External"/><Relationship Id="rId425" Type="http://schemas.openxmlformats.org/officeDocument/2006/relationships/hyperlink" Target="http://www.itu.int/itu-t/workprog/wp_item.aspx?isn=18455" TargetMode="External"/><Relationship Id="rId467" Type="http://schemas.openxmlformats.org/officeDocument/2006/relationships/hyperlink" Target="http://www.itu.int/itu-t/workprog/wp_item.aspx?isn=18211" TargetMode="External"/><Relationship Id="rId271" Type="http://schemas.openxmlformats.org/officeDocument/2006/relationships/hyperlink" Target="http://www.itu.int/itu-t/workprog/wp_item.aspx?isn=18920" TargetMode="External"/><Relationship Id="rId24" Type="http://schemas.openxmlformats.org/officeDocument/2006/relationships/hyperlink" Target="https://www.itu.int/initiatives/green-digital-action-atcop28/" TargetMode="External"/><Relationship Id="rId66" Type="http://schemas.openxmlformats.org/officeDocument/2006/relationships/hyperlink" Target="https://aiforgood.itu.int/neural-network/" TargetMode="External"/><Relationship Id="rId131" Type="http://schemas.openxmlformats.org/officeDocument/2006/relationships/hyperlink" Target="https://www.itu.int/en/ITU-T/extcoop/Pages/mou.aspx" TargetMode="External"/><Relationship Id="rId327" Type="http://schemas.openxmlformats.org/officeDocument/2006/relationships/hyperlink" Target="http://www.itu.int/itu-t/workprog/wp_item.aspx?isn=18980" TargetMode="External"/><Relationship Id="rId369" Type="http://schemas.openxmlformats.org/officeDocument/2006/relationships/hyperlink" Target="http://www.itu.int/itu-t/workprog/wp_item.aspx?isn=17606" TargetMode="External"/><Relationship Id="rId534" Type="http://schemas.openxmlformats.org/officeDocument/2006/relationships/hyperlink" Target="http://www.itu.int/itu-t/workprog/wp_item.aspx?isn=17950" TargetMode="External"/><Relationship Id="rId173" Type="http://schemas.openxmlformats.org/officeDocument/2006/relationships/hyperlink" Target="https://www.itu.int/pub/T-TUT" TargetMode="External"/><Relationship Id="rId229" Type="http://schemas.openxmlformats.org/officeDocument/2006/relationships/hyperlink" Target="https://www.itu.int/itu-t/landscape/?topic=tx279" TargetMode="External"/><Relationship Id="rId380" Type="http://schemas.openxmlformats.org/officeDocument/2006/relationships/hyperlink" Target="http://www.itu.int/itu-t/workprog/wp_item.aspx?isn=17578" TargetMode="External"/><Relationship Id="rId436" Type="http://schemas.openxmlformats.org/officeDocument/2006/relationships/hyperlink" Target="http://www.itu.int/itu-t/workprog/wp_item.aspx?isn=17656" TargetMode="External"/><Relationship Id="rId240" Type="http://schemas.openxmlformats.org/officeDocument/2006/relationships/hyperlink" Target="https://www.itu.int/search" TargetMode="External"/><Relationship Id="rId478" Type="http://schemas.openxmlformats.org/officeDocument/2006/relationships/hyperlink" Target="http://www.itu.int/itu-t/workprog/wp_item.aspx?isn=18637" TargetMode="External"/><Relationship Id="rId35" Type="http://schemas.openxmlformats.org/officeDocument/2006/relationships/hyperlink" Target="https://www.itu.int/en/ITU-T/publications/Pages/recs.aspx" TargetMode="External"/><Relationship Id="rId77" Type="http://schemas.openxmlformats.org/officeDocument/2006/relationships/hyperlink" Target="https://figi.itu.int/" TargetMode="External"/><Relationship Id="rId100" Type="http://schemas.openxmlformats.org/officeDocument/2006/relationships/hyperlink" Target="https://www.itu.int/en/ITU-T/tsbdir/CxO/Pages/CxO-20231205.aspx" TargetMode="External"/><Relationship Id="rId282" Type="http://schemas.openxmlformats.org/officeDocument/2006/relationships/hyperlink" Target="http://www.itu.int/itu-t/workprog/wp_item.aspx?isn=18697" TargetMode="External"/><Relationship Id="rId338" Type="http://schemas.openxmlformats.org/officeDocument/2006/relationships/hyperlink" Target="http://www.itu.int/itu-t/workprog/wp_item.aspx?isn=18158" TargetMode="External"/><Relationship Id="rId503" Type="http://schemas.openxmlformats.org/officeDocument/2006/relationships/hyperlink" Target="http://www.itu.int/itu-t/workprog/wp_item.aspx?isn=17646" TargetMode="External"/><Relationship Id="rId545" Type="http://schemas.openxmlformats.org/officeDocument/2006/relationships/hyperlink" Target="http://www.itu.int/itu-t/workprog/wp_item.aspx?isn=18923" TargetMode="External"/><Relationship Id="rId8" Type="http://schemas.openxmlformats.org/officeDocument/2006/relationships/webSettings" Target="webSettings.xml"/><Relationship Id="rId142" Type="http://schemas.openxmlformats.org/officeDocument/2006/relationships/hyperlink" Target="https://www.itu.int/ITU-T/workprog/wp_item.aspx?isn=18961" TargetMode="External"/><Relationship Id="rId184" Type="http://schemas.openxmlformats.org/officeDocument/2006/relationships/hyperlink" Target="https://www.itu.int/en/ITU-T/NoW/events/20240123/Pages/default.aspx" TargetMode="External"/><Relationship Id="rId391" Type="http://schemas.openxmlformats.org/officeDocument/2006/relationships/hyperlink" Target="http://www.itu.int/itu-t/workprog/wp_item.aspx?isn=17591" TargetMode="External"/><Relationship Id="rId405" Type="http://schemas.openxmlformats.org/officeDocument/2006/relationships/hyperlink" Target="http://www.itu.int/itu-t/workprog/wp_item.aspx?isn=17995" TargetMode="External"/><Relationship Id="rId447" Type="http://schemas.openxmlformats.org/officeDocument/2006/relationships/hyperlink" Target="http://www.itu.int/itu-t/workprog/wp_item.aspx?isn=18901" TargetMode="External"/><Relationship Id="rId251" Type="http://schemas.openxmlformats.org/officeDocument/2006/relationships/hyperlink" Target="http://www.itu.int/itu-t/workprog/wp_item.aspx?isn=17709" TargetMode="External"/><Relationship Id="rId489" Type="http://schemas.openxmlformats.org/officeDocument/2006/relationships/hyperlink" Target="http://www.itu.int/itu-t/workprog/wp_item.aspx?isn=18855" TargetMode="External"/><Relationship Id="rId46" Type="http://schemas.openxmlformats.org/officeDocument/2006/relationships/hyperlink" Target="https://www.itu.int/go/tsg17" TargetMode="External"/><Relationship Id="rId293" Type="http://schemas.openxmlformats.org/officeDocument/2006/relationships/hyperlink" Target="http://www.itu.int/itu-t/workprog/wp_item.aspx?isn=18711" TargetMode="External"/><Relationship Id="rId307" Type="http://schemas.openxmlformats.org/officeDocument/2006/relationships/hyperlink" Target="http://www.itu.int/itu-t/workprog/wp_item.aspx?isn=18116" TargetMode="External"/><Relationship Id="rId349" Type="http://schemas.openxmlformats.org/officeDocument/2006/relationships/hyperlink" Target="http://www.itu.int/itu-t/workprog/wp_item.aspx?isn=18633" TargetMode="External"/><Relationship Id="rId514" Type="http://schemas.openxmlformats.org/officeDocument/2006/relationships/hyperlink" Target="http://www.itu.int/itu-t/workprog/wp_item.aspx?isn=17510"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s://www.itu.int/en/journal/j-fet/Pages/default.aspx" TargetMode="External"/><Relationship Id="rId153" Type="http://schemas.openxmlformats.org/officeDocument/2006/relationships/hyperlink" Target="https://www.itu.int/net/itu-t/cdb/secured/reg-tldb.aspx" TargetMode="External"/><Relationship Id="rId195" Type="http://schemas.openxmlformats.org/officeDocument/2006/relationships/hyperlink" Target="https://gss.itu.int" TargetMode="External"/><Relationship Id="rId209" Type="http://schemas.openxmlformats.org/officeDocument/2006/relationships/hyperlink" Target="https://www.itu.int/myworkspace/" TargetMode="External"/><Relationship Id="rId360" Type="http://schemas.openxmlformats.org/officeDocument/2006/relationships/hyperlink" Target="http://www.itu.int/itu-t/workprog/wp_item.aspx?isn=18592" TargetMode="External"/><Relationship Id="rId416" Type="http://schemas.openxmlformats.org/officeDocument/2006/relationships/hyperlink" Target="http://www.itu.int/itu-t/workprog/wp_item.aspx?isn=17992" TargetMode="External"/><Relationship Id="rId220" Type="http://schemas.openxmlformats.org/officeDocument/2006/relationships/hyperlink" Target="https://www.itu.int/net/ITU-T/info/faqs.aspx" TargetMode="External"/><Relationship Id="rId458" Type="http://schemas.openxmlformats.org/officeDocument/2006/relationships/hyperlink" Target="http://www.itu.int/itu-t/workprog/wp_item.aspx?isn=18873" TargetMode="External"/><Relationship Id="rId15" Type="http://schemas.openxmlformats.org/officeDocument/2006/relationships/hyperlink" Target="https://aiforgood.itu.int/eventcat/ai-ml-in-5g/" TargetMode="External"/><Relationship Id="rId57" Type="http://schemas.openxmlformats.org/officeDocument/2006/relationships/hyperlink" Target="https://www.itu.int/en/ITU-T/focusgroups/ai4ad/Pages/default.aspx" TargetMode="External"/><Relationship Id="rId262" Type="http://schemas.openxmlformats.org/officeDocument/2006/relationships/hyperlink" Target="http://www.itu.int/itu-t/workprog/wp_item.aspx?isn=18520" TargetMode="External"/><Relationship Id="rId318" Type="http://schemas.openxmlformats.org/officeDocument/2006/relationships/hyperlink" Target="http://www.itu.int/itu-t/workprog/wp_item.aspx?isn=18831" TargetMode="External"/><Relationship Id="rId525" Type="http://schemas.openxmlformats.org/officeDocument/2006/relationships/hyperlink" Target="http://www.itu.int/itu-t/workprog/wp_item.aspx?isn=18494" TargetMode="External"/><Relationship Id="rId99" Type="http://schemas.openxmlformats.org/officeDocument/2006/relationships/hyperlink" Target="http://www.itu.int/en/ITU-T/tsbdir/cto/Pages/default.aspx" TargetMode="External"/><Relationship Id="rId122" Type="http://schemas.openxmlformats.org/officeDocument/2006/relationships/hyperlink" Target="https://www.itu.int/md/T13-TSAG-140617-TD-GEN-0138/en" TargetMode="External"/><Relationship Id="rId164" Type="http://schemas.openxmlformats.org/officeDocument/2006/relationships/hyperlink" Target="http://www.itu.int/en/ITU-T/publications/Pages/recs.aspx" TargetMode="External"/><Relationship Id="rId371" Type="http://schemas.openxmlformats.org/officeDocument/2006/relationships/hyperlink" Target="http://www.itu.int/itu-t/workprog/wp_item.aspx?isn=17581" TargetMode="External"/><Relationship Id="rId427" Type="http://schemas.openxmlformats.org/officeDocument/2006/relationships/hyperlink" Target="http://www.itu.int/itu-t/workprog/wp_item.aspx?isn=17903" TargetMode="External"/><Relationship Id="rId469" Type="http://schemas.openxmlformats.org/officeDocument/2006/relationships/hyperlink" Target="http://www.itu.int/itu-t/workprog/wp_item.aspx?isn=18242" TargetMode="External"/><Relationship Id="rId26" Type="http://schemas.openxmlformats.org/officeDocument/2006/relationships/hyperlink" Target="http://www.itu.int/initiatives/green-digital-action-atcop28/wp-content/uploads/sites/4/2023/12/Call-to-Action-Pillar4-Green-standards.pdf" TargetMode="External"/><Relationship Id="rId231" Type="http://schemas.openxmlformats.org/officeDocument/2006/relationships/hyperlink" Target="https://www.itu.int/itu-t/landscape/?topic=tx21" TargetMode="External"/><Relationship Id="rId273" Type="http://schemas.openxmlformats.org/officeDocument/2006/relationships/hyperlink" Target="http://www.itu.int/itu-t/workprog/wp_item.aspx?isn=17845" TargetMode="External"/><Relationship Id="rId329" Type="http://schemas.openxmlformats.org/officeDocument/2006/relationships/hyperlink" Target="http://www.itu.int/itu-t/workprog/wp_item.aspx?isn=18164" TargetMode="External"/><Relationship Id="rId480" Type="http://schemas.openxmlformats.org/officeDocument/2006/relationships/hyperlink" Target="http://www.itu.int/itu-t/workprog/wp_item.aspx?isn=18883" TargetMode="External"/><Relationship Id="rId536" Type="http://schemas.openxmlformats.org/officeDocument/2006/relationships/hyperlink" Target="http://www.itu.int/itu-t/workprog/wp_item.aspx?isn=17947" TargetMode="External"/><Relationship Id="rId68" Type="http://schemas.openxmlformats.org/officeDocument/2006/relationships/hyperlink" Target="https://aiforgood.itu.int/eventcat/ai-ml-in-5g/" TargetMode="External"/><Relationship Id="rId133" Type="http://schemas.openxmlformats.org/officeDocument/2006/relationships/hyperlink" Target="https://www.itu.int/en/ITU-T/extcoop/dcgi/Pages/default.aspx" TargetMode="External"/><Relationship Id="rId175" Type="http://schemas.openxmlformats.org/officeDocument/2006/relationships/chart" Target="charts/chart3.xml"/><Relationship Id="rId340" Type="http://schemas.openxmlformats.org/officeDocument/2006/relationships/hyperlink" Target="http://www.itu.int/itu-t/workprog/wp_item.aspx?isn=18152" TargetMode="External"/><Relationship Id="rId200" Type="http://schemas.openxmlformats.org/officeDocument/2006/relationships/hyperlink" Target="http://itu.int/go/itu-t/rgm-guide" TargetMode="External"/><Relationship Id="rId382" Type="http://schemas.openxmlformats.org/officeDocument/2006/relationships/hyperlink" Target="http://www.itu.int/itu-t/workprog/wp_item.aspx?isn=17529" TargetMode="External"/><Relationship Id="rId438" Type="http://schemas.openxmlformats.org/officeDocument/2006/relationships/hyperlink" Target="http://www.itu.int/itu-t/workprog/wp_item.aspx?isn=18950" TargetMode="External"/><Relationship Id="rId242" Type="http://schemas.openxmlformats.org/officeDocument/2006/relationships/hyperlink" Target="http://www.itu.int/itu-t/workprog/wp_item.aspx?isn=18191" TargetMode="External"/><Relationship Id="rId284" Type="http://schemas.openxmlformats.org/officeDocument/2006/relationships/hyperlink" Target="http://www.itu.int/itu-t/workprog/wp_item.aspx?isn=17863" TargetMode="External"/><Relationship Id="rId491" Type="http://schemas.openxmlformats.org/officeDocument/2006/relationships/hyperlink" Target="http://www.itu.int/itu-t/workprog/wp_item.aspx?isn=18857" TargetMode="External"/><Relationship Id="rId505" Type="http://schemas.openxmlformats.org/officeDocument/2006/relationships/hyperlink" Target="http://www.itu.int/itu-t/workprog/wp_item.aspx?isn=17556" TargetMode="External"/><Relationship Id="rId37" Type="http://schemas.openxmlformats.org/officeDocument/2006/relationships/hyperlink" Target="https://www.itu.int/en/ITU-T/studygroups/2022-2024/02/Pages/default.aspx" TargetMode="External"/><Relationship Id="rId79" Type="http://schemas.openxmlformats.org/officeDocument/2006/relationships/hyperlink" Target="https://figi.itu.int/itu-dfs-security-clinics/" TargetMode="External"/><Relationship Id="rId102" Type="http://schemas.openxmlformats.org/officeDocument/2006/relationships/hyperlink" Target="https://www.itu.int/initiatives/green-digital-action-atcop28/" TargetMode="External"/><Relationship Id="rId144" Type="http://schemas.openxmlformats.org/officeDocument/2006/relationships/hyperlink" Target="https://www.itu.int/rec/T-REC-A.5" TargetMode="External"/><Relationship Id="rId547" Type="http://schemas.openxmlformats.org/officeDocument/2006/relationships/header" Target="header2.xml"/><Relationship Id="rId90" Type="http://schemas.openxmlformats.org/officeDocument/2006/relationships/hyperlink" Target="https://u4ssc.itu.int/u4ssc-management-team/" TargetMode="External"/><Relationship Id="rId186" Type="http://schemas.openxmlformats.org/officeDocument/2006/relationships/hyperlink" Target="https://unece.org/gender-responsive-standards-initiative" TargetMode="External"/><Relationship Id="rId351" Type="http://schemas.openxmlformats.org/officeDocument/2006/relationships/hyperlink" Target="http://www.itu.int/itu-t/workprog/wp_item.aspx?isn=18634" TargetMode="External"/><Relationship Id="rId393" Type="http://schemas.openxmlformats.org/officeDocument/2006/relationships/hyperlink" Target="http://www.itu.int/itu-t/workprog/wp_item.aspx?isn=18692" TargetMode="External"/><Relationship Id="rId407" Type="http://schemas.openxmlformats.org/officeDocument/2006/relationships/hyperlink" Target="http://www.itu.int/itu-t/workprog/wp_item.aspx?isn=17979" TargetMode="External"/><Relationship Id="rId449" Type="http://schemas.openxmlformats.org/officeDocument/2006/relationships/hyperlink" Target="http://www.itu.int/itu-t/workprog/wp_item.aspx?isn=18508" TargetMode="External"/><Relationship Id="rId211" Type="http://schemas.openxmlformats.org/officeDocument/2006/relationships/hyperlink" Target="https://www.itu.int/myworkspace/" TargetMode="External"/><Relationship Id="rId253" Type="http://schemas.openxmlformats.org/officeDocument/2006/relationships/hyperlink" Target="http://www.itu.int/itu-t/workprog/wp_item.aspx?isn=17667" TargetMode="External"/><Relationship Id="rId295" Type="http://schemas.openxmlformats.org/officeDocument/2006/relationships/hyperlink" Target="http://www.itu.int/itu-t/workprog/wp_item.aspx?isn=17786" TargetMode="External"/><Relationship Id="rId309" Type="http://schemas.openxmlformats.org/officeDocument/2006/relationships/hyperlink" Target="http://www.itu.int/itu-t/workprog/wp_item.aspx?isn=18084" TargetMode="External"/><Relationship Id="rId460" Type="http://schemas.openxmlformats.org/officeDocument/2006/relationships/hyperlink" Target="http://www.itu.int/itu-t/workprog/wp_item.aspx?isn=18871" TargetMode="External"/><Relationship Id="rId516" Type="http://schemas.openxmlformats.org/officeDocument/2006/relationships/hyperlink" Target="http://www.itu.int/itu-t/workprog/wp_item.aspx?isn=18691" TargetMode="External"/><Relationship Id="rId48" Type="http://schemas.openxmlformats.org/officeDocument/2006/relationships/hyperlink" Target="https://www.itu.int/en/ITU-T/focusgroups/Pages/default.aspx" TargetMode="External"/><Relationship Id="rId113" Type="http://schemas.openxmlformats.org/officeDocument/2006/relationships/hyperlink" Target="https://www.itu.int/en/ITU-T/academia/kaleidoscope/Pages/default.aspx" TargetMode="External"/><Relationship Id="rId320" Type="http://schemas.openxmlformats.org/officeDocument/2006/relationships/hyperlink" Target="http://www.itu.int/itu-t/workprog/wp_item.aspx?isn=18431" TargetMode="External"/><Relationship Id="rId155" Type="http://schemas.openxmlformats.org/officeDocument/2006/relationships/hyperlink" Target="https://www.itu.int/en/ITU-T/studygroups/com11/casc/Pages/default.aspx" TargetMode="External"/><Relationship Id="rId197" Type="http://schemas.openxmlformats.org/officeDocument/2006/relationships/hyperlink" Target="https://www.itu.int/wtsa/2024/irm/" TargetMode="External"/><Relationship Id="rId362" Type="http://schemas.openxmlformats.org/officeDocument/2006/relationships/hyperlink" Target="http://www.itu.int/itu-t/workprog/wp_item.aspx?isn=18837" TargetMode="External"/><Relationship Id="rId418" Type="http://schemas.openxmlformats.org/officeDocument/2006/relationships/hyperlink" Target="http://www.itu.int/itu-t/workprog/wp_item.aspx?isn=18471" TargetMode="External"/><Relationship Id="rId222" Type="http://schemas.openxmlformats.org/officeDocument/2006/relationships/hyperlink" Target="https://www.itu.int/itu-t/workprog/" TargetMode="External"/><Relationship Id="rId264" Type="http://schemas.openxmlformats.org/officeDocument/2006/relationships/hyperlink" Target="http://www.itu.int/itu-t/workprog/wp_item.aspx?isn=18514" TargetMode="External"/><Relationship Id="rId471" Type="http://schemas.openxmlformats.org/officeDocument/2006/relationships/hyperlink" Target="http://www.itu.int/itu-t/workprog/wp_item.aspx?isn=18212" TargetMode="External"/><Relationship Id="rId17" Type="http://schemas.openxmlformats.org/officeDocument/2006/relationships/hyperlink" Target="https://figi.itu.int/itu-dfs-security-clinics/" TargetMode="External"/><Relationship Id="rId59" Type="http://schemas.openxmlformats.org/officeDocument/2006/relationships/hyperlink" Target="https://aiforgood.itu.int/" TargetMode="External"/><Relationship Id="rId124" Type="http://schemas.openxmlformats.org/officeDocument/2006/relationships/hyperlink" Target="https://www.worldstandardscooperation.org/what-we-do/standards-programme-coordination-group-spcg/" TargetMode="External"/><Relationship Id="rId527" Type="http://schemas.openxmlformats.org/officeDocument/2006/relationships/hyperlink" Target="http://www.itu.int/itu-t/workprog/wp_item.aspx?isn=19100" TargetMode="External"/><Relationship Id="rId70" Type="http://schemas.openxmlformats.org/officeDocument/2006/relationships/hyperlink" Target="https://www.itu.int/en/journal/j-fet/Pages/default.aspx" TargetMode="External"/><Relationship Id="rId166" Type="http://schemas.openxmlformats.org/officeDocument/2006/relationships/hyperlink" Target="https://www.itu.int/net4/ipr/search.aspx" TargetMode="External"/><Relationship Id="rId331" Type="http://schemas.openxmlformats.org/officeDocument/2006/relationships/hyperlink" Target="http://www.itu.int/itu-t/workprog/wp_item.aspx?isn=18157" TargetMode="External"/><Relationship Id="rId373" Type="http://schemas.openxmlformats.org/officeDocument/2006/relationships/hyperlink" Target="http://www.itu.int/itu-t/workprog/wp_item.aspx?isn=17481" TargetMode="External"/><Relationship Id="rId429" Type="http://schemas.openxmlformats.org/officeDocument/2006/relationships/hyperlink" Target="http://www.itu.int/itu-t/workprog/wp_item.aspx?isn=17901" TargetMode="External"/><Relationship Id="rId1" Type="http://schemas.openxmlformats.org/officeDocument/2006/relationships/customXml" Target="../customXml/item1.xml"/><Relationship Id="rId233" Type="http://schemas.openxmlformats.org/officeDocument/2006/relationships/hyperlink" Target="https://www.itu.int/net4/ipr/search.aspx" TargetMode="External"/><Relationship Id="rId440" Type="http://schemas.openxmlformats.org/officeDocument/2006/relationships/hyperlink" Target="http://www.itu.int/itu-t/workprog/wp_item.aspx?isn=19183" TargetMode="External"/><Relationship Id="rId28" Type="http://schemas.openxmlformats.org/officeDocument/2006/relationships/hyperlink" Target="https://www.itu.int/hub/membership/" TargetMode="External"/><Relationship Id="rId275" Type="http://schemas.openxmlformats.org/officeDocument/2006/relationships/hyperlink" Target="http://www.itu.int/itu-t/workprog/wp_item.aspx?isn=17853" TargetMode="External"/><Relationship Id="rId300" Type="http://schemas.openxmlformats.org/officeDocument/2006/relationships/hyperlink" Target="http://www.itu.int/itu-t/workprog/wp_item.aspx?isn=17808" TargetMode="External"/><Relationship Id="rId482" Type="http://schemas.openxmlformats.org/officeDocument/2006/relationships/hyperlink" Target="http://www.itu.int/itu-t/workprog/wp_item.aspx?isn=18876" TargetMode="External"/><Relationship Id="rId538" Type="http://schemas.openxmlformats.org/officeDocument/2006/relationships/hyperlink" Target="http://www.itu.int/itu-t/workprog/wp_item.aspx?isn=17921" TargetMode="External"/><Relationship Id="rId81" Type="http://schemas.openxmlformats.org/officeDocument/2006/relationships/hyperlink" Target="https://www.itu.int/en/ITU-T/dfs/Documents/ITU%20Cyber%20Security%20Resilience%20Assessment%20toolkit%20for%20DFS%20Critical%20Infrastructure.pdf" TargetMode="External"/><Relationship Id="rId135" Type="http://schemas.openxmlformats.org/officeDocument/2006/relationships/hyperlink" Target="https://www.itu.int/en/ITU-T/extcoop/FIGIresources/authentication/Pages/default.aspx" TargetMode="External"/><Relationship Id="rId177" Type="http://schemas.openxmlformats.org/officeDocument/2006/relationships/hyperlink" Target="https://www.itu.int/md/T22-TSAG-230530-TD-GEN-0196/en" TargetMode="External"/><Relationship Id="rId342" Type="http://schemas.openxmlformats.org/officeDocument/2006/relationships/hyperlink" Target="http://www.itu.int/itu-t/workprog/wp_item.aspx?isn=18142" TargetMode="External"/><Relationship Id="rId384" Type="http://schemas.openxmlformats.org/officeDocument/2006/relationships/hyperlink" Target="http://www.itu.int/itu-t/workprog/wp_item.aspx?isn=17536" TargetMode="External"/><Relationship Id="rId202" Type="http://schemas.openxmlformats.org/officeDocument/2006/relationships/hyperlink" Target="https://extranet.itu.int/ITU-T/support/" TargetMode="External"/><Relationship Id="rId244" Type="http://schemas.openxmlformats.org/officeDocument/2006/relationships/hyperlink" Target="http://www.itu.int/itu-t/workprog/wp_item.aspx?isn=18396" TargetMode="External"/><Relationship Id="rId39" Type="http://schemas.openxmlformats.org/officeDocument/2006/relationships/hyperlink" Target="https://www.itu.int/go/tsg5" TargetMode="External"/><Relationship Id="rId286" Type="http://schemas.openxmlformats.org/officeDocument/2006/relationships/hyperlink" Target="http://www.itu.int/itu-t/workprog/wp_item.aspx?isn=17875" TargetMode="External"/><Relationship Id="rId451" Type="http://schemas.openxmlformats.org/officeDocument/2006/relationships/hyperlink" Target="http://www.itu.int/itu-t/workprog/wp_item.aspx?isn=18055" TargetMode="External"/><Relationship Id="rId493" Type="http://schemas.openxmlformats.org/officeDocument/2006/relationships/hyperlink" Target="http://www.itu.int/itu-t/workprog/wp_item.aspx?isn=18256" TargetMode="External"/><Relationship Id="rId507" Type="http://schemas.openxmlformats.org/officeDocument/2006/relationships/hyperlink" Target="http://www.itu.int/itu-t/workprog/wp_item.aspx?isn=17610" TargetMode="External"/><Relationship Id="rId549" Type="http://schemas.openxmlformats.org/officeDocument/2006/relationships/footer" Target="footer2.xml"/><Relationship Id="rId50" Type="http://schemas.openxmlformats.org/officeDocument/2006/relationships/hyperlink" Target="https://www.itu.int/en/ITU-T/focusgroups/mv/Pages/default.aspx" TargetMode="External"/><Relationship Id="rId104" Type="http://schemas.openxmlformats.org/officeDocument/2006/relationships/hyperlink" Target="https://www.worldstandardscooperation.org/" TargetMode="External"/><Relationship Id="rId146" Type="http://schemas.openxmlformats.org/officeDocument/2006/relationships/hyperlink" Target="https://www.itu.int/en/ITU-T/C-I/Pages/default.aspx" TargetMode="External"/><Relationship Id="rId188" Type="http://schemas.openxmlformats.org/officeDocument/2006/relationships/hyperlink" Target="mailto:wise@itu.int" TargetMode="External"/><Relationship Id="rId311" Type="http://schemas.openxmlformats.org/officeDocument/2006/relationships/hyperlink" Target="http://www.itu.int/itu-t/workprog/wp_item.aspx?isn=18147" TargetMode="External"/><Relationship Id="rId353" Type="http://schemas.openxmlformats.org/officeDocument/2006/relationships/hyperlink" Target="http://www.itu.int/itu-t/workprog/wp_item.aspx?isn=18835" TargetMode="External"/><Relationship Id="rId395" Type="http://schemas.openxmlformats.org/officeDocument/2006/relationships/hyperlink" Target="http://www.itu.int/itu-t/workprog/wp_item.aspx?isn=18689" TargetMode="External"/><Relationship Id="rId409" Type="http://schemas.openxmlformats.org/officeDocument/2006/relationships/hyperlink" Target="http://www.itu.int/itu-t/workprog/wp_item.aspx?isn=18776" TargetMode="External"/><Relationship Id="rId92" Type="http://schemas.openxmlformats.org/officeDocument/2006/relationships/hyperlink" Target="https://toolkit-dt4c.itu.int/" TargetMode="External"/><Relationship Id="rId213" Type="http://schemas.openxmlformats.org/officeDocument/2006/relationships/hyperlink" Target="https://www.itu.int/myworkspace/" TargetMode="External"/><Relationship Id="rId420" Type="http://schemas.openxmlformats.org/officeDocument/2006/relationships/hyperlink" Target="http://www.itu.int/itu-t/workprog/wp_item.aspx?isn=17912" TargetMode="External"/><Relationship Id="rId255" Type="http://schemas.openxmlformats.org/officeDocument/2006/relationships/hyperlink" Target="http://www.itu.int/itu-t/workprog/wp_item.aspx?isn=18560" TargetMode="External"/><Relationship Id="rId297" Type="http://schemas.openxmlformats.org/officeDocument/2006/relationships/hyperlink" Target="http://www.itu.int/itu-t/workprog/wp_item.aspx?isn=17796" TargetMode="External"/><Relationship Id="rId462" Type="http://schemas.openxmlformats.org/officeDocument/2006/relationships/hyperlink" Target="http://www.itu.int/itu-t/workprog/wp_item.aspx?isn=18868" TargetMode="External"/><Relationship Id="rId518" Type="http://schemas.openxmlformats.org/officeDocument/2006/relationships/hyperlink" Target="http://www.itu.int/itu-t/workprog/wp_item.aspx?isn=18035" TargetMode="External"/><Relationship Id="rId115" Type="http://schemas.openxmlformats.org/officeDocument/2006/relationships/hyperlink" Target="https://www.itu.int/en/ITU-T/extcoop/Pages/mou.aspx" TargetMode="External"/><Relationship Id="rId157" Type="http://schemas.openxmlformats.org/officeDocument/2006/relationships/hyperlink" Target="https://www.itu.int/en/ITU-T/C-I/conformity/Pages/cdb.aspx" TargetMode="External"/><Relationship Id="rId322" Type="http://schemas.openxmlformats.org/officeDocument/2006/relationships/hyperlink" Target="http://www.itu.int/itu-t/workprog/wp_item.aspx?isn=18975" TargetMode="External"/><Relationship Id="rId364" Type="http://schemas.openxmlformats.org/officeDocument/2006/relationships/hyperlink" Target="http://www.itu.int/itu-t/workprog/wp_item.aspx?isn=17496" TargetMode="External"/><Relationship Id="rId61" Type="http://schemas.openxmlformats.org/officeDocument/2006/relationships/chart" Target="charts/chart1.xml"/><Relationship Id="rId199" Type="http://schemas.openxmlformats.org/officeDocument/2006/relationships/hyperlink" Target="http://itu.int/go/itu-t/rgm-support" TargetMode="External"/><Relationship Id="rId19" Type="http://schemas.openxmlformats.org/officeDocument/2006/relationships/hyperlink" Target="https://www.itu.int/en/ITU-T/ssc/united/Pages/publication-U4SSC-KPIs.aspx" TargetMode="External"/><Relationship Id="rId224" Type="http://schemas.openxmlformats.org/officeDocument/2006/relationships/hyperlink" Target="https://www.itu.int/itu-t/recommendations" TargetMode="External"/><Relationship Id="rId266" Type="http://schemas.openxmlformats.org/officeDocument/2006/relationships/hyperlink" Target="http://www.itu.int/itu-t/workprog/wp_item.aspx?isn=18867" TargetMode="External"/><Relationship Id="rId431" Type="http://schemas.openxmlformats.org/officeDocument/2006/relationships/hyperlink" Target="http://www.itu.int/itu-t/workprog/wp_item.aspx?isn=17957" TargetMode="External"/><Relationship Id="rId473" Type="http://schemas.openxmlformats.org/officeDocument/2006/relationships/hyperlink" Target="http://www.itu.int/itu-t/workprog/wp_item.aspx?isn=18207" TargetMode="External"/><Relationship Id="rId529" Type="http://schemas.openxmlformats.org/officeDocument/2006/relationships/hyperlink" Target="http://www.itu.int/itu-t/workprog/wp_item.aspx?isn=19102" TargetMode="External"/><Relationship Id="rId30" Type="http://schemas.openxmlformats.org/officeDocument/2006/relationships/hyperlink" Target="https://www.itu.int/en/ITU-T/academia/kaleidoscope/Pages/default.aspx" TargetMode="External"/><Relationship Id="rId126" Type="http://schemas.openxmlformats.org/officeDocument/2006/relationships/hyperlink" Target="https://www.itu.int/hub/2020/10/new-smart-city-standards-joint-task-force-established-by-itu-iso-and-iec/" TargetMode="External"/><Relationship Id="rId168" Type="http://schemas.openxmlformats.org/officeDocument/2006/relationships/hyperlink" Target="https://www.itu.int/en/ITU-T/gap/Pages/default.aspx" TargetMode="External"/><Relationship Id="rId333" Type="http://schemas.openxmlformats.org/officeDocument/2006/relationships/hyperlink" Target="http://www.itu.int/itu-t/workprog/wp_item.aspx?isn=18114" TargetMode="External"/><Relationship Id="rId540" Type="http://schemas.openxmlformats.org/officeDocument/2006/relationships/hyperlink" Target="http://www.itu.int/itu-t/workprog/wp_item.aspx?isn=17946" TargetMode="External"/><Relationship Id="rId72" Type="http://schemas.openxmlformats.org/officeDocument/2006/relationships/hyperlink" Target="https://www.itu.int/hub/2023/07/new-un-initiative-aims-to-step-up-ais-contribution-to-health/" TargetMode="External"/><Relationship Id="rId375" Type="http://schemas.openxmlformats.org/officeDocument/2006/relationships/hyperlink" Target="http://www.itu.int/itu-t/workprog/wp_item.aspx?isn=18528" TargetMode="External"/><Relationship Id="rId3" Type="http://schemas.openxmlformats.org/officeDocument/2006/relationships/customXml" Target="../customXml/item3.xml"/><Relationship Id="rId235" Type="http://schemas.openxmlformats.org/officeDocument/2006/relationships/hyperlink" Target="https://www.itu.int/en/ITU-R/study-groups/rccv/Pages/default.aspx" TargetMode="External"/><Relationship Id="rId277" Type="http://schemas.openxmlformats.org/officeDocument/2006/relationships/hyperlink" Target="http://www.itu.int/itu-t/workprog/wp_item.aspx?isn=17860" TargetMode="External"/><Relationship Id="rId400" Type="http://schemas.openxmlformats.org/officeDocument/2006/relationships/hyperlink" Target="http://www.itu.int/itu-t/workprog/wp_item.aspx?isn=18342" TargetMode="External"/><Relationship Id="rId442" Type="http://schemas.openxmlformats.org/officeDocument/2006/relationships/hyperlink" Target="http://www.itu.int/itu-t/workprog/wp_item.aspx?isn=17702" TargetMode="External"/><Relationship Id="rId484" Type="http://schemas.openxmlformats.org/officeDocument/2006/relationships/hyperlink" Target="http://www.itu.int/itu-t/workprog/wp_item.aspx?isn=18882" TargetMode="External"/><Relationship Id="rId137" Type="http://schemas.openxmlformats.org/officeDocument/2006/relationships/hyperlink" Target="https://www.itu.int/en/ITU-T/extcoop/ai-data-commons/Pages/default.aspx" TargetMode="External"/><Relationship Id="rId302" Type="http://schemas.openxmlformats.org/officeDocument/2006/relationships/hyperlink" Target="http://www.itu.int/itu-t/workprog/wp_item.aspx?isn=18726" TargetMode="External"/><Relationship Id="rId344" Type="http://schemas.openxmlformats.org/officeDocument/2006/relationships/hyperlink" Target="http://www.itu.int/itu-t/workprog/wp_item.aspx?isn=18659" TargetMode="External"/><Relationship Id="rId41" Type="http://schemas.openxmlformats.org/officeDocument/2006/relationships/hyperlink" Target="https://www.itu.int/go/tsg11" TargetMode="External"/><Relationship Id="rId83" Type="http://schemas.openxmlformats.org/officeDocument/2006/relationships/hyperlink" Target="https://www.itu.int/cities/wp-content/uploads/2023/12/2023-year-in-review.pdf" TargetMode="External"/><Relationship Id="rId179"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86" Type="http://schemas.openxmlformats.org/officeDocument/2006/relationships/hyperlink" Target="http://www.itu.int/itu-t/workprog/wp_item.aspx?isn=17647" TargetMode="External"/><Relationship Id="rId551" Type="http://schemas.openxmlformats.org/officeDocument/2006/relationships/footer" Target="footer3.xml"/><Relationship Id="rId190" Type="http://schemas.openxmlformats.org/officeDocument/2006/relationships/chart" Target="charts/chart5.xml"/><Relationship Id="rId204" Type="http://schemas.openxmlformats.org/officeDocument/2006/relationships/hyperlink" Target="https://www.itu.int/myworkspace/" TargetMode="External"/><Relationship Id="rId246" Type="http://schemas.openxmlformats.org/officeDocument/2006/relationships/hyperlink" Target="http://www.itu.int/itu-t/workprog/wp_item.aspx?isn=18550" TargetMode="External"/><Relationship Id="rId288" Type="http://schemas.openxmlformats.org/officeDocument/2006/relationships/hyperlink" Target="http://www.itu.int/itu-t/workprog/wp_item.aspx?isn=17876" TargetMode="External"/><Relationship Id="rId411" Type="http://schemas.openxmlformats.org/officeDocument/2006/relationships/hyperlink" Target="http://www.itu.int/itu-t/workprog/wp_item.aspx?isn=18952" TargetMode="External"/><Relationship Id="rId453" Type="http://schemas.openxmlformats.org/officeDocument/2006/relationships/hyperlink" Target="http://www.itu.int/itu-t/workprog/wp_item.aspx?isn=18423" TargetMode="External"/><Relationship Id="rId509" Type="http://schemas.openxmlformats.org/officeDocument/2006/relationships/hyperlink" Target="http://www.itu.int/itu-t/workprog/wp_item.aspx?isn=17637" TargetMode="External"/><Relationship Id="rId106" Type="http://schemas.openxmlformats.org/officeDocument/2006/relationships/hyperlink" Target="https://aiforgood.itu.int/about-ai-for-good/aiml-solutions-for-climate-change/" TargetMode="External"/><Relationship Id="rId313" Type="http://schemas.openxmlformats.org/officeDocument/2006/relationships/hyperlink" Target="http://www.itu.int/itu-t/workprog/wp_item.aspx?isn=18422" TargetMode="External"/><Relationship Id="rId495" Type="http://schemas.openxmlformats.org/officeDocument/2006/relationships/hyperlink" Target="http://www.itu.int/itu-t/workprog/wp_item.aspx?isn=19226" TargetMode="External"/><Relationship Id="rId10" Type="http://schemas.openxmlformats.org/officeDocument/2006/relationships/endnotes" Target="endnotes.xml"/><Relationship Id="rId52" Type="http://schemas.openxmlformats.org/officeDocument/2006/relationships/hyperlink" Target="https://www.itu.int/en/ITU-T/focusgroups/ai4a/Pages/default.aspx" TargetMode="External"/><Relationship Id="rId94" Type="http://schemas.openxmlformats.org/officeDocument/2006/relationships/hyperlink" Target="https://fnc.itu.int/" TargetMode="External"/><Relationship Id="rId148" Type="http://schemas.openxmlformats.org/officeDocument/2006/relationships/hyperlink" Target="https://itu.int/go/tldb" TargetMode="External"/><Relationship Id="rId355" Type="http://schemas.openxmlformats.org/officeDocument/2006/relationships/hyperlink" Target="http://www.itu.int/itu-t/workprog/wp_item.aspx?isn=18838" TargetMode="External"/><Relationship Id="rId397" Type="http://schemas.openxmlformats.org/officeDocument/2006/relationships/hyperlink" Target="http://www.itu.int/itu-t/workprog/wp_item.aspx?isn=17590" TargetMode="External"/><Relationship Id="rId520" Type="http://schemas.openxmlformats.org/officeDocument/2006/relationships/hyperlink" Target="http://www.itu.int/itu-t/workprog/wp_item.aspx?isn=18497" TargetMode="External"/><Relationship Id="rId215" Type="http://schemas.openxmlformats.org/officeDocument/2006/relationships/hyperlink" Target="https://www.itu.int/myworkspace/" TargetMode="External"/><Relationship Id="rId257" Type="http://schemas.openxmlformats.org/officeDocument/2006/relationships/hyperlink" Target="http://www.itu.int/itu-t/workprog/wp_item.aspx?isn=18942" TargetMode="External"/><Relationship Id="rId422" Type="http://schemas.openxmlformats.org/officeDocument/2006/relationships/hyperlink" Target="http://www.itu.int/itu-t/workprog/wp_item.aspx?isn=17910" TargetMode="External"/><Relationship Id="rId464" Type="http://schemas.openxmlformats.org/officeDocument/2006/relationships/hyperlink" Target="http://www.itu.int/itu-t/workprog/wp_item.aspx?isn=18874" TargetMode="External"/><Relationship Id="rId299" Type="http://schemas.openxmlformats.org/officeDocument/2006/relationships/hyperlink" Target="http://www.itu.int/itu-t/workprog/wp_item.aspx?isn=19055" TargetMode="External"/><Relationship Id="rId63" Type="http://schemas.openxmlformats.org/officeDocument/2006/relationships/hyperlink" Target="https://aiforgood.itu.int/summit24/" TargetMode="External"/><Relationship Id="rId159" Type="http://schemas.openxmlformats.org/officeDocument/2006/relationships/hyperlink" Target="https://itu.int/go/tcdb" TargetMode="External"/><Relationship Id="rId366" Type="http://schemas.openxmlformats.org/officeDocument/2006/relationships/hyperlink" Target="http://www.itu.int/itu-t/workprog/wp_item.aspx?isn=18622" TargetMode="External"/><Relationship Id="rId226" Type="http://schemas.openxmlformats.org/officeDocument/2006/relationships/hyperlink" Target="https://www.itu.int/itu-t/landscape/?topic=tx356" TargetMode="External"/><Relationship Id="rId433" Type="http://schemas.openxmlformats.org/officeDocument/2006/relationships/hyperlink" Target="http://www.itu.int/itu-t/workprog/wp_item.aspx?isn=18464" TargetMode="External"/><Relationship Id="rId74" Type="http://schemas.openxmlformats.org/officeDocument/2006/relationships/hyperlink" Target="https://www.itu.int/en/ITU-T/focusgroups/ai4h/Pages/default.aspx" TargetMode="External"/><Relationship Id="rId377" Type="http://schemas.openxmlformats.org/officeDocument/2006/relationships/hyperlink" Target="http://www.itu.int/itu-t/workprog/wp_item.aspx?isn=17641" TargetMode="External"/><Relationship Id="rId500" Type="http://schemas.openxmlformats.org/officeDocument/2006/relationships/hyperlink" Target="http://www.itu.int/itu-t/workprog/wp_item.aspx?isn=17629" TargetMode="External"/><Relationship Id="rId5" Type="http://schemas.openxmlformats.org/officeDocument/2006/relationships/numbering" Target="numbering.xml"/><Relationship Id="rId237" Type="http://schemas.openxmlformats.org/officeDocument/2006/relationships/hyperlink" Target="https://www.itu.int/en/ITU-T/inr/Pages/default.aspx" TargetMode="External"/><Relationship Id="rId444" Type="http://schemas.openxmlformats.org/officeDocument/2006/relationships/hyperlink" Target="http://www.itu.int/itu-t/workprog/wp_item.aspx?isn=18387" TargetMode="External"/><Relationship Id="rId290" Type="http://schemas.openxmlformats.org/officeDocument/2006/relationships/hyperlink" Target="http://www.itu.int/itu-t/workprog/wp_item.aspx?isn=17878" TargetMode="External"/><Relationship Id="rId304" Type="http://schemas.openxmlformats.org/officeDocument/2006/relationships/hyperlink" Target="http://www.itu.int/itu-t/workprog/wp_item.aspx?isn=18109" TargetMode="External"/><Relationship Id="rId388" Type="http://schemas.openxmlformats.org/officeDocument/2006/relationships/hyperlink" Target="http://www.itu.int/itu-t/workprog/wp_item.aspx?isn=17518" TargetMode="External"/><Relationship Id="rId511" Type="http://schemas.openxmlformats.org/officeDocument/2006/relationships/hyperlink" Target="http://www.itu.int/itu-t/workprog/wp_item.aspx?isn=17614" TargetMode="External"/><Relationship Id="rId85" Type="http://schemas.openxmlformats.org/officeDocument/2006/relationships/hyperlink" Target="https://www.itu.int/cities/wp-content/uploads/2023/12/Digital-Transformation-Webinars-Outcome-Document-21-39.pdf" TargetMode="External"/><Relationship Id="rId150" Type="http://schemas.openxmlformats.org/officeDocument/2006/relationships/hyperlink" Target="https://www.itu.int/en/ITU-T/studygroups/com11/casc/Documents/TL-RP_pub_2022-07-15.pdf" TargetMode="External"/><Relationship Id="rId248" Type="http://schemas.openxmlformats.org/officeDocument/2006/relationships/hyperlink" Target="http://www.itu.int/itu-t/workprog/wp_item.aspx?isn=18944" TargetMode="External"/><Relationship Id="rId455" Type="http://schemas.openxmlformats.org/officeDocument/2006/relationships/hyperlink" Target="http://www.itu.int/itu-t/workprog/wp_item.aspx?isn=18237" TargetMode="External"/><Relationship Id="rId12" Type="http://schemas.openxmlformats.org/officeDocument/2006/relationships/hyperlink" Target="mailto:Matthew.Dalais@itu.int" TargetMode="External"/><Relationship Id="rId108" Type="http://schemas.openxmlformats.org/officeDocument/2006/relationships/hyperlink" Target="https://www.itu.int/hub/membership/" TargetMode="External"/><Relationship Id="rId315" Type="http://schemas.openxmlformats.org/officeDocument/2006/relationships/hyperlink" Target="http://www.itu.int/itu-t/workprog/wp_item.aspx?isn=18076" TargetMode="External"/><Relationship Id="rId522" Type="http://schemas.openxmlformats.org/officeDocument/2006/relationships/hyperlink" Target="http://www.itu.int/itu-t/workprog/wp_item.aspx?isn=187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C10D-4843-812B-804E63B5244D}"/>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C10D-4843-812B-804E63B5244D}"/>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BFD9-4CF8-8D7B-E564B9069CEE}"/>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BFD9-4CF8-8D7B-E564B9069CEE}"/>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BFD9-4CF8-8D7B-E564B9069CEE}"/>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BFD9-4CF8-8D7B-E564B9069CEE}"/>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0774-4E27-BF78-467BA3F8B80F}"/>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8E91-45F5-A738-34478BC60E6A}"/>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8E4E-4DDB-8F82-2314D3E67E40}"/>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53-4353-BB56-DB81CA1A2A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0A53-4353-BB56-DB81CA1A2A3E}"/>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ECF2474A04A58AC1F735DCFB4C2AA"/>
        <w:category>
          <w:name w:val="General"/>
          <w:gallery w:val="placeholder"/>
        </w:category>
        <w:types>
          <w:type w:val="bbPlcHdr"/>
        </w:types>
        <w:behaviors>
          <w:behavior w:val="content"/>
        </w:behaviors>
        <w:guid w:val="{9EF41CCB-871F-4A2B-8406-5E4602A8B32D}"/>
      </w:docPartPr>
      <w:docPartBody>
        <w:p w:rsidR="007603FF" w:rsidRDefault="007603FF" w:rsidP="007603FF">
          <w:pPr>
            <w:pStyle w:val="DF7ECF2474A04A58AC1F735DCFB4C2A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 w:name="Yu Mincho">
    <w:charset w:val="80"/>
    <w:family w:val="roman"/>
    <w:pitch w:val="variable"/>
    <w:sig w:usb0="800002E7" w:usb1="2AC7FCFF" w:usb2="00000012" w:usb3="00000000" w:csb0="000200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545D"/>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0004"/>
    <w:rsid w:val="005C16E9"/>
    <w:rsid w:val="005C399A"/>
    <w:rsid w:val="005C61BF"/>
    <w:rsid w:val="005D2BF6"/>
    <w:rsid w:val="005E0735"/>
    <w:rsid w:val="005E4DEF"/>
    <w:rsid w:val="005F41C0"/>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03FF"/>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06F1"/>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1A51"/>
    <w:rsid w:val="00F942F8"/>
    <w:rsid w:val="00F95D9D"/>
    <w:rsid w:val="00FA48B2"/>
    <w:rsid w:val="00FB21AE"/>
    <w:rsid w:val="00FC31C6"/>
    <w:rsid w:val="00FC5FF9"/>
    <w:rsid w:val="00FC6BB4"/>
    <w:rsid w:val="00FD069F"/>
    <w:rsid w:val="00FD06CD"/>
    <w:rsid w:val="00FD226D"/>
    <w:rsid w:val="00FE48E9"/>
    <w:rsid w:val="00FE5C96"/>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3FF"/>
    <w:rPr>
      <w:color w:val="808080"/>
    </w:rPr>
  </w:style>
  <w:style w:type="paragraph" w:customStyle="1" w:styleId="DF7ECF2474A04A58AC1F735DCFB4C2AA">
    <w:name w:val="DF7ECF2474A04A58AC1F735DCFB4C2AA"/>
    <w:rsid w:val="007603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189</Pages>
  <Words>49794</Words>
  <Characters>341262</Characters>
  <Application>Microsoft Office Word</Application>
  <DocSecurity>0</DocSecurity>
  <Lines>2843</Lines>
  <Paragraphs>780</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390276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2024-01-19T13:25:00Z</dcterms:created>
  <dcterms:modified xsi:type="dcterms:W3CDTF">2024-01-19T13:26:00Z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