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8B2F88">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3C3FD271" w:rsidR="001B13F5" w:rsidRPr="0068196C" w:rsidRDefault="001B13F5" w:rsidP="001A4296">
            <w:pPr>
              <w:pStyle w:val="Docnumber"/>
            </w:pPr>
            <w:r w:rsidRPr="0068196C">
              <w:t>TSAG-</w:t>
            </w:r>
            <w:proofErr w:type="spellStart"/>
            <w:r w:rsidRPr="0068196C">
              <w:t>TD</w:t>
            </w:r>
            <w:r w:rsidR="00B60083">
              <w:t>394</w:t>
            </w:r>
            <w:proofErr w:type="spellEnd"/>
          </w:p>
        </w:tc>
      </w:tr>
      <w:bookmarkEnd w:id="0"/>
      <w:tr w:rsidR="001B13F5" w:rsidRPr="0068196C" w14:paraId="7A8A1805" w14:textId="77777777" w:rsidTr="008B2F88">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8B2F88">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8B2F88">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60450395" w:rsidR="001B13F5" w:rsidRPr="0068196C" w:rsidRDefault="00196B5E" w:rsidP="001A4296">
            <w:pPr>
              <w:pStyle w:val="TSBHeaderQuestion"/>
            </w:pPr>
            <w:r>
              <w:t>RG-WM</w:t>
            </w:r>
          </w:p>
        </w:tc>
        <w:tc>
          <w:tcPr>
            <w:tcW w:w="4026" w:type="dxa"/>
          </w:tcPr>
          <w:p w14:paraId="7C828D26" w14:textId="6507622E" w:rsidR="001B13F5" w:rsidRPr="0068196C" w:rsidRDefault="0061080C" w:rsidP="001A4296">
            <w:pPr>
              <w:pStyle w:val="VenueDate"/>
            </w:pPr>
            <w:r w:rsidRPr="0061080C">
              <w:t>Geneva, 22-26 January 2024</w:t>
            </w:r>
          </w:p>
        </w:tc>
      </w:tr>
      <w:tr w:rsidR="001B13F5" w:rsidRPr="0068196C" w14:paraId="3C8B20D2" w14:textId="77777777" w:rsidTr="008B2F88">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8B2F88">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4C18E0CE" w:rsidR="001B13F5" w:rsidRPr="00CC4364" w:rsidRDefault="00CC4364" w:rsidP="00CC4364">
            <w:r w:rsidRPr="00CC4364">
              <w:t>Rapporteur, TSAG RG-WM</w:t>
            </w:r>
          </w:p>
        </w:tc>
      </w:tr>
      <w:tr w:rsidR="001B13F5" w:rsidRPr="0068196C" w14:paraId="680D1A32" w14:textId="77777777" w:rsidTr="008B2F88">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0A88DFCA" w:rsidR="001B13F5" w:rsidRPr="0068196C" w:rsidRDefault="00CC4364" w:rsidP="001A4296">
            <w:pPr>
              <w:pStyle w:val="TSBHeaderTitle"/>
            </w:pPr>
            <w:r>
              <w:t>Justification to propose the deletion of Recommendations ITU-T A.4 and A.6</w:t>
            </w:r>
          </w:p>
        </w:tc>
      </w:tr>
      <w:tr w:rsidR="0061080C" w:rsidRPr="00B60083" w14:paraId="5480818C" w14:textId="77777777" w:rsidTr="008B2F88">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r w:rsidR="008B2F88">
              <w:fldChar w:fldCharType="begin"/>
            </w:r>
            <w:r w:rsidR="008B2F88" w:rsidRPr="00B60083">
              <w:rPr>
                <w:lang w:val="de-DE"/>
              </w:rPr>
              <w:instrText>HYPERLINK "mailto:olivier.dubuisson@orange.com"</w:instrText>
            </w:r>
            <w:r w:rsidR="008B2F88">
              <w:fldChar w:fldCharType="separate"/>
            </w:r>
            <w:r w:rsidRPr="000D2145">
              <w:rPr>
                <w:rStyle w:val="Hyperlink"/>
                <w:rFonts w:cstheme="majorBidi"/>
                <w:lang w:val="de-DE"/>
              </w:rPr>
              <w:t>olivier.dubuisson@orange.com</w:t>
            </w:r>
            <w:r w:rsidR="008B2F88">
              <w:rPr>
                <w:rStyle w:val="Hyperlink"/>
                <w:rFonts w:cstheme="majorBidi"/>
                <w:lang w:val="de-DE"/>
              </w:rPr>
              <w:fldChar w:fldCharType="end"/>
            </w:r>
          </w:p>
        </w:tc>
      </w:tr>
    </w:tbl>
    <w:p w14:paraId="46864CFF" w14:textId="77777777" w:rsidR="00DB0706" w:rsidRPr="00DA4466" w:rsidRDefault="00DB0706" w:rsidP="0089088E">
      <w:pPr>
        <w:rPr>
          <w:lang w:val="de-DE"/>
        </w:rPr>
      </w:pPr>
      <w:bookmarkStart w:id="10" w:name="_Hlk98768222"/>
      <w:bookmarkEnd w:id="2"/>
      <w:bookmarkEnd w:id="9"/>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262A5B40" w:rsidR="0089088E" w:rsidRPr="0068196C" w:rsidRDefault="002A5BF2" w:rsidP="000A6ED7">
            <w:pPr>
              <w:pStyle w:val="TSBHeaderSummary"/>
            </w:pPr>
            <w:r>
              <w:t xml:space="preserve">This TD provides the </w:t>
            </w:r>
            <w:r w:rsidRPr="004B753D">
              <w:t>explanatory summary about the reasons for the deletion</w:t>
            </w:r>
            <w:r>
              <w:t xml:space="preserve"> of Recommendations ITU-T A.4 and ITU-T A.6</w:t>
            </w:r>
            <w:r w:rsidR="003D57B6">
              <w:t>, as agreed at the RG-WM rapporteur group meeting on 5 Sep 2023 and confirmed at the meeting on 5 Dec 2023</w:t>
            </w:r>
            <w:r>
              <w:t>.</w:t>
            </w:r>
            <w:r w:rsidR="003B267D">
              <w:t xml:space="preserve"> This summary </w:t>
            </w:r>
            <w:r w:rsidR="007E3643">
              <w:t xml:space="preserve">could </w:t>
            </w:r>
            <w:r w:rsidR="003B267D">
              <w:t xml:space="preserve">be used in the TSB Circular to be circulated after TSAG </w:t>
            </w:r>
            <w:r w:rsidR="00371FB3">
              <w:t>agreement</w:t>
            </w:r>
            <w:r w:rsidR="007E3643">
              <w:t xml:space="preserve"> on </w:t>
            </w:r>
            <w:r w:rsidR="003B267D">
              <w:t>the deletion of these Recommendations.</w:t>
            </w:r>
          </w:p>
        </w:tc>
      </w:tr>
    </w:tbl>
    <w:bookmarkEnd w:id="10"/>
    <w:p w14:paraId="75E1ABEE" w14:textId="452C7105" w:rsidR="004C1FCF" w:rsidRPr="00F23D5E" w:rsidRDefault="004C1FCF" w:rsidP="004C1FCF">
      <w:r w:rsidRPr="00F23D5E">
        <w:rPr>
          <w:b/>
        </w:rPr>
        <w:t>Action</w:t>
      </w:r>
      <w:r w:rsidRPr="00F23D5E">
        <w:t>:</w:t>
      </w:r>
      <w:r w:rsidRPr="00F23D5E">
        <w:tab/>
      </w:r>
      <w:r w:rsidR="003F4187">
        <w:t>TSAG</w:t>
      </w:r>
      <w:r w:rsidRPr="00F23D5E">
        <w:t xml:space="preserve"> is invited to </w:t>
      </w:r>
      <w:r w:rsidR="00E42380">
        <w:t>agree</w:t>
      </w:r>
      <w:r w:rsidR="00382B73">
        <w:t xml:space="preserve"> this document.</w:t>
      </w:r>
    </w:p>
    <w:p w14:paraId="6F8F7061" w14:textId="0F99C4F4" w:rsidR="008C5A9A" w:rsidRDefault="008C5A9A" w:rsidP="008C5A9A"/>
    <w:p w14:paraId="19258070" w14:textId="57315C1C" w:rsidR="00E42380" w:rsidRDefault="00EB5F8D" w:rsidP="008C5A9A">
      <w:r>
        <w:t xml:space="preserve">According to </w:t>
      </w:r>
      <w:hyperlink r:id="rId12" w:history="1">
        <w:r w:rsidR="00E42380" w:rsidRPr="00EB5F8D">
          <w:rPr>
            <w:rStyle w:val="Hyperlink"/>
          </w:rPr>
          <w:t>WTSA Resolution 1</w:t>
        </w:r>
      </w:hyperlink>
      <w:r>
        <w:t>:</w:t>
      </w:r>
    </w:p>
    <w:p w14:paraId="052F202F" w14:textId="77777777" w:rsidR="001D1801" w:rsidRPr="00364996" w:rsidRDefault="001D1801" w:rsidP="001D1801">
      <w:pPr>
        <w:tabs>
          <w:tab w:val="left" w:pos="1134"/>
          <w:tab w:val="left" w:pos="1871"/>
          <w:tab w:val="left" w:pos="2268"/>
        </w:tabs>
        <w:ind w:left="567"/>
      </w:pPr>
      <w:r w:rsidRPr="00364996">
        <w:rPr>
          <w:b/>
          <w:bCs/>
        </w:rPr>
        <w:t>9.8.2.1</w:t>
      </w:r>
      <w:r w:rsidRPr="00364996">
        <w:tab/>
        <w:t xml:space="preserve">At a study group meeting it may be agreed to delete a Recommendation, either because it has been superseded by another Recommendation or because it has become obsolete. This agreement shall be unopposed by the Member States and any Sector Members acting on behalf of Member States under No. 239 of the Convention. Information about this agreement, including an explanatory summary about the reasons for the deletion, shall be provided by a circular. If no objection to the deletion is received within three months, the deletion will come into force. In the case of objection, the matter shall be </w:t>
      </w:r>
      <w:proofErr w:type="gramStart"/>
      <w:r w:rsidRPr="00364996">
        <w:t>referred back</w:t>
      </w:r>
      <w:proofErr w:type="gramEnd"/>
      <w:r w:rsidRPr="00364996">
        <w:t xml:space="preserve"> to the study group.</w:t>
      </w:r>
    </w:p>
    <w:p w14:paraId="1BA78893" w14:textId="4E44DA43" w:rsidR="001D1801" w:rsidRDefault="001D1801" w:rsidP="00A04F93">
      <w:pPr>
        <w:spacing w:before="0"/>
      </w:pPr>
    </w:p>
    <w:p w14:paraId="468BA4FC" w14:textId="2E71A982" w:rsidR="001C6A69" w:rsidRDefault="001B332F" w:rsidP="00EC0784">
      <w:pPr>
        <w:spacing w:before="80" w:after="80"/>
        <w:contextualSpacing/>
      </w:pPr>
      <w:r>
        <w:t>Since at least year 2014</w:t>
      </w:r>
      <w:r w:rsidR="00617D6F">
        <w:t xml:space="preserve">, TSAG has </w:t>
      </w:r>
      <w:r w:rsidR="00392384">
        <w:t xml:space="preserve">been </w:t>
      </w:r>
      <w:r w:rsidR="00617D6F">
        <w:t>discuss</w:t>
      </w:r>
      <w:r w:rsidR="00392384">
        <w:t>ing</w:t>
      </w:r>
      <w:r w:rsidR="00617D6F">
        <w:t xml:space="preserve"> t</w:t>
      </w:r>
      <w:r w:rsidR="00574DC0">
        <w:t>he different use cases for Recommendations ITU-T A.</w:t>
      </w:r>
      <w:r w:rsidR="00392384">
        <w:t>4</w:t>
      </w:r>
      <w:r w:rsidR="00574DC0">
        <w:t xml:space="preserve"> </w:t>
      </w:r>
      <w:r w:rsidR="001237BD">
        <w:t xml:space="preserve">(2012) </w:t>
      </w:r>
      <w:r w:rsidR="00574DC0">
        <w:t xml:space="preserve">and </w:t>
      </w:r>
      <w:r w:rsidR="001237BD">
        <w:t xml:space="preserve">ITU-T </w:t>
      </w:r>
      <w:r w:rsidR="00574DC0">
        <w:t>A.6</w:t>
      </w:r>
      <w:r w:rsidR="001237BD">
        <w:t xml:space="preserve"> (2012)</w:t>
      </w:r>
      <w:r w:rsidR="00574DC0">
        <w:t xml:space="preserve">, and </w:t>
      </w:r>
      <w:r w:rsidR="003F4187">
        <w:t xml:space="preserve">RG-WM </w:t>
      </w:r>
      <w:r w:rsidR="00574DC0">
        <w:t>came to the following conclusions:</w:t>
      </w:r>
    </w:p>
    <w:p w14:paraId="765A4703" w14:textId="590EE712" w:rsidR="00490B5D" w:rsidRDefault="00490B5D" w:rsidP="00EC0784">
      <w:pPr>
        <w:pStyle w:val="ListParagraph"/>
        <w:numPr>
          <w:ilvl w:val="0"/>
          <w:numId w:val="39"/>
        </w:numPr>
        <w:spacing w:before="80" w:after="80"/>
      </w:pPr>
      <w:r>
        <w:t xml:space="preserve">There is no </w:t>
      </w:r>
      <w:r w:rsidR="00B41860">
        <w:t>reason</w:t>
      </w:r>
      <w:r>
        <w:t xml:space="preserve"> to keep a difference between Rec. ITU T A.4 dedicated to "forums and consortia", and Rec. ITU-T A.6 dedicated to "national or regional SDOs".</w:t>
      </w:r>
    </w:p>
    <w:p w14:paraId="00633A53" w14:textId="33E3AA2B" w:rsidR="00490B5D" w:rsidRPr="00AD4787" w:rsidRDefault="00490B5D" w:rsidP="00EC0784">
      <w:pPr>
        <w:spacing w:before="80" w:after="80"/>
        <w:ind w:left="360"/>
        <w:contextualSpacing/>
        <w:rPr>
          <w:sz w:val="22"/>
          <w:szCs w:val="22"/>
        </w:rPr>
      </w:pPr>
      <w:r>
        <w:rPr>
          <w:sz w:val="22"/>
          <w:szCs w:val="22"/>
        </w:rPr>
        <w:t xml:space="preserve">NOTE – </w:t>
      </w:r>
      <w:r w:rsidRPr="00BE2398">
        <w:rPr>
          <w:sz w:val="22"/>
          <w:szCs w:val="22"/>
        </w:rPr>
        <w:t>For</w:t>
      </w:r>
      <w:r>
        <w:rPr>
          <w:sz w:val="22"/>
          <w:szCs w:val="22"/>
        </w:rPr>
        <w:t xml:space="preserve"> </w:t>
      </w:r>
      <w:r w:rsidRPr="00BE2398">
        <w:rPr>
          <w:sz w:val="22"/>
          <w:szCs w:val="22"/>
        </w:rPr>
        <w:t xml:space="preserve">some organization, it is not </w:t>
      </w:r>
      <w:r w:rsidR="00B41860">
        <w:rPr>
          <w:sz w:val="22"/>
          <w:szCs w:val="22"/>
        </w:rPr>
        <w:t>immediate</w:t>
      </w:r>
      <w:r w:rsidRPr="00BE2398">
        <w:rPr>
          <w:sz w:val="22"/>
          <w:szCs w:val="22"/>
        </w:rPr>
        <w:t xml:space="preserve"> to </w:t>
      </w:r>
      <w:r w:rsidR="00B41860">
        <w:rPr>
          <w:sz w:val="22"/>
          <w:szCs w:val="22"/>
        </w:rPr>
        <w:t>assess</w:t>
      </w:r>
      <w:r w:rsidRPr="00BE2398">
        <w:rPr>
          <w:sz w:val="22"/>
          <w:szCs w:val="22"/>
        </w:rPr>
        <w:t xml:space="preserve"> whether it is a national or regional organization (relevant to Rec. ITU-T A.6), or a forum or consortium (relevant to Rec. ITU-T A.4). This distinction is unnecessary as it does not change anything to the relationship between the study group and the other organization.</w:t>
      </w:r>
    </w:p>
    <w:p w14:paraId="05BC16CC" w14:textId="5F89563F" w:rsidR="001B332F" w:rsidRDefault="001B332F" w:rsidP="004D1849">
      <w:pPr>
        <w:pStyle w:val="ListParagraph"/>
        <w:numPr>
          <w:ilvl w:val="0"/>
          <w:numId w:val="39"/>
        </w:numPr>
        <w:spacing w:before="80" w:after="80"/>
        <w:ind w:left="357" w:hanging="357"/>
        <w:contextualSpacing w:val="0"/>
      </w:pPr>
      <w:r>
        <w:t>When an external organization needs to be qualified (for normative references as per ITU-T A.5, incorporation of texts as per ITU-T A.25, or recognized communication process as per ITU</w:t>
      </w:r>
      <w:r>
        <w:noBreakHyphen/>
        <w:t xml:space="preserve">T A.4 or ITU-T A.6), it </w:t>
      </w:r>
      <w:r w:rsidR="005F1689">
        <w:t>ha</w:t>
      </w:r>
      <w:r w:rsidR="001350F7">
        <w:t>s</w:t>
      </w:r>
      <w:r w:rsidR="005F1689">
        <w:t xml:space="preserve"> to be</w:t>
      </w:r>
      <w:r>
        <w:t xml:space="preserve"> qualified according to ITU-T A.5, Annex A.</w:t>
      </w:r>
      <w:r w:rsidR="00C36D7E">
        <w:t xml:space="preserve"> </w:t>
      </w:r>
      <w:r w:rsidR="007A1523">
        <w:t xml:space="preserve">Recommendation </w:t>
      </w:r>
      <w:hyperlink r:id="rId13" w:history="1">
        <w:r w:rsidR="00C36D7E" w:rsidRPr="007A1523">
          <w:rPr>
            <w:rStyle w:val="Hyperlink"/>
          </w:rPr>
          <w:t>ITU-T A.5</w:t>
        </w:r>
      </w:hyperlink>
      <w:r w:rsidR="00C36D7E">
        <w:t xml:space="preserve"> has been recently updated</w:t>
      </w:r>
      <w:r w:rsidR="00F4735C">
        <w:t>,</w:t>
      </w:r>
      <w:r w:rsidR="00C36D7E">
        <w:t xml:space="preserve"> and </w:t>
      </w:r>
      <w:r w:rsidR="00F4735C">
        <w:t>the</w:t>
      </w:r>
      <w:r w:rsidR="00C36D7E">
        <w:t xml:space="preserve"> accuracy and </w:t>
      </w:r>
      <w:r w:rsidR="00F4735C">
        <w:t>safety</w:t>
      </w:r>
      <w:r w:rsidR="00EC0784">
        <w:t xml:space="preserve"> </w:t>
      </w:r>
      <w:r w:rsidR="00F4735C">
        <w:t>of its process</w:t>
      </w:r>
      <w:r w:rsidR="00C36D7E">
        <w:t xml:space="preserve"> is recognized by </w:t>
      </w:r>
      <w:r w:rsidR="00F4735C">
        <w:t>TSAG and</w:t>
      </w:r>
      <w:r w:rsidR="00EC0784">
        <w:t xml:space="preserve"> by</w:t>
      </w:r>
      <w:r w:rsidR="00F4735C">
        <w:t xml:space="preserve"> </w:t>
      </w:r>
      <w:r w:rsidR="00C36D7E">
        <w:t>all ITU</w:t>
      </w:r>
      <w:r w:rsidR="00F4735C">
        <w:noBreakHyphen/>
      </w:r>
      <w:r w:rsidR="00C36D7E">
        <w:t>T study groups.</w:t>
      </w:r>
    </w:p>
    <w:p w14:paraId="38AC72CB" w14:textId="5E25C42A" w:rsidR="00366F44" w:rsidRPr="00366F44" w:rsidRDefault="00366F44" w:rsidP="00366F44">
      <w:pPr>
        <w:spacing w:before="80" w:after="80"/>
        <w:ind w:left="360"/>
        <w:contextualSpacing/>
        <w:rPr>
          <w:sz w:val="22"/>
          <w:szCs w:val="22"/>
        </w:rPr>
      </w:pPr>
      <w:r>
        <w:rPr>
          <w:sz w:val="22"/>
          <w:szCs w:val="22"/>
        </w:rPr>
        <w:t xml:space="preserve">NOTE – </w:t>
      </w:r>
      <w:r w:rsidRPr="00366F44">
        <w:rPr>
          <w:sz w:val="22"/>
          <w:szCs w:val="22"/>
        </w:rPr>
        <w:t>The</w:t>
      </w:r>
      <w:r>
        <w:rPr>
          <w:sz w:val="22"/>
          <w:szCs w:val="22"/>
        </w:rPr>
        <w:t xml:space="preserve"> </w:t>
      </w:r>
      <w:r w:rsidRPr="00366F44">
        <w:rPr>
          <w:sz w:val="22"/>
          <w:szCs w:val="22"/>
        </w:rPr>
        <w:t>A.4 and A.6 qualification process</w:t>
      </w:r>
      <w:r>
        <w:rPr>
          <w:sz w:val="22"/>
          <w:szCs w:val="22"/>
        </w:rPr>
        <w:t>es</w:t>
      </w:r>
      <w:r w:rsidRPr="00366F44">
        <w:rPr>
          <w:sz w:val="22"/>
          <w:szCs w:val="22"/>
        </w:rPr>
        <w:t xml:space="preserve"> impl</w:t>
      </w:r>
      <w:r w:rsidR="002F73DE">
        <w:rPr>
          <w:sz w:val="22"/>
          <w:szCs w:val="22"/>
        </w:rPr>
        <w:t>ied</w:t>
      </w:r>
      <w:r w:rsidRPr="00366F44">
        <w:rPr>
          <w:sz w:val="22"/>
          <w:szCs w:val="22"/>
        </w:rPr>
        <w:t xml:space="preserve"> an evaluation of the </w:t>
      </w:r>
      <w:r>
        <w:rPr>
          <w:sz w:val="22"/>
          <w:szCs w:val="22"/>
        </w:rPr>
        <w:t>intellectual property rights (</w:t>
      </w:r>
      <w:r w:rsidRPr="00366F44">
        <w:rPr>
          <w:sz w:val="22"/>
          <w:szCs w:val="22"/>
        </w:rPr>
        <w:t>IPR</w:t>
      </w:r>
      <w:r>
        <w:rPr>
          <w:sz w:val="22"/>
          <w:szCs w:val="22"/>
        </w:rPr>
        <w:t>)</w:t>
      </w:r>
      <w:r w:rsidRPr="00366F44">
        <w:rPr>
          <w:sz w:val="22"/>
          <w:szCs w:val="22"/>
        </w:rPr>
        <w:t xml:space="preserve"> policy </w:t>
      </w:r>
      <w:r>
        <w:rPr>
          <w:sz w:val="22"/>
          <w:szCs w:val="22"/>
        </w:rPr>
        <w:t>of</w:t>
      </w:r>
      <w:r w:rsidRPr="00366F44">
        <w:rPr>
          <w:sz w:val="22"/>
          <w:szCs w:val="22"/>
        </w:rPr>
        <w:t xml:space="preserve"> the candidate organization. Some of these organizations do not develop standards, therefore </w:t>
      </w:r>
      <w:r w:rsidR="004D1849">
        <w:rPr>
          <w:sz w:val="22"/>
          <w:szCs w:val="22"/>
        </w:rPr>
        <w:t>such an</w:t>
      </w:r>
      <w:r w:rsidRPr="00366F44">
        <w:rPr>
          <w:sz w:val="22"/>
          <w:szCs w:val="22"/>
        </w:rPr>
        <w:t xml:space="preserve"> assessment </w:t>
      </w:r>
      <w:r w:rsidR="002F73DE">
        <w:rPr>
          <w:sz w:val="22"/>
          <w:szCs w:val="22"/>
        </w:rPr>
        <w:t>wa</w:t>
      </w:r>
      <w:r w:rsidRPr="00366F44">
        <w:rPr>
          <w:sz w:val="22"/>
          <w:szCs w:val="22"/>
        </w:rPr>
        <w:t>s not appropriate.</w:t>
      </w:r>
    </w:p>
    <w:p w14:paraId="3C248ED3" w14:textId="14439EA7" w:rsidR="00A63BE0" w:rsidRDefault="00A63BE0" w:rsidP="005F1689">
      <w:pPr>
        <w:pStyle w:val="ListParagraph"/>
        <w:numPr>
          <w:ilvl w:val="0"/>
          <w:numId w:val="39"/>
        </w:numPr>
        <w:spacing w:before="80" w:after="80"/>
        <w:ind w:left="357" w:hanging="357"/>
        <w:contextualSpacing w:val="0"/>
      </w:pPr>
      <w:r>
        <w:lastRenderedPageBreak/>
        <w:t xml:space="preserve">Incorporation </w:t>
      </w:r>
      <w:r w:rsidR="002F24C5">
        <w:t xml:space="preserve">(or transposition) of texts </w:t>
      </w:r>
      <w:r>
        <w:t>from another organization (covered in ITU-T A.6 but not in ITU</w:t>
      </w:r>
      <w:r>
        <w:noBreakHyphen/>
        <w:t>T A.4) now relies on ITU-T A.25 (and on ITU-T A.5 for the qualification of the organization).</w:t>
      </w:r>
      <w:r w:rsidR="00EC0784">
        <w:t xml:space="preserve"> </w:t>
      </w:r>
      <w:r w:rsidR="007A1523">
        <w:t xml:space="preserve">Recommendation </w:t>
      </w:r>
      <w:hyperlink r:id="rId14" w:history="1">
        <w:r w:rsidR="00EC0784" w:rsidRPr="007A1523">
          <w:rPr>
            <w:rStyle w:val="Hyperlink"/>
          </w:rPr>
          <w:t>ITU-T A.25</w:t>
        </w:r>
      </w:hyperlink>
      <w:r w:rsidR="00EC0784">
        <w:t xml:space="preserve"> has been recently updated, and the accuracy and safety of its process is recognized by TSAG and by all ITU</w:t>
      </w:r>
      <w:r w:rsidR="00EC0784">
        <w:noBreakHyphen/>
        <w:t>T study groups.</w:t>
      </w:r>
    </w:p>
    <w:p w14:paraId="07A8A552" w14:textId="2E327D0F" w:rsidR="00574DC0" w:rsidRDefault="000F6A22" w:rsidP="00EC0784">
      <w:pPr>
        <w:pStyle w:val="ListParagraph"/>
        <w:numPr>
          <w:ilvl w:val="0"/>
          <w:numId w:val="39"/>
        </w:numPr>
        <w:spacing w:before="80" w:after="80"/>
      </w:pPr>
      <w:r>
        <w:t>T</w:t>
      </w:r>
      <w:r w:rsidR="00EC0784" w:rsidRPr="00EC0784">
        <w:t xml:space="preserve">he communication process </w:t>
      </w:r>
      <w:r>
        <w:t xml:space="preserve">between an ITU-T study group and an external organization </w:t>
      </w:r>
      <w:r w:rsidR="00EC0784" w:rsidRPr="00EC0784">
        <w:t>(</w:t>
      </w:r>
      <w:r>
        <w:t>described in</w:t>
      </w:r>
      <w:r w:rsidR="00EC0784" w:rsidRPr="00EC0784">
        <w:t xml:space="preserve"> Rec</w:t>
      </w:r>
      <w:r w:rsidR="00751B94">
        <w:t>ommendations</w:t>
      </w:r>
      <w:r w:rsidR="00EC0784" w:rsidRPr="00EC0784">
        <w:t xml:space="preserve"> ITU-T A.4 and A.6) is described in </w:t>
      </w:r>
      <w:hyperlink r:id="rId15" w:history="1">
        <w:r w:rsidR="00EC0784" w:rsidRPr="00E95175">
          <w:rPr>
            <w:rStyle w:val="Hyperlink"/>
          </w:rPr>
          <w:t xml:space="preserve">Supplement </w:t>
        </w:r>
        <w:r w:rsidR="007A1523" w:rsidRPr="00E95175">
          <w:rPr>
            <w:rStyle w:val="Hyperlink"/>
          </w:rPr>
          <w:t xml:space="preserve">5 </w:t>
        </w:r>
        <w:r w:rsidR="00EC0784" w:rsidRPr="00E95175">
          <w:rPr>
            <w:rStyle w:val="Hyperlink"/>
          </w:rPr>
          <w:t>to the ITU-T A-series of Recommendations</w:t>
        </w:r>
      </w:hyperlink>
      <w:r w:rsidR="00E95175">
        <w:t xml:space="preserve"> "</w:t>
      </w:r>
      <w:r w:rsidR="00E95175" w:rsidRPr="00E95175">
        <w:t>Guidelines for collaboration and exchange of information with other organizations</w:t>
      </w:r>
      <w:r w:rsidR="00E95175">
        <w:t>"</w:t>
      </w:r>
      <w:r w:rsidR="00EC0784" w:rsidRPr="00EC0784">
        <w:t>.</w:t>
      </w:r>
    </w:p>
    <w:p w14:paraId="2493F3E8" w14:textId="1AAF9318" w:rsidR="004B778C" w:rsidRDefault="004B778C" w:rsidP="00A04F93">
      <w:pPr>
        <w:spacing w:before="0"/>
      </w:pPr>
    </w:p>
    <w:p w14:paraId="6F1E30E7" w14:textId="511123DE" w:rsidR="001237BD" w:rsidRDefault="002F73DE" w:rsidP="001237BD">
      <w:pPr>
        <w:pStyle w:val="Reftext"/>
        <w:spacing w:before="80" w:after="80"/>
        <w:ind w:left="0" w:firstLine="0"/>
      </w:pPr>
      <w:r>
        <w:t>In summary, t</w:t>
      </w:r>
      <w:r w:rsidR="001237BD">
        <w:t xml:space="preserve">his table shows that all topics covered in </w:t>
      </w:r>
      <w:r w:rsidR="00751B94" w:rsidRPr="00EC0784">
        <w:t>Rec</w:t>
      </w:r>
      <w:r w:rsidR="00751B94">
        <w:t>ommendations</w:t>
      </w:r>
      <w:r w:rsidR="00751B94" w:rsidRPr="00EC0784">
        <w:t xml:space="preserve"> </w:t>
      </w:r>
      <w:r w:rsidR="001237BD">
        <w:t>ITU-T A.4 and A.6 are covered by a more recent Recommendation (or Supplement):</w:t>
      </w:r>
    </w:p>
    <w:tbl>
      <w:tblPr>
        <w:tblStyle w:val="TableGrid"/>
        <w:tblW w:w="9776" w:type="dxa"/>
        <w:jc w:val="right"/>
        <w:tblLook w:val="04A0" w:firstRow="1" w:lastRow="0" w:firstColumn="1" w:lastColumn="0" w:noHBand="0" w:noVBand="1"/>
      </w:tblPr>
      <w:tblGrid>
        <w:gridCol w:w="4815"/>
        <w:gridCol w:w="2551"/>
        <w:gridCol w:w="2410"/>
      </w:tblGrid>
      <w:tr w:rsidR="001237BD" w:rsidRPr="00D5046C" w14:paraId="35E7A8F0" w14:textId="77777777" w:rsidTr="008C3C45">
        <w:trPr>
          <w:jc w:val="right"/>
        </w:trPr>
        <w:tc>
          <w:tcPr>
            <w:tcW w:w="4815" w:type="dxa"/>
          </w:tcPr>
          <w:p w14:paraId="7446FA90" w14:textId="77777777" w:rsidR="001237BD" w:rsidRPr="00D5046C" w:rsidRDefault="001237BD" w:rsidP="008C3C45">
            <w:pPr>
              <w:pStyle w:val="Reftext"/>
              <w:spacing w:before="40" w:after="40"/>
              <w:ind w:left="0" w:firstLine="0"/>
              <w:jc w:val="center"/>
              <w:rPr>
                <w:rFonts w:eastAsia="Batang"/>
                <w:b/>
                <w:bCs/>
              </w:rPr>
            </w:pPr>
            <w:r w:rsidRPr="00D5046C">
              <w:rPr>
                <w:rFonts w:eastAsia="Batang"/>
                <w:b/>
                <w:bCs/>
              </w:rPr>
              <w:t>Topic</w:t>
            </w:r>
          </w:p>
        </w:tc>
        <w:tc>
          <w:tcPr>
            <w:tcW w:w="2551" w:type="dxa"/>
          </w:tcPr>
          <w:p w14:paraId="62074ED6" w14:textId="77777777" w:rsidR="001237BD" w:rsidRPr="00D5046C" w:rsidRDefault="001237BD" w:rsidP="008C3C45">
            <w:pPr>
              <w:pStyle w:val="Reftext"/>
              <w:spacing w:before="40" w:after="40"/>
              <w:ind w:left="0" w:firstLine="0"/>
              <w:jc w:val="center"/>
              <w:rPr>
                <w:rFonts w:eastAsia="Batang"/>
                <w:b/>
                <w:bCs/>
              </w:rPr>
            </w:pPr>
            <w:r>
              <w:rPr>
                <w:rFonts w:eastAsia="Batang"/>
                <w:b/>
                <w:bCs/>
              </w:rPr>
              <w:t>Covered (2012) in</w:t>
            </w:r>
          </w:p>
        </w:tc>
        <w:tc>
          <w:tcPr>
            <w:tcW w:w="2410" w:type="dxa"/>
          </w:tcPr>
          <w:p w14:paraId="4D685091" w14:textId="77777777" w:rsidR="001237BD" w:rsidRPr="00D5046C" w:rsidRDefault="001237BD" w:rsidP="008C3C45">
            <w:pPr>
              <w:pStyle w:val="Reftext"/>
              <w:spacing w:before="40" w:after="40"/>
              <w:ind w:left="0" w:firstLine="0"/>
              <w:jc w:val="center"/>
              <w:rPr>
                <w:rFonts w:eastAsia="Batang"/>
                <w:b/>
                <w:bCs/>
              </w:rPr>
            </w:pPr>
            <w:r>
              <w:rPr>
                <w:rFonts w:eastAsia="Batang"/>
                <w:b/>
                <w:bCs/>
              </w:rPr>
              <w:t>Now covered in</w:t>
            </w:r>
          </w:p>
        </w:tc>
      </w:tr>
      <w:tr w:rsidR="001237BD" w14:paraId="0F345D3D" w14:textId="77777777" w:rsidTr="001237BD">
        <w:trPr>
          <w:jc w:val="right"/>
        </w:trPr>
        <w:tc>
          <w:tcPr>
            <w:tcW w:w="4815" w:type="dxa"/>
          </w:tcPr>
          <w:p w14:paraId="1348C5FF" w14:textId="3BCA1305" w:rsidR="001237BD" w:rsidRDefault="001237BD" w:rsidP="008C3C45">
            <w:pPr>
              <w:pStyle w:val="Reftext"/>
              <w:spacing w:before="40" w:after="40"/>
              <w:ind w:left="0" w:firstLine="0"/>
              <w:rPr>
                <w:rFonts w:eastAsia="Batang"/>
              </w:rPr>
            </w:pPr>
            <w:r>
              <w:rPr>
                <w:rFonts w:eastAsia="Batang"/>
              </w:rPr>
              <w:t>Qualification of an external organization</w:t>
            </w:r>
          </w:p>
        </w:tc>
        <w:tc>
          <w:tcPr>
            <w:tcW w:w="2551" w:type="dxa"/>
            <w:shd w:val="clear" w:color="auto" w:fill="auto"/>
          </w:tcPr>
          <w:p w14:paraId="69E09410" w14:textId="77777777" w:rsidR="001237BD" w:rsidRDefault="001237BD" w:rsidP="008C3C45">
            <w:pPr>
              <w:pStyle w:val="Reftext"/>
              <w:spacing w:before="40" w:after="40"/>
              <w:ind w:left="0" w:firstLine="0"/>
              <w:rPr>
                <w:rFonts w:eastAsia="Batang"/>
              </w:rPr>
            </w:pPr>
            <w:r>
              <w:rPr>
                <w:rFonts w:eastAsia="Batang"/>
              </w:rPr>
              <w:t>A.4 (Annex A)</w:t>
            </w:r>
            <w:r>
              <w:rPr>
                <w:rFonts w:eastAsia="Batang"/>
              </w:rPr>
              <w:br/>
              <w:t>A.6 (Annex A)</w:t>
            </w:r>
          </w:p>
        </w:tc>
        <w:tc>
          <w:tcPr>
            <w:tcW w:w="2410" w:type="dxa"/>
            <w:shd w:val="clear" w:color="auto" w:fill="auto"/>
          </w:tcPr>
          <w:p w14:paraId="679D0E24" w14:textId="77777777" w:rsidR="001237BD" w:rsidRDefault="001237BD" w:rsidP="008C3C45">
            <w:pPr>
              <w:pStyle w:val="Reftext"/>
              <w:spacing w:before="40" w:after="40"/>
              <w:ind w:left="0" w:firstLine="0"/>
              <w:rPr>
                <w:rFonts w:eastAsia="Batang"/>
              </w:rPr>
            </w:pPr>
            <w:r>
              <w:rPr>
                <w:rFonts w:eastAsia="Batang"/>
              </w:rPr>
              <w:t>A.5 (Annex B) (2022)</w:t>
            </w:r>
          </w:p>
        </w:tc>
      </w:tr>
      <w:tr w:rsidR="001237BD" w14:paraId="12D59184" w14:textId="77777777" w:rsidTr="001237BD">
        <w:trPr>
          <w:jc w:val="right"/>
        </w:trPr>
        <w:tc>
          <w:tcPr>
            <w:tcW w:w="4815" w:type="dxa"/>
          </w:tcPr>
          <w:p w14:paraId="66E99EB0" w14:textId="77777777" w:rsidR="001237BD" w:rsidRDefault="001237BD" w:rsidP="008C3C45">
            <w:pPr>
              <w:pStyle w:val="Reftext"/>
              <w:spacing w:before="40" w:after="40"/>
              <w:ind w:left="0" w:firstLine="0"/>
              <w:rPr>
                <w:rFonts w:eastAsia="Batang"/>
              </w:rPr>
            </w:pPr>
            <w:r>
              <w:rPr>
                <w:rFonts w:eastAsia="Batang"/>
              </w:rPr>
              <w:t>Formal communication process (for information and document exchange)</w:t>
            </w:r>
          </w:p>
        </w:tc>
        <w:tc>
          <w:tcPr>
            <w:tcW w:w="2551" w:type="dxa"/>
            <w:shd w:val="clear" w:color="auto" w:fill="auto"/>
          </w:tcPr>
          <w:p w14:paraId="2B79A240" w14:textId="77777777" w:rsidR="001237BD" w:rsidRPr="007E3643" w:rsidRDefault="001237BD" w:rsidP="008C3C45">
            <w:pPr>
              <w:pStyle w:val="Reftext"/>
              <w:spacing w:before="40" w:after="40"/>
              <w:ind w:left="0" w:firstLine="0"/>
              <w:rPr>
                <w:rFonts w:eastAsia="Batang"/>
                <w:lang w:val="es-CO"/>
              </w:rPr>
            </w:pPr>
            <w:proofErr w:type="spellStart"/>
            <w:r w:rsidRPr="007E3643">
              <w:rPr>
                <w:rFonts w:eastAsia="Batang"/>
                <w:lang w:val="es-CO"/>
              </w:rPr>
              <w:t>A.4</w:t>
            </w:r>
            <w:proofErr w:type="spellEnd"/>
            <w:r w:rsidRPr="007E3643">
              <w:rPr>
                <w:rFonts w:eastAsia="Batang"/>
                <w:lang w:val="es-CO"/>
              </w:rPr>
              <w:t xml:space="preserve"> (</w:t>
            </w:r>
            <w:proofErr w:type="spellStart"/>
            <w:r w:rsidRPr="007E3643">
              <w:rPr>
                <w:rFonts w:eastAsia="Batang"/>
                <w:lang w:val="es-CO"/>
              </w:rPr>
              <w:t>clause</w:t>
            </w:r>
            <w:proofErr w:type="spellEnd"/>
            <w:r w:rsidRPr="007E3643">
              <w:rPr>
                <w:rFonts w:eastAsia="Batang"/>
                <w:lang w:val="es-CO"/>
              </w:rPr>
              <w:t xml:space="preserve"> 2, </w:t>
            </w:r>
            <w:proofErr w:type="spellStart"/>
            <w:r w:rsidRPr="007E3643">
              <w:rPr>
                <w:rFonts w:eastAsia="Batang"/>
                <w:lang w:val="es-CO"/>
              </w:rPr>
              <w:t>2</w:t>
            </w:r>
            <w:r w:rsidRPr="007E3643">
              <w:rPr>
                <w:rFonts w:eastAsia="Batang"/>
                <w:vertAlign w:val="superscript"/>
                <w:lang w:val="es-CO"/>
              </w:rPr>
              <w:t>nd</w:t>
            </w:r>
            <w:proofErr w:type="spellEnd"/>
            <w:r w:rsidRPr="007E3643">
              <w:rPr>
                <w:rFonts w:eastAsia="Batang"/>
                <w:lang w:val="es-CO"/>
              </w:rPr>
              <w:t xml:space="preserve"> para)</w:t>
            </w:r>
            <w:r w:rsidRPr="007E3643">
              <w:rPr>
                <w:rFonts w:eastAsia="Batang"/>
                <w:lang w:val="es-CO"/>
              </w:rPr>
              <w:br/>
            </w:r>
            <w:proofErr w:type="spellStart"/>
            <w:r w:rsidRPr="007E3643">
              <w:rPr>
                <w:rFonts w:eastAsia="Batang"/>
                <w:lang w:val="es-CO"/>
              </w:rPr>
              <w:t>A.6</w:t>
            </w:r>
            <w:proofErr w:type="spellEnd"/>
            <w:r w:rsidRPr="007E3643">
              <w:rPr>
                <w:rFonts w:eastAsia="Batang"/>
                <w:lang w:val="es-CO"/>
              </w:rPr>
              <w:t xml:space="preserve"> (</w:t>
            </w:r>
            <w:proofErr w:type="spellStart"/>
            <w:r w:rsidRPr="007E3643">
              <w:rPr>
                <w:rFonts w:eastAsia="Batang"/>
                <w:lang w:val="es-CO"/>
              </w:rPr>
              <w:t>clause</w:t>
            </w:r>
            <w:proofErr w:type="spellEnd"/>
            <w:r w:rsidRPr="007E3643">
              <w:rPr>
                <w:rFonts w:eastAsia="Batang"/>
                <w:lang w:val="es-CO"/>
              </w:rPr>
              <w:t xml:space="preserve"> 2, </w:t>
            </w:r>
            <w:proofErr w:type="spellStart"/>
            <w:r w:rsidRPr="007E3643">
              <w:rPr>
                <w:rFonts w:eastAsia="Batang"/>
                <w:lang w:val="es-CO"/>
              </w:rPr>
              <w:t>2</w:t>
            </w:r>
            <w:r w:rsidRPr="007E3643">
              <w:rPr>
                <w:rFonts w:eastAsia="Batang"/>
                <w:vertAlign w:val="superscript"/>
                <w:lang w:val="es-CO"/>
              </w:rPr>
              <w:t>nd</w:t>
            </w:r>
            <w:proofErr w:type="spellEnd"/>
            <w:r w:rsidRPr="007E3643">
              <w:rPr>
                <w:rFonts w:eastAsia="Batang"/>
                <w:lang w:val="es-CO"/>
              </w:rPr>
              <w:t xml:space="preserve"> para)</w:t>
            </w:r>
          </w:p>
        </w:tc>
        <w:tc>
          <w:tcPr>
            <w:tcW w:w="2410" w:type="dxa"/>
            <w:shd w:val="clear" w:color="auto" w:fill="auto"/>
          </w:tcPr>
          <w:p w14:paraId="745242B2" w14:textId="7D4933B9" w:rsidR="001237BD" w:rsidRDefault="001237BD" w:rsidP="008C3C45">
            <w:pPr>
              <w:pStyle w:val="Reftext"/>
              <w:spacing w:before="40" w:after="40"/>
              <w:ind w:left="0" w:firstLine="0"/>
              <w:rPr>
                <w:rFonts w:eastAsia="Batang"/>
              </w:rPr>
            </w:pPr>
            <w:r>
              <w:rPr>
                <w:rFonts w:eastAsia="Batang"/>
              </w:rPr>
              <w:t>A Supp.5 (clause</w:t>
            </w:r>
            <w:r w:rsidR="004C4032" w:rsidRPr="004C4032">
              <w:rPr>
                <w:rFonts w:eastAsia="Batang"/>
                <w:highlight w:val="yellow"/>
              </w:rPr>
              <w:t>s 7.3 and</w:t>
            </w:r>
            <w:r w:rsidR="004C4032">
              <w:rPr>
                <w:rFonts w:eastAsia="Batang"/>
              </w:rPr>
              <w:t xml:space="preserve"> </w:t>
            </w:r>
            <w:r>
              <w:rPr>
                <w:rFonts w:eastAsia="Batang"/>
              </w:rPr>
              <w:t>I.2)</w:t>
            </w:r>
            <w:r w:rsidR="004C4032">
              <w:rPr>
                <w:rFonts w:eastAsia="Batang"/>
              </w:rPr>
              <w:t xml:space="preserve"> </w:t>
            </w:r>
            <w:r>
              <w:rPr>
                <w:rFonts w:eastAsia="Batang"/>
              </w:rPr>
              <w:t>(</w:t>
            </w:r>
            <w:r w:rsidRPr="001D30BB">
              <w:rPr>
                <w:rFonts w:eastAsia="Batang"/>
                <w:highlight w:val="yellow"/>
              </w:rPr>
              <w:t>20</w:t>
            </w:r>
            <w:r w:rsidR="001D30BB" w:rsidRPr="001D30BB">
              <w:rPr>
                <w:rFonts w:eastAsia="Batang"/>
                <w:highlight w:val="yellow"/>
              </w:rPr>
              <w:t>24</w:t>
            </w:r>
            <w:r>
              <w:rPr>
                <w:rFonts w:eastAsia="Batang"/>
              </w:rPr>
              <w:t>)</w:t>
            </w:r>
          </w:p>
        </w:tc>
      </w:tr>
      <w:tr w:rsidR="001237BD" w14:paraId="372DB842" w14:textId="77777777" w:rsidTr="001237BD">
        <w:trPr>
          <w:jc w:val="right"/>
        </w:trPr>
        <w:tc>
          <w:tcPr>
            <w:tcW w:w="4815" w:type="dxa"/>
          </w:tcPr>
          <w:p w14:paraId="263C2954" w14:textId="6597D3A8" w:rsidR="001237BD" w:rsidRDefault="001237BD" w:rsidP="008C3C45">
            <w:pPr>
              <w:pStyle w:val="Reftext"/>
              <w:spacing w:before="40" w:after="40"/>
              <w:ind w:left="0" w:firstLine="0"/>
              <w:rPr>
                <w:rFonts w:eastAsia="Batang"/>
              </w:rPr>
            </w:pPr>
            <w:r>
              <w:rPr>
                <w:rFonts w:eastAsia="Batang"/>
              </w:rPr>
              <w:t>Incorporation of texts by ITU-T</w:t>
            </w:r>
            <w:r w:rsidR="00D65AAD">
              <w:rPr>
                <w:rFonts w:eastAsia="Batang"/>
              </w:rPr>
              <w:t xml:space="preserve"> (including copyright arrangements)</w:t>
            </w:r>
          </w:p>
        </w:tc>
        <w:tc>
          <w:tcPr>
            <w:tcW w:w="2551" w:type="dxa"/>
            <w:shd w:val="clear" w:color="auto" w:fill="auto"/>
          </w:tcPr>
          <w:p w14:paraId="6D0A5414" w14:textId="77777777" w:rsidR="001237BD" w:rsidRDefault="001237BD" w:rsidP="008C3C45">
            <w:pPr>
              <w:pStyle w:val="Reftext"/>
              <w:spacing w:before="40" w:after="40"/>
              <w:ind w:left="0" w:firstLine="0"/>
              <w:rPr>
                <w:rFonts w:eastAsia="Batang"/>
              </w:rPr>
            </w:pPr>
            <w:r>
              <w:rPr>
                <w:rFonts w:eastAsia="Batang"/>
              </w:rPr>
              <w:t>A.4 (clause 2.4</w:t>
            </w:r>
            <w:r w:rsidRPr="00810DF4">
              <w:rPr>
                <w:rFonts w:eastAsia="Batang"/>
                <w:sz w:val="22"/>
                <w:szCs w:val="22"/>
              </w:rPr>
              <w:t xml:space="preserve"> on copyright arrangements</w:t>
            </w:r>
            <w:r>
              <w:rPr>
                <w:rFonts w:eastAsia="Batang"/>
              </w:rPr>
              <w:t>)</w:t>
            </w:r>
            <w:r>
              <w:rPr>
                <w:rFonts w:eastAsia="Batang"/>
              </w:rPr>
              <w:br/>
              <w:t>A.6 (clause 2.2.2)</w:t>
            </w:r>
          </w:p>
        </w:tc>
        <w:tc>
          <w:tcPr>
            <w:tcW w:w="2410" w:type="dxa"/>
            <w:shd w:val="clear" w:color="auto" w:fill="auto"/>
          </w:tcPr>
          <w:p w14:paraId="404877EE" w14:textId="77777777" w:rsidR="001237BD" w:rsidRDefault="001237BD" w:rsidP="008C3C45">
            <w:pPr>
              <w:pStyle w:val="Reftext"/>
              <w:spacing w:before="40" w:after="40"/>
              <w:ind w:left="0" w:firstLine="0"/>
              <w:rPr>
                <w:rFonts w:eastAsia="Batang"/>
              </w:rPr>
            </w:pPr>
            <w:r>
              <w:rPr>
                <w:rFonts w:eastAsia="Batang"/>
              </w:rPr>
              <w:t>A.25 (2022)</w:t>
            </w:r>
          </w:p>
        </w:tc>
      </w:tr>
      <w:tr w:rsidR="001237BD" w14:paraId="6DB942BE" w14:textId="77777777" w:rsidTr="001237BD">
        <w:trPr>
          <w:jc w:val="right"/>
        </w:trPr>
        <w:tc>
          <w:tcPr>
            <w:tcW w:w="4815" w:type="dxa"/>
          </w:tcPr>
          <w:p w14:paraId="70028ACC" w14:textId="550C75E2" w:rsidR="001237BD" w:rsidRDefault="001237BD" w:rsidP="008C3C45">
            <w:pPr>
              <w:pStyle w:val="Reftext"/>
              <w:spacing w:before="40" w:after="40"/>
              <w:ind w:left="0" w:firstLine="0"/>
              <w:rPr>
                <w:rFonts w:eastAsia="Batang"/>
              </w:rPr>
            </w:pPr>
            <w:r>
              <w:rPr>
                <w:rFonts w:eastAsia="Batang"/>
              </w:rPr>
              <w:t>Incorporation of texts by the other organization</w:t>
            </w:r>
            <w:r w:rsidR="00D65AAD">
              <w:rPr>
                <w:rFonts w:eastAsia="Batang"/>
              </w:rPr>
              <w:t xml:space="preserve"> (including copyright arrangements)</w:t>
            </w:r>
          </w:p>
        </w:tc>
        <w:tc>
          <w:tcPr>
            <w:tcW w:w="2551" w:type="dxa"/>
            <w:shd w:val="clear" w:color="auto" w:fill="auto"/>
          </w:tcPr>
          <w:p w14:paraId="2C93B79C" w14:textId="77777777" w:rsidR="001237BD" w:rsidRDefault="001237BD" w:rsidP="008C3C45">
            <w:pPr>
              <w:pStyle w:val="Reftext"/>
              <w:spacing w:before="40" w:after="40"/>
              <w:ind w:left="0" w:firstLine="0"/>
              <w:rPr>
                <w:rFonts w:eastAsia="Batang"/>
              </w:rPr>
            </w:pPr>
            <w:r>
              <w:rPr>
                <w:rFonts w:eastAsia="Batang"/>
              </w:rPr>
              <w:t>A.4 (clause 2.4</w:t>
            </w:r>
            <w:r w:rsidRPr="00810DF4">
              <w:rPr>
                <w:rFonts w:eastAsia="Batang"/>
                <w:sz w:val="22"/>
                <w:szCs w:val="22"/>
              </w:rPr>
              <w:t xml:space="preserve"> on copyright arrangements</w:t>
            </w:r>
            <w:r>
              <w:rPr>
                <w:rFonts w:eastAsia="Batang"/>
              </w:rPr>
              <w:t>)</w:t>
            </w:r>
            <w:r>
              <w:rPr>
                <w:rFonts w:eastAsia="Batang"/>
              </w:rPr>
              <w:br/>
              <w:t>A.6 (clause 2.2.1)</w:t>
            </w:r>
          </w:p>
        </w:tc>
        <w:tc>
          <w:tcPr>
            <w:tcW w:w="2410" w:type="dxa"/>
            <w:shd w:val="clear" w:color="auto" w:fill="auto"/>
          </w:tcPr>
          <w:p w14:paraId="39F7AD1F" w14:textId="77777777" w:rsidR="001237BD" w:rsidRDefault="001237BD" w:rsidP="008C3C45">
            <w:pPr>
              <w:pStyle w:val="Reftext"/>
              <w:spacing w:before="40" w:after="40"/>
              <w:ind w:left="0" w:firstLine="0"/>
              <w:rPr>
                <w:rFonts w:eastAsia="Batang"/>
              </w:rPr>
            </w:pPr>
            <w:r>
              <w:rPr>
                <w:rFonts w:eastAsia="Batang"/>
              </w:rPr>
              <w:t>A.25 (2022)</w:t>
            </w:r>
          </w:p>
        </w:tc>
      </w:tr>
    </w:tbl>
    <w:p w14:paraId="5CAAC6E6" w14:textId="294505E1" w:rsidR="001237BD" w:rsidRPr="00287637" w:rsidRDefault="004C4032" w:rsidP="00A04F93">
      <w:pPr>
        <w:spacing w:before="0"/>
        <w:rPr>
          <w:i/>
          <w:iCs/>
          <w:sz w:val="22"/>
          <w:szCs w:val="22"/>
        </w:rPr>
      </w:pPr>
      <w:r w:rsidRPr="00287637">
        <w:rPr>
          <w:i/>
          <w:iCs/>
          <w:sz w:val="22"/>
          <w:szCs w:val="22"/>
        </w:rPr>
        <w:t>Editor's note: The yellow-highlighting will be remove</w:t>
      </w:r>
      <w:r w:rsidR="00287637">
        <w:rPr>
          <w:i/>
          <w:iCs/>
          <w:sz w:val="22"/>
          <w:szCs w:val="22"/>
        </w:rPr>
        <w:t>d</w:t>
      </w:r>
      <w:r w:rsidRPr="00287637">
        <w:rPr>
          <w:i/>
          <w:iCs/>
          <w:sz w:val="22"/>
          <w:szCs w:val="22"/>
        </w:rPr>
        <w:t xml:space="preserve"> i</w:t>
      </w:r>
      <w:r w:rsidR="00287637">
        <w:rPr>
          <w:i/>
          <w:iCs/>
          <w:sz w:val="22"/>
          <w:szCs w:val="22"/>
        </w:rPr>
        <w:t>f</w:t>
      </w:r>
      <w:r w:rsidRPr="00287637">
        <w:rPr>
          <w:i/>
          <w:iCs/>
          <w:sz w:val="22"/>
          <w:szCs w:val="22"/>
        </w:rPr>
        <w:t xml:space="preserve"> </w:t>
      </w:r>
      <w:r w:rsidR="00287637">
        <w:rPr>
          <w:i/>
          <w:iCs/>
          <w:sz w:val="22"/>
          <w:szCs w:val="22"/>
        </w:rPr>
        <w:t xml:space="preserve">the revision to </w:t>
      </w:r>
      <w:r w:rsidRPr="00287637">
        <w:rPr>
          <w:i/>
          <w:iCs/>
          <w:sz w:val="22"/>
          <w:szCs w:val="22"/>
        </w:rPr>
        <w:t xml:space="preserve">Supplement 5 to the A-series of Recommendations </w:t>
      </w:r>
      <w:r w:rsidR="00287637">
        <w:rPr>
          <w:i/>
          <w:iCs/>
          <w:sz w:val="22"/>
          <w:szCs w:val="22"/>
        </w:rPr>
        <w:t xml:space="preserve">is agreed by TSAG </w:t>
      </w:r>
      <w:r w:rsidRPr="00287637">
        <w:rPr>
          <w:i/>
          <w:iCs/>
          <w:sz w:val="22"/>
          <w:szCs w:val="22"/>
        </w:rPr>
        <w:t xml:space="preserve">at its meeting </w:t>
      </w:r>
      <w:r w:rsidR="00287637" w:rsidRPr="00287637">
        <w:rPr>
          <w:i/>
          <w:iCs/>
          <w:sz w:val="22"/>
          <w:szCs w:val="22"/>
        </w:rPr>
        <w:t>on 22-26 January 2024.</w:t>
      </w:r>
    </w:p>
    <w:p w14:paraId="6BAFB1B1" w14:textId="0E2C2214" w:rsidR="00542290" w:rsidRDefault="00542290" w:rsidP="008C5A9A">
      <w:r>
        <w:t xml:space="preserve">Regarding the history of organizations already qualified </w:t>
      </w:r>
      <w:r w:rsidR="00813A09">
        <w:t xml:space="preserve">according to Recommendations ITU-T A.4 or ITU-T A.6, </w:t>
      </w:r>
      <w:r>
        <w:t>TSAG agreed that</w:t>
      </w:r>
      <w:r w:rsidR="00813A09">
        <w:t>, once these Recommendations are effectively deleted</w:t>
      </w:r>
      <w:r>
        <w:t>:</w:t>
      </w:r>
    </w:p>
    <w:p w14:paraId="39543F1C" w14:textId="117C6559" w:rsidR="001D35A8" w:rsidRDefault="00813A09" w:rsidP="00813A09">
      <w:pPr>
        <w:pStyle w:val="ListParagraph"/>
        <w:numPr>
          <w:ilvl w:val="0"/>
          <w:numId w:val="41"/>
        </w:numPr>
        <w:spacing w:before="80" w:after="80"/>
      </w:pPr>
      <w:r>
        <w:t>O</w:t>
      </w:r>
      <w:r w:rsidR="001D35A8">
        <w:t xml:space="preserve">rganizations currently A.4-qualified will be moved to the </w:t>
      </w:r>
      <w:hyperlink r:id="rId16" w:history="1">
        <w:r w:rsidR="001D35A8" w:rsidRPr="008E0920">
          <w:rPr>
            <w:rStyle w:val="Hyperlink"/>
          </w:rPr>
          <w:t>archived list of qualified organizations</w:t>
        </w:r>
      </w:hyperlink>
      <w:r w:rsidR="001D35A8">
        <w:t xml:space="preserve">. If needed, these organizations can be </w:t>
      </w:r>
      <w:r w:rsidR="00B2330F">
        <w:t xml:space="preserve">proposed for </w:t>
      </w:r>
      <w:r w:rsidR="001D35A8">
        <w:t>A.5-qualifi</w:t>
      </w:r>
      <w:r w:rsidR="006D3494">
        <w:t xml:space="preserve">cation by </w:t>
      </w:r>
      <w:r w:rsidR="001D35A8">
        <w:t xml:space="preserve">a study group if there is a need to make a normative reference </w:t>
      </w:r>
      <w:r w:rsidR="006D3494">
        <w:t xml:space="preserve">to, </w:t>
      </w:r>
      <w:r w:rsidR="001D35A8">
        <w:t>or to incorporate text from</w:t>
      </w:r>
      <w:r w:rsidR="006D3494">
        <w:t>,</w:t>
      </w:r>
      <w:r w:rsidR="001D35A8">
        <w:t xml:space="preserve"> </w:t>
      </w:r>
      <w:r w:rsidR="006D3494">
        <w:t xml:space="preserve">a specification of </w:t>
      </w:r>
      <w:r w:rsidR="001D35A8">
        <w:t>the external organization.</w:t>
      </w:r>
      <w:r w:rsidR="001D35A8">
        <w:br/>
      </w:r>
      <w:r w:rsidR="001D35A8" w:rsidRPr="00AE19B0">
        <w:rPr>
          <w:sz w:val="22"/>
          <w:szCs w:val="22"/>
        </w:rPr>
        <w:t>N</w:t>
      </w:r>
      <w:r w:rsidR="00A04F93">
        <w:rPr>
          <w:sz w:val="22"/>
          <w:szCs w:val="22"/>
        </w:rPr>
        <w:t>OTE</w:t>
      </w:r>
      <w:r w:rsidR="001D35A8" w:rsidRPr="00AE19B0">
        <w:rPr>
          <w:sz w:val="22"/>
          <w:szCs w:val="22"/>
        </w:rPr>
        <w:t xml:space="preserve"> – In </w:t>
      </w:r>
      <w:hyperlink r:id="rId17" w:history="1">
        <w:r w:rsidR="001D35A8" w:rsidRPr="00AE19B0">
          <w:rPr>
            <w:rStyle w:val="Hyperlink"/>
            <w:sz w:val="22"/>
            <w:szCs w:val="22"/>
          </w:rPr>
          <w:t>TD 181 [2013-2016]</w:t>
        </w:r>
      </w:hyperlink>
      <w:r w:rsidR="001D35A8" w:rsidRPr="00AE19B0">
        <w:rPr>
          <w:sz w:val="22"/>
          <w:szCs w:val="22"/>
        </w:rPr>
        <w:t>, TSB listed the reason why A.4-qualified only organizations requested their qualification and in almost all cases, the objective was to establish a formal communication process</w:t>
      </w:r>
      <w:r w:rsidR="001D35A8">
        <w:rPr>
          <w:sz w:val="22"/>
          <w:szCs w:val="22"/>
        </w:rPr>
        <w:t xml:space="preserve">, now covered by </w:t>
      </w:r>
      <w:hyperlink r:id="rId18" w:history="1">
        <w:r w:rsidR="001D35A8" w:rsidRPr="007D393A">
          <w:rPr>
            <w:rStyle w:val="Hyperlink"/>
            <w:sz w:val="22"/>
            <w:szCs w:val="22"/>
          </w:rPr>
          <w:t>Supplement 5 to the ITU-T A-series of Recommendations</w:t>
        </w:r>
      </w:hyperlink>
      <w:r w:rsidR="001D35A8" w:rsidRPr="00AE19B0">
        <w:rPr>
          <w:sz w:val="22"/>
          <w:szCs w:val="22"/>
        </w:rPr>
        <w:t>.</w:t>
      </w:r>
    </w:p>
    <w:p w14:paraId="7005D89B" w14:textId="16C9C356" w:rsidR="001D35A8" w:rsidRDefault="00813A09" w:rsidP="00813A09">
      <w:pPr>
        <w:pStyle w:val="ListParagraph"/>
        <w:numPr>
          <w:ilvl w:val="0"/>
          <w:numId w:val="41"/>
        </w:numPr>
        <w:spacing w:before="80" w:after="80"/>
      </w:pPr>
      <w:r>
        <w:t>O</w:t>
      </w:r>
      <w:r w:rsidR="001D35A8">
        <w:t xml:space="preserve">rganizations currently A.6-qualified </w:t>
      </w:r>
      <w:r w:rsidR="006D3494">
        <w:t xml:space="preserve">are also A.5-qualified, therefore they </w:t>
      </w:r>
      <w:r w:rsidR="001D35A8">
        <w:t xml:space="preserve">will stay on the </w:t>
      </w:r>
      <w:hyperlink r:id="rId19" w:history="1">
        <w:r w:rsidR="001D35A8" w:rsidRPr="009D18EC">
          <w:rPr>
            <w:rStyle w:val="Hyperlink"/>
          </w:rPr>
          <w:t>list of qualified organizations</w:t>
        </w:r>
      </w:hyperlink>
      <w:r w:rsidR="001D35A8">
        <w:t xml:space="preserve"> as organizations.</w:t>
      </w:r>
    </w:p>
    <w:p w14:paraId="74039454" w14:textId="3564297B" w:rsidR="00DF4500" w:rsidRPr="0068196C" w:rsidRDefault="008C5A9A" w:rsidP="00DA4466">
      <w:pPr>
        <w:jc w:val="center"/>
      </w:pPr>
      <w:bookmarkStart w:id="11" w:name="_Hlk98856042"/>
      <w:r w:rsidRPr="00DF123C">
        <w:t>_______________________</w:t>
      </w:r>
      <w:bookmarkEnd w:id="11"/>
    </w:p>
    <w:sectPr w:rsidR="00DF4500" w:rsidRPr="0068196C" w:rsidSect="004C1FCF">
      <w:headerReference w:type="default" r:id="rId20"/>
      <w:footerReference w:type="even" r:id="rId21"/>
      <w:footerReference w:type="default" r:id="rId22"/>
      <w:footerReference w:type="first" r:id="rId23"/>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9EB9" w14:textId="77777777" w:rsidR="00CE3C8D" w:rsidRDefault="00CE3C8D" w:rsidP="00C42125">
      <w:pPr>
        <w:spacing w:before="0"/>
      </w:pPr>
      <w:r>
        <w:separator/>
      </w:r>
    </w:p>
  </w:endnote>
  <w:endnote w:type="continuationSeparator" w:id="0">
    <w:p w14:paraId="6517E141" w14:textId="77777777" w:rsidR="00CE3C8D" w:rsidRDefault="00CE3C8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338B" w14:textId="77777777" w:rsidR="00CE3C8D" w:rsidRDefault="00CE3C8D" w:rsidP="00C42125">
      <w:pPr>
        <w:spacing w:before="0"/>
      </w:pPr>
      <w:r>
        <w:separator/>
      </w:r>
    </w:p>
  </w:footnote>
  <w:footnote w:type="continuationSeparator" w:id="0">
    <w:p w14:paraId="58265959" w14:textId="77777777" w:rsidR="00CE3C8D" w:rsidRDefault="00CE3C8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55809E6C"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8B2F88">
      <w:rPr>
        <w:noProof/>
      </w:rPr>
      <w:t>TSAG-TD394</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4E622DB"/>
    <w:multiLevelType w:val="hybridMultilevel"/>
    <w:tmpl w:val="5498E64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85F659D"/>
    <w:multiLevelType w:val="hybridMultilevel"/>
    <w:tmpl w:val="F27E9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F085FBC"/>
    <w:multiLevelType w:val="hybridMultilevel"/>
    <w:tmpl w:val="11A2C1BE"/>
    <w:lvl w:ilvl="0" w:tplc="43BA996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A1841C6"/>
    <w:multiLevelType w:val="hybridMultilevel"/>
    <w:tmpl w:val="96ACD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15737"/>
    <w:multiLevelType w:val="hybridMultilevel"/>
    <w:tmpl w:val="FB3CE334"/>
    <w:lvl w:ilvl="0" w:tplc="040C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FB201A1"/>
    <w:multiLevelType w:val="hybridMultilevel"/>
    <w:tmpl w:val="C89A55C0"/>
    <w:lvl w:ilvl="0" w:tplc="040C0019">
      <w:start w:val="1"/>
      <w:numFmt w:val="lowerLetter"/>
      <w:lvlText w:val="%1."/>
      <w:lvlJc w:val="left"/>
      <w:pPr>
        <w:ind w:left="720" w:hanging="360"/>
      </w:pPr>
    </w:lvl>
    <w:lvl w:ilvl="1" w:tplc="F928358C">
      <w:numFmt w:val="bullet"/>
      <w:lvlText w:val=""/>
      <w:lvlJc w:val="left"/>
      <w:pPr>
        <w:ind w:left="1440" w:hanging="360"/>
      </w:pPr>
      <w:rPr>
        <w:rFonts w:ascii="Times New Roman" w:eastAsiaTheme="minorEastAsia"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0BD080B"/>
    <w:multiLevelType w:val="hybridMultilevel"/>
    <w:tmpl w:val="6932FDA0"/>
    <w:lvl w:ilvl="0" w:tplc="0409000F">
      <w:start w:val="1"/>
      <w:numFmt w:val="decimal"/>
      <w:lvlText w:val="%1."/>
      <w:lvlJc w:val="left"/>
      <w:pPr>
        <w:ind w:left="842" w:hanging="360"/>
      </w:pPr>
    </w:lvl>
    <w:lvl w:ilvl="1" w:tplc="04090019">
      <w:start w:val="1"/>
      <w:numFmt w:val="lowerLetter"/>
      <w:lvlText w:val="%2."/>
      <w:lvlJc w:val="left"/>
      <w:pPr>
        <w:ind w:left="1562" w:hanging="360"/>
      </w:pPr>
    </w:lvl>
    <w:lvl w:ilvl="2" w:tplc="0409001B">
      <w:start w:val="1"/>
      <w:numFmt w:val="lowerRoman"/>
      <w:lvlText w:val="%3."/>
      <w:lvlJc w:val="right"/>
      <w:pPr>
        <w:ind w:left="2282" w:hanging="180"/>
      </w:pPr>
    </w:lvl>
    <w:lvl w:ilvl="3" w:tplc="0409000F">
      <w:start w:val="1"/>
      <w:numFmt w:val="decimal"/>
      <w:lvlText w:val="%4."/>
      <w:lvlJc w:val="left"/>
      <w:pPr>
        <w:ind w:left="3002" w:hanging="360"/>
      </w:pPr>
    </w:lvl>
    <w:lvl w:ilvl="4" w:tplc="04090019">
      <w:start w:val="1"/>
      <w:numFmt w:val="lowerLetter"/>
      <w:lvlText w:val="%5."/>
      <w:lvlJc w:val="left"/>
      <w:pPr>
        <w:ind w:left="3722" w:hanging="360"/>
      </w:pPr>
    </w:lvl>
    <w:lvl w:ilvl="5" w:tplc="0409001B">
      <w:start w:val="1"/>
      <w:numFmt w:val="lowerRoman"/>
      <w:lvlText w:val="%6."/>
      <w:lvlJc w:val="right"/>
      <w:pPr>
        <w:ind w:left="4442" w:hanging="180"/>
      </w:pPr>
    </w:lvl>
    <w:lvl w:ilvl="6" w:tplc="0409000F">
      <w:start w:val="1"/>
      <w:numFmt w:val="decimal"/>
      <w:lvlText w:val="%7."/>
      <w:lvlJc w:val="left"/>
      <w:pPr>
        <w:ind w:left="5162" w:hanging="360"/>
      </w:pPr>
    </w:lvl>
    <w:lvl w:ilvl="7" w:tplc="04090019">
      <w:start w:val="1"/>
      <w:numFmt w:val="lowerLetter"/>
      <w:lvlText w:val="%8."/>
      <w:lvlJc w:val="left"/>
      <w:pPr>
        <w:ind w:left="5882" w:hanging="360"/>
      </w:pPr>
    </w:lvl>
    <w:lvl w:ilvl="8" w:tplc="0409001B">
      <w:start w:val="1"/>
      <w:numFmt w:val="lowerRoman"/>
      <w:lvlText w:val="%9."/>
      <w:lvlJc w:val="right"/>
      <w:pPr>
        <w:ind w:left="6602" w:hanging="180"/>
      </w:pPr>
    </w:lvl>
  </w:abstractNum>
  <w:abstractNum w:abstractNumId="23" w15:restartNumberingAfterBreak="0">
    <w:nsid w:val="31B355FD"/>
    <w:multiLevelType w:val="hybridMultilevel"/>
    <w:tmpl w:val="3C4468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38E04E9"/>
    <w:multiLevelType w:val="hybridMultilevel"/>
    <w:tmpl w:val="BB1223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C07879"/>
    <w:multiLevelType w:val="hybridMultilevel"/>
    <w:tmpl w:val="62A845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0CC5721"/>
    <w:multiLevelType w:val="hybridMultilevel"/>
    <w:tmpl w:val="62A845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2135EBF"/>
    <w:multiLevelType w:val="hybridMultilevel"/>
    <w:tmpl w:val="96ACD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69724E0"/>
    <w:multiLevelType w:val="hybridMultilevel"/>
    <w:tmpl w:val="020A917A"/>
    <w:lvl w:ilvl="0" w:tplc="B2CA5CEC">
      <w:start w:val="1"/>
      <w:numFmt w:val="bullet"/>
      <w:lvlText w:val="-"/>
      <w:lvlJc w:val="left"/>
      <w:pPr>
        <w:ind w:left="360" w:hanging="360"/>
      </w:pPr>
      <w:rPr>
        <w:rFonts w:ascii="Times New Roman" w:eastAsia="DengXian" w:hAnsi="Times New Roman" w:cs="Times New Roman" w:hint="default"/>
      </w:rPr>
    </w:lvl>
    <w:lvl w:ilvl="1" w:tplc="AAB0BE82">
      <w:start w:val="1"/>
      <w:numFmt w:val="bullet"/>
      <w:lvlText w:val="-"/>
      <w:lvlJc w:val="left"/>
      <w:pPr>
        <w:ind w:left="1080" w:hanging="360"/>
      </w:pPr>
      <w:rPr>
        <w:rFonts w:ascii="Times New Roman" w:eastAsiaTheme="minorEastAsia" w:hAnsi="Times New Roman" w:cs="Times New Roman"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DCD10CB"/>
    <w:multiLevelType w:val="hybridMultilevel"/>
    <w:tmpl w:val="D8FAACC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8" w15:restartNumberingAfterBreak="0">
    <w:nsid w:val="6E0C1BD7"/>
    <w:multiLevelType w:val="hybridMultilevel"/>
    <w:tmpl w:val="B81A5768"/>
    <w:lvl w:ilvl="0" w:tplc="040C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F04B47"/>
    <w:multiLevelType w:val="hybridMultilevel"/>
    <w:tmpl w:val="96ACD9B2"/>
    <w:lvl w:ilvl="0" w:tplc="B0985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8"/>
  </w:num>
  <w:num w:numId="12" w16cid:durableId="628324437">
    <w:abstractNumId w:val="28"/>
  </w:num>
  <w:num w:numId="13" w16cid:durableId="1673484047">
    <w:abstractNumId w:val="36"/>
  </w:num>
  <w:num w:numId="14" w16cid:durableId="1977877175">
    <w:abstractNumId w:val="31"/>
  </w:num>
  <w:num w:numId="15" w16cid:durableId="1208101695">
    <w:abstractNumId w:val="20"/>
  </w:num>
  <w:num w:numId="16" w16cid:durableId="1689869113">
    <w:abstractNumId w:val="26"/>
  </w:num>
  <w:num w:numId="17" w16cid:durableId="1481576085">
    <w:abstractNumId w:val="16"/>
  </w:num>
  <w:num w:numId="18" w16cid:durableId="6518632">
    <w:abstractNumId w:val="27"/>
  </w:num>
  <w:num w:numId="19" w16cid:durableId="601960827">
    <w:abstractNumId w:val="35"/>
  </w:num>
  <w:num w:numId="20" w16cid:durableId="1928691294">
    <w:abstractNumId w:val="10"/>
  </w:num>
  <w:num w:numId="21" w16cid:durableId="2038776431">
    <w:abstractNumId w:val="13"/>
  </w:num>
  <w:num w:numId="22" w16cid:durableId="412051555">
    <w:abstractNumId w:val="32"/>
  </w:num>
  <w:num w:numId="23" w16cid:durableId="1784110109">
    <w:abstractNumId w:val="34"/>
  </w:num>
  <w:num w:numId="24" w16cid:durableId="1478378992">
    <w:abstractNumId w:val="14"/>
  </w:num>
  <w:num w:numId="25" w16cid:durableId="1703163138">
    <w:abstractNumId w:val="40"/>
  </w:num>
  <w:num w:numId="26" w16cid:durableId="89931673">
    <w:abstractNumId w:val="15"/>
  </w:num>
  <w:num w:numId="27" w16cid:durableId="1801533989">
    <w:abstractNumId w:val="39"/>
  </w:num>
  <w:num w:numId="28" w16cid:durableId="2096245728">
    <w:abstractNumId w:val="24"/>
  </w:num>
  <w:num w:numId="29" w16cid:durableId="1933053369">
    <w:abstractNumId w:val="21"/>
  </w:num>
  <w:num w:numId="30" w16cid:durableId="2288539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1595310">
    <w:abstractNumId w:val="33"/>
  </w:num>
  <w:num w:numId="32" w16cid:durableId="2031812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4621040">
    <w:abstractNumId w:val="17"/>
  </w:num>
  <w:num w:numId="34" w16cid:durableId="325406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6523491">
    <w:abstractNumId w:val="30"/>
  </w:num>
  <w:num w:numId="36" w16cid:durableId="449517622">
    <w:abstractNumId w:val="12"/>
  </w:num>
  <w:num w:numId="37" w16cid:durableId="925919756">
    <w:abstractNumId w:val="19"/>
  </w:num>
  <w:num w:numId="38" w16cid:durableId="1267738262">
    <w:abstractNumId w:val="11"/>
  </w:num>
  <w:num w:numId="39" w16cid:durableId="1421563692">
    <w:abstractNumId w:val="25"/>
  </w:num>
  <w:num w:numId="40" w16cid:durableId="138573460">
    <w:abstractNumId w:val="38"/>
  </w:num>
  <w:num w:numId="41" w16cid:durableId="15426704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7212"/>
    <w:rsid w:val="00011881"/>
    <w:rsid w:val="00014F69"/>
    <w:rsid w:val="000171DB"/>
    <w:rsid w:val="00023D9A"/>
    <w:rsid w:val="0002429B"/>
    <w:rsid w:val="0003582E"/>
    <w:rsid w:val="00043D75"/>
    <w:rsid w:val="00052BF8"/>
    <w:rsid w:val="00057000"/>
    <w:rsid w:val="000640E0"/>
    <w:rsid w:val="00071521"/>
    <w:rsid w:val="00086D80"/>
    <w:rsid w:val="000966A8"/>
    <w:rsid w:val="000A0A5C"/>
    <w:rsid w:val="000A3F1B"/>
    <w:rsid w:val="000A5CA2"/>
    <w:rsid w:val="000A6ED7"/>
    <w:rsid w:val="000C51BD"/>
    <w:rsid w:val="000C5715"/>
    <w:rsid w:val="000D0BB5"/>
    <w:rsid w:val="000E1CE5"/>
    <w:rsid w:val="000E3C61"/>
    <w:rsid w:val="000E3C87"/>
    <w:rsid w:val="000E3E55"/>
    <w:rsid w:val="000E514A"/>
    <w:rsid w:val="000E5D18"/>
    <w:rsid w:val="000E6083"/>
    <w:rsid w:val="000E6125"/>
    <w:rsid w:val="000F4EA6"/>
    <w:rsid w:val="000F6A22"/>
    <w:rsid w:val="000F7566"/>
    <w:rsid w:val="000F76BC"/>
    <w:rsid w:val="00100675"/>
    <w:rsid w:val="00100BAF"/>
    <w:rsid w:val="001052B0"/>
    <w:rsid w:val="0010688C"/>
    <w:rsid w:val="00113DBE"/>
    <w:rsid w:val="00114FA6"/>
    <w:rsid w:val="00115941"/>
    <w:rsid w:val="001200A6"/>
    <w:rsid w:val="001237BD"/>
    <w:rsid w:val="0012434F"/>
    <w:rsid w:val="001251DA"/>
    <w:rsid w:val="00125432"/>
    <w:rsid w:val="00132C98"/>
    <w:rsid w:val="001350F7"/>
    <w:rsid w:val="00136DDD"/>
    <w:rsid w:val="00137F40"/>
    <w:rsid w:val="00144BDF"/>
    <w:rsid w:val="00151F99"/>
    <w:rsid w:val="001551A9"/>
    <w:rsid w:val="00155DDC"/>
    <w:rsid w:val="00174F10"/>
    <w:rsid w:val="001871EC"/>
    <w:rsid w:val="00196B5E"/>
    <w:rsid w:val="00197B78"/>
    <w:rsid w:val="001A20C3"/>
    <w:rsid w:val="001A4296"/>
    <w:rsid w:val="001A670F"/>
    <w:rsid w:val="001B13F5"/>
    <w:rsid w:val="001B2508"/>
    <w:rsid w:val="001B2BF3"/>
    <w:rsid w:val="001B332F"/>
    <w:rsid w:val="001B6A45"/>
    <w:rsid w:val="001C0A04"/>
    <w:rsid w:val="001C1003"/>
    <w:rsid w:val="001C4B91"/>
    <w:rsid w:val="001C62B8"/>
    <w:rsid w:val="001C6A69"/>
    <w:rsid w:val="001D033C"/>
    <w:rsid w:val="001D1801"/>
    <w:rsid w:val="001D22D8"/>
    <w:rsid w:val="001D30BB"/>
    <w:rsid w:val="001D3553"/>
    <w:rsid w:val="001D35A8"/>
    <w:rsid w:val="001D4296"/>
    <w:rsid w:val="001D66B2"/>
    <w:rsid w:val="001E7B0E"/>
    <w:rsid w:val="001F141D"/>
    <w:rsid w:val="001F19DE"/>
    <w:rsid w:val="001F4782"/>
    <w:rsid w:val="001F65FA"/>
    <w:rsid w:val="00200A06"/>
    <w:rsid w:val="00200A98"/>
    <w:rsid w:val="00201AFA"/>
    <w:rsid w:val="00213FD0"/>
    <w:rsid w:val="002229F1"/>
    <w:rsid w:val="00230B96"/>
    <w:rsid w:val="00231AAC"/>
    <w:rsid w:val="00232B84"/>
    <w:rsid w:val="00233F75"/>
    <w:rsid w:val="00243355"/>
    <w:rsid w:val="0024385D"/>
    <w:rsid w:val="00247AF2"/>
    <w:rsid w:val="0025233B"/>
    <w:rsid w:val="002528F9"/>
    <w:rsid w:val="00253DBE"/>
    <w:rsid w:val="00253DC6"/>
    <w:rsid w:val="0025489C"/>
    <w:rsid w:val="00261B73"/>
    <w:rsid w:val="002622FA"/>
    <w:rsid w:val="00263518"/>
    <w:rsid w:val="002759E7"/>
    <w:rsid w:val="00277326"/>
    <w:rsid w:val="0028569D"/>
    <w:rsid w:val="00287637"/>
    <w:rsid w:val="00293A59"/>
    <w:rsid w:val="002956F7"/>
    <w:rsid w:val="002A11C4"/>
    <w:rsid w:val="002A399B"/>
    <w:rsid w:val="002A4B6B"/>
    <w:rsid w:val="002A5BF2"/>
    <w:rsid w:val="002B65AD"/>
    <w:rsid w:val="002C26C0"/>
    <w:rsid w:val="002C2A5E"/>
    <w:rsid w:val="002C2BC5"/>
    <w:rsid w:val="002D379F"/>
    <w:rsid w:val="002D7F85"/>
    <w:rsid w:val="002E0407"/>
    <w:rsid w:val="002E79CB"/>
    <w:rsid w:val="002F0471"/>
    <w:rsid w:val="002F1714"/>
    <w:rsid w:val="002F24C5"/>
    <w:rsid w:val="002F5CA7"/>
    <w:rsid w:val="002F73DE"/>
    <w:rsid w:val="002F7F55"/>
    <w:rsid w:val="0030745F"/>
    <w:rsid w:val="00314630"/>
    <w:rsid w:val="0032090A"/>
    <w:rsid w:val="00320EF9"/>
    <w:rsid w:val="00321CDE"/>
    <w:rsid w:val="00324901"/>
    <w:rsid w:val="003318A5"/>
    <w:rsid w:val="00333E15"/>
    <w:rsid w:val="00341038"/>
    <w:rsid w:val="003416D3"/>
    <w:rsid w:val="0034439E"/>
    <w:rsid w:val="00352009"/>
    <w:rsid w:val="0035247C"/>
    <w:rsid w:val="003571BC"/>
    <w:rsid w:val="00357285"/>
    <w:rsid w:val="00357B44"/>
    <w:rsid w:val="0036090C"/>
    <w:rsid w:val="00361D4B"/>
    <w:rsid w:val="00364979"/>
    <w:rsid w:val="00366F44"/>
    <w:rsid w:val="00371FB3"/>
    <w:rsid w:val="00373FA9"/>
    <w:rsid w:val="00375650"/>
    <w:rsid w:val="00382B73"/>
    <w:rsid w:val="00385B9C"/>
    <w:rsid w:val="00385FB5"/>
    <w:rsid w:val="0038715D"/>
    <w:rsid w:val="003909FD"/>
    <w:rsid w:val="00392384"/>
    <w:rsid w:val="00392E84"/>
    <w:rsid w:val="00394B0B"/>
    <w:rsid w:val="00394DBF"/>
    <w:rsid w:val="003957A6"/>
    <w:rsid w:val="0039653E"/>
    <w:rsid w:val="00397713"/>
    <w:rsid w:val="003A43EF"/>
    <w:rsid w:val="003B267D"/>
    <w:rsid w:val="003B60A2"/>
    <w:rsid w:val="003C5CF6"/>
    <w:rsid w:val="003C7445"/>
    <w:rsid w:val="003D57B6"/>
    <w:rsid w:val="003E0D40"/>
    <w:rsid w:val="003E39A2"/>
    <w:rsid w:val="003E57AB"/>
    <w:rsid w:val="003E773F"/>
    <w:rsid w:val="003F0883"/>
    <w:rsid w:val="003F2BED"/>
    <w:rsid w:val="003F4187"/>
    <w:rsid w:val="003F7756"/>
    <w:rsid w:val="003F7F15"/>
    <w:rsid w:val="00400B49"/>
    <w:rsid w:val="0040415B"/>
    <w:rsid w:val="0040425C"/>
    <w:rsid w:val="0041030C"/>
    <w:rsid w:val="004139E4"/>
    <w:rsid w:val="00415999"/>
    <w:rsid w:val="004178AF"/>
    <w:rsid w:val="00432A5C"/>
    <w:rsid w:val="00443878"/>
    <w:rsid w:val="0044402C"/>
    <w:rsid w:val="004461C9"/>
    <w:rsid w:val="004539A8"/>
    <w:rsid w:val="00454F6D"/>
    <w:rsid w:val="004646F1"/>
    <w:rsid w:val="004712CA"/>
    <w:rsid w:val="00473062"/>
    <w:rsid w:val="0047422E"/>
    <w:rsid w:val="00474708"/>
    <w:rsid w:val="004866A1"/>
    <w:rsid w:val="004867C5"/>
    <w:rsid w:val="00490B5D"/>
    <w:rsid w:val="00492D80"/>
    <w:rsid w:val="0049674B"/>
    <w:rsid w:val="004B52D7"/>
    <w:rsid w:val="004B753D"/>
    <w:rsid w:val="004B778C"/>
    <w:rsid w:val="004C0673"/>
    <w:rsid w:val="004C1FCF"/>
    <w:rsid w:val="004C2A92"/>
    <w:rsid w:val="004C4032"/>
    <w:rsid w:val="004C4E4E"/>
    <w:rsid w:val="004D1849"/>
    <w:rsid w:val="004D22ED"/>
    <w:rsid w:val="004E08F2"/>
    <w:rsid w:val="004E3968"/>
    <w:rsid w:val="004F2CAC"/>
    <w:rsid w:val="004F3816"/>
    <w:rsid w:val="004F4968"/>
    <w:rsid w:val="004F4C4F"/>
    <w:rsid w:val="004F500A"/>
    <w:rsid w:val="005126A0"/>
    <w:rsid w:val="005138EF"/>
    <w:rsid w:val="00514CA8"/>
    <w:rsid w:val="005227A5"/>
    <w:rsid w:val="005250B6"/>
    <w:rsid w:val="00542290"/>
    <w:rsid w:val="00543D41"/>
    <w:rsid w:val="00544014"/>
    <w:rsid w:val="00545472"/>
    <w:rsid w:val="00554EF7"/>
    <w:rsid w:val="005571A4"/>
    <w:rsid w:val="005604FC"/>
    <w:rsid w:val="00565A9D"/>
    <w:rsid w:val="00566EDA"/>
    <w:rsid w:val="0057081A"/>
    <w:rsid w:val="00572654"/>
    <w:rsid w:val="00574DC0"/>
    <w:rsid w:val="00577AC8"/>
    <w:rsid w:val="00590B27"/>
    <w:rsid w:val="00595404"/>
    <w:rsid w:val="005976A1"/>
    <w:rsid w:val="005A34E7"/>
    <w:rsid w:val="005A69A3"/>
    <w:rsid w:val="005B1E1F"/>
    <w:rsid w:val="005B36CC"/>
    <w:rsid w:val="005B5629"/>
    <w:rsid w:val="005C0300"/>
    <w:rsid w:val="005C27A2"/>
    <w:rsid w:val="005C659D"/>
    <w:rsid w:val="005D0E92"/>
    <w:rsid w:val="005D4FEB"/>
    <w:rsid w:val="005D65ED"/>
    <w:rsid w:val="005E0E6C"/>
    <w:rsid w:val="005F1689"/>
    <w:rsid w:val="005F4B6A"/>
    <w:rsid w:val="006010F3"/>
    <w:rsid w:val="006036E9"/>
    <w:rsid w:val="0061080C"/>
    <w:rsid w:val="00615A0A"/>
    <w:rsid w:val="00617D6F"/>
    <w:rsid w:val="006271E5"/>
    <w:rsid w:val="006333D4"/>
    <w:rsid w:val="006369B2"/>
    <w:rsid w:val="0063718D"/>
    <w:rsid w:val="00647525"/>
    <w:rsid w:val="00647A71"/>
    <w:rsid w:val="006530A8"/>
    <w:rsid w:val="006570B0"/>
    <w:rsid w:val="0066022F"/>
    <w:rsid w:val="00666F0B"/>
    <w:rsid w:val="006725E1"/>
    <w:rsid w:val="0067408F"/>
    <w:rsid w:val="006811F1"/>
    <w:rsid w:val="0068196C"/>
    <w:rsid w:val="006823F3"/>
    <w:rsid w:val="0069210B"/>
    <w:rsid w:val="00693139"/>
    <w:rsid w:val="00695DD7"/>
    <w:rsid w:val="006A0F3F"/>
    <w:rsid w:val="006A2A02"/>
    <w:rsid w:val="006A4055"/>
    <w:rsid w:val="006A5FB6"/>
    <w:rsid w:val="006A7C27"/>
    <w:rsid w:val="006B2FE4"/>
    <w:rsid w:val="006B37B0"/>
    <w:rsid w:val="006B6BA2"/>
    <w:rsid w:val="006C5641"/>
    <w:rsid w:val="006D1089"/>
    <w:rsid w:val="006D1B86"/>
    <w:rsid w:val="006D3494"/>
    <w:rsid w:val="006D4F68"/>
    <w:rsid w:val="006D5F02"/>
    <w:rsid w:val="006D6FAC"/>
    <w:rsid w:val="006D7355"/>
    <w:rsid w:val="006F4C52"/>
    <w:rsid w:val="006F591D"/>
    <w:rsid w:val="006F5FB2"/>
    <w:rsid w:val="006F6F40"/>
    <w:rsid w:val="006F7DEE"/>
    <w:rsid w:val="00715CA6"/>
    <w:rsid w:val="00731135"/>
    <w:rsid w:val="007324AF"/>
    <w:rsid w:val="0073502C"/>
    <w:rsid w:val="00735B3E"/>
    <w:rsid w:val="007409B4"/>
    <w:rsid w:val="00741974"/>
    <w:rsid w:val="00745260"/>
    <w:rsid w:val="007454B6"/>
    <w:rsid w:val="00751B94"/>
    <w:rsid w:val="0075525E"/>
    <w:rsid w:val="00756D3D"/>
    <w:rsid w:val="00757ACC"/>
    <w:rsid w:val="00766020"/>
    <w:rsid w:val="007806C2"/>
    <w:rsid w:val="00781FEE"/>
    <w:rsid w:val="0078278D"/>
    <w:rsid w:val="00783231"/>
    <w:rsid w:val="00785AC0"/>
    <w:rsid w:val="00786B9D"/>
    <w:rsid w:val="007903F8"/>
    <w:rsid w:val="00794F4F"/>
    <w:rsid w:val="007974BE"/>
    <w:rsid w:val="007A0916"/>
    <w:rsid w:val="007A0DEF"/>
    <w:rsid w:val="007A0DFD"/>
    <w:rsid w:val="007A1523"/>
    <w:rsid w:val="007A3F7D"/>
    <w:rsid w:val="007B7CA9"/>
    <w:rsid w:val="007C1000"/>
    <w:rsid w:val="007C7122"/>
    <w:rsid w:val="007D18C8"/>
    <w:rsid w:val="007D2286"/>
    <w:rsid w:val="007D393A"/>
    <w:rsid w:val="007D3F11"/>
    <w:rsid w:val="007D44E9"/>
    <w:rsid w:val="007E2C69"/>
    <w:rsid w:val="007E3643"/>
    <w:rsid w:val="007E53E4"/>
    <w:rsid w:val="007E5B07"/>
    <w:rsid w:val="007E656A"/>
    <w:rsid w:val="007F3CAA"/>
    <w:rsid w:val="007F56D1"/>
    <w:rsid w:val="007F664D"/>
    <w:rsid w:val="00801B42"/>
    <w:rsid w:val="00813A09"/>
    <w:rsid w:val="00813B32"/>
    <w:rsid w:val="008148F8"/>
    <w:rsid w:val="008249A7"/>
    <w:rsid w:val="00832CEF"/>
    <w:rsid w:val="008347EF"/>
    <w:rsid w:val="00836D45"/>
    <w:rsid w:val="00837203"/>
    <w:rsid w:val="008401F0"/>
    <w:rsid w:val="00842137"/>
    <w:rsid w:val="00845A91"/>
    <w:rsid w:val="00851E6C"/>
    <w:rsid w:val="00853F5F"/>
    <w:rsid w:val="00856C7A"/>
    <w:rsid w:val="008623ED"/>
    <w:rsid w:val="00862749"/>
    <w:rsid w:val="00866604"/>
    <w:rsid w:val="00866B41"/>
    <w:rsid w:val="00871DAA"/>
    <w:rsid w:val="00875AA6"/>
    <w:rsid w:val="00880944"/>
    <w:rsid w:val="0089088E"/>
    <w:rsid w:val="00892297"/>
    <w:rsid w:val="008926FE"/>
    <w:rsid w:val="008964D6"/>
    <w:rsid w:val="008A1FC9"/>
    <w:rsid w:val="008B2F88"/>
    <w:rsid w:val="008B5123"/>
    <w:rsid w:val="008C5A9A"/>
    <w:rsid w:val="008D1E1E"/>
    <w:rsid w:val="008D7FE9"/>
    <w:rsid w:val="008E0172"/>
    <w:rsid w:val="008E4D75"/>
    <w:rsid w:val="008E4D8A"/>
    <w:rsid w:val="008E7F60"/>
    <w:rsid w:val="008F61DE"/>
    <w:rsid w:val="00901E7F"/>
    <w:rsid w:val="00912C43"/>
    <w:rsid w:val="00922634"/>
    <w:rsid w:val="00936852"/>
    <w:rsid w:val="0094045D"/>
    <w:rsid w:val="009406B5"/>
    <w:rsid w:val="0094137B"/>
    <w:rsid w:val="00946166"/>
    <w:rsid w:val="0095094C"/>
    <w:rsid w:val="009554F5"/>
    <w:rsid w:val="00955918"/>
    <w:rsid w:val="00957DAB"/>
    <w:rsid w:val="009612E3"/>
    <w:rsid w:val="009642A6"/>
    <w:rsid w:val="00966103"/>
    <w:rsid w:val="00966B5C"/>
    <w:rsid w:val="009712EB"/>
    <w:rsid w:val="00975CCB"/>
    <w:rsid w:val="0097755D"/>
    <w:rsid w:val="00983164"/>
    <w:rsid w:val="00984252"/>
    <w:rsid w:val="009972EF"/>
    <w:rsid w:val="009A76BE"/>
    <w:rsid w:val="009B5035"/>
    <w:rsid w:val="009C1265"/>
    <w:rsid w:val="009C3160"/>
    <w:rsid w:val="009C5C24"/>
    <w:rsid w:val="009D2FDF"/>
    <w:rsid w:val="009D644B"/>
    <w:rsid w:val="009E2300"/>
    <w:rsid w:val="009E3B22"/>
    <w:rsid w:val="009E4B6B"/>
    <w:rsid w:val="009E766E"/>
    <w:rsid w:val="009F1960"/>
    <w:rsid w:val="009F2949"/>
    <w:rsid w:val="009F4B1A"/>
    <w:rsid w:val="009F715E"/>
    <w:rsid w:val="009F78FE"/>
    <w:rsid w:val="009F7BAA"/>
    <w:rsid w:val="00A004D2"/>
    <w:rsid w:val="00A01093"/>
    <w:rsid w:val="00A03C42"/>
    <w:rsid w:val="00A04F93"/>
    <w:rsid w:val="00A1044A"/>
    <w:rsid w:val="00A10DBB"/>
    <w:rsid w:val="00A11720"/>
    <w:rsid w:val="00A175E9"/>
    <w:rsid w:val="00A21247"/>
    <w:rsid w:val="00A311F0"/>
    <w:rsid w:val="00A31D47"/>
    <w:rsid w:val="00A36BAE"/>
    <w:rsid w:val="00A4013E"/>
    <w:rsid w:val="00A4045F"/>
    <w:rsid w:val="00A427CD"/>
    <w:rsid w:val="00A429D8"/>
    <w:rsid w:val="00A45FEE"/>
    <w:rsid w:val="00A4600B"/>
    <w:rsid w:val="00A50461"/>
    <w:rsid w:val="00A50506"/>
    <w:rsid w:val="00A51964"/>
    <w:rsid w:val="00A51EF0"/>
    <w:rsid w:val="00A56947"/>
    <w:rsid w:val="00A600CD"/>
    <w:rsid w:val="00A62399"/>
    <w:rsid w:val="00A63BE0"/>
    <w:rsid w:val="00A64142"/>
    <w:rsid w:val="00A67A81"/>
    <w:rsid w:val="00A730A6"/>
    <w:rsid w:val="00A827B0"/>
    <w:rsid w:val="00A85633"/>
    <w:rsid w:val="00A96899"/>
    <w:rsid w:val="00A96BD8"/>
    <w:rsid w:val="00A971A0"/>
    <w:rsid w:val="00AA1186"/>
    <w:rsid w:val="00AA1F22"/>
    <w:rsid w:val="00AB37FB"/>
    <w:rsid w:val="00AB43D8"/>
    <w:rsid w:val="00AB654B"/>
    <w:rsid w:val="00AB7D32"/>
    <w:rsid w:val="00AC3E73"/>
    <w:rsid w:val="00AC63B0"/>
    <w:rsid w:val="00AD0051"/>
    <w:rsid w:val="00AD0B7C"/>
    <w:rsid w:val="00AE0F14"/>
    <w:rsid w:val="00AE19B0"/>
    <w:rsid w:val="00AE1BFF"/>
    <w:rsid w:val="00AF00F9"/>
    <w:rsid w:val="00AF7AEA"/>
    <w:rsid w:val="00B05821"/>
    <w:rsid w:val="00B100D6"/>
    <w:rsid w:val="00B125C2"/>
    <w:rsid w:val="00B12662"/>
    <w:rsid w:val="00B14203"/>
    <w:rsid w:val="00B164C9"/>
    <w:rsid w:val="00B2330F"/>
    <w:rsid w:val="00B24111"/>
    <w:rsid w:val="00B26C28"/>
    <w:rsid w:val="00B30C1F"/>
    <w:rsid w:val="00B409A4"/>
    <w:rsid w:val="00B4174C"/>
    <w:rsid w:val="00B41860"/>
    <w:rsid w:val="00B453F5"/>
    <w:rsid w:val="00B5162E"/>
    <w:rsid w:val="00B56B89"/>
    <w:rsid w:val="00B60083"/>
    <w:rsid w:val="00B61624"/>
    <w:rsid w:val="00B65392"/>
    <w:rsid w:val="00B66481"/>
    <w:rsid w:val="00B7189C"/>
    <w:rsid w:val="00B718A5"/>
    <w:rsid w:val="00B742B5"/>
    <w:rsid w:val="00B759C5"/>
    <w:rsid w:val="00B81865"/>
    <w:rsid w:val="00B86602"/>
    <w:rsid w:val="00B95D70"/>
    <w:rsid w:val="00BA4CC7"/>
    <w:rsid w:val="00BA7411"/>
    <w:rsid w:val="00BA788A"/>
    <w:rsid w:val="00BB4120"/>
    <w:rsid w:val="00BB4983"/>
    <w:rsid w:val="00BB49DC"/>
    <w:rsid w:val="00BB7597"/>
    <w:rsid w:val="00BB7F98"/>
    <w:rsid w:val="00BC62E2"/>
    <w:rsid w:val="00BE4AC3"/>
    <w:rsid w:val="00BE70D7"/>
    <w:rsid w:val="00BF56AC"/>
    <w:rsid w:val="00C1206A"/>
    <w:rsid w:val="00C21D03"/>
    <w:rsid w:val="00C2253D"/>
    <w:rsid w:val="00C24833"/>
    <w:rsid w:val="00C33D82"/>
    <w:rsid w:val="00C363AA"/>
    <w:rsid w:val="00C36D7E"/>
    <w:rsid w:val="00C42125"/>
    <w:rsid w:val="00C43974"/>
    <w:rsid w:val="00C47120"/>
    <w:rsid w:val="00C52462"/>
    <w:rsid w:val="00C53BC3"/>
    <w:rsid w:val="00C557CE"/>
    <w:rsid w:val="00C62334"/>
    <w:rsid w:val="00C62814"/>
    <w:rsid w:val="00C63CEC"/>
    <w:rsid w:val="00C67B25"/>
    <w:rsid w:val="00C748F7"/>
    <w:rsid w:val="00C74937"/>
    <w:rsid w:val="00C915EF"/>
    <w:rsid w:val="00CA1F35"/>
    <w:rsid w:val="00CA446A"/>
    <w:rsid w:val="00CB2599"/>
    <w:rsid w:val="00CC386F"/>
    <w:rsid w:val="00CC4364"/>
    <w:rsid w:val="00CC518F"/>
    <w:rsid w:val="00CC72FB"/>
    <w:rsid w:val="00CD2139"/>
    <w:rsid w:val="00CD4152"/>
    <w:rsid w:val="00CD6FBF"/>
    <w:rsid w:val="00CE099C"/>
    <w:rsid w:val="00CE3C8D"/>
    <w:rsid w:val="00CE5986"/>
    <w:rsid w:val="00D072D8"/>
    <w:rsid w:val="00D10A47"/>
    <w:rsid w:val="00D16575"/>
    <w:rsid w:val="00D248B1"/>
    <w:rsid w:val="00D26477"/>
    <w:rsid w:val="00D560EA"/>
    <w:rsid w:val="00D56CC3"/>
    <w:rsid w:val="00D57AC0"/>
    <w:rsid w:val="00D61957"/>
    <w:rsid w:val="00D647EF"/>
    <w:rsid w:val="00D65AAD"/>
    <w:rsid w:val="00D730CF"/>
    <w:rsid w:val="00D73137"/>
    <w:rsid w:val="00D977A2"/>
    <w:rsid w:val="00DA1D47"/>
    <w:rsid w:val="00DA4466"/>
    <w:rsid w:val="00DB0706"/>
    <w:rsid w:val="00DB476A"/>
    <w:rsid w:val="00DB7B14"/>
    <w:rsid w:val="00DB7D48"/>
    <w:rsid w:val="00DC26EF"/>
    <w:rsid w:val="00DC5278"/>
    <w:rsid w:val="00DD50DE"/>
    <w:rsid w:val="00DE1204"/>
    <w:rsid w:val="00DE3062"/>
    <w:rsid w:val="00DE7026"/>
    <w:rsid w:val="00DF123C"/>
    <w:rsid w:val="00DF4500"/>
    <w:rsid w:val="00DF5FEA"/>
    <w:rsid w:val="00E003C9"/>
    <w:rsid w:val="00E017C4"/>
    <w:rsid w:val="00E0581D"/>
    <w:rsid w:val="00E1590B"/>
    <w:rsid w:val="00E204DD"/>
    <w:rsid w:val="00E22725"/>
    <w:rsid w:val="00E228B7"/>
    <w:rsid w:val="00E257CC"/>
    <w:rsid w:val="00E313FA"/>
    <w:rsid w:val="00E353EC"/>
    <w:rsid w:val="00E42380"/>
    <w:rsid w:val="00E51F61"/>
    <w:rsid w:val="00E53C24"/>
    <w:rsid w:val="00E56E77"/>
    <w:rsid w:val="00E63646"/>
    <w:rsid w:val="00E6366F"/>
    <w:rsid w:val="00E83950"/>
    <w:rsid w:val="00E90FE6"/>
    <w:rsid w:val="00E95175"/>
    <w:rsid w:val="00E96110"/>
    <w:rsid w:val="00EA0BE7"/>
    <w:rsid w:val="00EB444D"/>
    <w:rsid w:val="00EB5F8D"/>
    <w:rsid w:val="00EC0784"/>
    <w:rsid w:val="00ED1B45"/>
    <w:rsid w:val="00EE0759"/>
    <w:rsid w:val="00EE10FB"/>
    <w:rsid w:val="00EE1A06"/>
    <w:rsid w:val="00EE2BB1"/>
    <w:rsid w:val="00EE5C0D"/>
    <w:rsid w:val="00EF1C75"/>
    <w:rsid w:val="00EF4792"/>
    <w:rsid w:val="00EF76DC"/>
    <w:rsid w:val="00F02294"/>
    <w:rsid w:val="00F02403"/>
    <w:rsid w:val="00F02D6A"/>
    <w:rsid w:val="00F04DED"/>
    <w:rsid w:val="00F30DE7"/>
    <w:rsid w:val="00F35F57"/>
    <w:rsid w:val="00F4735C"/>
    <w:rsid w:val="00F50467"/>
    <w:rsid w:val="00F52A2F"/>
    <w:rsid w:val="00F562A0"/>
    <w:rsid w:val="00F57FA4"/>
    <w:rsid w:val="00F91FF0"/>
    <w:rsid w:val="00F9547A"/>
    <w:rsid w:val="00FA02CB"/>
    <w:rsid w:val="00FA2177"/>
    <w:rsid w:val="00FA567F"/>
    <w:rsid w:val="00FB0783"/>
    <w:rsid w:val="00FB618D"/>
    <w:rsid w:val="00FB7A8B"/>
    <w:rsid w:val="00FC2485"/>
    <w:rsid w:val="00FD25F4"/>
    <w:rsid w:val="00FD439E"/>
    <w:rsid w:val="00FD76CB"/>
    <w:rsid w:val="00FE152B"/>
    <w:rsid w:val="00FE239E"/>
    <w:rsid w:val="00FE399B"/>
    <w:rsid w:val="00FF0B33"/>
    <w:rsid w:val="00FF1151"/>
    <w:rsid w:val="00FF1BA2"/>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DB7D48"/>
    <w:rPr>
      <w:rFonts w:ascii="Times New Roman" w:hAnsi="Times New Roman" w:cs="Times New Roman"/>
      <w:sz w:val="24"/>
      <w:szCs w:val="24"/>
      <w:lang w:val="en-GB" w:eastAsia="ja-JP"/>
    </w:rPr>
  </w:style>
  <w:style w:type="table" w:styleId="PlainTable1">
    <w:name w:val="Plain Table 1"/>
    <w:basedOn w:val="TableNormal"/>
    <w:uiPriority w:val="41"/>
    <w:rsid w:val="004C2A92"/>
    <w:pPr>
      <w:spacing w:after="0" w:line="240" w:lineRule="auto"/>
    </w:pPr>
    <w:rPr>
      <w:rFonts w:ascii="Times New Roman" w:eastAsia="SimSun" w:hAnsi="Times New Roman" w:cs="Times New Roman"/>
      <w:sz w:val="20"/>
      <w:szCs w:val="20"/>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ppendixNoTitle0">
    <w:name w:val="Appendix_NoTitle"/>
    <w:basedOn w:val="Normal"/>
    <w:next w:val="Normal"/>
    <w:rsid w:val="006811F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2979952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254164979">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912347302">
      <w:bodyDiv w:val="1"/>
      <w:marLeft w:val="0"/>
      <w:marRight w:val="0"/>
      <w:marTop w:val="0"/>
      <w:marBottom w:val="0"/>
      <w:divBdr>
        <w:top w:val="none" w:sz="0" w:space="0" w:color="auto"/>
        <w:left w:val="none" w:sz="0" w:space="0" w:color="auto"/>
        <w:bottom w:val="none" w:sz="0" w:space="0" w:color="auto"/>
        <w:right w:val="none" w:sz="0" w:space="0" w:color="auto"/>
      </w:divBdr>
    </w:div>
    <w:div w:id="203314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ITU-T/A.5" TargetMode="External"/><Relationship Id="rId18" Type="http://schemas.openxmlformats.org/officeDocument/2006/relationships/hyperlink" Target="https://www.itu.int/itu-t/recommendations/rec.aspx?rec=1302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pub/T-RES/publications.aspx?lang=en&amp;parent=T-RES-T.1-2022" TargetMode="External"/><Relationship Id="rId17" Type="http://schemas.openxmlformats.org/officeDocument/2006/relationships/hyperlink" Target="https://www.itu.int/md/T13-TSAG-140617-TD-GEN-0181/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net4/ITU-T/lists/sdo_archive.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itu-t/recommendations/rec.aspx?rec=13023"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net4/ITU-T/lists/sdo.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ITU-T/A.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878</Words>
  <Characters>5005</Characters>
  <Application>Microsoft Office Word</Application>
  <DocSecurity>0</DocSecurity>
  <Lines>41</Lines>
  <Paragraphs>11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[Draft] Opening WP1 agenda (Geneva, 12-16 December 2022)</vt:lpstr>
      <vt:lpstr>[Draft] Opening WP1 agenda (Geneva, 12-16 December 2022)</vt:lpstr>
      <vt:lpstr>[Draft] Opening WP1 agenda</vt:lpstr>
    </vt:vector>
  </TitlesOfParts>
  <Manager>ITU-T</Manager>
  <Company>International Telecommunication Union (ITU)</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3</cp:revision>
  <cp:lastPrinted>2016-12-23T12:52:00Z</cp:lastPrinted>
  <dcterms:created xsi:type="dcterms:W3CDTF">2023-12-06T10:54:00Z</dcterms:created>
  <dcterms:modified xsi:type="dcterms:W3CDTF">2023-12-06T10:55:00Z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