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D61827" w14:paraId="44E869E3" w14:textId="77777777" w:rsidTr="007122B6">
        <w:trPr>
          <w:cantSplit/>
        </w:trPr>
        <w:tc>
          <w:tcPr>
            <w:tcW w:w="1160" w:type="dxa"/>
            <w:vMerge w:val="restart"/>
            <w:vAlign w:val="center"/>
          </w:tcPr>
          <w:p w14:paraId="119D7677" w14:textId="77777777" w:rsidR="00D61827" w:rsidRDefault="00D61827" w:rsidP="001B7008">
            <w:pPr>
              <w:spacing w:before="0"/>
              <w:jc w:val="center"/>
            </w:pPr>
            <w:bookmarkStart w:id="0" w:name="dnum" w:colFirst="2" w:colLast="2"/>
            <w:bookmarkStart w:id="1" w:name="dtableau"/>
            <w:r>
              <w:rPr>
                <w:noProof/>
              </w:rPr>
              <w:drawing>
                <wp:inline distT="0" distB="0" distL="0" distR="0" wp14:anchorId="57503DB5" wp14:editId="3C5C3CD2">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3"/>
            <w:vMerge w:val="restart"/>
          </w:tcPr>
          <w:p w14:paraId="60D67431" w14:textId="77777777" w:rsidR="00D61827" w:rsidRDefault="00D61827" w:rsidP="001B7008">
            <w:pPr>
              <w:rPr>
                <w:sz w:val="16"/>
              </w:rPr>
            </w:pPr>
            <w:r>
              <w:rPr>
                <w:sz w:val="16"/>
              </w:rPr>
              <w:t>INTERNATIONAL TELECOMMUNICATION UNION</w:t>
            </w:r>
          </w:p>
          <w:p w14:paraId="1E346826" w14:textId="77777777" w:rsidR="00D61827" w:rsidRDefault="00D61827" w:rsidP="001B7008">
            <w:pPr>
              <w:rPr>
                <w:b/>
                <w:bCs/>
                <w:sz w:val="26"/>
              </w:rPr>
            </w:pPr>
            <w:r>
              <w:rPr>
                <w:b/>
                <w:bCs/>
                <w:sz w:val="26"/>
              </w:rPr>
              <w:t>TELECOMMUNICATION STANDARDIZATION SECTOR</w:t>
            </w:r>
          </w:p>
          <w:p w14:paraId="5B8C464E" w14:textId="77777777" w:rsidR="00D61827" w:rsidRDefault="00D61827" w:rsidP="001B7008">
            <w:pPr>
              <w:rPr>
                <w:sz w:val="20"/>
              </w:rPr>
            </w:pPr>
            <w:r>
              <w:rPr>
                <w:sz w:val="20"/>
              </w:rPr>
              <w:t>STUDY PERIOD 2022-2024</w:t>
            </w:r>
          </w:p>
        </w:tc>
        <w:tc>
          <w:tcPr>
            <w:tcW w:w="3525" w:type="dxa"/>
          </w:tcPr>
          <w:p w14:paraId="2F7209A2" w14:textId="77777777" w:rsidR="00D61827" w:rsidRDefault="00D61827" w:rsidP="001B7008">
            <w:pPr>
              <w:pStyle w:val="Docnumber"/>
            </w:pPr>
            <w:r>
              <w:t>TSAG-</w:t>
            </w:r>
            <w:proofErr w:type="spellStart"/>
            <w:r>
              <w:t>TD377</w:t>
            </w:r>
            <w:proofErr w:type="spellEnd"/>
          </w:p>
        </w:tc>
      </w:tr>
      <w:tr w:rsidR="00D61827" w14:paraId="7CC8A7DD" w14:textId="77777777" w:rsidTr="007122B6">
        <w:trPr>
          <w:cantSplit/>
          <w:trHeight w:val="461"/>
        </w:trPr>
        <w:tc>
          <w:tcPr>
            <w:tcW w:w="1160" w:type="dxa"/>
            <w:vMerge/>
          </w:tcPr>
          <w:p w14:paraId="233301BC" w14:textId="77777777" w:rsidR="00D61827" w:rsidRDefault="00D61827" w:rsidP="001B7008">
            <w:pPr>
              <w:rPr>
                <w:smallCaps/>
                <w:sz w:val="20"/>
              </w:rPr>
            </w:pPr>
          </w:p>
        </w:tc>
        <w:tc>
          <w:tcPr>
            <w:tcW w:w="4954" w:type="dxa"/>
            <w:gridSpan w:val="3"/>
            <w:vMerge/>
          </w:tcPr>
          <w:p w14:paraId="76D63BB8" w14:textId="77777777" w:rsidR="00D61827" w:rsidRDefault="00D61827" w:rsidP="001B7008">
            <w:pPr>
              <w:rPr>
                <w:smallCaps/>
                <w:sz w:val="20"/>
              </w:rPr>
            </w:pPr>
          </w:p>
        </w:tc>
        <w:tc>
          <w:tcPr>
            <w:tcW w:w="3525" w:type="dxa"/>
            <w:tcBorders>
              <w:bottom w:val="nil"/>
            </w:tcBorders>
          </w:tcPr>
          <w:p w14:paraId="13BE0B6A" w14:textId="77777777" w:rsidR="00D61827" w:rsidRDefault="00D61827" w:rsidP="001B7008">
            <w:pPr>
              <w:pStyle w:val="TSBHeaderRight14"/>
            </w:pPr>
            <w:r>
              <w:t>TSAG</w:t>
            </w:r>
          </w:p>
        </w:tc>
      </w:tr>
      <w:tr w:rsidR="00D61827" w14:paraId="54682933" w14:textId="77777777" w:rsidTr="007122B6">
        <w:trPr>
          <w:cantSplit/>
          <w:trHeight w:val="379"/>
        </w:trPr>
        <w:tc>
          <w:tcPr>
            <w:tcW w:w="1160" w:type="dxa"/>
            <w:vMerge/>
            <w:tcBorders>
              <w:bottom w:val="single" w:sz="12" w:space="0" w:color="auto"/>
            </w:tcBorders>
          </w:tcPr>
          <w:p w14:paraId="38DCB8A1" w14:textId="77777777" w:rsidR="00D61827" w:rsidRDefault="00D61827" w:rsidP="001B7008">
            <w:pPr>
              <w:rPr>
                <w:b/>
                <w:bCs/>
                <w:sz w:val="26"/>
              </w:rPr>
            </w:pPr>
            <w:bookmarkStart w:id="2" w:name="dorlang" w:colFirst="2" w:colLast="2"/>
          </w:p>
        </w:tc>
        <w:tc>
          <w:tcPr>
            <w:tcW w:w="4954" w:type="dxa"/>
            <w:gridSpan w:val="3"/>
            <w:vMerge/>
            <w:tcBorders>
              <w:bottom w:val="single" w:sz="12" w:space="0" w:color="auto"/>
            </w:tcBorders>
          </w:tcPr>
          <w:p w14:paraId="06A3CF56" w14:textId="77777777" w:rsidR="00D61827" w:rsidRDefault="00D61827" w:rsidP="001B7008">
            <w:pPr>
              <w:rPr>
                <w:b/>
                <w:bCs/>
                <w:sz w:val="26"/>
              </w:rPr>
            </w:pPr>
          </w:p>
        </w:tc>
        <w:tc>
          <w:tcPr>
            <w:tcW w:w="3525" w:type="dxa"/>
            <w:tcBorders>
              <w:bottom w:val="single" w:sz="12" w:space="0" w:color="auto"/>
            </w:tcBorders>
          </w:tcPr>
          <w:p w14:paraId="5555B75C" w14:textId="77777777" w:rsidR="00D61827" w:rsidRDefault="00D61827" w:rsidP="001B7008">
            <w:pPr>
              <w:jc w:val="right"/>
              <w:rPr>
                <w:b/>
                <w:bCs/>
                <w:sz w:val="28"/>
              </w:rPr>
            </w:pPr>
            <w:r>
              <w:rPr>
                <w:b/>
                <w:bCs/>
                <w:sz w:val="28"/>
              </w:rPr>
              <w:t>Original: English</w:t>
            </w:r>
          </w:p>
        </w:tc>
      </w:tr>
      <w:bookmarkEnd w:id="2"/>
      <w:tr w:rsidR="00D61827" w14:paraId="671CCC45" w14:textId="77777777" w:rsidTr="007122B6">
        <w:trPr>
          <w:cantSplit/>
          <w:trHeight w:val="357"/>
        </w:trPr>
        <w:tc>
          <w:tcPr>
            <w:tcW w:w="1508" w:type="dxa"/>
            <w:gridSpan w:val="2"/>
          </w:tcPr>
          <w:p w14:paraId="3B016F21" w14:textId="77777777" w:rsidR="00D61827" w:rsidRDefault="00D61827" w:rsidP="001B7008">
            <w:pPr>
              <w:rPr>
                <w:b/>
                <w:bCs/>
              </w:rPr>
            </w:pPr>
            <w:r>
              <w:rPr>
                <w:b/>
                <w:bCs/>
              </w:rPr>
              <w:t>Question(s):</w:t>
            </w:r>
          </w:p>
        </w:tc>
        <w:tc>
          <w:tcPr>
            <w:tcW w:w="4606" w:type="dxa"/>
            <w:gridSpan w:val="2"/>
          </w:tcPr>
          <w:p w14:paraId="41112A84" w14:textId="56A1D5F8" w:rsidR="00D61827" w:rsidRDefault="007122B6" w:rsidP="001B7008">
            <w:pPr>
              <w:pStyle w:val="TSBHeaderQuestion"/>
            </w:pPr>
            <w:r>
              <w:t>N/</w:t>
            </w:r>
            <w:r w:rsidR="00D61827">
              <w:t>A</w:t>
            </w:r>
          </w:p>
        </w:tc>
        <w:tc>
          <w:tcPr>
            <w:tcW w:w="3525" w:type="dxa"/>
          </w:tcPr>
          <w:p w14:paraId="4A98E883" w14:textId="77777777" w:rsidR="00D61827" w:rsidRDefault="00D61827" w:rsidP="001B7008">
            <w:pPr>
              <w:pStyle w:val="VenueDate"/>
            </w:pPr>
            <w:r>
              <w:t>Geneva, 22-26 January 2024</w:t>
            </w:r>
          </w:p>
        </w:tc>
      </w:tr>
      <w:tr w:rsidR="00D61827" w14:paraId="51390357" w14:textId="77777777" w:rsidTr="001B7008">
        <w:trPr>
          <w:cantSplit/>
          <w:trHeight w:val="357"/>
        </w:trPr>
        <w:tc>
          <w:tcPr>
            <w:tcW w:w="9639" w:type="dxa"/>
            <w:gridSpan w:val="5"/>
          </w:tcPr>
          <w:p w14:paraId="56D5555F" w14:textId="49CCE0A0" w:rsidR="00D61827" w:rsidRDefault="00D61827" w:rsidP="001B7008">
            <w:pPr>
              <w:jc w:val="center"/>
              <w:rPr>
                <w:b/>
                <w:bCs/>
              </w:rPr>
            </w:pPr>
            <w:bookmarkStart w:id="3" w:name="dtitle" w:colFirst="0" w:colLast="0"/>
            <w:r>
              <w:rPr>
                <w:b/>
                <w:bCs/>
              </w:rPr>
              <w:t>TD</w:t>
            </w:r>
            <w:r>
              <w:rPr>
                <w:b/>
                <w:bCs/>
              </w:rPr>
              <w:br/>
              <w:t>(Ref</w:t>
            </w:r>
            <w:r w:rsidR="007122B6">
              <w:rPr>
                <w:b/>
                <w:bCs/>
              </w:rPr>
              <w:t>.</w:t>
            </w:r>
            <w:r>
              <w:rPr>
                <w:b/>
                <w:bCs/>
              </w:rPr>
              <w:t xml:space="preserve">: </w:t>
            </w:r>
            <w:hyperlink r:id="rId12" w:tooltip="ITU-T ftp file restricted to TIES access only" w:history="1">
              <w:r>
                <w:rPr>
                  <w:rStyle w:val="Hyperlink"/>
                </w:rPr>
                <w:t>SG2-LS71</w:t>
              </w:r>
            </w:hyperlink>
            <w:r>
              <w:rPr>
                <w:b/>
                <w:bCs/>
              </w:rPr>
              <w:t>)</w:t>
            </w:r>
          </w:p>
        </w:tc>
      </w:tr>
      <w:bookmarkEnd w:id="3"/>
      <w:tr w:rsidR="00D61827" w14:paraId="146880CE" w14:textId="77777777" w:rsidTr="007122B6">
        <w:trPr>
          <w:cantSplit/>
          <w:trHeight w:val="357"/>
        </w:trPr>
        <w:tc>
          <w:tcPr>
            <w:tcW w:w="1508" w:type="dxa"/>
            <w:gridSpan w:val="2"/>
          </w:tcPr>
          <w:p w14:paraId="1341F4AE" w14:textId="77777777" w:rsidR="00D61827" w:rsidRDefault="00D61827" w:rsidP="001B7008">
            <w:pPr>
              <w:rPr>
                <w:b/>
                <w:bCs/>
              </w:rPr>
            </w:pPr>
            <w:r>
              <w:rPr>
                <w:b/>
                <w:bCs/>
              </w:rPr>
              <w:t>Source:</w:t>
            </w:r>
          </w:p>
        </w:tc>
        <w:tc>
          <w:tcPr>
            <w:tcW w:w="8131" w:type="dxa"/>
            <w:gridSpan w:val="3"/>
          </w:tcPr>
          <w:p w14:paraId="6454630B" w14:textId="77777777" w:rsidR="00D61827" w:rsidRDefault="00D61827" w:rsidP="001B7008">
            <w:pPr>
              <w:pStyle w:val="TSBHeaderSource"/>
            </w:pPr>
            <w:r>
              <w:t>ITU-T Study Group 2</w:t>
            </w:r>
          </w:p>
        </w:tc>
      </w:tr>
      <w:tr w:rsidR="00D61827" w14:paraId="0A1668C0" w14:textId="77777777" w:rsidTr="007122B6">
        <w:trPr>
          <w:cantSplit/>
          <w:trHeight w:val="357"/>
        </w:trPr>
        <w:tc>
          <w:tcPr>
            <w:tcW w:w="1508" w:type="dxa"/>
            <w:gridSpan w:val="2"/>
          </w:tcPr>
          <w:p w14:paraId="08221038" w14:textId="77777777" w:rsidR="00D61827" w:rsidRDefault="00D61827" w:rsidP="001B7008">
            <w:pPr>
              <w:rPr>
                <w:b/>
                <w:bCs/>
              </w:rPr>
            </w:pPr>
            <w:r>
              <w:rPr>
                <w:b/>
                <w:bCs/>
              </w:rPr>
              <w:t>Title:</w:t>
            </w:r>
          </w:p>
        </w:tc>
        <w:tc>
          <w:tcPr>
            <w:tcW w:w="8131" w:type="dxa"/>
            <w:gridSpan w:val="3"/>
          </w:tcPr>
          <w:p w14:paraId="1DD4DC5C" w14:textId="58D558E4" w:rsidR="00D61827" w:rsidRDefault="00D61827" w:rsidP="001B7008">
            <w:pPr>
              <w:pStyle w:val="TSBHeaderTitle"/>
            </w:pPr>
            <w:r>
              <w:t>LS</w:t>
            </w:r>
            <w:r w:rsidR="007122B6">
              <w:t>/i</w:t>
            </w:r>
            <w:r>
              <w:t xml:space="preserve"> on SCV activity in SG2</w:t>
            </w:r>
            <w:r w:rsidR="007122B6">
              <w:t xml:space="preserve"> [from ITU-T SG2]</w:t>
            </w:r>
          </w:p>
        </w:tc>
      </w:tr>
      <w:tr w:rsidR="00D61827" w14:paraId="31EBE3AE" w14:textId="77777777" w:rsidTr="001B7008">
        <w:trPr>
          <w:cantSplit/>
          <w:trHeight w:val="357"/>
        </w:trPr>
        <w:tc>
          <w:tcPr>
            <w:tcW w:w="9639" w:type="dxa"/>
            <w:gridSpan w:val="5"/>
            <w:tcBorders>
              <w:top w:val="single" w:sz="12" w:space="0" w:color="auto"/>
            </w:tcBorders>
          </w:tcPr>
          <w:p w14:paraId="18BD517D" w14:textId="77777777" w:rsidR="00D61827" w:rsidRDefault="00D61827" w:rsidP="001B7008">
            <w:pPr>
              <w:jc w:val="center"/>
              <w:rPr>
                <w:b/>
              </w:rPr>
            </w:pPr>
            <w:r>
              <w:rPr>
                <w:b/>
              </w:rPr>
              <w:t>LIAISON STATEMENT</w:t>
            </w:r>
          </w:p>
        </w:tc>
      </w:tr>
      <w:tr w:rsidR="00D61827" w14:paraId="4AAB741F" w14:textId="77777777" w:rsidTr="007122B6">
        <w:trPr>
          <w:cantSplit/>
          <w:trHeight w:val="357"/>
        </w:trPr>
        <w:tc>
          <w:tcPr>
            <w:tcW w:w="2187" w:type="dxa"/>
            <w:gridSpan w:val="3"/>
          </w:tcPr>
          <w:p w14:paraId="418A57B0" w14:textId="77777777" w:rsidR="00D61827" w:rsidRDefault="00D61827" w:rsidP="001B7008">
            <w:pPr>
              <w:rPr>
                <w:b/>
                <w:bCs/>
              </w:rPr>
            </w:pPr>
            <w:r>
              <w:rPr>
                <w:b/>
                <w:bCs/>
              </w:rPr>
              <w:t>For action to:</w:t>
            </w:r>
          </w:p>
        </w:tc>
        <w:tc>
          <w:tcPr>
            <w:tcW w:w="7452" w:type="dxa"/>
            <w:gridSpan w:val="2"/>
          </w:tcPr>
          <w:p w14:paraId="7352CDBB" w14:textId="559C6E63" w:rsidR="00D61827" w:rsidRDefault="00D61827" w:rsidP="001B7008">
            <w:r>
              <w:t xml:space="preserve">SCV, </w:t>
            </w:r>
            <w:r w:rsidR="007122B6">
              <w:t xml:space="preserve">ITU-T </w:t>
            </w:r>
            <w:r>
              <w:t>SG3, SG5, SG9, SG11, SG12, SG13, SG15, SG16, SG17, SG20</w:t>
            </w:r>
            <w:r w:rsidR="007122B6">
              <w:t xml:space="preserve">, </w:t>
            </w:r>
            <w:r w:rsidR="007122B6">
              <w:t>TSAG</w:t>
            </w:r>
          </w:p>
        </w:tc>
      </w:tr>
      <w:tr w:rsidR="00D61827" w14:paraId="4FE1017A" w14:textId="77777777" w:rsidTr="007122B6">
        <w:trPr>
          <w:cantSplit/>
          <w:trHeight w:val="357"/>
        </w:trPr>
        <w:tc>
          <w:tcPr>
            <w:tcW w:w="2187" w:type="dxa"/>
            <w:gridSpan w:val="3"/>
          </w:tcPr>
          <w:p w14:paraId="2E92A666" w14:textId="77777777" w:rsidR="00D61827" w:rsidRDefault="00D61827" w:rsidP="001B7008">
            <w:pPr>
              <w:rPr>
                <w:b/>
                <w:bCs/>
              </w:rPr>
            </w:pPr>
            <w:r>
              <w:rPr>
                <w:b/>
                <w:bCs/>
              </w:rPr>
              <w:t>For information to:</w:t>
            </w:r>
          </w:p>
        </w:tc>
        <w:tc>
          <w:tcPr>
            <w:tcW w:w="7452" w:type="dxa"/>
            <w:gridSpan w:val="2"/>
          </w:tcPr>
          <w:p w14:paraId="4B06686D" w14:textId="77777777" w:rsidR="00D61827" w:rsidRDefault="00D61827" w:rsidP="001B7008">
            <w:r>
              <w:t>-</w:t>
            </w:r>
          </w:p>
        </w:tc>
      </w:tr>
      <w:tr w:rsidR="00D61827" w14:paraId="12238BF6" w14:textId="77777777" w:rsidTr="007122B6">
        <w:trPr>
          <w:cantSplit/>
          <w:trHeight w:val="357"/>
        </w:trPr>
        <w:tc>
          <w:tcPr>
            <w:tcW w:w="2187" w:type="dxa"/>
            <w:gridSpan w:val="3"/>
          </w:tcPr>
          <w:p w14:paraId="06028409" w14:textId="77777777" w:rsidR="00D61827" w:rsidRDefault="00D61827" w:rsidP="001B7008">
            <w:pPr>
              <w:rPr>
                <w:b/>
                <w:bCs/>
              </w:rPr>
            </w:pPr>
            <w:r>
              <w:rPr>
                <w:b/>
                <w:bCs/>
              </w:rPr>
              <w:t>Approval:</w:t>
            </w:r>
          </w:p>
        </w:tc>
        <w:tc>
          <w:tcPr>
            <w:tcW w:w="7452" w:type="dxa"/>
            <w:gridSpan w:val="2"/>
          </w:tcPr>
          <w:p w14:paraId="298FF129" w14:textId="77777777" w:rsidR="00D61827" w:rsidRDefault="00D61827" w:rsidP="001B7008">
            <w:r>
              <w:t>ITU-T Study Group 2 meeting (Geneva, 17 November 2023)</w:t>
            </w:r>
          </w:p>
        </w:tc>
      </w:tr>
      <w:tr w:rsidR="00D61827" w14:paraId="7BE2C6E1" w14:textId="77777777" w:rsidTr="007122B6">
        <w:trPr>
          <w:cantSplit/>
          <w:trHeight w:val="357"/>
        </w:trPr>
        <w:tc>
          <w:tcPr>
            <w:tcW w:w="2187" w:type="dxa"/>
            <w:gridSpan w:val="3"/>
            <w:tcBorders>
              <w:bottom w:val="single" w:sz="12" w:space="0" w:color="auto"/>
            </w:tcBorders>
          </w:tcPr>
          <w:p w14:paraId="78BD1C94" w14:textId="77777777" w:rsidR="00D61827" w:rsidRDefault="00D61827" w:rsidP="001B7008">
            <w:r>
              <w:rPr>
                <w:b/>
              </w:rPr>
              <w:t>Deadline:</w:t>
            </w:r>
          </w:p>
        </w:tc>
        <w:tc>
          <w:tcPr>
            <w:tcW w:w="7452" w:type="dxa"/>
            <w:gridSpan w:val="2"/>
            <w:tcBorders>
              <w:bottom w:val="single" w:sz="12" w:space="0" w:color="auto"/>
            </w:tcBorders>
          </w:tcPr>
          <w:p w14:paraId="09FE4D29" w14:textId="77777777" w:rsidR="00D61827" w:rsidRDefault="00D61827" w:rsidP="001B7008">
            <w:r>
              <w:t>-</w:t>
            </w:r>
          </w:p>
        </w:tc>
      </w:tr>
      <w:tr w:rsidR="007122B6" w:rsidRPr="007122B6" w14:paraId="06B58262" w14:textId="77777777" w:rsidTr="007122B6">
        <w:trPr>
          <w:trHeight w:val="204"/>
        </w:trPr>
        <w:tc>
          <w:tcPr>
            <w:tcW w:w="2187" w:type="dxa"/>
            <w:gridSpan w:val="3"/>
            <w:tcBorders>
              <w:bottom w:val="single" w:sz="12" w:space="0" w:color="auto"/>
            </w:tcBorders>
          </w:tcPr>
          <w:p w14:paraId="45F48D4A" w14:textId="77777777" w:rsidR="007122B6" w:rsidRDefault="007122B6" w:rsidP="007122B6">
            <w:pPr>
              <w:rPr>
                <w:b/>
                <w:bCs/>
              </w:rPr>
            </w:pPr>
            <w:r>
              <w:rPr>
                <w:b/>
                <w:bCs/>
              </w:rPr>
              <w:t>Contact:</w:t>
            </w:r>
          </w:p>
        </w:tc>
        <w:tc>
          <w:tcPr>
            <w:tcW w:w="3927" w:type="dxa"/>
            <w:tcBorders>
              <w:bottom w:val="single" w:sz="12" w:space="0" w:color="auto"/>
            </w:tcBorders>
            <w:vAlign w:val="center"/>
          </w:tcPr>
          <w:p w14:paraId="51DD2AEC" w14:textId="0024FC66" w:rsidR="007122B6" w:rsidRDefault="007122B6" w:rsidP="007122B6">
            <w:sdt>
              <w:sdtPr>
                <w:alias w:val="ContactNameOrgCountry"/>
                <w:id w:val="-714578948"/>
                <w:text/>
              </w:sdtPr>
              <w:sdtContent>
                <w:r w:rsidRPr="004E557A">
                  <w:t>Dmitry Cherkesov</w:t>
                </w:r>
                <w:r w:rsidRPr="004E557A">
                  <w:br/>
                </w:r>
                <w:r>
                  <w:t>Vocabulary rapporteur</w:t>
                </w:r>
              </w:sdtContent>
            </w:sdt>
          </w:p>
        </w:tc>
        <w:tc>
          <w:tcPr>
            <w:tcW w:w="3525" w:type="dxa"/>
            <w:tcBorders>
              <w:bottom w:val="single" w:sz="12" w:space="0" w:color="auto"/>
            </w:tcBorders>
            <w:vAlign w:val="center"/>
          </w:tcPr>
          <w:p w14:paraId="2CC46DD0" w14:textId="087C5598" w:rsidR="007122B6" w:rsidRPr="007122B6" w:rsidRDefault="007122B6" w:rsidP="007122B6">
            <w:pPr>
              <w:rPr>
                <w:lang w:val="de-DE"/>
              </w:rPr>
            </w:pPr>
            <w:r w:rsidRPr="004E557A">
              <w:rPr>
                <w:lang w:val="pt-BR"/>
              </w:rPr>
              <w:t xml:space="preserve">Tel: </w:t>
            </w:r>
            <w:r w:rsidRPr="004E557A">
              <w:rPr>
                <w:lang w:val="pt-BR"/>
              </w:rPr>
              <w:tab/>
            </w:r>
            <w:r w:rsidRPr="009B6562">
              <w:rPr>
                <w:lang w:val="de-DE"/>
              </w:rPr>
              <w:t>+7 985 239 06 00</w:t>
            </w:r>
            <w:r w:rsidRPr="004E557A">
              <w:rPr>
                <w:lang w:val="pt-BR"/>
              </w:rPr>
              <w:br/>
              <w:t xml:space="preserve">E-mail: </w:t>
            </w:r>
            <w:r>
              <w:fldChar w:fldCharType="begin"/>
            </w:r>
            <w:r w:rsidRPr="009B6562">
              <w:rPr>
                <w:lang w:val="de-DE"/>
              </w:rPr>
              <w:instrText>HYPERLINK "mailto:dcherkesov@gmail.com" \h</w:instrText>
            </w:r>
            <w:r>
              <w:fldChar w:fldCharType="separate"/>
            </w:r>
            <w:r w:rsidRPr="004E557A">
              <w:rPr>
                <w:rStyle w:val="-"/>
                <w:rFonts w:ascii="Times New Roman" w:hAnsi="Times New Roman"/>
                <w:lang w:val="pt-BR"/>
              </w:rPr>
              <w:t>dcherkesov@</w:t>
            </w:r>
            <w:r w:rsidRPr="009B6562">
              <w:rPr>
                <w:rStyle w:val="-"/>
                <w:rFonts w:ascii="Times New Roman" w:hAnsi="Times New Roman"/>
                <w:lang w:val="de-DE"/>
              </w:rPr>
              <w:t>gmail.com</w:t>
            </w:r>
            <w:r>
              <w:rPr>
                <w:rStyle w:val="-"/>
                <w:rFonts w:ascii="Times New Roman" w:hAnsi="Times New Roman"/>
                <w:lang w:val="fr-CH"/>
              </w:rPr>
              <w:fldChar w:fldCharType="end"/>
            </w:r>
            <w:r w:rsidRPr="009B6562">
              <w:rPr>
                <w:lang w:val="de-DE"/>
              </w:rPr>
              <w:t xml:space="preserve"> </w:t>
            </w:r>
            <w:r w:rsidRPr="004E557A">
              <w:rPr>
                <w:lang w:val="pt-BR"/>
              </w:rPr>
              <w:t xml:space="preserve"> </w:t>
            </w:r>
            <w:r>
              <w:rPr>
                <w:lang w:val="es-ES"/>
              </w:rPr>
              <w:t xml:space="preserve">  </w:t>
            </w:r>
          </w:p>
        </w:tc>
      </w:tr>
    </w:tbl>
    <w:p w14:paraId="7C579774" w14:textId="77777777" w:rsidR="00D61827" w:rsidRPr="007122B6" w:rsidRDefault="00D61827" w:rsidP="00D61827">
      <w:pPr>
        <w:rPr>
          <w:lang w:val="de-DE"/>
        </w:rPr>
      </w:pPr>
    </w:p>
    <w:p w14:paraId="76C7867A" w14:textId="77777777" w:rsidR="00D61827" w:rsidRDefault="00D61827" w:rsidP="00D61827">
      <w:r>
        <w:t>A new liaison statement has been received from SG2.</w:t>
      </w:r>
    </w:p>
    <w:p w14:paraId="5F7EFEEA" w14:textId="77777777" w:rsidR="00D61827" w:rsidRDefault="00D61827" w:rsidP="00D61827">
      <w:r>
        <w:t xml:space="preserve">This liaison statement follows and the original file can be downloaded from the ITU ftp server at </w:t>
      </w:r>
      <w:hyperlink r:id="rId13" w:tooltip="ITU-T ftp file restricted to TIES access only" w:history="1">
        <w:r>
          <w:rPr>
            <w:rStyle w:val="Hyperlink"/>
          </w:rPr>
          <w:t>http://handle.itu.int/11.1002/ls/sp17-sg2-oLS-00071.docx</w:t>
        </w:r>
      </w:hyperlink>
      <w:r>
        <w:t>.</w:t>
      </w:r>
    </w:p>
    <w:p w14:paraId="260635F2" w14:textId="77777777" w:rsidR="00D61827" w:rsidRDefault="00D61827" w:rsidP="00D61827">
      <w:pPr>
        <w:spacing w:before="0"/>
        <w:jc w:val="center"/>
      </w:pPr>
    </w:p>
    <w:p w14:paraId="514D6A2A" w14:textId="77777777" w:rsidR="00D61827" w:rsidRDefault="00D61827">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772E94" w:rsidRPr="00772E94" w14:paraId="68CD3F2E" w14:textId="77777777" w:rsidTr="00772E94">
        <w:trPr>
          <w:cantSplit/>
        </w:trPr>
        <w:tc>
          <w:tcPr>
            <w:tcW w:w="1104" w:type="dxa"/>
            <w:vMerge w:val="restart"/>
            <w:vAlign w:val="center"/>
          </w:tcPr>
          <w:p w14:paraId="27BB6810" w14:textId="0FEEA570" w:rsidR="00772E94" w:rsidRPr="00772E94" w:rsidRDefault="00772E94" w:rsidP="00772E94">
            <w:pPr>
              <w:spacing w:before="0"/>
              <w:jc w:val="center"/>
              <w:rPr>
                <w:sz w:val="20"/>
                <w:szCs w:val="20"/>
              </w:rPr>
            </w:pPr>
            <w:r w:rsidRPr="00772E94">
              <w:rPr>
                <w:noProof/>
              </w:rPr>
              <w:lastRenderedPageBreak/>
              <w:drawing>
                <wp:inline distT="0" distB="0" distL="0" distR="0" wp14:anchorId="490DF8F9" wp14:editId="38154CF0">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B93E389" w14:textId="77777777" w:rsidR="00772E94" w:rsidRPr="00772E94" w:rsidRDefault="00772E94" w:rsidP="00772E94">
            <w:pPr>
              <w:rPr>
                <w:sz w:val="16"/>
                <w:szCs w:val="16"/>
              </w:rPr>
            </w:pPr>
            <w:r w:rsidRPr="00772E94">
              <w:rPr>
                <w:sz w:val="16"/>
                <w:szCs w:val="16"/>
              </w:rPr>
              <w:t>INTERNATIONAL TELECOMMUNICATION UNION</w:t>
            </w:r>
          </w:p>
          <w:p w14:paraId="538CE1AD" w14:textId="77777777" w:rsidR="00772E94" w:rsidRPr="00772E94" w:rsidRDefault="00772E94" w:rsidP="00772E94">
            <w:pPr>
              <w:rPr>
                <w:b/>
                <w:bCs/>
                <w:sz w:val="26"/>
                <w:szCs w:val="26"/>
              </w:rPr>
            </w:pPr>
            <w:r w:rsidRPr="00772E94">
              <w:rPr>
                <w:b/>
                <w:bCs/>
                <w:sz w:val="26"/>
                <w:szCs w:val="26"/>
              </w:rPr>
              <w:t>TELECOMMUNICATION</w:t>
            </w:r>
            <w:r w:rsidRPr="00772E94">
              <w:rPr>
                <w:b/>
                <w:bCs/>
                <w:sz w:val="26"/>
                <w:szCs w:val="26"/>
              </w:rPr>
              <w:br/>
              <w:t>STANDARDIZATION SECTOR</w:t>
            </w:r>
          </w:p>
          <w:p w14:paraId="5EBA7AB2" w14:textId="77777777" w:rsidR="00772E94" w:rsidRPr="00772E94" w:rsidRDefault="00772E94" w:rsidP="00772E94">
            <w:pPr>
              <w:rPr>
                <w:sz w:val="20"/>
                <w:szCs w:val="20"/>
              </w:rPr>
            </w:pPr>
            <w:r w:rsidRPr="00772E94">
              <w:rPr>
                <w:sz w:val="20"/>
                <w:szCs w:val="20"/>
              </w:rPr>
              <w:t xml:space="preserve">STUDY PERIOD </w:t>
            </w:r>
            <w:bookmarkStart w:id="4" w:name="dstudyperiod"/>
            <w:r w:rsidRPr="00772E94">
              <w:rPr>
                <w:sz w:val="20"/>
              </w:rPr>
              <w:t>2022</w:t>
            </w:r>
            <w:r w:rsidRPr="00772E94">
              <w:rPr>
                <w:sz w:val="20"/>
                <w:szCs w:val="20"/>
              </w:rPr>
              <w:t>-</w:t>
            </w:r>
            <w:r w:rsidRPr="00772E94">
              <w:rPr>
                <w:sz w:val="20"/>
              </w:rPr>
              <w:t>2024</w:t>
            </w:r>
            <w:bookmarkEnd w:id="4"/>
          </w:p>
        </w:tc>
        <w:tc>
          <w:tcPr>
            <w:tcW w:w="4184" w:type="dxa"/>
            <w:vAlign w:val="center"/>
          </w:tcPr>
          <w:p w14:paraId="3301D821" w14:textId="4723B6C5" w:rsidR="00772E94" w:rsidRPr="00D61827" w:rsidRDefault="00772E94" w:rsidP="00D61827">
            <w:pPr>
              <w:jc w:val="right"/>
              <w:rPr>
                <w:b/>
                <w:sz w:val="28"/>
              </w:rPr>
            </w:pPr>
            <w:r w:rsidRPr="00D61827">
              <w:rPr>
                <w:b/>
                <w:sz w:val="28"/>
              </w:rPr>
              <w:t>SG2-LS71</w:t>
            </w:r>
          </w:p>
        </w:tc>
      </w:tr>
      <w:tr w:rsidR="00772E94" w:rsidRPr="00772E94" w14:paraId="6FBED1E5" w14:textId="77777777" w:rsidTr="00772E94">
        <w:trPr>
          <w:cantSplit/>
        </w:trPr>
        <w:tc>
          <w:tcPr>
            <w:tcW w:w="1104" w:type="dxa"/>
            <w:vMerge/>
          </w:tcPr>
          <w:p w14:paraId="24FDB5B5" w14:textId="77777777" w:rsidR="00772E94" w:rsidRPr="00772E94" w:rsidRDefault="00772E94" w:rsidP="00772E94">
            <w:pPr>
              <w:rPr>
                <w:smallCaps/>
                <w:sz w:val="20"/>
              </w:rPr>
            </w:pPr>
            <w:bookmarkStart w:id="5" w:name="dsg" w:colFirst="2" w:colLast="2"/>
            <w:bookmarkEnd w:id="0"/>
          </w:p>
        </w:tc>
        <w:tc>
          <w:tcPr>
            <w:tcW w:w="4351" w:type="dxa"/>
            <w:gridSpan w:val="5"/>
            <w:vMerge/>
          </w:tcPr>
          <w:p w14:paraId="3430AD1B" w14:textId="77777777" w:rsidR="00772E94" w:rsidRPr="00772E94" w:rsidRDefault="00772E94" w:rsidP="00772E94">
            <w:pPr>
              <w:rPr>
                <w:smallCaps/>
                <w:sz w:val="20"/>
              </w:rPr>
            </w:pPr>
          </w:p>
        </w:tc>
        <w:tc>
          <w:tcPr>
            <w:tcW w:w="4184" w:type="dxa"/>
          </w:tcPr>
          <w:p w14:paraId="4A6DC22B" w14:textId="0BEE118B" w:rsidR="00772E94" w:rsidRPr="00772E94" w:rsidRDefault="00772E94" w:rsidP="00772E94">
            <w:pPr>
              <w:jc w:val="right"/>
              <w:rPr>
                <w:b/>
                <w:bCs/>
                <w:smallCaps/>
                <w:sz w:val="28"/>
                <w:szCs w:val="28"/>
              </w:rPr>
            </w:pPr>
            <w:r>
              <w:rPr>
                <w:b/>
                <w:bCs/>
                <w:smallCaps/>
                <w:sz w:val="28"/>
                <w:szCs w:val="28"/>
              </w:rPr>
              <w:t>STUDY GROUP 2</w:t>
            </w:r>
          </w:p>
        </w:tc>
      </w:tr>
      <w:bookmarkEnd w:id="5"/>
      <w:tr w:rsidR="00772E94" w:rsidRPr="00772E94" w14:paraId="6291A549" w14:textId="77777777" w:rsidTr="00772E94">
        <w:trPr>
          <w:cantSplit/>
        </w:trPr>
        <w:tc>
          <w:tcPr>
            <w:tcW w:w="1104" w:type="dxa"/>
            <w:vMerge/>
            <w:tcBorders>
              <w:bottom w:val="single" w:sz="12" w:space="0" w:color="auto"/>
            </w:tcBorders>
          </w:tcPr>
          <w:p w14:paraId="06873C13" w14:textId="77777777" w:rsidR="00772E94" w:rsidRPr="00772E94" w:rsidRDefault="00772E94" w:rsidP="00772E94">
            <w:pPr>
              <w:rPr>
                <w:b/>
                <w:bCs/>
                <w:sz w:val="26"/>
              </w:rPr>
            </w:pPr>
          </w:p>
        </w:tc>
        <w:tc>
          <w:tcPr>
            <w:tcW w:w="4351" w:type="dxa"/>
            <w:gridSpan w:val="5"/>
            <w:vMerge/>
            <w:tcBorders>
              <w:bottom w:val="single" w:sz="12" w:space="0" w:color="auto"/>
            </w:tcBorders>
          </w:tcPr>
          <w:p w14:paraId="0D185E60" w14:textId="77777777" w:rsidR="00772E94" w:rsidRPr="00772E94" w:rsidRDefault="00772E94" w:rsidP="00772E94">
            <w:pPr>
              <w:rPr>
                <w:b/>
                <w:bCs/>
                <w:sz w:val="26"/>
              </w:rPr>
            </w:pPr>
          </w:p>
        </w:tc>
        <w:tc>
          <w:tcPr>
            <w:tcW w:w="4184" w:type="dxa"/>
            <w:tcBorders>
              <w:bottom w:val="single" w:sz="12" w:space="0" w:color="auto"/>
            </w:tcBorders>
            <w:vAlign w:val="center"/>
          </w:tcPr>
          <w:p w14:paraId="7AE94890" w14:textId="77777777" w:rsidR="00772E94" w:rsidRPr="00772E94" w:rsidRDefault="00772E94" w:rsidP="00772E94">
            <w:pPr>
              <w:jc w:val="right"/>
              <w:rPr>
                <w:b/>
                <w:bCs/>
                <w:sz w:val="28"/>
                <w:szCs w:val="28"/>
              </w:rPr>
            </w:pPr>
            <w:r w:rsidRPr="00772E94">
              <w:rPr>
                <w:b/>
                <w:bCs/>
                <w:sz w:val="28"/>
                <w:szCs w:val="28"/>
              </w:rPr>
              <w:t>Original: English</w:t>
            </w:r>
          </w:p>
        </w:tc>
      </w:tr>
      <w:tr w:rsidR="00772E94" w:rsidRPr="00772E94" w14:paraId="6B2FD646" w14:textId="77777777" w:rsidTr="00772E94">
        <w:trPr>
          <w:cantSplit/>
        </w:trPr>
        <w:tc>
          <w:tcPr>
            <w:tcW w:w="1545" w:type="dxa"/>
            <w:gridSpan w:val="2"/>
          </w:tcPr>
          <w:p w14:paraId="087ECDCB" w14:textId="77777777" w:rsidR="00772E94" w:rsidRPr="00772E94" w:rsidRDefault="00772E94" w:rsidP="00772E94">
            <w:pPr>
              <w:rPr>
                <w:b/>
                <w:bCs/>
              </w:rPr>
            </w:pPr>
            <w:bookmarkStart w:id="6" w:name="dbluepink" w:colFirst="1" w:colLast="1"/>
            <w:bookmarkStart w:id="7" w:name="dmeeting" w:colFirst="2" w:colLast="2"/>
            <w:r w:rsidRPr="00772E94">
              <w:rPr>
                <w:b/>
                <w:bCs/>
              </w:rPr>
              <w:t>Question(s):</w:t>
            </w:r>
          </w:p>
        </w:tc>
        <w:tc>
          <w:tcPr>
            <w:tcW w:w="3910" w:type="dxa"/>
            <w:gridSpan w:val="4"/>
          </w:tcPr>
          <w:p w14:paraId="03A9AA49" w14:textId="40278306" w:rsidR="00772E94" w:rsidRPr="00772E94" w:rsidRDefault="00772E94" w:rsidP="00772E94">
            <w:r w:rsidRPr="00772E94">
              <w:t>All/2</w:t>
            </w:r>
          </w:p>
        </w:tc>
        <w:tc>
          <w:tcPr>
            <w:tcW w:w="4184" w:type="dxa"/>
          </w:tcPr>
          <w:p w14:paraId="1EF65537" w14:textId="46DA66C1" w:rsidR="00772E94" w:rsidRPr="00772E94" w:rsidRDefault="00772E94" w:rsidP="00772E94">
            <w:pPr>
              <w:jc w:val="right"/>
            </w:pPr>
            <w:r w:rsidRPr="00772E94">
              <w:t>Geneva, 8-17 November 2023</w:t>
            </w:r>
          </w:p>
        </w:tc>
      </w:tr>
      <w:tr w:rsidR="00772E94" w:rsidRPr="00772E94" w14:paraId="1313443D" w14:textId="77777777" w:rsidTr="00772E94">
        <w:trPr>
          <w:cantSplit/>
        </w:trPr>
        <w:tc>
          <w:tcPr>
            <w:tcW w:w="9639" w:type="dxa"/>
            <w:gridSpan w:val="7"/>
          </w:tcPr>
          <w:p w14:paraId="253C3D95" w14:textId="29ADEDB4" w:rsidR="00772E94" w:rsidRPr="00772E94" w:rsidRDefault="00772E94" w:rsidP="00772E94">
            <w:pPr>
              <w:jc w:val="center"/>
              <w:rPr>
                <w:b/>
                <w:bCs/>
              </w:rPr>
            </w:pPr>
            <w:bookmarkStart w:id="8" w:name="ddoctype"/>
            <w:bookmarkEnd w:id="6"/>
            <w:bookmarkEnd w:id="7"/>
            <w:r>
              <w:rPr>
                <w:b/>
                <w:bCs/>
              </w:rPr>
              <w:t>(</w:t>
            </w:r>
            <w:r w:rsidRPr="00772E94">
              <w:rPr>
                <w:b/>
                <w:bCs/>
              </w:rPr>
              <w:t xml:space="preserve">Ref.: </w:t>
            </w:r>
            <w:hyperlink r:id="rId14" w:history="1">
              <w:r w:rsidRPr="00772E94">
                <w:rPr>
                  <w:rStyle w:val="Hyperlink"/>
                  <w:rFonts w:ascii="Times New Roman" w:hAnsi="Times New Roman"/>
                  <w:b/>
                  <w:bCs/>
                </w:rPr>
                <w:t>SG2-</w:t>
              </w:r>
              <w:proofErr w:type="spellStart"/>
              <w:r w:rsidRPr="00772E94">
                <w:rPr>
                  <w:rStyle w:val="Hyperlink"/>
                  <w:rFonts w:ascii="Times New Roman" w:hAnsi="Times New Roman"/>
                  <w:b/>
                  <w:bCs/>
                </w:rPr>
                <w:t>TD364</w:t>
              </w:r>
              <w:proofErr w:type="spellEnd"/>
              <w:r w:rsidRPr="00772E94">
                <w:rPr>
                  <w:rStyle w:val="Hyperlink"/>
                  <w:rFonts w:ascii="Times New Roman" w:hAnsi="Times New Roman"/>
                  <w:b/>
                  <w:bCs/>
                </w:rPr>
                <w:t>/GEN</w:t>
              </w:r>
            </w:hyperlink>
            <w:r>
              <w:rPr>
                <w:b/>
                <w:bCs/>
              </w:rPr>
              <w:t>)</w:t>
            </w:r>
          </w:p>
        </w:tc>
      </w:tr>
      <w:tr w:rsidR="00772E94" w:rsidRPr="00772E94" w14:paraId="67615BC0" w14:textId="77777777" w:rsidTr="00772E94">
        <w:trPr>
          <w:cantSplit/>
        </w:trPr>
        <w:tc>
          <w:tcPr>
            <w:tcW w:w="1545" w:type="dxa"/>
            <w:gridSpan w:val="2"/>
          </w:tcPr>
          <w:p w14:paraId="652D9A18" w14:textId="77777777" w:rsidR="00772E94" w:rsidRPr="00772E94" w:rsidRDefault="00772E94" w:rsidP="00772E94">
            <w:pPr>
              <w:rPr>
                <w:b/>
                <w:bCs/>
              </w:rPr>
            </w:pPr>
            <w:bookmarkStart w:id="9" w:name="dsource" w:colFirst="1" w:colLast="1"/>
            <w:bookmarkEnd w:id="8"/>
            <w:r w:rsidRPr="00772E94">
              <w:rPr>
                <w:b/>
                <w:bCs/>
              </w:rPr>
              <w:t>Source:</w:t>
            </w:r>
          </w:p>
        </w:tc>
        <w:tc>
          <w:tcPr>
            <w:tcW w:w="8094" w:type="dxa"/>
            <w:gridSpan w:val="5"/>
          </w:tcPr>
          <w:p w14:paraId="217D84EE" w14:textId="43A4D154" w:rsidR="00772E94" w:rsidRPr="00772E94" w:rsidRDefault="00772E94" w:rsidP="00772E94">
            <w:r w:rsidRPr="00772E94">
              <w:t>ITU-T Study Group 2</w:t>
            </w:r>
          </w:p>
        </w:tc>
      </w:tr>
      <w:tr w:rsidR="00772E94" w:rsidRPr="00772E94" w14:paraId="5BF45FD9" w14:textId="77777777" w:rsidTr="00772E94">
        <w:trPr>
          <w:cantSplit/>
        </w:trPr>
        <w:tc>
          <w:tcPr>
            <w:tcW w:w="1545" w:type="dxa"/>
            <w:gridSpan w:val="2"/>
            <w:tcBorders>
              <w:bottom w:val="single" w:sz="8" w:space="0" w:color="auto"/>
            </w:tcBorders>
          </w:tcPr>
          <w:p w14:paraId="1D09C4EC" w14:textId="77777777" w:rsidR="00772E94" w:rsidRPr="00772E94" w:rsidRDefault="00772E94" w:rsidP="00772E94">
            <w:pPr>
              <w:rPr>
                <w:b/>
                <w:bCs/>
              </w:rPr>
            </w:pPr>
            <w:bookmarkStart w:id="10" w:name="dtitle1" w:colFirst="1" w:colLast="1"/>
            <w:bookmarkEnd w:id="9"/>
            <w:r w:rsidRPr="00772E94">
              <w:rPr>
                <w:b/>
                <w:bCs/>
              </w:rPr>
              <w:t>Title:</w:t>
            </w:r>
          </w:p>
        </w:tc>
        <w:tc>
          <w:tcPr>
            <w:tcW w:w="8094" w:type="dxa"/>
            <w:gridSpan w:val="5"/>
            <w:tcBorders>
              <w:bottom w:val="single" w:sz="8" w:space="0" w:color="auto"/>
            </w:tcBorders>
          </w:tcPr>
          <w:p w14:paraId="1AD441FE" w14:textId="7C2BF5FC" w:rsidR="00772E94" w:rsidRPr="00772E94" w:rsidRDefault="00772E94" w:rsidP="00772E94">
            <w:r w:rsidRPr="00772E94">
              <w:t xml:space="preserve">LS on SCV activity in SG2 </w:t>
            </w:r>
          </w:p>
        </w:tc>
      </w:tr>
      <w:bookmarkEnd w:id="1"/>
      <w:bookmarkEnd w:id="10"/>
      <w:tr w:rsidR="00064C08" w14:paraId="0292FED8" w14:textId="77777777" w:rsidTr="00772E94">
        <w:tblPrEx>
          <w:tblLook w:val="04A0" w:firstRow="1" w:lastRow="0" w:firstColumn="1" w:lastColumn="0" w:noHBand="0" w:noVBand="1"/>
        </w:tblPrEx>
        <w:trPr>
          <w:cantSplit/>
          <w:trHeight w:val="357"/>
        </w:trPr>
        <w:tc>
          <w:tcPr>
            <w:tcW w:w="9639" w:type="dxa"/>
            <w:gridSpan w:val="7"/>
            <w:tcBorders>
              <w:top w:val="single" w:sz="12" w:space="0" w:color="auto"/>
            </w:tcBorders>
          </w:tcPr>
          <w:p w14:paraId="1CEB1BB7" w14:textId="77777777" w:rsidR="00064C08" w:rsidRDefault="00064C08" w:rsidP="00064C08">
            <w:pPr>
              <w:jc w:val="center"/>
              <w:rPr>
                <w:b/>
              </w:rPr>
            </w:pPr>
            <w:r>
              <w:rPr>
                <w:b/>
              </w:rPr>
              <w:t>LIAISON STATEMENT</w:t>
            </w:r>
          </w:p>
        </w:tc>
      </w:tr>
      <w:tr w:rsidR="00064C08" w14:paraId="58DCD060" w14:textId="77777777" w:rsidTr="00772E94">
        <w:tblPrEx>
          <w:tblLook w:val="04A0" w:firstRow="1" w:lastRow="0" w:firstColumn="1" w:lastColumn="0" w:noHBand="0" w:noVBand="1"/>
        </w:tblPrEx>
        <w:trPr>
          <w:cantSplit/>
          <w:trHeight w:val="357"/>
        </w:trPr>
        <w:tc>
          <w:tcPr>
            <w:tcW w:w="2127" w:type="dxa"/>
            <w:gridSpan w:val="4"/>
          </w:tcPr>
          <w:p w14:paraId="5C476342" w14:textId="77777777" w:rsidR="00064C08" w:rsidRDefault="00064C08" w:rsidP="00064C08">
            <w:pPr>
              <w:rPr>
                <w:b/>
                <w:bCs/>
              </w:rPr>
            </w:pPr>
            <w:r>
              <w:rPr>
                <w:b/>
                <w:bCs/>
              </w:rPr>
              <w:t>For action to:</w:t>
            </w:r>
          </w:p>
        </w:tc>
        <w:tc>
          <w:tcPr>
            <w:tcW w:w="7512" w:type="dxa"/>
            <w:gridSpan w:val="3"/>
          </w:tcPr>
          <w:p w14:paraId="39B7BD10" w14:textId="290A27CF" w:rsidR="00064C08" w:rsidRDefault="00064C08" w:rsidP="00064C08">
            <w:pPr>
              <w:pStyle w:val="LSForAction"/>
            </w:pPr>
            <w:r>
              <w:t>SCV/CCV/</w:t>
            </w:r>
            <w:proofErr w:type="spellStart"/>
            <w:r>
              <w:t>CCT</w:t>
            </w:r>
            <w:proofErr w:type="spellEnd"/>
            <w:r>
              <w:t xml:space="preserve">, </w:t>
            </w:r>
            <w:r w:rsidR="00287D07">
              <w:t xml:space="preserve">TSAG, </w:t>
            </w:r>
            <w:r w:rsidRPr="004E557A">
              <w:t xml:space="preserve">ITU-T </w:t>
            </w:r>
            <w:r>
              <w:t xml:space="preserve">SG3, SG5, </w:t>
            </w:r>
            <w:r w:rsidRPr="004E557A">
              <w:t xml:space="preserve">SG9, </w:t>
            </w:r>
            <w:r w:rsidR="00287D07">
              <w:t xml:space="preserve">SG11, </w:t>
            </w:r>
            <w:r w:rsidR="00DB1FB6">
              <w:t xml:space="preserve">SG12, </w:t>
            </w:r>
            <w:r w:rsidRPr="004E557A">
              <w:t>SG13, SG15, SG16, SG17, SG20</w:t>
            </w:r>
          </w:p>
        </w:tc>
      </w:tr>
      <w:tr w:rsidR="00064C08" w14:paraId="114FBD2B" w14:textId="77777777" w:rsidTr="00772E94">
        <w:tblPrEx>
          <w:tblLook w:val="04A0" w:firstRow="1" w:lastRow="0" w:firstColumn="1" w:lastColumn="0" w:noHBand="0" w:noVBand="1"/>
        </w:tblPrEx>
        <w:trPr>
          <w:cantSplit/>
          <w:trHeight w:val="357"/>
        </w:trPr>
        <w:tc>
          <w:tcPr>
            <w:tcW w:w="2127" w:type="dxa"/>
            <w:gridSpan w:val="4"/>
          </w:tcPr>
          <w:p w14:paraId="2A32CA3E" w14:textId="77777777" w:rsidR="00064C08" w:rsidRDefault="00064C08" w:rsidP="00064C08">
            <w:pPr>
              <w:rPr>
                <w:b/>
                <w:bCs/>
              </w:rPr>
            </w:pPr>
            <w:r>
              <w:rPr>
                <w:b/>
                <w:bCs/>
              </w:rPr>
              <w:t>For information to:</w:t>
            </w:r>
          </w:p>
        </w:tc>
        <w:tc>
          <w:tcPr>
            <w:tcW w:w="7512" w:type="dxa"/>
            <w:gridSpan w:val="3"/>
          </w:tcPr>
          <w:p w14:paraId="79857E6B" w14:textId="6A329099" w:rsidR="00064C08" w:rsidRDefault="00936122" w:rsidP="00064C08">
            <w:pPr>
              <w:pStyle w:val="LSForInfo"/>
            </w:pPr>
            <w:r>
              <w:t>-</w:t>
            </w:r>
          </w:p>
        </w:tc>
      </w:tr>
      <w:tr w:rsidR="00064C08" w14:paraId="02ED3E84" w14:textId="77777777" w:rsidTr="00772E94">
        <w:tblPrEx>
          <w:tblLook w:val="04A0" w:firstRow="1" w:lastRow="0" w:firstColumn="1" w:lastColumn="0" w:noHBand="0" w:noVBand="1"/>
        </w:tblPrEx>
        <w:trPr>
          <w:cantSplit/>
          <w:trHeight w:val="357"/>
        </w:trPr>
        <w:tc>
          <w:tcPr>
            <w:tcW w:w="2127" w:type="dxa"/>
            <w:gridSpan w:val="4"/>
          </w:tcPr>
          <w:p w14:paraId="3B18DC7C" w14:textId="77777777" w:rsidR="00064C08" w:rsidRDefault="00064C08" w:rsidP="00064C08">
            <w:pPr>
              <w:rPr>
                <w:b/>
                <w:bCs/>
              </w:rPr>
            </w:pPr>
            <w:r>
              <w:rPr>
                <w:b/>
                <w:bCs/>
              </w:rPr>
              <w:t>Approval:</w:t>
            </w:r>
          </w:p>
        </w:tc>
        <w:tc>
          <w:tcPr>
            <w:tcW w:w="7512" w:type="dxa"/>
            <w:gridSpan w:val="3"/>
          </w:tcPr>
          <w:p w14:paraId="43CF4DEC" w14:textId="39EDD5CA" w:rsidR="00064C08" w:rsidRDefault="00064C08" w:rsidP="0052589E">
            <w:r>
              <w:t>ITU-T Study Group 2 meeting (</w:t>
            </w:r>
            <w:r w:rsidR="00097B3A" w:rsidRPr="008D589A">
              <w:t>Geneva, 17 November 2023</w:t>
            </w:r>
            <w:r>
              <w:t>)</w:t>
            </w:r>
          </w:p>
        </w:tc>
      </w:tr>
      <w:tr w:rsidR="00064C08" w14:paraId="055D6331" w14:textId="77777777" w:rsidTr="00772E94">
        <w:tblPrEx>
          <w:tblLook w:val="04A0" w:firstRow="1" w:lastRow="0" w:firstColumn="1" w:lastColumn="0" w:noHBand="0" w:noVBand="1"/>
        </w:tblPrEx>
        <w:trPr>
          <w:cantSplit/>
          <w:trHeight w:val="357"/>
        </w:trPr>
        <w:tc>
          <w:tcPr>
            <w:tcW w:w="2127" w:type="dxa"/>
            <w:gridSpan w:val="4"/>
            <w:tcBorders>
              <w:bottom w:val="single" w:sz="12" w:space="0" w:color="auto"/>
            </w:tcBorders>
          </w:tcPr>
          <w:p w14:paraId="6283F105" w14:textId="77777777" w:rsidR="00064C08" w:rsidRDefault="00064C08" w:rsidP="00064C08">
            <w:pPr>
              <w:rPr>
                <w:b/>
                <w:bCs/>
              </w:rPr>
            </w:pPr>
            <w:r>
              <w:rPr>
                <w:b/>
                <w:bCs/>
              </w:rPr>
              <w:t>Deadline:</w:t>
            </w:r>
          </w:p>
        </w:tc>
        <w:tc>
          <w:tcPr>
            <w:tcW w:w="7512" w:type="dxa"/>
            <w:gridSpan w:val="3"/>
            <w:tcBorders>
              <w:bottom w:val="single" w:sz="12" w:space="0" w:color="auto"/>
            </w:tcBorders>
          </w:tcPr>
          <w:p w14:paraId="7AC226F4" w14:textId="77777777" w:rsidR="00064C08" w:rsidRDefault="00064C08" w:rsidP="00064C08">
            <w:pPr>
              <w:pStyle w:val="LSDeadline"/>
            </w:pPr>
            <w:r>
              <w:rPr>
                <w:rFonts w:eastAsia="SimSun" w:hint="eastAsia"/>
                <w:lang w:val="en-US" w:eastAsia="zh-CN"/>
              </w:rPr>
              <w:t>-</w:t>
            </w:r>
          </w:p>
        </w:tc>
      </w:tr>
      <w:tr w:rsidR="00064C08" w:rsidRPr="009B6562" w14:paraId="231242CA" w14:textId="77777777" w:rsidTr="00772E94">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6AB30EB6" w14:textId="77777777" w:rsidR="00064C08" w:rsidRDefault="00064C08" w:rsidP="00064C08">
            <w:pPr>
              <w:rPr>
                <w:b/>
                <w:bCs/>
                <w:highlight w:val="yellow"/>
              </w:rPr>
            </w:pPr>
            <w:r>
              <w:rPr>
                <w:rFonts w:asciiTheme="majorBidi" w:hAnsiTheme="majorBidi" w:cstheme="majorBidi"/>
                <w:b/>
                <w:bCs/>
                <w:kern w:val="2"/>
                <w:lang w:val="en-US" w:eastAsia="zh-CN"/>
              </w:rPr>
              <w:t>Contact:</w:t>
            </w:r>
          </w:p>
        </w:tc>
        <w:tc>
          <w:tcPr>
            <w:tcW w:w="3780" w:type="dxa"/>
            <w:gridSpan w:val="2"/>
            <w:tcBorders>
              <w:top w:val="single" w:sz="8" w:space="0" w:color="auto"/>
              <w:bottom w:val="single" w:sz="8" w:space="0" w:color="auto"/>
            </w:tcBorders>
            <w:vAlign w:val="center"/>
          </w:tcPr>
          <w:p w14:paraId="5CB16B78" w14:textId="5C8C11A3" w:rsidR="00064C08" w:rsidRDefault="007122B6" w:rsidP="002B159C">
            <w:pPr>
              <w:rPr>
                <w:highlight w:val="yellow"/>
                <w:lang w:val="en-US" w:eastAsia="en-GB"/>
              </w:rPr>
            </w:pPr>
            <w:sdt>
              <w:sdtPr>
                <w:alias w:val="ContactNameOrgCountry"/>
                <w:id w:val="2063201545"/>
                <w:text/>
              </w:sdtPr>
              <w:sdtEndPr/>
              <w:sdtContent>
                <w:r w:rsidR="00064C08" w:rsidRPr="004E557A">
                  <w:t>Dmitry Cherkesov</w:t>
                </w:r>
                <w:r w:rsidR="00064C08" w:rsidRPr="004E557A">
                  <w:br/>
                </w:r>
                <w:r w:rsidR="00064C08">
                  <w:t>Vocabulary rapporteur</w:t>
                </w:r>
              </w:sdtContent>
            </w:sdt>
          </w:p>
        </w:tc>
        <w:tc>
          <w:tcPr>
            <w:tcW w:w="4252" w:type="dxa"/>
            <w:gridSpan w:val="2"/>
            <w:tcBorders>
              <w:top w:val="single" w:sz="8" w:space="0" w:color="auto"/>
              <w:bottom w:val="single" w:sz="8" w:space="0" w:color="auto"/>
            </w:tcBorders>
            <w:vAlign w:val="center"/>
          </w:tcPr>
          <w:p w14:paraId="1D74C0B9" w14:textId="0648ABDC" w:rsidR="00064C08" w:rsidRPr="009B6562" w:rsidRDefault="00064C08" w:rsidP="002B159C">
            <w:pPr>
              <w:rPr>
                <w:rFonts w:asciiTheme="majorBidi" w:hAnsiTheme="majorBidi" w:cstheme="majorBidi"/>
                <w:kern w:val="2"/>
                <w:lang w:val="de-DE" w:eastAsia="zh-CN"/>
              </w:rPr>
            </w:pPr>
            <w:r w:rsidRPr="004E557A">
              <w:rPr>
                <w:lang w:val="pt-BR"/>
              </w:rPr>
              <w:t xml:space="preserve">Tel: </w:t>
            </w:r>
            <w:r w:rsidRPr="004E557A">
              <w:rPr>
                <w:lang w:val="pt-BR"/>
              </w:rPr>
              <w:tab/>
            </w:r>
            <w:r w:rsidRPr="009B6562">
              <w:rPr>
                <w:lang w:val="de-DE"/>
              </w:rPr>
              <w:t>+7 985 239 06 00</w:t>
            </w:r>
            <w:r w:rsidRPr="004E557A">
              <w:rPr>
                <w:lang w:val="pt-BR"/>
              </w:rPr>
              <w:br/>
              <w:t xml:space="preserve">E-mail: </w:t>
            </w:r>
            <w:r w:rsidR="007122B6">
              <w:fldChar w:fldCharType="begin"/>
            </w:r>
            <w:r w:rsidR="007122B6" w:rsidRPr="009B6562">
              <w:rPr>
                <w:lang w:val="de-DE"/>
              </w:rPr>
              <w:instrText>HYPERLINK "mailto:dcherkesov@gmail.com" \h</w:instrText>
            </w:r>
            <w:r w:rsidR="007122B6">
              <w:fldChar w:fldCharType="separate"/>
            </w:r>
            <w:r w:rsidRPr="004E557A">
              <w:rPr>
                <w:rStyle w:val="-"/>
                <w:rFonts w:ascii="Times New Roman" w:hAnsi="Times New Roman"/>
                <w:lang w:val="pt-BR"/>
              </w:rPr>
              <w:t>dcherkesov@</w:t>
            </w:r>
            <w:r w:rsidRPr="009B6562">
              <w:rPr>
                <w:rStyle w:val="-"/>
                <w:rFonts w:ascii="Times New Roman" w:hAnsi="Times New Roman"/>
                <w:lang w:val="de-DE"/>
              </w:rPr>
              <w:t>gmail.com</w:t>
            </w:r>
            <w:r w:rsidR="007122B6">
              <w:rPr>
                <w:rStyle w:val="-"/>
                <w:rFonts w:ascii="Times New Roman" w:hAnsi="Times New Roman"/>
                <w:lang w:val="fr-CH"/>
              </w:rPr>
              <w:fldChar w:fldCharType="end"/>
            </w:r>
            <w:r w:rsidRPr="009B6562">
              <w:rPr>
                <w:lang w:val="de-DE"/>
              </w:rPr>
              <w:t xml:space="preserve"> </w:t>
            </w:r>
            <w:r w:rsidRPr="004E557A">
              <w:rPr>
                <w:lang w:val="pt-BR"/>
              </w:rPr>
              <w:t xml:space="preserve"> </w:t>
            </w:r>
            <w:r>
              <w:rPr>
                <w:lang w:val="es-ES"/>
              </w:rPr>
              <w:t xml:space="preserve">  </w:t>
            </w:r>
          </w:p>
        </w:tc>
      </w:tr>
    </w:tbl>
    <w:p w14:paraId="1690D1BB" w14:textId="77777777" w:rsidR="00FE3BB1" w:rsidRPr="009B6562" w:rsidRDefault="00FE3BB1">
      <w:pPr>
        <w:rPr>
          <w:lang w:val="de-DE"/>
        </w:rPr>
      </w:pPr>
    </w:p>
    <w:tbl>
      <w:tblPr>
        <w:tblW w:w="9757" w:type="dxa"/>
        <w:tblCellMar>
          <w:left w:w="57" w:type="dxa"/>
          <w:right w:w="57" w:type="dxa"/>
        </w:tblCellMar>
        <w:tblLook w:val="0000" w:firstRow="0" w:lastRow="0" w:firstColumn="0" w:lastColumn="0" w:noHBand="0" w:noVBand="0"/>
      </w:tblPr>
      <w:tblGrid>
        <w:gridCol w:w="1611"/>
        <w:gridCol w:w="8146"/>
      </w:tblGrid>
      <w:tr w:rsidR="00FE3BB1" w14:paraId="1F2EABDB" w14:textId="77777777" w:rsidTr="0084427D">
        <w:trPr>
          <w:cantSplit/>
          <w:trHeight w:val="467"/>
        </w:trPr>
        <w:tc>
          <w:tcPr>
            <w:tcW w:w="1611" w:type="dxa"/>
            <w:shd w:val="clear" w:color="auto" w:fill="auto"/>
          </w:tcPr>
          <w:p w14:paraId="147B8950" w14:textId="77777777" w:rsidR="00FE3BB1" w:rsidRDefault="001C32D0">
            <w:pPr>
              <w:rPr>
                <w:b/>
                <w:bCs/>
              </w:rPr>
            </w:pPr>
            <w:r>
              <w:rPr>
                <w:b/>
                <w:bCs/>
              </w:rPr>
              <w:t>Abstract:</w:t>
            </w:r>
          </w:p>
        </w:tc>
        <w:tc>
          <w:tcPr>
            <w:tcW w:w="8146"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14:paraId="624F81AD" w14:textId="071006CA" w:rsidR="00FE3BB1" w:rsidRDefault="002B159C">
                <w:r>
                  <w:rPr>
                    <w:lang w:val="en-US"/>
                  </w:rPr>
                  <w:t>This Liaison Statemnet outlines the</w:t>
                </w:r>
                <w:r w:rsidR="001C32D0">
                  <w:rPr>
                    <w:lang w:val="en-US"/>
                  </w:rPr>
                  <w:t xml:space="preserve"> current terms and definition</w:t>
                </w:r>
                <w:r>
                  <w:rPr>
                    <w:lang w:val="en-US"/>
                  </w:rPr>
                  <w:t>s</w:t>
                </w:r>
                <w:r w:rsidR="001C32D0">
                  <w:rPr>
                    <w:lang w:val="en-US"/>
                  </w:rPr>
                  <w:t xml:space="preserve"> activities within </w:t>
                </w:r>
                <w:r>
                  <w:rPr>
                    <w:lang w:val="en-US"/>
                  </w:rPr>
                  <w:t xml:space="preserve">ITU-T </w:t>
                </w:r>
                <w:r w:rsidR="001C32D0">
                  <w:rPr>
                    <w:lang w:val="en-US"/>
                  </w:rPr>
                  <w:t>SG2.</w:t>
                </w:r>
              </w:p>
            </w:sdtContent>
          </w:sdt>
        </w:tc>
      </w:tr>
    </w:tbl>
    <w:p w14:paraId="5C83BA83" w14:textId="6A16C0CE" w:rsidR="00FE3BB1" w:rsidRDefault="001C32D0">
      <w:pPr>
        <w:spacing w:before="360"/>
        <w:jc w:val="both"/>
      </w:pPr>
      <w:r>
        <w:t xml:space="preserve">ITU-T SG2 thanks </w:t>
      </w:r>
      <w:proofErr w:type="spellStart"/>
      <w:r w:rsidR="00097B3A">
        <w:t>CCT</w:t>
      </w:r>
      <w:proofErr w:type="spellEnd"/>
      <w:r w:rsidR="00097B3A">
        <w:t>/</w:t>
      </w:r>
      <w:r>
        <w:t xml:space="preserve">SCV/CCV and </w:t>
      </w:r>
      <w:proofErr w:type="spellStart"/>
      <w:r>
        <w:t>SGs</w:t>
      </w:r>
      <w:proofErr w:type="spellEnd"/>
      <w:r>
        <w:t xml:space="preserve"> for </w:t>
      </w:r>
      <w:r w:rsidR="002B159C">
        <w:t xml:space="preserve">their work in aligning </w:t>
      </w:r>
      <w:r>
        <w:t>terms and definitions.</w:t>
      </w:r>
    </w:p>
    <w:p w14:paraId="73861423" w14:textId="146EE7B3" w:rsidR="009722EF" w:rsidRPr="00362F43" w:rsidRDefault="009722EF" w:rsidP="002B159C">
      <w:r>
        <w:t>SG2 follows the formal structure of definition</w:t>
      </w:r>
      <w:r w:rsidR="002B159C">
        <w:t>s as described in the</w:t>
      </w:r>
      <w:r>
        <w:t xml:space="preserve"> </w:t>
      </w:r>
      <w:r w:rsidRPr="00D67902">
        <w:rPr>
          <w:bCs/>
          <w:iCs/>
        </w:rPr>
        <w:t>Author's Guide for drafting ITU</w:t>
      </w:r>
      <w:r w:rsidR="002B159C">
        <w:rPr>
          <w:bCs/>
          <w:iCs/>
        </w:rPr>
        <w:noBreakHyphen/>
      </w:r>
      <w:r w:rsidRPr="00D67902">
        <w:rPr>
          <w:bCs/>
          <w:iCs/>
        </w:rPr>
        <w:t>T Recommendations (</w:t>
      </w:r>
      <w:r w:rsidR="00097B3A">
        <w:rPr>
          <w:bCs/>
          <w:iCs/>
        </w:rPr>
        <w:t>June</w:t>
      </w:r>
      <w:r w:rsidRPr="00D67902">
        <w:rPr>
          <w:bCs/>
          <w:iCs/>
        </w:rPr>
        <w:t xml:space="preserve"> 202</w:t>
      </w:r>
      <w:r w:rsidR="00097B3A">
        <w:rPr>
          <w:bCs/>
          <w:iCs/>
        </w:rPr>
        <w:t>3</w:t>
      </w:r>
      <w:r w:rsidRPr="00D67902">
        <w:rPr>
          <w:bCs/>
          <w:iCs/>
        </w:rPr>
        <w:t>)</w:t>
      </w:r>
      <w:r>
        <w:rPr>
          <w:bCs/>
          <w:iCs/>
        </w:rPr>
        <w:t xml:space="preserve">, </w:t>
      </w:r>
      <w:r w:rsidRPr="00D67902">
        <w:rPr>
          <w:bCs/>
          <w:iCs/>
        </w:rPr>
        <w:t>Annex B</w:t>
      </w:r>
      <w:r>
        <w:rPr>
          <w:bCs/>
          <w:iCs/>
        </w:rPr>
        <w:t xml:space="preserve">, </w:t>
      </w:r>
      <w:r w:rsidRPr="00D67902">
        <w:rPr>
          <w:bCs/>
          <w:iCs/>
        </w:rPr>
        <w:t>Guidance on the development of definitions</w:t>
      </w:r>
      <w:r>
        <w:rPr>
          <w:bCs/>
          <w:iCs/>
        </w:rPr>
        <w:t>.</w:t>
      </w:r>
      <w:r w:rsidR="002B159C">
        <w:rPr>
          <w:bCs/>
          <w:iCs/>
        </w:rPr>
        <w:t xml:space="preserve"> An </w:t>
      </w:r>
      <w:r w:rsidRPr="00362F43">
        <w:t>extract from Annex B Authors Guide:</w:t>
      </w:r>
    </w:p>
    <w:p w14:paraId="79BF749A" w14:textId="77777777" w:rsidR="009722EF" w:rsidRPr="00362F43" w:rsidRDefault="009722EF" w:rsidP="002B159C">
      <w:pPr>
        <w:ind w:left="708"/>
      </w:pPr>
      <w:r w:rsidRPr="00362F43">
        <w:t xml:space="preserve">A formal definition is a concise, logical statement that comprises three essential elements: </w:t>
      </w:r>
    </w:p>
    <w:p w14:paraId="40E93BBF" w14:textId="77777777" w:rsidR="009722EF" w:rsidRPr="00362F43" w:rsidRDefault="009722EF" w:rsidP="002B159C">
      <w:pPr>
        <w:pStyle w:val="enumlev1"/>
        <w:ind w:left="1502"/>
        <w:rPr>
          <w:szCs w:val="24"/>
        </w:rPr>
      </w:pPr>
      <w:r w:rsidRPr="00362F43">
        <w:rPr>
          <w:szCs w:val="24"/>
        </w:rPr>
        <w:t>i)</w:t>
      </w:r>
      <w:r w:rsidRPr="00362F43">
        <w:rPr>
          <w:szCs w:val="24"/>
        </w:rPr>
        <w:tab/>
        <w:t xml:space="preserve">The term (word or phrase) to be </w:t>
      </w:r>
      <w:proofErr w:type="gramStart"/>
      <w:r w:rsidRPr="00362F43">
        <w:rPr>
          <w:szCs w:val="24"/>
        </w:rPr>
        <w:t>defined;</w:t>
      </w:r>
      <w:proofErr w:type="gramEnd"/>
    </w:p>
    <w:p w14:paraId="4EA5D558" w14:textId="77777777" w:rsidR="009722EF" w:rsidRPr="00362F43" w:rsidRDefault="009722EF" w:rsidP="002B159C">
      <w:pPr>
        <w:pStyle w:val="enumlev1"/>
        <w:ind w:left="1502"/>
        <w:rPr>
          <w:szCs w:val="24"/>
        </w:rPr>
      </w:pPr>
      <w:r w:rsidRPr="00362F43">
        <w:rPr>
          <w:szCs w:val="24"/>
        </w:rPr>
        <w:t>ii)</w:t>
      </w:r>
      <w:r w:rsidRPr="00362F43">
        <w:rPr>
          <w:szCs w:val="24"/>
        </w:rPr>
        <w:tab/>
        <w:t>The class of object or concept to which the term belongs; and</w:t>
      </w:r>
    </w:p>
    <w:p w14:paraId="4AF66B55" w14:textId="77777777" w:rsidR="009722EF" w:rsidRPr="00362F43" w:rsidRDefault="009722EF" w:rsidP="002B159C">
      <w:pPr>
        <w:pStyle w:val="enumlev1"/>
        <w:ind w:left="1502"/>
        <w:rPr>
          <w:szCs w:val="24"/>
        </w:rPr>
      </w:pPr>
      <w:r w:rsidRPr="00362F43">
        <w:rPr>
          <w:szCs w:val="24"/>
        </w:rPr>
        <w:t>iii)</w:t>
      </w:r>
      <w:r w:rsidRPr="00362F43">
        <w:rPr>
          <w:szCs w:val="24"/>
        </w:rPr>
        <w:tab/>
        <w:t>The characteristics that distinguish it from all others of its class.</w:t>
      </w:r>
    </w:p>
    <w:p w14:paraId="6A8077F7" w14:textId="77777777" w:rsidR="009722EF" w:rsidRDefault="009722EF" w:rsidP="002B159C">
      <w:pPr>
        <w:ind w:left="708"/>
        <w:jc w:val="both"/>
      </w:pPr>
      <w:r w:rsidRPr="00362F43">
        <w:t>Definitions with more than one explanation should be separated with semicolons.</w:t>
      </w:r>
    </w:p>
    <w:p w14:paraId="751A8712" w14:textId="13E9D2DE" w:rsidR="00287D07" w:rsidRDefault="00287D07" w:rsidP="002B159C">
      <w:pPr>
        <w:ind w:left="708"/>
        <w:jc w:val="both"/>
      </w:pPr>
      <w:r>
        <w:t xml:space="preserve">Where abbreviations are used within a definition, an explanation or expansion of those abbreviations </w:t>
      </w:r>
      <w:r w:rsidRPr="0052589E">
        <w:rPr>
          <w:u w:val="single"/>
        </w:rPr>
        <w:t>must be</w:t>
      </w:r>
      <w:r>
        <w:t xml:space="preserve"> included. Standard symbols for measurement units should not be </w:t>
      </w:r>
      <w:proofErr w:type="gramStart"/>
      <w:r>
        <w:t>defined</w:t>
      </w:r>
      <w:proofErr w:type="gramEnd"/>
    </w:p>
    <w:p w14:paraId="24223B11" w14:textId="3CB338A0" w:rsidR="00816504" w:rsidRPr="00097B3A" w:rsidRDefault="001C32D0" w:rsidP="00772E94">
      <w:pPr>
        <w:pStyle w:val="ListParagraph"/>
        <w:ind w:firstLine="0"/>
        <w:contextualSpacing/>
        <w:rPr>
          <w:rStyle w:val="rynqvb"/>
        </w:rPr>
      </w:pPr>
      <w:r>
        <w:rPr>
          <w:lang w:val="en-US" w:eastAsia="zh-CN"/>
        </w:rPr>
        <w:t xml:space="preserve">At </w:t>
      </w:r>
      <w:r w:rsidR="002B159C">
        <w:rPr>
          <w:lang w:val="en-US" w:eastAsia="zh-CN"/>
        </w:rPr>
        <w:t xml:space="preserve">the </w:t>
      </w:r>
      <w:r w:rsidRPr="00816504">
        <w:t>ITU</w:t>
      </w:r>
      <w:r>
        <w:rPr>
          <w:lang w:val="en-US" w:eastAsia="zh-CN"/>
        </w:rPr>
        <w:t>-T Study Group 2 meeting (</w:t>
      </w:r>
      <w:r w:rsidR="00097B3A" w:rsidRPr="008D589A">
        <w:t>Geneva, 8-17 November 2023</w:t>
      </w:r>
      <w:r>
        <w:rPr>
          <w:lang w:val="en-US" w:eastAsia="zh-CN"/>
        </w:rPr>
        <w:t xml:space="preserve">) </w:t>
      </w:r>
      <w:r w:rsidR="002B159C">
        <w:rPr>
          <w:lang w:val="en-US" w:eastAsia="zh-CN"/>
        </w:rPr>
        <w:t>the experts</w:t>
      </w:r>
      <w:r>
        <w:rPr>
          <w:lang w:val="en-US" w:eastAsia="zh-CN"/>
        </w:rPr>
        <w:t xml:space="preserve"> discussed </w:t>
      </w:r>
      <w:r w:rsidR="00097B3A">
        <w:rPr>
          <w:rFonts w:eastAsia="SimSun"/>
          <w:lang w:val="en-US"/>
        </w:rPr>
        <w:t xml:space="preserve">new or amended terms and definitions </w:t>
      </w:r>
      <w:r w:rsidR="002B159C">
        <w:rPr>
          <w:rFonts w:eastAsia="SimSun"/>
          <w:lang w:val="en-US"/>
        </w:rPr>
        <w:t xml:space="preserve">being developed in the study group’s draft </w:t>
      </w:r>
      <w:r w:rsidR="00097B3A">
        <w:rPr>
          <w:rFonts w:eastAsia="SimSun"/>
          <w:lang w:val="en-US"/>
        </w:rPr>
        <w:t>Recommendations</w:t>
      </w:r>
      <w:r w:rsidR="0052589E" w:rsidRPr="00097B3A">
        <w:rPr>
          <w:rStyle w:val="rynqvb"/>
        </w:rPr>
        <w:t>.</w:t>
      </w:r>
    </w:p>
    <w:p w14:paraId="0F063D36" w14:textId="77777777" w:rsidR="00EC18B3" w:rsidRPr="00097B3A" w:rsidRDefault="00EC18B3" w:rsidP="0052589E">
      <w:pPr>
        <w:pStyle w:val="ListParagraph"/>
        <w:ind w:left="360" w:firstLine="0"/>
        <w:contextualSpacing/>
        <w:rPr>
          <w:bCs/>
          <w:iCs/>
        </w:rPr>
      </w:pPr>
    </w:p>
    <w:p w14:paraId="1EACB456" w14:textId="06BC0D42" w:rsidR="00097B3A" w:rsidRPr="00097B3A" w:rsidRDefault="00097B3A">
      <w:pPr>
        <w:pStyle w:val="ListParagraph"/>
        <w:numPr>
          <w:ilvl w:val="0"/>
          <w:numId w:val="1"/>
        </w:numPr>
        <w:contextualSpacing/>
      </w:pPr>
      <w:proofErr w:type="spellStart"/>
      <w:r>
        <w:t>E.dit</w:t>
      </w:r>
      <w:proofErr w:type="spellEnd"/>
      <w:r>
        <w:t xml:space="preserve">: Deemed impermissible traffic in </w:t>
      </w:r>
      <w:hyperlink r:id="rId15"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TD299</w:t>
        </w:r>
        <w:proofErr w:type="spellEnd"/>
        <w:r w:rsidR="002B159C" w:rsidRPr="002B159C">
          <w:rPr>
            <w:rStyle w:val="Hyperlink"/>
            <w:rFonts w:ascii="Times New Roman" w:hAnsi="Times New Roman"/>
            <w:lang w:val="en-US"/>
          </w:rPr>
          <w:t>/PLEN</w:t>
        </w:r>
      </w:hyperlink>
      <w:r w:rsidR="002B159C">
        <w:rPr>
          <w:lang w:val="en-US"/>
        </w:rPr>
        <w:t>.</w:t>
      </w:r>
    </w:p>
    <w:p w14:paraId="25431357" w14:textId="1949C19B" w:rsidR="00097B3A" w:rsidRDefault="00097B3A" w:rsidP="00097B3A">
      <w:pPr>
        <w:pStyle w:val="ListParagraph"/>
        <w:ind w:left="360" w:firstLine="0"/>
        <w:contextualSpacing/>
      </w:pPr>
    </w:p>
    <w:p w14:paraId="3D951859" w14:textId="1FD9069B" w:rsidR="00097B3A" w:rsidRDefault="00097B3A" w:rsidP="00D47306">
      <w:pPr>
        <w:pStyle w:val="ListParagraph"/>
        <w:numPr>
          <w:ilvl w:val="1"/>
          <w:numId w:val="1"/>
        </w:numPr>
        <w:contextualSpacing/>
      </w:pPr>
      <w:r w:rsidRPr="00BA7822">
        <w:rPr>
          <w:b/>
          <w:bCs/>
        </w:rPr>
        <w:t>Deemed impermissible traffic</w:t>
      </w:r>
      <w:r>
        <w:rPr>
          <w:b/>
          <w:bCs/>
        </w:rPr>
        <w:t xml:space="preserve">: </w:t>
      </w:r>
      <w:r>
        <w:t>I</w:t>
      </w:r>
      <w:r w:rsidRPr="00BA7822">
        <w:t xml:space="preserve">t is an international traffic that may </w:t>
      </w:r>
      <w:r>
        <w:t>be</w:t>
      </w:r>
      <w:r w:rsidRPr="00BA7822">
        <w:t xml:space="preserve"> </w:t>
      </w:r>
      <w:r>
        <w:t xml:space="preserve">unlawful </w:t>
      </w:r>
      <w:r w:rsidRPr="00BA7822">
        <w:t xml:space="preserve">on a </w:t>
      </w:r>
      <w:proofErr w:type="gramStart"/>
      <w:r w:rsidRPr="00BA7822">
        <w:t>country by country</w:t>
      </w:r>
      <w:proofErr w:type="gramEnd"/>
      <w:r w:rsidRPr="00BA7822">
        <w:t xml:space="preserve"> basis which may include </w:t>
      </w:r>
      <w:r w:rsidRPr="00097B3A">
        <w:t>OTT applications</w:t>
      </w:r>
      <w:r w:rsidRPr="00BA7822">
        <w:t xml:space="preserve">, </w:t>
      </w:r>
      <w:proofErr w:type="spellStart"/>
      <w:r w:rsidRPr="00BA7822">
        <w:t>Simbox</w:t>
      </w:r>
      <w:proofErr w:type="spellEnd"/>
      <w:r w:rsidRPr="00BA7822">
        <w:t>, call refilling and unauthorised changes to CLI (call masking)</w:t>
      </w:r>
    </w:p>
    <w:p w14:paraId="6F757EE9" w14:textId="55B70A05" w:rsidR="00D47306" w:rsidRDefault="00097B3A" w:rsidP="002B159C">
      <w:pPr>
        <w:pStyle w:val="ListParagraph"/>
        <w:keepNext/>
        <w:keepLines/>
        <w:numPr>
          <w:ilvl w:val="0"/>
          <w:numId w:val="1"/>
        </w:numPr>
        <w:contextualSpacing/>
      </w:pPr>
      <w:r>
        <w:lastRenderedPageBreak/>
        <w:t xml:space="preserve"> </w:t>
      </w:r>
      <w:proofErr w:type="spellStart"/>
      <w:r w:rsidR="00D47306">
        <w:t>E.ACP</w:t>
      </w:r>
      <w:proofErr w:type="spellEnd"/>
      <w:r w:rsidR="00D47306">
        <w:t xml:space="preserve">: Alternative calling procedures </w:t>
      </w:r>
      <w:r w:rsidR="00D47306" w:rsidRPr="00D47306">
        <w:t>in</w:t>
      </w:r>
      <w:r w:rsidR="002B159C">
        <w:t xml:space="preserve"> </w:t>
      </w:r>
      <w:hyperlink r:id="rId16"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300R1</w:t>
        </w:r>
        <w:proofErr w:type="spellEnd"/>
        <w:r w:rsidR="002B159C" w:rsidRPr="002B159C">
          <w:rPr>
            <w:rStyle w:val="Hyperlink"/>
            <w:rFonts w:ascii="Times New Roman" w:hAnsi="Times New Roman"/>
            <w:lang w:val="en-US"/>
          </w:rPr>
          <w:t>/PLEN</w:t>
        </w:r>
      </w:hyperlink>
      <w:r w:rsidR="002B159C">
        <w:rPr>
          <w:lang w:val="en-US"/>
        </w:rPr>
        <w:t>.</w:t>
      </w:r>
    </w:p>
    <w:p w14:paraId="1007ABDA" w14:textId="2FAEBF75" w:rsidR="00D47306" w:rsidRDefault="00D47306" w:rsidP="002B159C">
      <w:pPr>
        <w:pStyle w:val="ListParagraph"/>
        <w:keepNext/>
        <w:keepLines/>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bidi="ar-EG"/>
        </w:rPr>
      </w:pPr>
      <w:r w:rsidRPr="00D47306">
        <w:rPr>
          <w:b/>
          <w:bCs/>
        </w:rPr>
        <w:t xml:space="preserve">Alternative calling procedures </w:t>
      </w:r>
      <w:r>
        <w:t xml:space="preserve">it is routing the voice calls in any other way but </w:t>
      </w:r>
      <w:r>
        <w:rPr>
          <w:lang w:bidi="ar-EG"/>
        </w:rPr>
        <w:t>PSTN/</w:t>
      </w:r>
      <w:proofErr w:type="spellStart"/>
      <w:r>
        <w:rPr>
          <w:lang w:bidi="ar-EG"/>
        </w:rPr>
        <w:t>PLMN</w:t>
      </w:r>
      <w:proofErr w:type="spellEnd"/>
      <w:r>
        <w:rPr>
          <w:lang w:bidi="ar-EG"/>
        </w:rPr>
        <w:t xml:space="preserve"> </w:t>
      </w:r>
    </w:p>
    <w:p w14:paraId="65822FB4" w14:textId="4559E017" w:rsidR="00D47306" w:rsidRDefault="00D47306" w:rsidP="00D47306">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bidi="ar-EG"/>
        </w:rPr>
      </w:pPr>
      <w:r>
        <w:rPr>
          <w:lang w:val="en-US" w:bidi="ar-EG"/>
        </w:rPr>
        <w:t xml:space="preserve">Variant. </w:t>
      </w:r>
      <w:r w:rsidRPr="00D47306">
        <w:rPr>
          <w:b/>
          <w:bCs/>
          <w:lang w:bidi="ar-EG"/>
        </w:rPr>
        <w:t>Alternative calling procedures</w:t>
      </w:r>
      <w:r w:rsidRPr="00A760E8">
        <w:rPr>
          <w:lang w:bidi="ar-EG"/>
        </w:rPr>
        <w:t xml:space="preserve"> means routing of voice calls outside PSTN/</w:t>
      </w:r>
      <w:proofErr w:type="spellStart"/>
      <w:r w:rsidRPr="00A760E8">
        <w:rPr>
          <w:lang w:bidi="ar-EG"/>
        </w:rPr>
        <w:t>PLMN</w:t>
      </w:r>
      <w:proofErr w:type="spellEnd"/>
      <w:r w:rsidRPr="00A760E8">
        <w:rPr>
          <w:lang w:bidi="ar-EG"/>
        </w:rPr>
        <w:t xml:space="preserve"> at any stage during end-to-end call flow</w:t>
      </w:r>
      <w:r>
        <w:rPr>
          <w:lang w:bidi="ar-EG"/>
        </w:rPr>
        <w:t>.</w:t>
      </w:r>
    </w:p>
    <w:p w14:paraId="15A13B76" w14:textId="1995BDE1" w:rsidR="00D47306" w:rsidRPr="00D47306" w:rsidRDefault="00D47306" w:rsidP="00D47306">
      <w:pPr>
        <w:pStyle w:val="ListParagraph"/>
        <w:numPr>
          <w:ilvl w:val="0"/>
          <w:numId w:val="1"/>
        </w:numPr>
        <w:contextualSpacing/>
        <w:rPr>
          <w:rFonts w:eastAsia="Times New Roman"/>
          <w:szCs w:val="20"/>
          <w:lang w:eastAsia="en-US"/>
        </w:rPr>
      </w:pPr>
      <w:proofErr w:type="spellStart"/>
      <w:r>
        <w:t>E.212</w:t>
      </w:r>
      <w:proofErr w:type="spellEnd"/>
      <w:r>
        <w:t>: The international identification plan for public networks and subscriptions</w:t>
      </w:r>
      <w:r w:rsidRPr="00D47306">
        <w:t xml:space="preserve"> </w:t>
      </w:r>
      <w:r>
        <w:rPr>
          <w:lang w:val="en-US"/>
        </w:rPr>
        <w:t xml:space="preserve">in </w:t>
      </w:r>
      <w:hyperlink r:id="rId17"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327R1</w:t>
        </w:r>
        <w:proofErr w:type="spellEnd"/>
        <w:r w:rsidR="002B159C" w:rsidRPr="002B159C">
          <w:rPr>
            <w:rStyle w:val="Hyperlink"/>
            <w:rFonts w:ascii="Times New Roman" w:hAnsi="Times New Roman"/>
            <w:lang w:val="en-US"/>
          </w:rPr>
          <w:t>/PLEN</w:t>
        </w:r>
      </w:hyperlink>
      <w:r w:rsidR="002B159C">
        <w:rPr>
          <w:lang w:val="en-US"/>
        </w:rPr>
        <w:t>.</w:t>
      </w:r>
    </w:p>
    <w:p w14:paraId="062590F5" w14:textId="03261401" w:rsidR="00D47306" w:rsidRDefault="00D47306" w:rsidP="00D47306">
      <w:pPr>
        <w:pStyle w:val="ListParagraph"/>
        <w:numPr>
          <w:ilvl w:val="1"/>
          <w:numId w:val="1"/>
        </w:numPr>
        <w:contextualSpacing/>
        <w:rPr>
          <w:rFonts w:eastAsia="Times New Roman"/>
          <w:szCs w:val="20"/>
          <w:lang w:eastAsia="en-US"/>
        </w:rPr>
      </w:pPr>
      <w:r w:rsidRPr="007134A1">
        <w:rPr>
          <w:rFonts w:eastAsia="Times New Roman"/>
          <w:b/>
          <w:bCs/>
          <w:szCs w:val="20"/>
          <w:lang w:eastAsia="en-US"/>
        </w:rPr>
        <w:t>home network</w:t>
      </w:r>
      <w:r w:rsidRPr="007134A1">
        <w:rPr>
          <w:rFonts w:eastAsia="Times New Roman"/>
          <w:szCs w:val="20"/>
          <w:lang w:eastAsia="en-US"/>
        </w:rPr>
        <w:t xml:space="preserve">: The </w:t>
      </w:r>
      <w:r w:rsidRPr="00D47306">
        <w:t>network</w:t>
      </w:r>
      <w:r w:rsidRPr="007134A1">
        <w:rPr>
          <w:rFonts w:eastAsia="Times New Roman"/>
          <w:szCs w:val="20"/>
          <w:lang w:eastAsia="en-US"/>
        </w:rPr>
        <w:t xml:space="preserve"> responsible for the subscription identified by the elements within the IMSI.</w:t>
      </w:r>
    </w:p>
    <w:p w14:paraId="6A36BBD3" w14:textId="7CE337C9" w:rsidR="00D47306" w:rsidRDefault="00D47306" w:rsidP="00D47306">
      <w:pPr>
        <w:pStyle w:val="ListParagraph"/>
        <w:numPr>
          <w:ilvl w:val="1"/>
          <w:numId w:val="1"/>
        </w:numPr>
        <w:contextualSpacing/>
        <w:rPr>
          <w:rFonts w:eastAsia="Times New Roman"/>
          <w:szCs w:val="20"/>
          <w:lang w:eastAsia="en-US"/>
        </w:rPr>
      </w:pPr>
      <w:r w:rsidRPr="007134A1">
        <w:rPr>
          <w:rFonts w:eastAsia="Times New Roman"/>
          <w:b/>
          <w:bCs/>
          <w:szCs w:val="20"/>
          <w:lang w:eastAsia="en-US"/>
        </w:rPr>
        <w:t>international mobile subscription identity (IMSI)</w:t>
      </w:r>
      <w:r w:rsidRPr="007134A1">
        <w:rPr>
          <w:rFonts w:eastAsia="Times New Roman"/>
          <w:szCs w:val="20"/>
          <w:lang w:eastAsia="en-US"/>
        </w:rPr>
        <w:t>: The IMSI is a string of decimal digits, up to a maximum length of 15 digits, which identifies a unique subscription. The IMSI consists of three fields: the mobile country code (MCC), the mobile network code (MNC), and the mobile subscription identification number (</w:t>
      </w:r>
      <w:proofErr w:type="spellStart"/>
      <w:r w:rsidRPr="007134A1">
        <w:rPr>
          <w:rFonts w:eastAsia="Times New Roman"/>
          <w:szCs w:val="20"/>
          <w:lang w:eastAsia="en-US"/>
        </w:rPr>
        <w:t>MSIN</w:t>
      </w:r>
      <w:proofErr w:type="spellEnd"/>
      <w:r w:rsidRPr="007134A1">
        <w:rPr>
          <w:rFonts w:eastAsia="Times New Roman"/>
          <w:szCs w:val="20"/>
          <w:lang w:eastAsia="en-US"/>
        </w:rPr>
        <w:t>).</w:t>
      </w:r>
    </w:p>
    <w:p w14:paraId="72D4E27D" w14:textId="77777777" w:rsidR="00D47306" w:rsidRDefault="00D47306" w:rsidP="00D47306">
      <w:pPr>
        <w:pStyle w:val="ListParagraph"/>
        <w:numPr>
          <w:ilvl w:val="1"/>
          <w:numId w:val="1"/>
        </w:numPr>
        <w:contextualSpacing/>
        <w:rPr>
          <w:rFonts w:eastAsia="Times New Roman"/>
          <w:szCs w:val="20"/>
          <w:lang w:eastAsia="en-US"/>
        </w:rPr>
      </w:pPr>
      <w:r w:rsidRPr="00D47306">
        <w:rPr>
          <w:rFonts w:eastAsia="Times New Roman"/>
          <w:b/>
          <w:bCs/>
          <w:szCs w:val="20"/>
          <w:lang w:eastAsia="en-US"/>
        </w:rPr>
        <w:t>mobile country code (MCC)</w:t>
      </w:r>
      <w:r w:rsidRPr="00D47306">
        <w:rPr>
          <w:rFonts w:eastAsia="Times New Roman"/>
          <w:szCs w:val="20"/>
          <w:lang w:eastAsia="en-US"/>
        </w:rPr>
        <w:t xml:space="preserve">: The MCC is the first field of the IMSI and is three digits in length and identifies a country. The Director of TSB may assign more than one MCC to a country. </w:t>
      </w:r>
      <w:proofErr w:type="spellStart"/>
      <w:r w:rsidRPr="00D47306">
        <w:rPr>
          <w:rFonts w:eastAsia="Times New Roman"/>
          <w:szCs w:val="20"/>
          <w:lang w:eastAsia="en-US"/>
        </w:rPr>
        <w:t>MCCs</w:t>
      </w:r>
      <w:proofErr w:type="spellEnd"/>
      <w:r w:rsidRPr="00D47306">
        <w:rPr>
          <w:rFonts w:eastAsia="Times New Roman"/>
          <w:szCs w:val="20"/>
          <w:lang w:eastAsia="en-US"/>
        </w:rPr>
        <w:t xml:space="preserve"> in the </w:t>
      </w:r>
      <w:proofErr w:type="spellStart"/>
      <w:r w:rsidRPr="00D47306">
        <w:rPr>
          <w:rFonts w:eastAsia="Times New Roman"/>
          <w:szCs w:val="20"/>
          <w:lang w:eastAsia="en-US"/>
        </w:rPr>
        <w:t>90x</w:t>
      </w:r>
      <w:proofErr w:type="spellEnd"/>
      <w:r w:rsidRPr="00D47306">
        <w:rPr>
          <w:rFonts w:eastAsia="Times New Roman"/>
          <w:szCs w:val="20"/>
          <w:lang w:eastAsia="en-US"/>
        </w:rPr>
        <w:t xml:space="preserve"> range are non-geographic </w:t>
      </w:r>
      <w:proofErr w:type="spellStart"/>
      <w:r w:rsidRPr="00D47306">
        <w:rPr>
          <w:rFonts w:eastAsia="Times New Roman"/>
          <w:szCs w:val="20"/>
          <w:lang w:eastAsia="en-US"/>
        </w:rPr>
        <w:t>MCCs</w:t>
      </w:r>
      <w:proofErr w:type="spellEnd"/>
      <w:r w:rsidRPr="00D47306">
        <w:rPr>
          <w:rFonts w:eastAsia="Times New Roman"/>
          <w:szCs w:val="20"/>
          <w:lang w:eastAsia="en-US"/>
        </w:rPr>
        <w:t xml:space="preserve"> (country-agnostic) and are administered by the Director of TSB.</w:t>
      </w:r>
    </w:p>
    <w:p w14:paraId="384EBDB0" w14:textId="77777777" w:rsidR="00D47306" w:rsidRDefault="00D47306" w:rsidP="00D47306">
      <w:pPr>
        <w:pStyle w:val="ListParagraph"/>
        <w:numPr>
          <w:ilvl w:val="1"/>
          <w:numId w:val="1"/>
        </w:numPr>
        <w:contextualSpacing/>
        <w:rPr>
          <w:rFonts w:eastAsia="Times New Roman"/>
          <w:szCs w:val="20"/>
          <w:lang w:eastAsia="en-US"/>
        </w:rPr>
      </w:pPr>
      <w:r w:rsidRPr="00D47306">
        <w:rPr>
          <w:rFonts w:eastAsia="Times New Roman"/>
          <w:b/>
          <w:bCs/>
          <w:szCs w:val="20"/>
          <w:lang w:eastAsia="en-US"/>
        </w:rPr>
        <w:t>mobile network code (MNC)</w:t>
      </w:r>
      <w:r w:rsidRPr="00D47306">
        <w:rPr>
          <w:rFonts w:eastAsia="Times New Roman"/>
          <w:szCs w:val="20"/>
          <w:lang w:eastAsia="en-US"/>
        </w:rPr>
        <w:t xml:space="preserve">: The MNC is the second field of the IMSI, it is two or three digits in length and is administered by the respective national numbering plan administrator. MNCs under MCC ranges </w:t>
      </w:r>
      <w:proofErr w:type="spellStart"/>
      <w:r w:rsidRPr="00D47306">
        <w:rPr>
          <w:rFonts w:eastAsia="Times New Roman"/>
          <w:szCs w:val="20"/>
          <w:lang w:eastAsia="en-US"/>
        </w:rPr>
        <w:t>90x</w:t>
      </w:r>
      <w:proofErr w:type="spellEnd"/>
      <w:r w:rsidRPr="00D47306">
        <w:rPr>
          <w:rFonts w:eastAsia="Times New Roman"/>
          <w:szCs w:val="20"/>
          <w:lang w:eastAsia="en-US"/>
        </w:rPr>
        <w:t xml:space="preserve"> are administered by the Director of TSB. The MNC, in combination with the MCC, provides sufficient information to identify the home network. </w:t>
      </w:r>
    </w:p>
    <w:p w14:paraId="5DAD9BA7" w14:textId="5B5072BE" w:rsidR="00D47306" w:rsidRPr="00D47306" w:rsidRDefault="00D47306" w:rsidP="00D47306">
      <w:pPr>
        <w:pStyle w:val="ListParagraph"/>
        <w:numPr>
          <w:ilvl w:val="1"/>
          <w:numId w:val="1"/>
        </w:numPr>
        <w:contextualSpacing/>
        <w:rPr>
          <w:rFonts w:eastAsia="Times New Roman"/>
          <w:szCs w:val="20"/>
          <w:lang w:eastAsia="en-US"/>
        </w:rPr>
      </w:pPr>
      <w:r w:rsidRPr="00D47306">
        <w:rPr>
          <w:rFonts w:eastAsia="Times New Roman"/>
          <w:b/>
          <w:bCs/>
          <w:szCs w:val="20"/>
          <w:lang w:eastAsia="en-US"/>
        </w:rPr>
        <w:t>mobile subscription identification number (</w:t>
      </w:r>
      <w:proofErr w:type="spellStart"/>
      <w:r w:rsidRPr="00D47306">
        <w:rPr>
          <w:rFonts w:eastAsia="Times New Roman"/>
          <w:b/>
          <w:bCs/>
          <w:szCs w:val="20"/>
          <w:lang w:eastAsia="en-US"/>
        </w:rPr>
        <w:t>MSIN</w:t>
      </w:r>
      <w:proofErr w:type="spellEnd"/>
      <w:r w:rsidRPr="00D47306">
        <w:rPr>
          <w:rFonts w:eastAsia="Times New Roman"/>
          <w:b/>
          <w:bCs/>
          <w:szCs w:val="20"/>
          <w:lang w:eastAsia="en-US"/>
        </w:rPr>
        <w:t>)</w:t>
      </w:r>
      <w:r w:rsidRPr="00D47306">
        <w:rPr>
          <w:rFonts w:eastAsia="Times New Roman"/>
          <w:szCs w:val="20"/>
          <w:lang w:eastAsia="en-US"/>
        </w:rPr>
        <w:t xml:space="preserve">: The </w:t>
      </w:r>
      <w:proofErr w:type="spellStart"/>
      <w:r w:rsidRPr="00D47306">
        <w:rPr>
          <w:rFonts w:eastAsia="Times New Roman"/>
          <w:szCs w:val="20"/>
          <w:lang w:eastAsia="en-US"/>
        </w:rPr>
        <w:t>MSIN</w:t>
      </w:r>
      <w:proofErr w:type="spellEnd"/>
      <w:r w:rsidRPr="00D47306">
        <w:rPr>
          <w:rFonts w:eastAsia="Times New Roman"/>
          <w:szCs w:val="20"/>
          <w:lang w:eastAsia="en-US"/>
        </w:rPr>
        <w:t xml:space="preserve"> is the third field of the IMSI, it is up to 10 digits in length, and is administered by the relevant MNC assignee to identify individual subscriptions. </w:t>
      </w:r>
    </w:p>
    <w:p w14:paraId="0F9021B3" w14:textId="500B73A9" w:rsidR="0048111D" w:rsidRDefault="0048111D" w:rsidP="0048111D">
      <w:pPr>
        <w:numPr>
          <w:ilvl w:val="0"/>
          <w:numId w:val="1"/>
        </w:numPr>
        <w:tabs>
          <w:tab w:val="left" w:pos="1560"/>
          <w:tab w:val="left" w:pos="1588"/>
          <w:tab w:val="left" w:pos="1985"/>
        </w:tabs>
        <w:overflowPunct w:val="0"/>
        <w:jc w:val="both"/>
      </w:pPr>
      <w:proofErr w:type="spellStart"/>
      <w:r>
        <w:t>E.164.1</w:t>
      </w:r>
      <w:proofErr w:type="spellEnd"/>
      <w:r>
        <w:t xml:space="preserve">: Criteria and procedures for the reservation, assignment and reclamation of </w:t>
      </w:r>
      <w:proofErr w:type="spellStart"/>
      <w:r>
        <w:t>E.164</w:t>
      </w:r>
      <w:proofErr w:type="spellEnd"/>
      <w:r>
        <w:t xml:space="preserve"> country codes and associated identification codes (ICs) in </w:t>
      </w:r>
      <w:bookmarkStart w:id="11" w:name="_Toc210537352"/>
      <w:bookmarkStart w:id="12" w:name="_Toc221954052"/>
      <w:r w:rsidR="002B159C">
        <w:rPr>
          <w:lang w:val="en-US"/>
        </w:rPr>
        <w:fldChar w:fldCharType="begin"/>
      </w:r>
      <w:r w:rsidR="002B159C">
        <w:rPr>
          <w:lang w:val="en-US"/>
        </w:rPr>
        <w:instrText>HYPERLINK "https://www.itu.int/md/T22-SG02-231108-TD-PLEN-0328"</w:instrText>
      </w:r>
      <w:r w:rsidR="002B159C">
        <w:rPr>
          <w:lang w:val="en-US"/>
        </w:rPr>
      </w:r>
      <w:r w:rsidR="002B159C">
        <w:rPr>
          <w:lang w:val="en-US"/>
        </w:rPr>
        <w:fldChar w:fldCharType="separate"/>
      </w:r>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328R1</w:t>
      </w:r>
      <w:proofErr w:type="spellEnd"/>
      <w:r w:rsidR="002B159C" w:rsidRPr="002B159C">
        <w:rPr>
          <w:rStyle w:val="Hyperlink"/>
          <w:rFonts w:ascii="Times New Roman" w:hAnsi="Times New Roman"/>
          <w:lang w:val="en-US"/>
        </w:rPr>
        <w:t>/PLEN</w:t>
      </w:r>
      <w:r w:rsidR="002B159C">
        <w:rPr>
          <w:lang w:val="en-US"/>
        </w:rPr>
        <w:fldChar w:fldCharType="end"/>
      </w:r>
      <w:r w:rsidR="002B159C">
        <w:rPr>
          <w:lang w:val="en-US"/>
        </w:rPr>
        <w:t>.</w:t>
      </w:r>
    </w:p>
    <w:p w14:paraId="7157DABE" w14:textId="77777777" w:rsidR="0048111D" w:rsidRDefault="0048111D" w:rsidP="0048111D">
      <w:pPr>
        <w:numPr>
          <w:ilvl w:val="1"/>
          <w:numId w:val="1"/>
        </w:numPr>
        <w:tabs>
          <w:tab w:val="left" w:pos="1560"/>
          <w:tab w:val="left" w:pos="1588"/>
          <w:tab w:val="left" w:pos="1985"/>
        </w:tabs>
        <w:overflowPunct w:val="0"/>
        <w:jc w:val="both"/>
        <w:rPr>
          <w:lang w:eastAsia="de-DE"/>
        </w:rPr>
      </w:pPr>
      <w:r w:rsidRPr="0048111D">
        <w:rPr>
          <w:b/>
          <w:bCs/>
        </w:rPr>
        <w:t>other global services</w:t>
      </w:r>
      <w:bookmarkEnd w:id="11"/>
      <w:bookmarkEnd w:id="12"/>
      <w:r w:rsidRPr="00436534">
        <w:t xml:space="preserve">: A service, </w:t>
      </w:r>
      <w:r w:rsidRPr="0048111D">
        <w:rPr>
          <w:rFonts w:eastAsia="Times New Roman"/>
        </w:rPr>
        <w:t xml:space="preserve">not specified  by ITU-T, </w:t>
      </w:r>
      <w:r w:rsidRPr="00436534">
        <w:t xml:space="preserve">that has and agrees to comply with recognized and accepted international standards and is provisioned on the public telecommunications network by one or more </w:t>
      </w:r>
      <w:r w:rsidRPr="00447C49">
        <w:t>Recognized Operating Agencies (ROA) [or an operator that qualifies under the regulations applicable within Member States where they will provide services]</w:t>
      </w:r>
      <w:r w:rsidRPr="00436534">
        <w:t xml:space="preserve"> using ubiquitous network identifiers in two or more countries that are in addition to the global services as defined in clause 6.02. </w:t>
      </w:r>
      <w:bookmarkStart w:id="13" w:name="_Toc210537353"/>
      <w:bookmarkStart w:id="14" w:name="_Toc221954053"/>
    </w:p>
    <w:p w14:paraId="7CF6FFFD" w14:textId="7BAD4F78" w:rsidR="0048111D" w:rsidRDefault="0048111D" w:rsidP="0048111D">
      <w:pPr>
        <w:numPr>
          <w:ilvl w:val="1"/>
          <w:numId w:val="1"/>
        </w:numPr>
        <w:tabs>
          <w:tab w:val="left" w:pos="1560"/>
          <w:tab w:val="left" w:pos="1588"/>
          <w:tab w:val="left" w:pos="1985"/>
        </w:tabs>
        <w:overflowPunct w:val="0"/>
        <w:jc w:val="both"/>
        <w:rPr>
          <w:lang w:eastAsia="de-DE"/>
        </w:rPr>
      </w:pPr>
      <w:r w:rsidRPr="0048111D">
        <w:rPr>
          <w:b/>
          <w:bCs/>
        </w:rPr>
        <w:t>multi-use international Networks</w:t>
      </w:r>
      <w:bookmarkEnd w:id="13"/>
      <w:bookmarkEnd w:id="14"/>
      <w:r w:rsidRPr="00436534">
        <w:t xml:space="preserve">: </w:t>
      </w:r>
      <w:r w:rsidRPr="00436534">
        <w:rPr>
          <w:lang w:eastAsia="de-DE"/>
        </w:rPr>
        <w:t xml:space="preserve">An international network of internationally interconnected physical nodes that enables one or more Recognized </w:t>
      </w:r>
      <w:r w:rsidRPr="00436534">
        <w:t>Operating Agencies (R</w:t>
      </w:r>
      <w:r w:rsidRPr="00436534">
        <w:rPr>
          <w:lang w:eastAsia="de-DE"/>
        </w:rPr>
        <w:t>OAs)</w:t>
      </w:r>
      <w:r w:rsidRPr="00436534">
        <w:t xml:space="preserve"> </w:t>
      </w:r>
      <w:r w:rsidRPr="00447C49">
        <w:t>or qualifying operator</w:t>
      </w:r>
      <w:r w:rsidRPr="00436534">
        <w:t xml:space="preserve"> </w:t>
      </w:r>
      <w:r w:rsidRPr="00436534">
        <w:rPr>
          <w:lang w:eastAsia="de-DE"/>
        </w:rPr>
        <w:t>to provide several significantly different services simultaneously in two or more countries and where sub-assignmen</w:t>
      </w:r>
      <w:r w:rsidRPr="00447C49">
        <w:rPr>
          <w:lang w:eastAsia="de-DE"/>
        </w:rPr>
        <w:t>t</w:t>
      </w:r>
      <w:r w:rsidRPr="00436534">
        <w:rPr>
          <w:lang w:eastAsia="de-DE"/>
        </w:rPr>
        <w:t xml:space="preserve"> of numbering resources is allowed.</w:t>
      </w:r>
    </w:p>
    <w:p w14:paraId="5E5673FA" w14:textId="407252B3" w:rsidR="00793D87" w:rsidRDefault="00793D87" w:rsidP="00793D87">
      <w:pPr>
        <w:numPr>
          <w:ilvl w:val="0"/>
          <w:numId w:val="1"/>
        </w:numPr>
        <w:tabs>
          <w:tab w:val="left" w:pos="1560"/>
          <w:tab w:val="left" w:pos="1588"/>
          <w:tab w:val="left" w:pos="1985"/>
        </w:tabs>
        <w:overflowPunct w:val="0"/>
        <w:jc w:val="both"/>
        <w:rPr>
          <w:lang w:eastAsia="de-DE"/>
        </w:rPr>
      </w:pPr>
      <w:proofErr w:type="spellStart"/>
      <w:r w:rsidRPr="00B85E12">
        <w:t>E.101</w:t>
      </w:r>
      <w:proofErr w:type="spellEnd"/>
      <w:r w:rsidRPr="00B85E12">
        <w:t>: Definitions of terms used for identifiers (names, numbers, addresses and other identifiers) for public telecommunication services and networks in the E-series Recommendations</w:t>
      </w:r>
      <w:r>
        <w:t xml:space="preserve"> in </w:t>
      </w:r>
      <w:hyperlink r:id="rId18"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330R1</w:t>
        </w:r>
        <w:proofErr w:type="spellEnd"/>
        <w:r w:rsidR="002B159C" w:rsidRPr="002B159C">
          <w:rPr>
            <w:rStyle w:val="Hyperlink"/>
            <w:rFonts w:ascii="Times New Roman" w:hAnsi="Times New Roman"/>
            <w:lang w:val="en-US"/>
          </w:rPr>
          <w:t>/PLEN</w:t>
        </w:r>
      </w:hyperlink>
      <w:r w:rsidR="002B159C">
        <w:rPr>
          <w:lang w:val="en-US"/>
        </w:rPr>
        <w:t>.</w:t>
      </w:r>
    </w:p>
    <w:p w14:paraId="1CD504EF" w14:textId="77777777" w:rsidR="00793D87" w:rsidRDefault="00793D87" w:rsidP="00793D87">
      <w:pPr>
        <w:numPr>
          <w:ilvl w:val="1"/>
          <w:numId w:val="1"/>
        </w:numPr>
        <w:tabs>
          <w:tab w:val="left" w:pos="1560"/>
          <w:tab w:val="left" w:pos="1588"/>
          <w:tab w:val="left" w:pos="1985"/>
        </w:tabs>
        <w:overflowPunct w:val="0"/>
        <w:jc w:val="both"/>
        <w:rPr>
          <w:lang w:eastAsia="de-DE"/>
        </w:rPr>
      </w:pPr>
      <w:r w:rsidRPr="00793D87">
        <w:rPr>
          <w:b/>
          <w:bCs/>
        </w:rPr>
        <w:t>global resource</w:t>
      </w:r>
      <w:r w:rsidRPr="009F11D6">
        <w:t xml:space="preserve">: </w:t>
      </w:r>
      <w:r w:rsidRPr="00793D87">
        <w:rPr>
          <w:iCs/>
        </w:rPr>
        <w:t xml:space="preserve">A name, number, </w:t>
      </w:r>
      <w:proofErr w:type="gramStart"/>
      <w:r w:rsidRPr="00793D87">
        <w:rPr>
          <w:iCs/>
        </w:rPr>
        <w:t>address</w:t>
      </w:r>
      <w:proofErr w:type="gramEnd"/>
      <w:r w:rsidRPr="00793D87">
        <w:rPr>
          <w:iCs/>
        </w:rPr>
        <w:t xml:space="preserve"> or identification (</w:t>
      </w:r>
      <w:proofErr w:type="spellStart"/>
      <w:r w:rsidRPr="00793D87">
        <w:rPr>
          <w:iCs/>
        </w:rPr>
        <w:t>NNAI</w:t>
      </w:r>
      <w:proofErr w:type="spellEnd"/>
      <w:r w:rsidRPr="00793D87">
        <w:rPr>
          <w:iCs/>
        </w:rPr>
        <w:t>) resource that is administered, allocated and assigned by the Director of TSB according to relevant Recommendations in the ITU-T E-, ITU-T F-, ITU-T Q- and ITU-T X-series. Global resource can be assigned by the Director of TSB to either Member States, and administered according to national regulations, or to eligible entities according to relevant ITU-T recommendations.</w:t>
      </w:r>
    </w:p>
    <w:p w14:paraId="16C4B8C4" w14:textId="77777777" w:rsidR="00793D87" w:rsidRDefault="00793D87" w:rsidP="00793D87">
      <w:pPr>
        <w:numPr>
          <w:ilvl w:val="1"/>
          <w:numId w:val="1"/>
        </w:numPr>
        <w:tabs>
          <w:tab w:val="left" w:pos="1560"/>
          <w:tab w:val="left" w:pos="1588"/>
          <w:tab w:val="left" w:pos="1985"/>
        </w:tabs>
        <w:overflowPunct w:val="0"/>
        <w:jc w:val="both"/>
        <w:rPr>
          <w:lang w:eastAsia="de-DE"/>
        </w:rPr>
      </w:pPr>
      <w:r w:rsidRPr="00793D87">
        <w:rPr>
          <w:b/>
          <w:bCs/>
        </w:rPr>
        <w:lastRenderedPageBreak/>
        <w:t>sub-assignment</w:t>
      </w:r>
      <w:r w:rsidRPr="009F11D6">
        <w:t xml:space="preserve">: </w:t>
      </w:r>
      <w:r w:rsidRPr="00793D87">
        <w:rPr>
          <w:iCs/>
        </w:rPr>
        <w:t>The assignment of a global resource by an eligible entity (other than a Member State) to an entity that is not an end-user. The assignment conditions for the global resource for the eligible assignee shall also apply for the sub-assignee.</w:t>
      </w:r>
    </w:p>
    <w:p w14:paraId="4E673E02" w14:textId="69C2AAEA" w:rsidR="00793D87" w:rsidRDefault="00793D87" w:rsidP="00793D87">
      <w:pPr>
        <w:numPr>
          <w:ilvl w:val="1"/>
          <w:numId w:val="1"/>
        </w:numPr>
        <w:tabs>
          <w:tab w:val="left" w:pos="1560"/>
          <w:tab w:val="left" w:pos="1588"/>
          <w:tab w:val="left" w:pos="1985"/>
        </w:tabs>
        <w:overflowPunct w:val="0"/>
        <w:jc w:val="both"/>
        <w:rPr>
          <w:lang w:eastAsia="de-DE"/>
        </w:rPr>
      </w:pPr>
      <w:r w:rsidRPr="00793D87">
        <w:rPr>
          <w:b/>
          <w:bCs/>
        </w:rPr>
        <w:t>sub-assignment</w:t>
      </w:r>
      <w:r w:rsidRPr="00793D87">
        <w:rPr>
          <w:i/>
          <w:iCs/>
        </w:rPr>
        <w:t xml:space="preserve"> Alt 1</w:t>
      </w:r>
      <w:r>
        <w:rPr>
          <w:i/>
          <w:iCs/>
        </w:rPr>
        <w:t>:</w:t>
      </w:r>
      <w:r w:rsidRPr="00793D87">
        <w:rPr>
          <w:i/>
          <w:iCs/>
        </w:rPr>
        <w:t xml:space="preserve"> </w:t>
      </w:r>
      <w:r w:rsidRPr="00793D87">
        <w:rPr>
          <w:bCs/>
          <w:iCs/>
        </w:rPr>
        <w:t>The eligible assignee can sub-assignee the global resource to an affiliated company (any entity that directly or indirectly control or is controlled by, or is under common control (direct or indirect ownership of more than fifty per cent (50%) of the voting interests) by the eligible assignee) without this being considered a sub-</w:t>
      </w:r>
      <w:proofErr w:type="gramStart"/>
      <w:r w:rsidRPr="00793D87">
        <w:rPr>
          <w:bCs/>
          <w:iCs/>
        </w:rPr>
        <w:t>assignment</w:t>
      </w:r>
      <w:proofErr w:type="gramEnd"/>
    </w:p>
    <w:p w14:paraId="56E542F7" w14:textId="77777777" w:rsidR="00793D87" w:rsidRPr="00793D87" w:rsidRDefault="00793D87" w:rsidP="00793D87">
      <w:pPr>
        <w:numPr>
          <w:ilvl w:val="1"/>
          <w:numId w:val="1"/>
        </w:numPr>
        <w:tabs>
          <w:tab w:val="left" w:pos="1560"/>
          <w:tab w:val="left" w:pos="1588"/>
          <w:tab w:val="left" w:pos="1985"/>
        </w:tabs>
        <w:overflowPunct w:val="0"/>
        <w:jc w:val="both"/>
        <w:rPr>
          <w:lang w:eastAsia="de-DE"/>
        </w:rPr>
      </w:pPr>
      <w:r w:rsidRPr="00793D87">
        <w:rPr>
          <w:b/>
          <w:bCs/>
        </w:rPr>
        <w:t>sub-assignment</w:t>
      </w:r>
      <w:r w:rsidRPr="00793D87">
        <w:rPr>
          <w:i/>
          <w:iCs/>
        </w:rPr>
        <w:t xml:space="preserve"> </w:t>
      </w:r>
      <w:r w:rsidRPr="00793D87">
        <w:rPr>
          <w:i/>
          <w:lang w:val="sv-SE"/>
        </w:rPr>
        <w:t>Alt 2</w:t>
      </w:r>
      <w:r>
        <w:rPr>
          <w:i/>
          <w:lang w:val="sv-SE"/>
        </w:rPr>
        <w:t>:</w:t>
      </w:r>
      <w:r w:rsidRPr="00793D87">
        <w:rPr>
          <w:i/>
          <w:lang w:val="sv-SE"/>
        </w:rPr>
        <w:t xml:space="preserve"> </w:t>
      </w:r>
      <w:r w:rsidRPr="00793D87">
        <w:rPr>
          <w:bCs/>
          <w:iCs/>
        </w:rPr>
        <w:t>The eligible assignee who forms part of a group of companies, under common control (direct or indirect ownership of more than fifty per cent (50%) of the voting interests by the eligible assignee), can use the global resource across such companies without being considered sub-</w:t>
      </w:r>
      <w:proofErr w:type="gramStart"/>
      <w:r w:rsidRPr="00793D87">
        <w:rPr>
          <w:bCs/>
          <w:iCs/>
        </w:rPr>
        <w:t>assignment</w:t>
      </w:r>
      <w:proofErr w:type="gramEnd"/>
    </w:p>
    <w:p w14:paraId="471E80FE" w14:textId="53F41C0F" w:rsidR="00793D87" w:rsidRPr="00793D87" w:rsidRDefault="00793D87" w:rsidP="00793D87">
      <w:pPr>
        <w:numPr>
          <w:ilvl w:val="1"/>
          <w:numId w:val="1"/>
        </w:numPr>
        <w:tabs>
          <w:tab w:val="left" w:pos="1560"/>
          <w:tab w:val="left" w:pos="1588"/>
          <w:tab w:val="left" w:pos="1985"/>
        </w:tabs>
        <w:overflowPunct w:val="0"/>
        <w:jc w:val="both"/>
        <w:rPr>
          <w:lang w:eastAsia="de-DE"/>
        </w:rPr>
      </w:pPr>
      <w:r w:rsidRPr="00793D87">
        <w:rPr>
          <w:b/>
          <w:bCs/>
        </w:rPr>
        <w:t>transfer</w:t>
      </w:r>
      <w:r w:rsidRPr="009F11D6">
        <w:t xml:space="preserve">: </w:t>
      </w:r>
      <w:r w:rsidRPr="00793D87">
        <w:rPr>
          <w:iCs/>
        </w:rPr>
        <w:t xml:space="preserve">The </w:t>
      </w:r>
      <w:r w:rsidRPr="00793D87">
        <w:rPr>
          <w:rFonts w:eastAsia="Times New Roman"/>
        </w:rPr>
        <w:t xml:space="preserve">assignment of the right of use </w:t>
      </w:r>
      <w:r w:rsidRPr="00793D87">
        <w:rPr>
          <w:iCs/>
        </w:rPr>
        <w:t>for a global resource, issued by the Director of TSB, is transferred from the present assignee to a new eligible entity (other than a Member State) for the purposes for which the global resource is currently assigned. Such activity requires the agreement of, and notification to the Director of the TSB, in discussion with the relevant SG Chair, and experts.</w:t>
      </w:r>
    </w:p>
    <w:p w14:paraId="32E83C80" w14:textId="09718EB7" w:rsidR="00C112CD" w:rsidRPr="00C112CD" w:rsidRDefault="00C112CD" w:rsidP="004452FE">
      <w:pPr>
        <w:numPr>
          <w:ilvl w:val="0"/>
          <w:numId w:val="1"/>
        </w:numPr>
        <w:tabs>
          <w:tab w:val="left" w:pos="1560"/>
          <w:tab w:val="left" w:pos="1588"/>
          <w:tab w:val="left" w:pos="1985"/>
        </w:tabs>
        <w:overflowPunct w:val="0"/>
        <w:jc w:val="both"/>
      </w:pPr>
      <w:proofErr w:type="spellStart"/>
      <w:r>
        <w:t>E.164.2</w:t>
      </w:r>
      <w:proofErr w:type="spellEnd"/>
      <w:r>
        <w:t xml:space="preserve">: "ITU-T </w:t>
      </w:r>
      <w:proofErr w:type="spellStart"/>
      <w:r>
        <w:t>E.164</w:t>
      </w:r>
      <w:proofErr w:type="spellEnd"/>
      <w:r>
        <w:t xml:space="preserve"> numbering resources for trials"</w:t>
      </w:r>
      <w:r w:rsidRPr="00C112CD">
        <w:rPr>
          <w:color w:val="000000"/>
        </w:rPr>
        <w:t xml:space="preserve"> in </w:t>
      </w:r>
      <w:hyperlink r:id="rId19"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332</w:t>
        </w:r>
        <w:proofErr w:type="spellEnd"/>
        <w:r w:rsidR="002B159C" w:rsidRPr="002B159C">
          <w:rPr>
            <w:rStyle w:val="Hyperlink"/>
            <w:rFonts w:ascii="Times New Roman" w:hAnsi="Times New Roman"/>
            <w:lang w:val="en-US"/>
          </w:rPr>
          <w:t>/PLEN</w:t>
        </w:r>
      </w:hyperlink>
      <w:r w:rsidR="002B159C">
        <w:rPr>
          <w:lang w:val="en-US"/>
        </w:rPr>
        <w:t>.</w:t>
      </w:r>
    </w:p>
    <w:p w14:paraId="0AADBD02" w14:textId="77777777" w:rsidR="00C112CD" w:rsidRDefault="00C112CD" w:rsidP="00C112CD">
      <w:pPr>
        <w:numPr>
          <w:ilvl w:val="1"/>
          <w:numId w:val="1"/>
        </w:numPr>
        <w:tabs>
          <w:tab w:val="left" w:pos="1560"/>
          <w:tab w:val="left" w:pos="1588"/>
          <w:tab w:val="left" w:pos="1985"/>
        </w:tabs>
        <w:overflowPunct w:val="0"/>
        <w:jc w:val="both"/>
      </w:pPr>
      <w:r w:rsidRPr="00C112CD">
        <w:rPr>
          <w:b/>
          <w:bCs/>
        </w:rPr>
        <w:t>trial</w:t>
      </w:r>
      <w:r w:rsidRPr="00AF6A2C">
        <w:t xml:space="preserve">: The temporary implementation of a proposed new international service implemented in more than one country, for the purpose of determining its technical, </w:t>
      </w:r>
      <w:proofErr w:type="gramStart"/>
      <w:r w:rsidRPr="00AF6A2C">
        <w:t>operational</w:t>
      </w:r>
      <w:proofErr w:type="gramEnd"/>
      <w:r w:rsidRPr="00AF6A2C">
        <w:t xml:space="preserve"> and business viability.</w:t>
      </w:r>
    </w:p>
    <w:p w14:paraId="3E66C69B" w14:textId="291E4E47" w:rsidR="00C112CD" w:rsidRPr="00AF6A2C" w:rsidRDefault="00C112CD" w:rsidP="00C112CD">
      <w:pPr>
        <w:numPr>
          <w:ilvl w:val="1"/>
          <w:numId w:val="1"/>
        </w:numPr>
        <w:tabs>
          <w:tab w:val="left" w:pos="1560"/>
          <w:tab w:val="left" w:pos="1588"/>
          <w:tab w:val="left" w:pos="1985"/>
        </w:tabs>
        <w:overflowPunct w:val="0"/>
        <w:jc w:val="both"/>
      </w:pPr>
      <w:r w:rsidRPr="00C112CD">
        <w:rPr>
          <w:b/>
          <w:bCs/>
        </w:rPr>
        <w:t>non-commercial trial</w:t>
      </w:r>
      <w:r w:rsidRPr="00AF6A2C">
        <w:t>:</w:t>
      </w:r>
      <w:r w:rsidRPr="00C112CD">
        <w:rPr>
          <w:bCs/>
        </w:rPr>
        <w:t xml:space="preserve"> </w:t>
      </w:r>
      <w:r w:rsidRPr="00AF6A2C">
        <w:t>The service provided in the trial accessible to a limited set of users, and is not intended for commercial offerings, and may incur a charge to the users.</w:t>
      </w:r>
    </w:p>
    <w:p w14:paraId="20BC013A" w14:textId="625CE037" w:rsidR="0036615F" w:rsidRPr="0036615F" w:rsidRDefault="0036615F" w:rsidP="0036615F">
      <w:pPr>
        <w:numPr>
          <w:ilvl w:val="0"/>
          <w:numId w:val="1"/>
        </w:numPr>
        <w:tabs>
          <w:tab w:val="left" w:pos="1560"/>
          <w:tab w:val="left" w:pos="1588"/>
          <w:tab w:val="left" w:pos="1985"/>
        </w:tabs>
        <w:overflowPunct w:val="0"/>
        <w:jc w:val="both"/>
      </w:pPr>
      <w:proofErr w:type="spellStart"/>
      <w:proofErr w:type="gramStart"/>
      <w:r>
        <w:t>E.IoT</w:t>
      </w:r>
      <w:proofErr w:type="gramEnd"/>
      <w:r>
        <w:t>-NNAI</w:t>
      </w:r>
      <w:proofErr w:type="spellEnd"/>
      <w:r>
        <w:t xml:space="preserve">: Internet of Things Naming Numbering Addressing and Identifiers in </w:t>
      </w:r>
      <w:bookmarkStart w:id="15" w:name="_Toc20498759"/>
      <w:bookmarkStart w:id="16" w:name="_Toc20497213"/>
      <w:r w:rsidR="002B159C">
        <w:rPr>
          <w:lang w:val="en-US"/>
        </w:rPr>
        <w:fldChar w:fldCharType="begin"/>
      </w:r>
      <w:r w:rsidR="002B159C">
        <w:rPr>
          <w:lang w:val="en-US"/>
        </w:rPr>
        <w:instrText>HYPERLINK "https://www.itu.int/md/T22-SG02-231108-TD-PLEN-0368"</w:instrText>
      </w:r>
      <w:r w:rsidR="002B159C">
        <w:rPr>
          <w:lang w:val="en-US"/>
        </w:rPr>
      </w:r>
      <w:r w:rsidR="002B159C">
        <w:rPr>
          <w:lang w:val="en-US"/>
        </w:rPr>
        <w:fldChar w:fldCharType="separate"/>
      </w:r>
      <w:r w:rsidR="002B159C" w:rsidRPr="002B159C">
        <w:rPr>
          <w:rStyle w:val="Hyperlink"/>
          <w:rFonts w:ascii="Times New Roman" w:hAnsi="Times New Roman"/>
          <w:lang w:val="en-US"/>
        </w:rPr>
        <w:t>SG2</w:t>
      </w:r>
      <w:r w:rsidR="002B159C">
        <w:rPr>
          <w:rStyle w:val="Hyperlink"/>
          <w:rFonts w:ascii="Times New Roman" w:hAnsi="Times New Roman"/>
          <w:lang w:val="en-US"/>
        </w:rPr>
        <w:noBreakHyphen/>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368</w:t>
      </w:r>
      <w:proofErr w:type="spellEnd"/>
      <w:r w:rsidR="002B159C" w:rsidRPr="002B159C">
        <w:rPr>
          <w:rStyle w:val="Hyperlink"/>
          <w:rFonts w:ascii="Times New Roman" w:hAnsi="Times New Roman"/>
          <w:lang w:val="en-US"/>
        </w:rPr>
        <w:t>/PLEN</w:t>
      </w:r>
      <w:r w:rsidR="002B159C">
        <w:rPr>
          <w:lang w:val="en-US"/>
        </w:rPr>
        <w:fldChar w:fldCharType="end"/>
      </w:r>
    </w:p>
    <w:p w14:paraId="20E85A44" w14:textId="77777777" w:rsidR="0036615F" w:rsidRDefault="0036615F" w:rsidP="0036615F">
      <w:pPr>
        <w:numPr>
          <w:ilvl w:val="1"/>
          <w:numId w:val="1"/>
        </w:numPr>
        <w:tabs>
          <w:tab w:val="left" w:pos="1560"/>
          <w:tab w:val="left" w:pos="1588"/>
          <w:tab w:val="left" w:pos="1985"/>
        </w:tabs>
        <w:overflowPunct w:val="0"/>
        <w:jc w:val="both"/>
      </w:pPr>
      <w:r w:rsidRPr="002B159C">
        <w:rPr>
          <w:b/>
          <w:bCs/>
        </w:rPr>
        <w:t>Applicant</w:t>
      </w:r>
      <w:r>
        <w:t>:</w:t>
      </w:r>
      <w:r w:rsidRPr="0036615F">
        <w:rPr>
          <w:bCs/>
        </w:rPr>
        <w:t xml:space="preserve"> </w:t>
      </w:r>
      <w:r w:rsidRPr="0036615F">
        <w:t xml:space="preserve">The petitioner applying for the assignment of a resource derived from a number, naming, addressing, or identification plan.  Applicants must be Sector Members of ITU or Associates of ITU-T Study Group 2 and must remain members or associates </w:t>
      </w:r>
      <w:proofErr w:type="gramStart"/>
      <w:r w:rsidRPr="0036615F">
        <w:t>as long as</w:t>
      </w:r>
      <w:proofErr w:type="gramEnd"/>
      <w:r w:rsidRPr="0036615F">
        <w:t xml:space="preserve"> they are assignees.</w:t>
      </w:r>
      <w:bookmarkEnd w:id="15"/>
      <w:bookmarkEnd w:id="16"/>
    </w:p>
    <w:p w14:paraId="7BA74931" w14:textId="1E27BF54" w:rsidR="0036615F" w:rsidRPr="0036615F" w:rsidRDefault="0036615F" w:rsidP="0036615F">
      <w:pPr>
        <w:numPr>
          <w:ilvl w:val="1"/>
          <w:numId w:val="1"/>
        </w:numPr>
        <w:tabs>
          <w:tab w:val="left" w:pos="1560"/>
          <w:tab w:val="left" w:pos="1588"/>
          <w:tab w:val="left" w:pos="1985"/>
        </w:tabs>
        <w:overflowPunct w:val="0"/>
        <w:jc w:val="both"/>
      </w:pPr>
      <w:proofErr w:type="spellStart"/>
      <w:r w:rsidRPr="002B159C">
        <w:rPr>
          <w:b/>
        </w:rPr>
        <w:t>NRIA</w:t>
      </w:r>
      <w:proofErr w:type="spellEnd"/>
      <w:r w:rsidRPr="0036615F">
        <w:rPr>
          <w:bCs/>
        </w:rPr>
        <w:t>:</w:t>
      </w:r>
      <w:r>
        <w:t xml:space="preserve"> (Numbering Resource for IoT Applications) enables access to telecommunication services for the operation of global IoT applications. </w:t>
      </w:r>
    </w:p>
    <w:p w14:paraId="5BAFC76C" w14:textId="77777777" w:rsidR="0036615F" w:rsidRDefault="0036615F" w:rsidP="0036615F">
      <w:pPr>
        <w:ind w:left="851"/>
      </w:pPr>
      <w:proofErr w:type="gramStart"/>
      <w:r>
        <w:t xml:space="preserve">The  </w:t>
      </w:r>
      <w:proofErr w:type="spellStart"/>
      <w:r>
        <w:t>NRIA</w:t>
      </w:r>
      <w:proofErr w:type="spellEnd"/>
      <w:proofErr w:type="gramEnd"/>
      <w:r>
        <w:t xml:space="preserve"> uniquely identifies the global service subscriber of the IoT application/service.</w:t>
      </w:r>
    </w:p>
    <w:p w14:paraId="0182665C" w14:textId="77777777" w:rsidR="0036615F" w:rsidRDefault="0036615F" w:rsidP="0036615F">
      <w:pPr>
        <w:ind w:left="851"/>
      </w:pPr>
      <w:r>
        <w:t xml:space="preserve">The </w:t>
      </w:r>
      <w:proofErr w:type="spellStart"/>
      <w:r>
        <w:t>NRIA</w:t>
      </w:r>
      <w:proofErr w:type="spellEnd"/>
      <w:r>
        <w:t xml:space="preserve"> will also facilitate access to IoT applications/services provided at the global level, thereby enabling subscribers of that global application/service to participate in a defined set of subscribed services on the basis of a unique, </w:t>
      </w:r>
      <w:proofErr w:type="gramStart"/>
      <w:r>
        <w:t>network-transparent</w:t>
      </w:r>
      <w:proofErr w:type="gramEnd"/>
      <w:r>
        <w:t xml:space="preserve"> </w:t>
      </w:r>
      <w:proofErr w:type="spellStart"/>
      <w:r>
        <w:t>NRIA</w:t>
      </w:r>
      <w:proofErr w:type="spellEnd"/>
      <w:r>
        <w:t xml:space="preserve"> across multiple networks from any fixed terminal and or mobile terminal, irrespective of geographical location, limited only by network capabilities and restrictions imposed by the network operator. </w:t>
      </w:r>
    </w:p>
    <w:p w14:paraId="6587D725" w14:textId="77777777" w:rsidR="0036615F" w:rsidRDefault="0036615F" w:rsidP="0036615F">
      <w:pPr>
        <w:ind w:left="851"/>
      </w:pPr>
      <w:r>
        <w:t xml:space="preserve">A </w:t>
      </w:r>
      <w:proofErr w:type="spellStart"/>
      <w:proofErr w:type="gramStart"/>
      <w:r>
        <w:t>NRIA</w:t>
      </w:r>
      <w:proofErr w:type="spellEnd"/>
      <w:r>
        <w:t xml:space="preserve">  enabled</w:t>
      </w:r>
      <w:proofErr w:type="gramEnd"/>
      <w:r>
        <w:t xml:space="preserve"> global service subscriber may have more than one </w:t>
      </w:r>
      <w:proofErr w:type="spellStart"/>
      <w:r>
        <w:t>NRIA</w:t>
      </w:r>
      <w:proofErr w:type="spellEnd"/>
      <w:r>
        <w:t xml:space="preserve"> (for example, a business </w:t>
      </w:r>
      <w:proofErr w:type="spellStart"/>
      <w:r>
        <w:t>NRIA</w:t>
      </w:r>
      <w:proofErr w:type="spellEnd"/>
      <w:r>
        <w:t xml:space="preserve"> for business IoT applications and a private </w:t>
      </w:r>
      <w:proofErr w:type="spellStart"/>
      <w:r>
        <w:t>NRIA</w:t>
      </w:r>
      <w:proofErr w:type="spellEnd"/>
      <w:r>
        <w:t xml:space="preserve"> for private IoT applications).</w:t>
      </w:r>
    </w:p>
    <w:p w14:paraId="72750280" w14:textId="3D27D51E" w:rsidR="0036615F" w:rsidRPr="0036615F" w:rsidRDefault="0036615F" w:rsidP="0036615F">
      <w:pPr>
        <w:numPr>
          <w:ilvl w:val="1"/>
          <w:numId w:val="1"/>
        </w:numPr>
        <w:tabs>
          <w:tab w:val="left" w:pos="1560"/>
          <w:tab w:val="left" w:pos="1588"/>
          <w:tab w:val="left" w:pos="1985"/>
        </w:tabs>
        <w:overflowPunct w:val="0"/>
        <w:jc w:val="both"/>
      </w:pPr>
      <w:r w:rsidRPr="002B159C">
        <w:rPr>
          <w:b/>
          <w:bCs/>
        </w:rPr>
        <w:t>Service Provider Switching</w:t>
      </w:r>
      <w:r>
        <w:t>: The ability for an IoT/</w:t>
      </w:r>
      <w:proofErr w:type="spellStart"/>
      <w:r>
        <w:t>M2M</w:t>
      </w:r>
      <w:proofErr w:type="spellEnd"/>
      <w:r>
        <w:t xml:space="preserve"> Service Provider to change the provider of connectivity for the service it is providing while using the same number.</w:t>
      </w:r>
    </w:p>
    <w:p w14:paraId="335EAAB5" w14:textId="0C39E507" w:rsidR="00AA0E1F" w:rsidRPr="00AA0E1F" w:rsidRDefault="00AA0E1F" w:rsidP="002B159C">
      <w:pPr>
        <w:keepNext/>
        <w:keepLines/>
        <w:numPr>
          <w:ilvl w:val="0"/>
          <w:numId w:val="1"/>
        </w:numPr>
        <w:tabs>
          <w:tab w:val="left" w:pos="1560"/>
          <w:tab w:val="left" w:pos="1588"/>
          <w:tab w:val="left" w:pos="1985"/>
        </w:tabs>
        <w:overflowPunct w:val="0"/>
        <w:jc w:val="both"/>
      </w:pPr>
      <w:proofErr w:type="spellStart"/>
      <w:r>
        <w:lastRenderedPageBreak/>
        <w:t>E.164</w:t>
      </w:r>
      <w:proofErr w:type="spellEnd"/>
      <w:r>
        <w:t xml:space="preserve">: The international public telecommunication numbering plan in </w:t>
      </w:r>
      <w:hyperlink r:id="rId20"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382</w:t>
        </w:r>
        <w:proofErr w:type="spellEnd"/>
        <w:r w:rsidR="002B159C" w:rsidRPr="002B159C">
          <w:rPr>
            <w:rStyle w:val="Hyperlink"/>
            <w:rFonts w:ascii="Times New Roman" w:hAnsi="Times New Roman"/>
            <w:lang w:val="en-US"/>
          </w:rPr>
          <w:t>/PLEN</w:t>
        </w:r>
      </w:hyperlink>
      <w:r w:rsidR="002B159C">
        <w:rPr>
          <w:lang w:val="en-US"/>
        </w:rPr>
        <w:t>.</w:t>
      </w:r>
    </w:p>
    <w:p w14:paraId="3FFC0B0D" w14:textId="77777777" w:rsidR="00AA0E1F" w:rsidRDefault="00AA0E1F" w:rsidP="002B159C">
      <w:pPr>
        <w:keepNext/>
        <w:keepLines/>
        <w:numPr>
          <w:ilvl w:val="1"/>
          <w:numId w:val="1"/>
        </w:numPr>
        <w:tabs>
          <w:tab w:val="left" w:pos="1560"/>
          <w:tab w:val="left" w:pos="1588"/>
          <w:tab w:val="left" w:pos="1985"/>
        </w:tabs>
        <w:overflowPunct w:val="0"/>
        <w:ind w:left="993" w:hanging="709"/>
        <w:jc w:val="both"/>
        <w:rPr>
          <w:b/>
        </w:rPr>
      </w:pPr>
      <w:bookmarkStart w:id="17" w:name="_Toc98909953"/>
      <w:bookmarkStart w:id="18" w:name="_Toc98915053"/>
      <w:bookmarkStart w:id="19" w:name="_Toc102558116"/>
      <w:bookmarkStart w:id="20" w:name="_Toc102807371"/>
      <w:bookmarkStart w:id="21" w:name="_Toc102813283"/>
      <w:bookmarkStart w:id="22" w:name="_Toc278547366"/>
      <w:bookmarkStart w:id="23" w:name="_Toc285835682"/>
      <w:bookmarkStart w:id="24" w:name="_Toc286218816"/>
      <w:bookmarkStart w:id="25" w:name="_Toc286838088"/>
      <w:r w:rsidRPr="00AA0E1F">
        <w:rPr>
          <w:b/>
          <w:bCs/>
        </w:rPr>
        <w:t>country code (CC) for geographic areas</w:t>
      </w:r>
      <w:bookmarkEnd w:id="17"/>
      <w:bookmarkEnd w:id="18"/>
      <w:bookmarkEnd w:id="19"/>
      <w:bookmarkEnd w:id="20"/>
      <w:bookmarkEnd w:id="21"/>
      <w:bookmarkEnd w:id="22"/>
      <w:bookmarkEnd w:id="23"/>
      <w:bookmarkEnd w:id="24"/>
      <w:bookmarkEnd w:id="25"/>
      <w:r w:rsidRPr="00AA0E1F">
        <w:t>: The combination of one, two or three digits identifying a specific country, countries in an integrated numbering plan, or a specific geographic area</w:t>
      </w:r>
      <w:r w:rsidRPr="00AA0E1F">
        <w:rPr>
          <w:b/>
        </w:rPr>
        <w:t>.</w:t>
      </w:r>
      <w:bookmarkStart w:id="26" w:name="_Toc98909954"/>
      <w:bookmarkStart w:id="27" w:name="_Toc98915054"/>
      <w:bookmarkStart w:id="28" w:name="_Toc102558117"/>
      <w:bookmarkStart w:id="29" w:name="_Toc102807372"/>
      <w:bookmarkStart w:id="30" w:name="_Toc102813284"/>
      <w:bookmarkStart w:id="31" w:name="_Toc278547367"/>
      <w:bookmarkStart w:id="32" w:name="_Toc285835683"/>
      <w:bookmarkStart w:id="33" w:name="_Toc286218817"/>
      <w:bookmarkStart w:id="34" w:name="_Toc286838089"/>
    </w:p>
    <w:p w14:paraId="5653360F" w14:textId="77777777" w:rsidR="00AA0E1F" w:rsidRPr="00AA0E1F" w:rsidRDefault="00AA0E1F" w:rsidP="002B159C">
      <w:pPr>
        <w:numPr>
          <w:ilvl w:val="1"/>
          <w:numId w:val="1"/>
        </w:numPr>
        <w:tabs>
          <w:tab w:val="left" w:pos="1560"/>
          <w:tab w:val="left" w:pos="1588"/>
          <w:tab w:val="left" w:pos="1985"/>
        </w:tabs>
        <w:overflowPunct w:val="0"/>
        <w:ind w:left="993" w:hanging="709"/>
        <w:jc w:val="both"/>
      </w:pPr>
      <w:r w:rsidRPr="00D433B4">
        <w:rPr>
          <w:b/>
        </w:rPr>
        <w:t>country code (CC) for global services</w:t>
      </w:r>
      <w:bookmarkEnd w:id="26"/>
      <w:bookmarkEnd w:id="27"/>
      <w:bookmarkEnd w:id="28"/>
      <w:bookmarkEnd w:id="29"/>
      <w:bookmarkEnd w:id="30"/>
      <w:bookmarkEnd w:id="31"/>
      <w:bookmarkEnd w:id="32"/>
      <w:bookmarkEnd w:id="33"/>
      <w:bookmarkEnd w:id="34"/>
      <w:r>
        <w:t xml:space="preserve">: </w:t>
      </w:r>
      <w:r w:rsidRPr="00AA0E1F">
        <w:rPr>
          <w:bCs/>
        </w:rPr>
        <w:t xml:space="preserve">A 3-digit country code used to identify the global service. </w:t>
      </w:r>
      <w:bookmarkStart w:id="35" w:name="_Toc98909955"/>
      <w:bookmarkStart w:id="36" w:name="_Toc98915055"/>
      <w:bookmarkStart w:id="37" w:name="_Toc102558118"/>
      <w:bookmarkStart w:id="38" w:name="_Toc102807373"/>
      <w:bookmarkStart w:id="39" w:name="_Toc102813285"/>
      <w:bookmarkStart w:id="40" w:name="_Toc278547368"/>
      <w:bookmarkStart w:id="41" w:name="_Toc285835684"/>
      <w:bookmarkStart w:id="42" w:name="_Toc286218818"/>
      <w:bookmarkStart w:id="43" w:name="_Toc286838090"/>
    </w:p>
    <w:p w14:paraId="144E5AAE" w14:textId="77777777" w:rsidR="00AA0E1F" w:rsidRDefault="00AA0E1F" w:rsidP="002B159C">
      <w:pPr>
        <w:numPr>
          <w:ilvl w:val="1"/>
          <w:numId w:val="1"/>
        </w:numPr>
        <w:tabs>
          <w:tab w:val="left" w:pos="1560"/>
          <w:tab w:val="left" w:pos="1588"/>
          <w:tab w:val="left" w:pos="1985"/>
        </w:tabs>
        <w:overflowPunct w:val="0"/>
        <w:ind w:left="993" w:hanging="709"/>
        <w:jc w:val="both"/>
      </w:pPr>
      <w:r w:rsidRPr="00D433B4">
        <w:rPr>
          <w:b/>
          <w:bCs/>
        </w:rPr>
        <w:t>country code</w:t>
      </w:r>
      <w:r w:rsidRPr="00D433B4">
        <w:rPr>
          <w:rFonts w:hint="eastAsia"/>
          <w:b/>
          <w:bCs/>
        </w:rPr>
        <w:t xml:space="preserve"> (CC)</w:t>
      </w:r>
      <w:r w:rsidRPr="00D433B4">
        <w:rPr>
          <w:b/>
          <w:bCs/>
        </w:rPr>
        <w:t xml:space="preserve"> for groups of countries</w:t>
      </w:r>
      <w:bookmarkEnd w:id="35"/>
      <w:bookmarkEnd w:id="36"/>
      <w:bookmarkEnd w:id="37"/>
      <w:bookmarkEnd w:id="38"/>
      <w:bookmarkEnd w:id="39"/>
      <w:bookmarkEnd w:id="40"/>
      <w:bookmarkEnd w:id="41"/>
      <w:bookmarkEnd w:id="42"/>
      <w:bookmarkEnd w:id="43"/>
      <w:r>
        <w:t xml:space="preserve">: A shared 3-digit country code used in combination with </w:t>
      </w:r>
      <w:r>
        <w:rPr>
          <w:rFonts w:hint="eastAsia"/>
        </w:rPr>
        <w:t xml:space="preserve">a </w:t>
      </w:r>
      <w:r>
        <w:t xml:space="preserve">group identification code to identify </w:t>
      </w:r>
      <w:r>
        <w:rPr>
          <w:rFonts w:hint="eastAsia"/>
        </w:rPr>
        <w:t>a group of countries</w:t>
      </w:r>
      <w:r>
        <w:t>.</w:t>
      </w:r>
      <w:bookmarkStart w:id="44" w:name="_Toc98909956"/>
      <w:bookmarkStart w:id="45" w:name="_Toc98915056"/>
      <w:bookmarkStart w:id="46" w:name="_Toc102558119"/>
      <w:bookmarkStart w:id="47" w:name="_Toc102807374"/>
      <w:bookmarkStart w:id="48" w:name="_Toc102813286"/>
      <w:bookmarkStart w:id="49" w:name="_Toc278547369"/>
      <w:bookmarkStart w:id="50" w:name="_Toc285835685"/>
      <w:bookmarkStart w:id="51" w:name="_Toc286218819"/>
      <w:bookmarkStart w:id="52" w:name="_Toc286838091"/>
    </w:p>
    <w:p w14:paraId="211C110E"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country code (CC) for networks</w:t>
      </w:r>
      <w:bookmarkEnd w:id="44"/>
      <w:bookmarkEnd w:id="45"/>
      <w:bookmarkEnd w:id="46"/>
      <w:bookmarkEnd w:id="47"/>
      <w:bookmarkEnd w:id="48"/>
      <w:bookmarkEnd w:id="49"/>
      <w:bookmarkEnd w:id="50"/>
      <w:bookmarkEnd w:id="51"/>
      <w:bookmarkEnd w:id="52"/>
      <w:r>
        <w:t>: A shared 3-digit country code used in combination with an identification code to identify an international Network.</w:t>
      </w:r>
      <w:bookmarkStart w:id="53" w:name="_Toc98909957"/>
      <w:bookmarkStart w:id="54" w:name="_Toc98915057"/>
      <w:bookmarkStart w:id="55" w:name="_Toc102558120"/>
      <w:bookmarkStart w:id="56" w:name="_Toc102807375"/>
      <w:bookmarkStart w:id="57" w:name="_Toc102813287"/>
      <w:bookmarkStart w:id="58" w:name="_Toc278547370"/>
      <w:bookmarkStart w:id="59" w:name="_Toc285835686"/>
      <w:bookmarkStart w:id="60" w:name="_Toc286218820"/>
      <w:bookmarkStart w:id="61" w:name="_Toc286838092"/>
    </w:p>
    <w:p w14:paraId="2C83530E"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country code (CC) for trials</w:t>
      </w:r>
      <w:bookmarkEnd w:id="53"/>
      <w:bookmarkEnd w:id="54"/>
      <w:bookmarkEnd w:id="55"/>
      <w:bookmarkEnd w:id="56"/>
      <w:bookmarkEnd w:id="57"/>
      <w:bookmarkEnd w:id="58"/>
      <w:bookmarkEnd w:id="59"/>
      <w:bookmarkEnd w:id="60"/>
      <w:bookmarkEnd w:id="61"/>
      <w:r w:rsidR="0084111C">
        <w:t xml:space="preserve">: </w:t>
      </w:r>
      <w:r>
        <w:t xml:space="preserve">A shared 3-digit country code used in combination with a 3-digit trial identification code </w:t>
      </w:r>
      <w:r>
        <w:rPr>
          <w:rFonts w:hint="eastAsia"/>
        </w:rPr>
        <w:t xml:space="preserve">to </w:t>
      </w:r>
      <w:r>
        <w:t xml:space="preserve">identify </w:t>
      </w:r>
      <w:r>
        <w:rPr>
          <w:rFonts w:hint="eastAsia"/>
        </w:rPr>
        <w:t xml:space="preserve">a </w:t>
      </w:r>
      <w:r>
        <w:t>t</w:t>
      </w:r>
      <w:r>
        <w:rPr>
          <w:rFonts w:hint="eastAsia"/>
        </w:rPr>
        <w:t>rial</w:t>
      </w:r>
      <w:r>
        <w:t>.</w:t>
      </w:r>
      <w:r w:rsidR="0084111C">
        <w:t xml:space="preserve"> </w:t>
      </w:r>
      <w:bookmarkStart w:id="62" w:name="_Toc98909958"/>
      <w:bookmarkStart w:id="63" w:name="_Toc98915058"/>
      <w:bookmarkStart w:id="64" w:name="_Toc102558121"/>
      <w:bookmarkStart w:id="65" w:name="_Toc102807376"/>
      <w:bookmarkStart w:id="66" w:name="_Toc102813288"/>
      <w:bookmarkStart w:id="67" w:name="_Toc278547371"/>
      <w:bookmarkStart w:id="68" w:name="_Toc285835687"/>
      <w:bookmarkStart w:id="69" w:name="_Toc286218821"/>
      <w:bookmarkStart w:id="70" w:name="_Toc286838093"/>
    </w:p>
    <w:p w14:paraId="5B99049C"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destination network (DN) code</w:t>
      </w:r>
      <w:bookmarkEnd w:id="62"/>
      <w:bookmarkEnd w:id="63"/>
      <w:bookmarkEnd w:id="64"/>
      <w:bookmarkEnd w:id="65"/>
      <w:bookmarkEnd w:id="66"/>
      <w:bookmarkEnd w:id="67"/>
      <w:bookmarkEnd w:id="68"/>
      <w:bookmarkEnd w:id="69"/>
      <w:bookmarkEnd w:id="70"/>
      <w:r w:rsidR="0084111C">
        <w:t xml:space="preserve">: </w:t>
      </w:r>
      <w:r>
        <w:t xml:space="preserve">An optional code field within the international ITU-T </w:t>
      </w:r>
      <w:proofErr w:type="spellStart"/>
      <w:r>
        <w:t>E.164</w:t>
      </w:r>
      <w:proofErr w:type="spellEnd"/>
      <w:r>
        <w:t xml:space="preserve">-numbering plan which identifies the destination network serving the destination subscriber. It performs the destination network selection function of the </w:t>
      </w:r>
      <w:proofErr w:type="spellStart"/>
      <w:r>
        <w:t>NDC</w:t>
      </w:r>
      <w:proofErr w:type="spellEnd"/>
      <w:r>
        <w:t xml:space="preserve">. In some instances, it can be combined with a trunk code to form the </w:t>
      </w:r>
      <w:proofErr w:type="spellStart"/>
      <w:r>
        <w:t>NDC</w:t>
      </w:r>
      <w:proofErr w:type="spellEnd"/>
      <w:r>
        <w:t>. The DN code can be a decimal digit or a combination of decimal digits (not including any prefix).</w:t>
      </w:r>
      <w:bookmarkStart w:id="71" w:name="_Toc98909960"/>
      <w:bookmarkStart w:id="72" w:name="_Toc98915060"/>
      <w:bookmarkStart w:id="73" w:name="_Toc102558123"/>
      <w:bookmarkStart w:id="74" w:name="_Toc102807378"/>
      <w:bookmarkStart w:id="75" w:name="_Toc102813290"/>
      <w:bookmarkStart w:id="76" w:name="_Toc278547372"/>
      <w:bookmarkStart w:id="77" w:name="_Toc285835688"/>
      <w:bookmarkStart w:id="78" w:name="_Toc286218822"/>
      <w:bookmarkStart w:id="79" w:name="_Toc286838094"/>
    </w:p>
    <w:p w14:paraId="462251B1"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 xml:space="preserve">global </w:t>
      </w:r>
      <w:r w:rsidRPr="00D433B4">
        <w:rPr>
          <w:b/>
          <w:bCs/>
          <w:lang w:val="en-US"/>
        </w:rPr>
        <w:t>service</w:t>
      </w:r>
      <w:bookmarkEnd w:id="71"/>
      <w:bookmarkEnd w:id="72"/>
      <w:bookmarkEnd w:id="73"/>
      <w:bookmarkEnd w:id="74"/>
      <w:bookmarkEnd w:id="75"/>
      <w:bookmarkEnd w:id="76"/>
      <w:bookmarkEnd w:id="77"/>
      <w:bookmarkEnd w:id="78"/>
      <w:bookmarkEnd w:id="79"/>
      <w:r w:rsidR="0084111C" w:rsidRPr="0084111C">
        <w:rPr>
          <w:lang w:val="en-US"/>
        </w:rPr>
        <w:t xml:space="preserve">: </w:t>
      </w:r>
      <w:r>
        <w:t>A service defined by ITU-T, provisioned on the public switched network, to which ITU-T has assigned a specific country code to enable the provision of that international service between two or more countries and/or integrated numbering plans.</w:t>
      </w:r>
      <w:bookmarkStart w:id="80" w:name="_Toc98909961"/>
      <w:bookmarkStart w:id="81" w:name="_Toc98915061"/>
      <w:bookmarkStart w:id="82" w:name="_Toc102558124"/>
      <w:bookmarkStart w:id="83" w:name="_Toc102807379"/>
      <w:bookmarkStart w:id="84" w:name="_Toc102813291"/>
      <w:bookmarkStart w:id="85" w:name="_Toc278547373"/>
      <w:bookmarkStart w:id="86" w:name="_Toc285835689"/>
      <w:bookmarkStart w:id="87" w:name="_Toc286218823"/>
      <w:bookmarkStart w:id="88" w:name="_Toc286838095"/>
    </w:p>
    <w:p w14:paraId="71325D13"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global subscriber number (</w:t>
      </w:r>
      <w:proofErr w:type="spellStart"/>
      <w:r w:rsidRPr="00D433B4">
        <w:rPr>
          <w:b/>
          <w:bCs/>
        </w:rPr>
        <w:t>GSN</w:t>
      </w:r>
      <w:proofErr w:type="spellEnd"/>
      <w:r w:rsidRPr="00D433B4">
        <w:rPr>
          <w:b/>
          <w:bCs/>
        </w:rPr>
        <w:t>)</w:t>
      </w:r>
      <w:bookmarkEnd w:id="80"/>
      <w:bookmarkEnd w:id="81"/>
      <w:bookmarkEnd w:id="82"/>
      <w:bookmarkEnd w:id="83"/>
      <w:bookmarkEnd w:id="84"/>
      <w:bookmarkEnd w:id="85"/>
      <w:bookmarkEnd w:id="86"/>
      <w:bookmarkEnd w:id="87"/>
      <w:bookmarkEnd w:id="88"/>
      <w:r w:rsidR="0084111C">
        <w:t xml:space="preserve">: </w:t>
      </w:r>
      <w:r>
        <w:t xml:space="preserve">The portion of the international ITU-T </w:t>
      </w:r>
      <w:proofErr w:type="spellStart"/>
      <w:r>
        <w:t>E.164</w:t>
      </w:r>
      <w:proofErr w:type="spellEnd"/>
      <w:r>
        <w:t>-number that identifies a subscriber for a particular global service.</w:t>
      </w:r>
      <w:bookmarkStart w:id="89" w:name="_Toc98909962"/>
      <w:bookmarkStart w:id="90" w:name="_Toc98915062"/>
      <w:bookmarkStart w:id="91" w:name="_Toc102558125"/>
      <w:bookmarkStart w:id="92" w:name="_Toc102807380"/>
      <w:bookmarkStart w:id="93" w:name="_Toc102813292"/>
      <w:bookmarkStart w:id="94" w:name="_Toc278547374"/>
      <w:bookmarkStart w:id="95" w:name="_Toc285835690"/>
      <w:bookmarkStart w:id="96" w:name="_Toc286218824"/>
      <w:bookmarkStart w:id="97" w:name="_Toc286838096"/>
    </w:p>
    <w:p w14:paraId="0FCC555F"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group identification code (</w:t>
      </w:r>
      <w:proofErr w:type="spellStart"/>
      <w:r w:rsidRPr="00D433B4">
        <w:rPr>
          <w:b/>
          <w:bCs/>
        </w:rPr>
        <w:t>GIC</w:t>
      </w:r>
      <w:proofErr w:type="spellEnd"/>
      <w:r w:rsidRPr="00D433B4">
        <w:rPr>
          <w:b/>
          <w:bCs/>
        </w:rPr>
        <w:t>)</w:t>
      </w:r>
      <w:bookmarkEnd w:id="89"/>
      <w:bookmarkEnd w:id="90"/>
      <w:bookmarkEnd w:id="91"/>
      <w:bookmarkEnd w:id="92"/>
      <w:bookmarkEnd w:id="93"/>
      <w:bookmarkEnd w:id="94"/>
      <w:bookmarkEnd w:id="95"/>
      <w:bookmarkEnd w:id="96"/>
      <w:bookmarkEnd w:id="97"/>
      <w:r w:rsidR="0084111C">
        <w:t xml:space="preserve">: </w:t>
      </w:r>
      <w:r>
        <w:t xml:space="preserve">A </w:t>
      </w:r>
      <w:r>
        <w:rPr>
          <w:rFonts w:hint="eastAsia"/>
        </w:rPr>
        <w:t>one-</w:t>
      </w:r>
      <w:r>
        <w:t>digit identification code assigned to a group of countries.</w:t>
      </w:r>
      <w:bookmarkStart w:id="98" w:name="_Toc98909963"/>
      <w:bookmarkStart w:id="99" w:name="_Toc98915063"/>
      <w:bookmarkStart w:id="100" w:name="_Toc102558126"/>
      <w:bookmarkStart w:id="101" w:name="_Toc102807381"/>
      <w:bookmarkStart w:id="102" w:name="_Toc102813293"/>
      <w:bookmarkStart w:id="103" w:name="_Toc278547375"/>
      <w:bookmarkStart w:id="104" w:name="_Toc285835691"/>
      <w:bookmarkStart w:id="105" w:name="_Toc286218825"/>
      <w:bookmarkStart w:id="106" w:name="_Toc286838097"/>
    </w:p>
    <w:p w14:paraId="4FEEA355"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group identification code administrator</w:t>
      </w:r>
      <w:r w:rsidRPr="00D433B4">
        <w:rPr>
          <w:rFonts w:hint="eastAsia"/>
          <w:b/>
          <w:bCs/>
        </w:rPr>
        <w:t xml:space="preserve"> (GICA)</w:t>
      </w:r>
      <w:bookmarkEnd w:id="98"/>
      <w:bookmarkEnd w:id="99"/>
      <w:bookmarkEnd w:id="100"/>
      <w:bookmarkEnd w:id="101"/>
      <w:bookmarkEnd w:id="102"/>
      <w:bookmarkEnd w:id="103"/>
      <w:bookmarkEnd w:id="104"/>
      <w:bookmarkEnd w:id="105"/>
      <w:bookmarkEnd w:id="106"/>
      <w:r w:rsidR="0084111C">
        <w:t xml:space="preserve">: </w:t>
      </w:r>
      <w:r>
        <w:t xml:space="preserve">The organization </w:t>
      </w:r>
      <w:r>
        <w:rPr>
          <w:rFonts w:hint="eastAsia"/>
        </w:rPr>
        <w:t xml:space="preserve">entrusted by the assignee with </w:t>
      </w:r>
      <w:r>
        <w:t xml:space="preserve">the administration and management of the numbering resources </w:t>
      </w:r>
      <w:r>
        <w:rPr>
          <w:rFonts w:hint="eastAsia"/>
        </w:rPr>
        <w:t xml:space="preserve">behind a specific </w:t>
      </w:r>
      <w:proofErr w:type="spellStart"/>
      <w:r>
        <w:rPr>
          <w:rFonts w:hint="eastAsia"/>
        </w:rPr>
        <w:t>CC+GIC</w:t>
      </w:r>
      <w:proofErr w:type="spellEnd"/>
      <w:r>
        <w:t>.</w:t>
      </w:r>
      <w:bookmarkStart w:id="107" w:name="_Toc98909964"/>
      <w:bookmarkStart w:id="108" w:name="_Toc98915064"/>
      <w:bookmarkStart w:id="109" w:name="_Toc102558127"/>
      <w:bookmarkStart w:id="110" w:name="_Toc102807382"/>
      <w:bookmarkStart w:id="111" w:name="_Toc102813294"/>
      <w:bookmarkStart w:id="112" w:name="_Toc278547376"/>
      <w:bookmarkStart w:id="113" w:name="_Toc285835692"/>
      <w:bookmarkStart w:id="114" w:name="_Toc286218826"/>
      <w:bookmarkStart w:id="115" w:name="_Toc286838098"/>
    </w:p>
    <w:p w14:paraId="1660D992"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groups of countries</w:t>
      </w:r>
      <w:r w:rsidRPr="00D433B4">
        <w:rPr>
          <w:rFonts w:hint="eastAsia"/>
          <w:b/>
          <w:bCs/>
        </w:rPr>
        <w:t xml:space="preserve"> (GoC)</w:t>
      </w:r>
      <w:bookmarkEnd w:id="107"/>
      <w:bookmarkEnd w:id="108"/>
      <w:bookmarkEnd w:id="109"/>
      <w:bookmarkEnd w:id="110"/>
      <w:bookmarkEnd w:id="111"/>
      <w:bookmarkEnd w:id="112"/>
      <w:bookmarkEnd w:id="113"/>
      <w:bookmarkEnd w:id="114"/>
      <w:bookmarkEnd w:id="115"/>
      <w:r w:rsidR="0084111C">
        <w:t xml:space="preserve">: </w:t>
      </w:r>
      <w:r>
        <w:rPr>
          <w:rFonts w:hint="eastAsia"/>
        </w:rPr>
        <w:t xml:space="preserve">Several </w:t>
      </w:r>
      <w:r>
        <w:t xml:space="preserve">ITU- or UN-recognized countries </w:t>
      </w:r>
      <w:r>
        <w:rPr>
          <w:rFonts w:hint="eastAsia"/>
        </w:rPr>
        <w:t xml:space="preserve">sharing the same </w:t>
      </w:r>
      <w:proofErr w:type="spellStart"/>
      <w:r>
        <w:rPr>
          <w:rFonts w:hint="eastAsia"/>
        </w:rPr>
        <w:t>CC+GIC</w:t>
      </w:r>
      <w:proofErr w:type="spellEnd"/>
      <w:r>
        <w:t>.</w:t>
      </w:r>
      <w:r w:rsidR="0084111C">
        <w:t xml:space="preserve"> </w:t>
      </w:r>
      <w:bookmarkStart w:id="116" w:name="_Toc98909965"/>
      <w:bookmarkStart w:id="117" w:name="_Toc98915065"/>
      <w:bookmarkStart w:id="118" w:name="_Toc102558128"/>
      <w:bookmarkStart w:id="119" w:name="_Toc102807383"/>
      <w:bookmarkStart w:id="120" w:name="_Toc102813295"/>
      <w:bookmarkStart w:id="121" w:name="_Toc278547377"/>
      <w:bookmarkStart w:id="122" w:name="_Toc285835693"/>
      <w:bookmarkStart w:id="123" w:name="_Toc286218827"/>
      <w:bookmarkStart w:id="124" w:name="_Toc286838099"/>
    </w:p>
    <w:p w14:paraId="4280453C"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rPr>
        <w:t>identification code (IC)</w:t>
      </w:r>
      <w:bookmarkEnd w:id="116"/>
      <w:bookmarkEnd w:id="117"/>
      <w:bookmarkEnd w:id="118"/>
      <w:bookmarkEnd w:id="119"/>
      <w:bookmarkEnd w:id="120"/>
      <w:bookmarkEnd w:id="121"/>
      <w:bookmarkEnd w:id="122"/>
      <w:bookmarkEnd w:id="123"/>
      <w:bookmarkEnd w:id="124"/>
      <w:r w:rsidR="0084111C">
        <w:t xml:space="preserve">: </w:t>
      </w:r>
      <w:r>
        <w:t xml:space="preserve">The code </w:t>
      </w:r>
      <w:proofErr w:type="gramStart"/>
      <w:r>
        <w:t>subsequent to</w:t>
      </w:r>
      <w:proofErr w:type="gramEnd"/>
      <w:r>
        <w:t xml:space="preserve"> a country code for Networks that uniquely identifies an international Network.</w:t>
      </w:r>
      <w:bookmarkStart w:id="125" w:name="_Toc98909972"/>
      <w:bookmarkStart w:id="126" w:name="_Toc98915072"/>
      <w:bookmarkStart w:id="127" w:name="_Toc102558135"/>
      <w:bookmarkStart w:id="128" w:name="_Toc102807390"/>
      <w:bookmarkStart w:id="129" w:name="_Toc102813302"/>
      <w:bookmarkStart w:id="130" w:name="_Toc278547378"/>
      <w:bookmarkStart w:id="131" w:name="_Toc285835694"/>
      <w:bookmarkStart w:id="132" w:name="_Toc286218828"/>
      <w:bookmarkStart w:id="133" w:name="_Toc286838100"/>
    </w:p>
    <w:p w14:paraId="7B086829" w14:textId="77777777" w:rsidR="0084111C" w:rsidRPr="0084111C" w:rsidRDefault="00AA0E1F" w:rsidP="002B159C">
      <w:pPr>
        <w:numPr>
          <w:ilvl w:val="1"/>
          <w:numId w:val="1"/>
        </w:numPr>
        <w:tabs>
          <w:tab w:val="left" w:pos="1560"/>
          <w:tab w:val="left" w:pos="1588"/>
          <w:tab w:val="left" w:pos="1985"/>
        </w:tabs>
        <w:overflowPunct w:val="0"/>
        <w:ind w:left="993" w:hanging="709"/>
        <w:jc w:val="both"/>
        <w:rPr>
          <w:lang w:val="en-US"/>
        </w:rPr>
      </w:pPr>
      <w:r w:rsidRPr="00D433B4">
        <w:rPr>
          <w:b/>
          <w:bCs/>
          <w:lang w:val="en-US"/>
        </w:rPr>
        <w:t>Network</w:t>
      </w:r>
      <w:bookmarkEnd w:id="125"/>
      <w:bookmarkEnd w:id="126"/>
      <w:bookmarkEnd w:id="127"/>
      <w:bookmarkEnd w:id="128"/>
      <w:bookmarkEnd w:id="129"/>
      <w:bookmarkEnd w:id="130"/>
      <w:bookmarkEnd w:id="131"/>
      <w:bookmarkEnd w:id="132"/>
      <w:bookmarkEnd w:id="133"/>
      <w:r w:rsidR="0084111C" w:rsidRPr="0084111C">
        <w:rPr>
          <w:lang w:val="en-US"/>
        </w:rPr>
        <w:t xml:space="preserve">: </w:t>
      </w:r>
      <w:r>
        <w:t>Internationally interconnected physical nodes and operational systems operated and maintained by one or more ROAs to provide public telecommunications services. Private networks are not included in this definition. Note that the use of capital "N" in Networks indicates that this definition applies.</w:t>
      </w:r>
      <w:bookmarkStart w:id="134" w:name="_Toc98909976"/>
      <w:bookmarkStart w:id="135" w:name="_Toc98915076"/>
      <w:bookmarkStart w:id="136" w:name="_Toc102558139"/>
      <w:bookmarkStart w:id="137" w:name="_Toc102807394"/>
      <w:bookmarkStart w:id="138" w:name="_Toc102813306"/>
      <w:bookmarkStart w:id="139" w:name="_Toc278547379"/>
      <w:bookmarkStart w:id="140" w:name="_Toc285835695"/>
      <w:bookmarkStart w:id="141" w:name="_Toc286218829"/>
      <w:bookmarkStart w:id="142" w:name="_Toc286838101"/>
    </w:p>
    <w:p w14:paraId="0CB698AC" w14:textId="77777777" w:rsidR="0084111C" w:rsidRDefault="00AA0E1F" w:rsidP="002B159C">
      <w:pPr>
        <w:numPr>
          <w:ilvl w:val="1"/>
          <w:numId w:val="1"/>
        </w:numPr>
        <w:tabs>
          <w:tab w:val="left" w:pos="1560"/>
          <w:tab w:val="left" w:pos="1588"/>
          <w:tab w:val="left" w:pos="1985"/>
        </w:tabs>
        <w:overflowPunct w:val="0"/>
        <w:ind w:left="993" w:hanging="709"/>
        <w:jc w:val="both"/>
      </w:pPr>
      <w:r w:rsidRPr="00D433B4">
        <w:rPr>
          <w:b/>
          <w:bCs/>
          <w:lang w:val="en-US"/>
        </w:rPr>
        <w:t>trial identification codes</w:t>
      </w:r>
      <w:bookmarkEnd w:id="134"/>
      <w:bookmarkEnd w:id="135"/>
      <w:bookmarkEnd w:id="136"/>
      <w:bookmarkEnd w:id="137"/>
      <w:bookmarkEnd w:id="138"/>
      <w:bookmarkEnd w:id="139"/>
      <w:bookmarkEnd w:id="140"/>
      <w:bookmarkEnd w:id="141"/>
      <w:bookmarkEnd w:id="142"/>
      <w:r w:rsidR="0084111C" w:rsidRPr="0084111C">
        <w:rPr>
          <w:lang w:val="en-US"/>
        </w:rPr>
        <w:t xml:space="preserve">: </w:t>
      </w:r>
      <w:r>
        <w:t>Three-digit identification codes that uniquely identify international public correspondence service trial participants.</w:t>
      </w:r>
      <w:bookmarkStart w:id="143" w:name="_Toc98909977"/>
      <w:bookmarkStart w:id="144" w:name="_Toc98915077"/>
      <w:bookmarkStart w:id="145" w:name="_Toc102558140"/>
      <w:bookmarkStart w:id="146" w:name="_Toc102807395"/>
      <w:bookmarkStart w:id="147" w:name="_Toc102813307"/>
      <w:bookmarkStart w:id="148" w:name="_Toc278547380"/>
      <w:bookmarkStart w:id="149" w:name="_Toc285835696"/>
      <w:bookmarkStart w:id="150" w:name="_Toc286218830"/>
      <w:bookmarkStart w:id="151" w:name="_Toc286838102"/>
    </w:p>
    <w:p w14:paraId="58BCB402" w14:textId="7EBB1FF0" w:rsidR="00AA0E1F" w:rsidRDefault="00AA0E1F" w:rsidP="002B159C">
      <w:pPr>
        <w:numPr>
          <w:ilvl w:val="1"/>
          <w:numId w:val="1"/>
        </w:numPr>
        <w:tabs>
          <w:tab w:val="left" w:pos="1560"/>
          <w:tab w:val="left" w:pos="1588"/>
          <w:tab w:val="left" w:pos="1985"/>
        </w:tabs>
        <w:overflowPunct w:val="0"/>
        <w:ind w:left="993" w:hanging="709"/>
        <w:jc w:val="both"/>
      </w:pPr>
      <w:r w:rsidRPr="00D433B4">
        <w:rPr>
          <w:rFonts w:hint="eastAsia"/>
          <w:b/>
          <w:bCs/>
          <w:lang w:val="en-US"/>
        </w:rPr>
        <w:t>trials</w:t>
      </w:r>
      <w:bookmarkEnd w:id="143"/>
      <w:bookmarkEnd w:id="144"/>
      <w:bookmarkEnd w:id="145"/>
      <w:bookmarkEnd w:id="146"/>
      <w:bookmarkEnd w:id="147"/>
      <w:bookmarkEnd w:id="148"/>
      <w:bookmarkEnd w:id="149"/>
      <w:bookmarkEnd w:id="150"/>
      <w:bookmarkEnd w:id="151"/>
      <w:r w:rsidR="0084111C" w:rsidRPr="0084111C">
        <w:rPr>
          <w:lang w:val="en-US"/>
        </w:rPr>
        <w:t xml:space="preserve">: </w:t>
      </w:r>
      <w:r>
        <w:rPr>
          <w:rFonts w:hint="eastAsia"/>
        </w:rPr>
        <w:t>The temporary implementation of a proposed new international public correspondence service for the purpose of determining its technical, operational, and business viability</w:t>
      </w:r>
      <w:r>
        <w:t>.</w:t>
      </w:r>
    </w:p>
    <w:p w14:paraId="6B26F936" w14:textId="699B2F1F" w:rsidR="007E377A" w:rsidRPr="00882950" w:rsidRDefault="00882950">
      <w:pPr>
        <w:numPr>
          <w:ilvl w:val="0"/>
          <w:numId w:val="1"/>
        </w:numPr>
        <w:tabs>
          <w:tab w:val="left" w:pos="1560"/>
          <w:tab w:val="left" w:pos="1588"/>
          <w:tab w:val="left" w:pos="1985"/>
        </w:tabs>
        <w:overflowPunct w:val="0"/>
        <w:jc w:val="both"/>
      </w:pPr>
      <w:proofErr w:type="spellStart"/>
      <w:r>
        <w:t>M.fcnhe</w:t>
      </w:r>
      <w:proofErr w:type="spellEnd"/>
      <w:r>
        <w:t xml:space="preserve">: Framework of communication network health evaluation in </w:t>
      </w:r>
      <w:hyperlink r:id="rId21"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352</w:t>
        </w:r>
        <w:proofErr w:type="spellEnd"/>
        <w:r w:rsidR="002B159C" w:rsidRPr="002B159C">
          <w:rPr>
            <w:rStyle w:val="Hyperlink"/>
            <w:rFonts w:ascii="Times New Roman" w:hAnsi="Times New Roman"/>
            <w:lang w:val="en-US"/>
          </w:rPr>
          <w:t>/PLEN</w:t>
        </w:r>
      </w:hyperlink>
      <w:r w:rsidR="002B159C">
        <w:rPr>
          <w:lang w:val="en-US"/>
        </w:rPr>
        <w:t>.</w:t>
      </w:r>
    </w:p>
    <w:p w14:paraId="08DA425A" w14:textId="75CB40CE" w:rsidR="00882950" w:rsidRPr="00882950" w:rsidRDefault="00882950" w:rsidP="00882950">
      <w:pPr>
        <w:pStyle w:val="ListParagraph"/>
        <w:numPr>
          <w:ilvl w:val="1"/>
          <w:numId w:val="1"/>
        </w:numPr>
        <w:jc w:val="both"/>
        <w:rPr>
          <w:rFonts w:eastAsia="SimSun"/>
          <w:color w:val="000000"/>
          <w:lang w:val="en-US" w:eastAsia="zh-CN"/>
        </w:rPr>
      </w:pPr>
      <w:r w:rsidRPr="00882950">
        <w:rPr>
          <w:rFonts w:hint="eastAsia"/>
          <w:b/>
          <w:kern w:val="32"/>
          <w:lang w:bidi="ar-DZ"/>
        </w:rPr>
        <w:t>Communication network health</w:t>
      </w:r>
      <w:r w:rsidRPr="00882950">
        <w:rPr>
          <w:kern w:val="32"/>
          <w:lang w:bidi="ar-DZ"/>
        </w:rPr>
        <w:t xml:space="preserve">: </w:t>
      </w:r>
      <w:r>
        <w:t>Operating state of a comm</w:t>
      </w:r>
      <w:r w:rsidRPr="00882950">
        <w:rPr>
          <w:rFonts w:hint="eastAsia"/>
          <w:lang w:val="en-US" w:eastAsia="zh-CN"/>
        </w:rPr>
        <w:t>u</w:t>
      </w:r>
      <w:proofErr w:type="spellStart"/>
      <w:r>
        <w:t>nication</w:t>
      </w:r>
      <w:proofErr w:type="spellEnd"/>
      <w:r>
        <w:t xml:space="preserve"> network based on availability, reliability, security, and </w:t>
      </w:r>
      <w:r w:rsidRPr="00882950">
        <w:rPr>
          <w:rFonts w:hint="eastAsia"/>
          <w:lang w:val="en-US" w:eastAsia="zh-CN"/>
        </w:rPr>
        <w:t>maintainability</w:t>
      </w:r>
      <w:r w:rsidRPr="00882950">
        <w:rPr>
          <w:rFonts w:eastAsia="SimSun"/>
          <w:color w:val="000000"/>
          <w:lang w:val="en-US" w:eastAsia="zh-CN"/>
        </w:rPr>
        <w:t>.</w:t>
      </w:r>
    </w:p>
    <w:p w14:paraId="383038C8" w14:textId="68EFB545" w:rsidR="00882950" w:rsidRPr="00882950" w:rsidRDefault="00882950" w:rsidP="00882950">
      <w:pPr>
        <w:pStyle w:val="ListParagraph"/>
        <w:numPr>
          <w:ilvl w:val="1"/>
          <w:numId w:val="1"/>
        </w:numPr>
        <w:jc w:val="both"/>
        <w:rPr>
          <w:rFonts w:eastAsia="SimSun"/>
          <w:color w:val="000000"/>
          <w:lang w:val="en-US" w:eastAsia="zh-CN"/>
        </w:rPr>
      </w:pPr>
      <w:bookmarkStart w:id="152" w:name="_Toc79510254"/>
      <w:bookmarkStart w:id="153" w:name="_Toc79693456"/>
      <w:bookmarkStart w:id="154" w:name="_Toc79761408"/>
      <w:bookmarkStart w:id="155" w:name="_Toc79759727"/>
      <w:bookmarkStart w:id="156" w:name="_Toc79684585"/>
      <w:bookmarkStart w:id="157" w:name="_Toc79558545"/>
      <w:r w:rsidRPr="00882950">
        <w:rPr>
          <w:rFonts w:hint="eastAsia"/>
          <w:b/>
          <w:kern w:val="32"/>
          <w:lang w:bidi="ar-DZ"/>
        </w:rPr>
        <w:lastRenderedPageBreak/>
        <w:t>Communication network health index</w:t>
      </w:r>
      <w:r w:rsidRPr="00882950">
        <w:rPr>
          <w:kern w:val="32"/>
          <w:lang w:bidi="ar-DZ"/>
        </w:rPr>
        <w:t xml:space="preserve">: </w:t>
      </w:r>
      <w:bookmarkEnd w:id="152"/>
      <w:bookmarkEnd w:id="153"/>
      <w:bookmarkEnd w:id="154"/>
      <w:bookmarkEnd w:id="155"/>
      <w:bookmarkEnd w:id="156"/>
      <w:bookmarkEnd w:id="157"/>
      <w:r>
        <w:t xml:space="preserve">a </w:t>
      </w:r>
      <w:r>
        <w:rPr>
          <w:rFonts w:hint="eastAsia"/>
        </w:rPr>
        <w:t xml:space="preserve">single summary </w:t>
      </w:r>
      <w:r w:rsidRPr="00882950">
        <w:rPr>
          <w:rFonts w:hint="eastAsia"/>
          <w:lang w:val="en-US" w:eastAsia="zh-CN"/>
        </w:rPr>
        <w:t>indicator</w:t>
      </w:r>
      <w:r>
        <w:rPr>
          <w:rFonts w:hint="eastAsia"/>
        </w:rPr>
        <w:t xml:space="preserve"> expressed in quantitative terms </w:t>
      </w:r>
      <w:r>
        <w:t>indicating</w:t>
      </w:r>
      <w:r>
        <w:rPr>
          <w:rFonts w:hint="eastAsia"/>
        </w:rPr>
        <w:t xml:space="preserve"> </w:t>
      </w:r>
      <w:r>
        <w:t xml:space="preserve">the degree of </w:t>
      </w:r>
      <w:r w:rsidRPr="00882950">
        <w:rPr>
          <w:rFonts w:hint="eastAsia"/>
          <w:lang w:val="en-US" w:eastAsia="zh-CN"/>
        </w:rPr>
        <w:t>c</w:t>
      </w:r>
      <w:proofErr w:type="spellStart"/>
      <w:r>
        <w:rPr>
          <w:rFonts w:hint="eastAsia"/>
        </w:rPr>
        <w:t>ommunication</w:t>
      </w:r>
      <w:proofErr w:type="spellEnd"/>
      <w:r>
        <w:rPr>
          <w:rFonts w:hint="eastAsia"/>
        </w:rPr>
        <w:t xml:space="preserve"> network health</w:t>
      </w:r>
      <w:r w:rsidRPr="00882950">
        <w:rPr>
          <w:rFonts w:eastAsia="SimSun"/>
          <w:color w:val="000000"/>
          <w:lang w:val="en-US" w:eastAsia="zh-CN"/>
        </w:rPr>
        <w:t>.</w:t>
      </w:r>
    </w:p>
    <w:p w14:paraId="2CFF3270" w14:textId="11821F31" w:rsidR="00882950" w:rsidRPr="00882950" w:rsidRDefault="00882950" w:rsidP="00882950">
      <w:pPr>
        <w:pStyle w:val="ListParagraph"/>
        <w:numPr>
          <w:ilvl w:val="1"/>
          <w:numId w:val="1"/>
        </w:numPr>
        <w:jc w:val="both"/>
        <w:rPr>
          <w:rFonts w:eastAsia="SimSun"/>
          <w:bCs/>
          <w:color w:val="000000"/>
          <w:lang w:val="en-US" w:eastAsia="zh-CN"/>
        </w:rPr>
      </w:pPr>
      <w:r w:rsidRPr="00882950">
        <w:rPr>
          <w:rFonts w:hint="eastAsia"/>
          <w:b/>
          <w:color w:val="000000"/>
          <w:lang w:val="en-US" w:eastAsia="zh-CN"/>
        </w:rPr>
        <w:t>Network toughness:</w:t>
      </w:r>
      <w:r w:rsidRPr="00882950">
        <w:rPr>
          <w:rFonts w:eastAsia="SimSun"/>
          <w:b/>
          <w:color w:val="000000"/>
          <w:lang w:val="en-US" w:eastAsia="zh-CN"/>
        </w:rPr>
        <w:t xml:space="preserve"> </w:t>
      </w:r>
      <w:r w:rsidRPr="00882950">
        <w:rPr>
          <w:lang w:val="en-US" w:eastAsia="zh-CN"/>
        </w:rPr>
        <w:t>t</w:t>
      </w:r>
      <w:r>
        <w:t>he anti-destroy ability of a network to keep a normal operating state</w:t>
      </w:r>
      <w:r w:rsidRPr="00882950">
        <w:rPr>
          <w:rFonts w:eastAsia="SimSun" w:hint="eastAsia"/>
          <w:bCs/>
          <w:color w:val="000000"/>
          <w:lang w:val="en-US" w:eastAsia="zh-CN"/>
        </w:rPr>
        <w:t>.</w:t>
      </w:r>
    </w:p>
    <w:p w14:paraId="553ECE19" w14:textId="47F3541F" w:rsidR="00882950" w:rsidRPr="00882950" w:rsidRDefault="00882950" w:rsidP="00882950">
      <w:pPr>
        <w:pStyle w:val="ListParagraph"/>
        <w:numPr>
          <w:ilvl w:val="1"/>
          <w:numId w:val="1"/>
        </w:numPr>
        <w:jc w:val="both"/>
        <w:rPr>
          <w:rFonts w:eastAsia="SimSun"/>
          <w:bCs/>
          <w:color w:val="000000"/>
          <w:lang w:val="en-US" w:eastAsia="zh-CN"/>
        </w:rPr>
      </w:pPr>
      <w:r w:rsidRPr="00882950">
        <w:rPr>
          <w:rFonts w:hint="eastAsia"/>
          <w:b/>
          <w:color w:val="000000"/>
          <w:lang w:val="en-US" w:eastAsia="zh-CN"/>
        </w:rPr>
        <w:t>Network toughness index:</w:t>
      </w:r>
      <w:r w:rsidRPr="00882950">
        <w:rPr>
          <w:rFonts w:eastAsia="SimSun"/>
          <w:b/>
          <w:color w:val="000000"/>
          <w:lang w:val="en-US" w:eastAsia="zh-CN"/>
        </w:rPr>
        <w:t xml:space="preserve"> </w:t>
      </w:r>
      <w:r w:rsidRPr="00882950">
        <w:rPr>
          <w:lang w:val="en-US" w:eastAsia="zh-CN"/>
        </w:rPr>
        <w:t xml:space="preserve"> </w:t>
      </w:r>
      <w:r>
        <w:t xml:space="preserve">a </w:t>
      </w:r>
      <w:r>
        <w:rPr>
          <w:rFonts w:hint="eastAsia"/>
        </w:rPr>
        <w:t xml:space="preserve">single summary </w:t>
      </w:r>
      <w:r>
        <w:t>indicator</w:t>
      </w:r>
      <w:r>
        <w:rPr>
          <w:rFonts w:hint="eastAsia"/>
        </w:rPr>
        <w:t xml:space="preserve"> expressed in quantitative terms </w:t>
      </w:r>
      <w:r>
        <w:t>indicating</w:t>
      </w:r>
      <w:r>
        <w:rPr>
          <w:rFonts w:hint="eastAsia"/>
        </w:rPr>
        <w:t xml:space="preserve"> </w:t>
      </w:r>
      <w:r>
        <w:t>the degree of network toughness</w:t>
      </w:r>
      <w:r w:rsidRPr="00882950">
        <w:rPr>
          <w:rFonts w:eastAsia="SimSun" w:hint="eastAsia"/>
          <w:bCs/>
          <w:color w:val="000000"/>
          <w:lang w:val="en-US" w:eastAsia="zh-CN"/>
        </w:rPr>
        <w:t>.</w:t>
      </w:r>
    </w:p>
    <w:p w14:paraId="657585FF" w14:textId="4D4D891D" w:rsidR="00882950" w:rsidRPr="00882950" w:rsidRDefault="00882950" w:rsidP="00882950">
      <w:pPr>
        <w:pStyle w:val="ListParagraph"/>
        <w:numPr>
          <w:ilvl w:val="1"/>
          <w:numId w:val="1"/>
        </w:numPr>
        <w:jc w:val="both"/>
        <w:rPr>
          <w:rFonts w:eastAsia="SimSun"/>
          <w:bCs/>
          <w:color w:val="000000"/>
          <w:lang w:val="en-US" w:eastAsia="zh-CN"/>
        </w:rPr>
      </w:pPr>
      <w:r w:rsidRPr="00882950">
        <w:rPr>
          <w:rFonts w:eastAsia="Times New Roman"/>
          <w:b/>
          <w:color w:val="000000"/>
          <w:lang w:eastAsia="en-US"/>
        </w:rPr>
        <w:t>Supply Availability</w:t>
      </w:r>
      <w:r w:rsidRPr="00882950">
        <w:rPr>
          <w:rFonts w:hint="eastAsia"/>
          <w:b/>
          <w:color w:val="000000"/>
          <w:lang w:val="en-US" w:eastAsia="zh-CN"/>
        </w:rPr>
        <w:t>:</w:t>
      </w:r>
      <w:r w:rsidRPr="00882950">
        <w:rPr>
          <w:rFonts w:eastAsia="SimSun"/>
          <w:b/>
          <w:color w:val="000000"/>
          <w:lang w:val="en-US" w:eastAsia="zh-CN"/>
        </w:rPr>
        <w:t xml:space="preserve"> </w:t>
      </w:r>
      <w:r w:rsidRPr="00882950">
        <w:rPr>
          <w:rFonts w:eastAsia="SimSun" w:hint="eastAsia"/>
          <w:bCs/>
          <w:color w:val="000000"/>
          <w:lang w:val="en-US" w:eastAsia="zh-CN"/>
        </w:rPr>
        <w:t>products or equipment is available at a given time in supply chain under the risks of weather, earthquake etc.</w:t>
      </w:r>
    </w:p>
    <w:p w14:paraId="6287F647" w14:textId="02FE3007" w:rsidR="00882950" w:rsidRPr="007E377A" w:rsidRDefault="008112C6">
      <w:pPr>
        <w:numPr>
          <w:ilvl w:val="0"/>
          <w:numId w:val="1"/>
        </w:numPr>
        <w:tabs>
          <w:tab w:val="left" w:pos="1560"/>
          <w:tab w:val="left" w:pos="1588"/>
          <w:tab w:val="left" w:pos="1985"/>
        </w:tabs>
        <w:overflowPunct w:val="0"/>
        <w:jc w:val="both"/>
      </w:pPr>
      <w:proofErr w:type="spellStart"/>
      <w:r>
        <w:t>M.fkmtom</w:t>
      </w:r>
      <w:proofErr w:type="spellEnd"/>
      <w:r>
        <w:t>: Framework of knowledge management for telecom operation and management in</w:t>
      </w:r>
      <w:r w:rsidR="002B159C">
        <w:t xml:space="preserve"> </w:t>
      </w:r>
      <w:hyperlink r:id="rId22"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354</w:t>
        </w:r>
        <w:proofErr w:type="spellEnd"/>
        <w:r w:rsidR="002B159C" w:rsidRPr="002B159C">
          <w:rPr>
            <w:rStyle w:val="Hyperlink"/>
            <w:rFonts w:ascii="Times New Roman" w:hAnsi="Times New Roman"/>
            <w:lang w:val="en-US"/>
          </w:rPr>
          <w:t>/PLEN</w:t>
        </w:r>
      </w:hyperlink>
      <w:r w:rsidR="002B159C">
        <w:rPr>
          <w:lang w:val="en-US"/>
        </w:rPr>
        <w:t>.</w:t>
      </w:r>
    </w:p>
    <w:p w14:paraId="64464CA3" w14:textId="1096EE2F" w:rsidR="008112C6" w:rsidRPr="00C0640F" w:rsidRDefault="008112C6" w:rsidP="008112C6">
      <w:pPr>
        <w:numPr>
          <w:ilvl w:val="1"/>
          <w:numId w:val="1"/>
        </w:numPr>
        <w:tabs>
          <w:tab w:val="left" w:pos="1560"/>
          <w:tab w:val="left" w:pos="1588"/>
          <w:tab w:val="left" w:pos="1985"/>
        </w:tabs>
        <w:overflowPunct w:val="0"/>
        <w:jc w:val="both"/>
        <w:rPr>
          <w:u w:val="single"/>
        </w:rPr>
      </w:pPr>
      <w:r>
        <w:rPr>
          <w:b/>
          <w:bCs/>
          <w:sz w:val="23"/>
          <w:szCs w:val="23"/>
        </w:rPr>
        <w:t>knowledge management</w:t>
      </w:r>
      <w:r>
        <w:rPr>
          <w:sz w:val="23"/>
          <w:szCs w:val="23"/>
        </w:rPr>
        <w:t>: The realization and mechanization, in software or hardware, of one or more functions dedicated to performing a specific task related to knowledge</w:t>
      </w:r>
      <w:r w:rsidR="00293348">
        <w:rPr>
          <w:sz w:val="23"/>
          <w:szCs w:val="23"/>
        </w:rPr>
        <w:t>.</w:t>
      </w:r>
    </w:p>
    <w:p w14:paraId="49B8A84E" w14:textId="2F78B096" w:rsidR="00AA578A" w:rsidRDefault="00AA578A" w:rsidP="00AA578A">
      <w:pPr>
        <w:numPr>
          <w:ilvl w:val="0"/>
          <w:numId w:val="1"/>
        </w:numPr>
        <w:tabs>
          <w:tab w:val="left" w:pos="1560"/>
          <w:tab w:val="left" w:pos="1588"/>
          <w:tab w:val="left" w:pos="1985"/>
        </w:tabs>
        <w:overflowPunct w:val="0"/>
        <w:jc w:val="both"/>
        <w:rPr>
          <w:u w:val="single"/>
        </w:rPr>
      </w:pPr>
      <w:proofErr w:type="spellStart"/>
      <w:r>
        <w:t>M.fidtom</w:t>
      </w:r>
      <w:proofErr w:type="spellEnd"/>
      <w:r>
        <w:t xml:space="preserve">: Framework of intent driven telecom operation and management in </w:t>
      </w:r>
      <w:hyperlink r:id="rId23"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355</w:t>
        </w:r>
        <w:proofErr w:type="spellEnd"/>
        <w:r w:rsidR="002B159C" w:rsidRPr="002B159C">
          <w:rPr>
            <w:rStyle w:val="Hyperlink"/>
            <w:rFonts w:ascii="Times New Roman" w:hAnsi="Times New Roman"/>
            <w:lang w:val="en-US"/>
          </w:rPr>
          <w:t>/PLEN</w:t>
        </w:r>
      </w:hyperlink>
      <w:r w:rsidR="002B159C">
        <w:rPr>
          <w:lang w:val="en-US"/>
        </w:rPr>
        <w:t>.</w:t>
      </w:r>
    </w:p>
    <w:p w14:paraId="40AB44E0" w14:textId="44DF873C" w:rsidR="00AA578A" w:rsidRPr="002B159C" w:rsidRDefault="00AA578A" w:rsidP="006F5F36">
      <w:pPr>
        <w:pStyle w:val="ListParagraph"/>
        <w:numPr>
          <w:ilvl w:val="1"/>
          <w:numId w:val="1"/>
        </w:numPr>
        <w:jc w:val="both"/>
        <w:rPr>
          <w:rFonts w:eastAsia="SimSun"/>
          <w:bCs/>
          <w:color w:val="000000"/>
          <w:lang w:val="en-US" w:eastAsia="zh-CN"/>
        </w:rPr>
      </w:pPr>
      <w:r w:rsidRPr="002B159C">
        <w:rPr>
          <w:b/>
          <w:szCs w:val="20"/>
          <w:lang w:eastAsia="zh-CN"/>
        </w:rPr>
        <w:t>intent</w:t>
      </w:r>
      <w:r w:rsidRPr="002B159C">
        <w:rPr>
          <w:bCs/>
          <w:szCs w:val="20"/>
          <w:lang w:eastAsia="zh-CN"/>
        </w:rPr>
        <w:t xml:space="preserve">: A set of </w:t>
      </w:r>
      <w:proofErr w:type="gramStart"/>
      <w:r w:rsidRPr="002B159C">
        <w:rPr>
          <w:rFonts w:eastAsia="SimSun"/>
          <w:bCs/>
          <w:color w:val="000000"/>
          <w:lang w:val="en-US" w:eastAsia="zh-CN"/>
        </w:rPr>
        <w:t>requirement</w:t>
      </w:r>
      <w:proofErr w:type="gramEnd"/>
      <w:r w:rsidRPr="002B159C">
        <w:rPr>
          <w:rFonts w:eastAsia="SimSun"/>
          <w:bCs/>
          <w:color w:val="000000"/>
          <w:lang w:val="en-US" w:eastAsia="zh-CN"/>
        </w:rPr>
        <w:t xml:space="preserve"> from internal layers users and external customers of </w:t>
      </w:r>
      <w:proofErr w:type="spellStart"/>
      <w:r w:rsidRPr="002B159C">
        <w:rPr>
          <w:rFonts w:eastAsia="SimSun"/>
          <w:bCs/>
          <w:color w:val="000000"/>
          <w:lang w:val="en-US" w:eastAsia="zh-CN"/>
        </w:rPr>
        <w:t>AITOM</w:t>
      </w:r>
      <w:proofErr w:type="spellEnd"/>
      <w:r w:rsidRPr="002B159C">
        <w:rPr>
          <w:rFonts w:eastAsia="SimSun"/>
          <w:bCs/>
          <w:color w:val="000000"/>
          <w:lang w:val="en-US" w:eastAsia="zh-CN"/>
        </w:rPr>
        <w:t xml:space="preserve"> without specifying how to achieve or implement them input. </w:t>
      </w:r>
      <w:r w:rsidR="002B159C">
        <w:rPr>
          <w:rFonts w:eastAsia="SimSun"/>
          <w:bCs/>
          <w:color w:val="000000"/>
          <w:lang w:val="en-US" w:eastAsia="zh-CN"/>
        </w:rPr>
        <w:br/>
      </w:r>
      <w:r w:rsidRPr="002B159C">
        <w:rPr>
          <w:rFonts w:eastAsia="SimSun"/>
          <w:bCs/>
          <w:color w:val="000000"/>
          <w:lang w:val="en-US" w:eastAsia="zh-CN"/>
        </w:rPr>
        <w:t>[NOTE]: Reference IETF [RFC 9315]. Intent:  A set of operational goals (that a network should meet) and outcomes (that a network is supposed to deliver) defined in a   declarative manner without specifying how to achieve or implement them.</w:t>
      </w:r>
    </w:p>
    <w:p w14:paraId="4CCF9F29" w14:textId="19A8348E" w:rsidR="00AA578A" w:rsidRDefault="00AA578A" w:rsidP="00AC3443">
      <w:pPr>
        <w:pStyle w:val="ListParagraph"/>
        <w:numPr>
          <w:ilvl w:val="1"/>
          <w:numId w:val="1"/>
        </w:numPr>
        <w:jc w:val="both"/>
        <w:rPr>
          <w:lang w:eastAsia="zh-CN"/>
        </w:rPr>
      </w:pPr>
      <w:r w:rsidRPr="002B159C">
        <w:rPr>
          <w:rFonts w:eastAsia="SimSun"/>
          <w:b/>
          <w:color w:val="000000"/>
          <w:lang w:val="en-US" w:eastAsia="zh-CN"/>
        </w:rPr>
        <w:t>intent driven management</w:t>
      </w:r>
      <w:r w:rsidRPr="002B159C">
        <w:rPr>
          <w:rFonts w:eastAsia="SimSun"/>
          <w:bCs/>
          <w:color w:val="000000"/>
          <w:lang w:val="en-US" w:eastAsia="zh-CN"/>
        </w:rPr>
        <w:t xml:space="preserve">: A management function set that provides the capability for internal users and external customers.to achieve desired operational goals and outcomes. </w:t>
      </w:r>
      <w:r w:rsidR="002B159C" w:rsidRPr="002B159C">
        <w:rPr>
          <w:rFonts w:eastAsia="SimSun"/>
          <w:bCs/>
          <w:color w:val="000000"/>
          <w:lang w:val="en-US" w:eastAsia="zh-CN"/>
        </w:rPr>
        <w:br/>
      </w:r>
      <w:r w:rsidRPr="002B159C">
        <w:rPr>
          <w:rFonts w:eastAsia="SimSun"/>
          <w:bCs/>
          <w:color w:val="000000"/>
          <w:lang w:val="en-US" w:eastAsia="zh-CN"/>
        </w:rPr>
        <w:t>[NOTE]: The relationship</w:t>
      </w:r>
      <w:r w:rsidRPr="00E337F2">
        <w:rPr>
          <w:lang w:eastAsia="zh-CN"/>
        </w:rPr>
        <w:t xml:space="preserve"> between intent driven and intent based management</w:t>
      </w:r>
      <w:r>
        <w:rPr>
          <w:lang w:eastAsia="zh-CN"/>
        </w:rPr>
        <w:t xml:space="preserve"> will be ad</w:t>
      </w:r>
      <w:r w:rsidRPr="00E337F2">
        <w:rPr>
          <w:lang w:eastAsia="zh-CN"/>
        </w:rPr>
        <w:t>d</w:t>
      </w:r>
      <w:r>
        <w:rPr>
          <w:lang w:eastAsia="zh-CN"/>
        </w:rPr>
        <w:t>ed in this chapter in the next meeting.</w:t>
      </w:r>
    </w:p>
    <w:p w14:paraId="353FABCF" w14:textId="06BDE8B3" w:rsidR="007E4840" w:rsidRPr="008112C6" w:rsidRDefault="00293348">
      <w:pPr>
        <w:numPr>
          <w:ilvl w:val="0"/>
          <w:numId w:val="1"/>
        </w:numPr>
        <w:tabs>
          <w:tab w:val="left" w:pos="1560"/>
          <w:tab w:val="left" w:pos="1588"/>
          <w:tab w:val="left" w:pos="1985"/>
        </w:tabs>
        <w:overflowPunct w:val="0"/>
        <w:jc w:val="both"/>
        <w:rPr>
          <w:u w:val="single"/>
        </w:rPr>
      </w:pPr>
      <w:proofErr w:type="spellStart"/>
      <w:r>
        <w:t>M.fmcdns</w:t>
      </w:r>
      <w:proofErr w:type="spellEnd"/>
      <w:r>
        <w:t xml:space="preserve">: Framework for management of cross-domain network slices in </w:t>
      </w:r>
      <w:proofErr w:type="spellStart"/>
      <w:r>
        <w:t>IMT</w:t>
      </w:r>
      <w:proofErr w:type="spellEnd"/>
      <w:r>
        <w:t>-2020 network and beyond</w:t>
      </w:r>
      <w:r w:rsidRPr="00293348">
        <w:t xml:space="preserve"> </w:t>
      </w:r>
      <w:r>
        <w:rPr>
          <w:lang w:val="en-US"/>
        </w:rPr>
        <w:t xml:space="preserve">in </w:t>
      </w:r>
      <w:hyperlink r:id="rId24"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356R3</w:t>
        </w:r>
        <w:proofErr w:type="spellEnd"/>
        <w:r w:rsidR="002B159C" w:rsidRPr="002B159C">
          <w:rPr>
            <w:rStyle w:val="Hyperlink"/>
            <w:rFonts w:ascii="Times New Roman" w:hAnsi="Times New Roman"/>
            <w:lang w:val="en-US"/>
          </w:rPr>
          <w:t>/PLEN</w:t>
        </w:r>
      </w:hyperlink>
      <w:r w:rsidR="002B159C">
        <w:rPr>
          <w:lang w:val="en-US"/>
        </w:rPr>
        <w:t>.</w:t>
      </w:r>
    </w:p>
    <w:p w14:paraId="149E2FC6" w14:textId="7D0889A0" w:rsidR="00293348" w:rsidRPr="00293348" w:rsidRDefault="00293348" w:rsidP="00293348">
      <w:pPr>
        <w:pStyle w:val="ListParagraph"/>
        <w:numPr>
          <w:ilvl w:val="1"/>
          <w:numId w:val="1"/>
        </w:numPr>
        <w:rPr>
          <w:lang w:val="en-US" w:eastAsia="zh-CN"/>
        </w:rPr>
      </w:pPr>
      <w:r w:rsidRPr="00293348">
        <w:rPr>
          <w:b/>
          <w:bCs/>
          <w:lang w:val="en-US" w:eastAsia="zh-CN"/>
        </w:rPr>
        <w:t>cross-domain network slice</w:t>
      </w:r>
      <w:r w:rsidRPr="00293348">
        <w:rPr>
          <w:rFonts w:hint="eastAsia"/>
          <w:lang w:val="en-US" w:eastAsia="zh-CN"/>
        </w:rPr>
        <w:t xml:space="preserve">: </w:t>
      </w:r>
      <w:r w:rsidRPr="00293348">
        <w:rPr>
          <w:lang w:val="en-US" w:eastAsia="zh-CN"/>
        </w:rPr>
        <w:t>a</w:t>
      </w:r>
      <w:r w:rsidRPr="00293348">
        <w:rPr>
          <w:rFonts w:hint="eastAsia"/>
          <w:lang w:val="en-US" w:eastAsia="zh-CN"/>
        </w:rPr>
        <w:t xml:space="preserve">n end-to-end network slice composed of multiple </w:t>
      </w:r>
      <w:r w:rsidRPr="00293348">
        <w:rPr>
          <w:lang w:val="en-US" w:eastAsia="zh-CN"/>
        </w:rPr>
        <w:t>network slice</w:t>
      </w:r>
      <w:r w:rsidRPr="00293348">
        <w:rPr>
          <w:rFonts w:hint="eastAsia"/>
          <w:lang w:val="en-US" w:eastAsia="zh-CN"/>
        </w:rPr>
        <w:t xml:space="preserve"> subnets that belong to different administrative domains.</w:t>
      </w:r>
    </w:p>
    <w:p w14:paraId="139B819E" w14:textId="26AD05C6" w:rsidR="00293348" w:rsidRPr="00293348" w:rsidRDefault="00293348" w:rsidP="00293348">
      <w:pPr>
        <w:pStyle w:val="ListParagraph"/>
        <w:numPr>
          <w:ilvl w:val="1"/>
          <w:numId w:val="1"/>
        </w:numPr>
        <w:rPr>
          <w:lang w:val="en-US" w:eastAsia="zh-CN"/>
        </w:rPr>
      </w:pPr>
      <w:r w:rsidRPr="00293348">
        <w:rPr>
          <w:b/>
          <w:bCs/>
          <w:lang w:val="en-US" w:eastAsia="zh-CN"/>
        </w:rPr>
        <w:t>cross-domain network slices management</w:t>
      </w:r>
      <w:r w:rsidRPr="00293348">
        <w:rPr>
          <w:lang w:val="en-US" w:eastAsia="zh-CN"/>
        </w:rPr>
        <w:t>: managing the lifecycle of cross-domain network slices by a set of network slicing management components in collaborative manner.</w:t>
      </w:r>
    </w:p>
    <w:p w14:paraId="4FC85733" w14:textId="60FC3F11" w:rsidR="00293348" w:rsidRPr="00293348" w:rsidRDefault="00293348" w:rsidP="00293348">
      <w:pPr>
        <w:pStyle w:val="ListParagraph"/>
        <w:numPr>
          <w:ilvl w:val="1"/>
          <w:numId w:val="1"/>
        </w:numPr>
        <w:rPr>
          <w:lang w:val="en-US" w:eastAsia="zh-CN"/>
        </w:rPr>
      </w:pPr>
      <w:r w:rsidRPr="00293348">
        <w:rPr>
          <w:b/>
          <w:bCs/>
          <w:lang w:val="en-US" w:eastAsia="zh-CN"/>
        </w:rPr>
        <w:t>cross-domain network slice</w:t>
      </w:r>
      <w:r w:rsidRPr="00293348">
        <w:rPr>
          <w:rFonts w:hint="eastAsia"/>
          <w:b/>
          <w:bCs/>
          <w:lang w:val="en-US" w:eastAsia="zh-CN"/>
        </w:rPr>
        <w:t>s</w:t>
      </w:r>
      <w:r w:rsidRPr="00293348">
        <w:rPr>
          <w:b/>
          <w:bCs/>
          <w:lang w:val="en-US" w:eastAsia="zh-CN"/>
        </w:rPr>
        <w:t xml:space="preserve"> interworking</w:t>
      </w:r>
      <w:r w:rsidRPr="00293348">
        <w:rPr>
          <w:rFonts w:hint="eastAsia"/>
          <w:lang w:val="en-US" w:eastAsia="zh-CN"/>
        </w:rPr>
        <w:t xml:space="preserve">: </w:t>
      </w:r>
      <w:r w:rsidRPr="00293348">
        <w:rPr>
          <w:lang w:val="en-US" w:eastAsia="zh-CN"/>
        </w:rPr>
        <w:t>t</w:t>
      </w:r>
      <w:r w:rsidRPr="00293348">
        <w:rPr>
          <w:rFonts w:hint="eastAsia"/>
          <w:lang w:val="en-US" w:eastAsia="zh-CN"/>
        </w:rPr>
        <w:t>he capability of fulfilling s</w:t>
      </w:r>
      <w:r w:rsidRPr="00293348">
        <w:rPr>
          <w:lang w:val="en-US" w:eastAsia="zh-CN"/>
        </w:rPr>
        <w:t xml:space="preserve">eamless </w:t>
      </w:r>
      <w:r w:rsidRPr="00293348">
        <w:rPr>
          <w:rFonts w:hint="eastAsia"/>
          <w:lang w:val="en-US" w:eastAsia="zh-CN"/>
        </w:rPr>
        <w:t>c</w:t>
      </w:r>
      <w:r w:rsidRPr="00293348">
        <w:rPr>
          <w:lang w:val="en-US" w:eastAsia="zh-CN"/>
        </w:rPr>
        <w:t>onnection</w:t>
      </w:r>
      <w:r w:rsidRPr="00293348">
        <w:rPr>
          <w:rFonts w:hint="eastAsia"/>
          <w:lang w:val="en-US" w:eastAsia="zh-CN"/>
        </w:rPr>
        <w:t xml:space="preserve"> of c</w:t>
      </w:r>
      <w:r w:rsidRPr="00293348">
        <w:rPr>
          <w:lang w:val="en-US" w:eastAsia="zh-CN"/>
        </w:rPr>
        <w:t>ross-domain</w:t>
      </w:r>
      <w:r w:rsidRPr="00293348">
        <w:rPr>
          <w:rFonts w:hint="eastAsia"/>
          <w:lang w:val="en-US" w:eastAsia="zh-CN"/>
        </w:rPr>
        <w:t xml:space="preserve"> </w:t>
      </w:r>
      <w:r w:rsidRPr="00293348">
        <w:rPr>
          <w:lang w:val="en-US" w:eastAsia="zh-CN"/>
        </w:rPr>
        <w:t>network slice</w:t>
      </w:r>
      <w:r w:rsidRPr="00293348">
        <w:rPr>
          <w:rFonts w:hint="eastAsia"/>
          <w:lang w:val="en-US" w:eastAsia="zh-CN"/>
        </w:rPr>
        <w:t xml:space="preserve"> subnet instances that belong to the same </w:t>
      </w:r>
      <w:r w:rsidRPr="00293348">
        <w:rPr>
          <w:lang w:val="en-US" w:eastAsia="zh-CN"/>
        </w:rPr>
        <w:t>network slice</w:t>
      </w:r>
      <w:r w:rsidRPr="00293348">
        <w:rPr>
          <w:rFonts w:hint="eastAsia"/>
          <w:lang w:val="en-US" w:eastAsia="zh-CN"/>
        </w:rPr>
        <w:t xml:space="preserve"> instance.</w:t>
      </w:r>
    </w:p>
    <w:p w14:paraId="53C62055" w14:textId="3F5B1790" w:rsidR="00293348" w:rsidRDefault="00293348" w:rsidP="00293348">
      <w:pPr>
        <w:pStyle w:val="ListParagraph"/>
        <w:numPr>
          <w:ilvl w:val="1"/>
          <w:numId w:val="1"/>
        </w:numPr>
        <w:rPr>
          <w:lang w:val="en-US" w:eastAsia="zh-CN"/>
        </w:rPr>
      </w:pPr>
      <w:r w:rsidRPr="00293348">
        <w:rPr>
          <w:b/>
          <w:bCs/>
          <w:lang w:val="en-US" w:eastAsia="zh-CN"/>
        </w:rPr>
        <w:t>interworking</w:t>
      </w:r>
      <w:r w:rsidRPr="00293348">
        <w:rPr>
          <w:rFonts w:hint="eastAsia"/>
          <w:b/>
          <w:bCs/>
          <w:lang w:val="en-US" w:eastAsia="zh-CN"/>
        </w:rPr>
        <w:t xml:space="preserve"> identifier</w:t>
      </w:r>
      <w:r w:rsidRPr="00293348">
        <w:rPr>
          <w:rFonts w:hint="eastAsia"/>
          <w:lang w:val="en-US" w:eastAsia="zh-CN"/>
        </w:rPr>
        <w:t xml:space="preserve">: </w:t>
      </w:r>
      <w:r w:rsidRPr="00293348">
        <w:rPr>
          <w:lang w:val="en-US" w:eastAsia="zh-CN"/>
        </w:rPr>
        <w:t>a</w:t>
      </w:r>
      <w:r w:rsidRPr="00293348">
        <w:rPr>
          <w:rFonts w:hint="eastAsia"/>
          <w:lang w:val="en-US" w:eastAsia="zh-CN"/>
        </w:rPr>
        <w:t xml:space="preserve"> kind of </w:t>
      </w:r>
      <w:r w:rsidRPr="00293348">
        <w:rPr>
          <w:lang w:val="en-US" w:eastAsia="zh-CN"/>
        </w:rPr>
        <w:t>network slice</w:t>
      </w:r>
      <w:r w:rsidRPr="00293348">
        <w:rPr>
          <w:rFonts w:hint="eastAsia"/>
          <w:lang w:val="en-US" w:eastAsia="zh-CN"/>
        </w:rPr>
        <w:t xml:space="preserve"> subnet instance m</w:t>
      </w:r>
      <w:r w:rsidRPr="00293348">
        <w:rPr>
          <w:lang w:val="en-US" w:eastAsia="zh-CN"/>
        </w:rPr>
        <w:t>apping identification</w:t>
      </w:r>
      <w:r w:rsidRPr="00293348">
        <w:rPr>
          <w:rFonts w:hint="eastAsia"/>
          <w:lang w:val="en-US" w:eastAsia="zh-CN"/>
        </w:rPr>
        <w:t xml:space="preserve"> used </w:t>
      </w:r>
      <w:r w:rsidRPr="00293348">
        <w:rPr>
          <w:lang w:val="en-US" w:eastAsia="zh-CN"/>
        </w:rPr>
        <w:t>by packet encapsulation</w:t>
      </w:r>
      <w:r w:rsidRPr="00293348">
        <w:rPr>
          <w:rFonts w:hint="eastAsia"/>
          <w:lang w:val="en-US" w:eastAsia="zh-CN"/>
        </w:rPr>
        <w:t xml:space="preserve"> to realize c</w:t>
      </w:r>
      <w:r w:rsidRPr="00293348">
        <w:rPr>
          <w:lang w:val="en-US" w:eastAsia="zh-CN"/>
        </w:rPr>
        <w:t>ross-domain network slice</w:t>
      </w:r>
      <w:r w:rsidRPr="00293348">
        <w:rPr>
          <w:rFonts w:hint="eastAsia"/>
          <w:lang w:val="en-US" w:eastAsia="zh-CN"/>
        </w:rPr>
        <w:t>s</w:t>
      </w:r>
      <w:r w:rsidRPr="00293348">
        <w:rPr>
          <w:lang w:val="en-US" w:eastAsia="zh-CN"/>
        </w:rPr>
        <w:t xml:space="preserve"> interworking</w:t>
      </w:r>
      <w:r w:rsidRPr="00293348">
        <w:rPr>
          <w:rFonts w:hint="eastAsia"/>
          <w:lang w:val="en-US" w:eastAsia="zh-CN"/>
        </w:rPr>
        <w:t>.</w:t>
      </w:r>
    </w:p>
    <w:p w14:paraId="24A3C5B5" w14:textId="48040A1B" w:rsidR="00293348" w:rsidRDefault="00CC1EF7" w:rsidP="00623465">
      <w:pPr>
        <w:pStyle w:val="ListParagraph"/>
        <w:numPr>
          <w:ilvl w:val="0"/>
          <w:numId w:val="1"/>
        </w:numPr>
        <w:rPr>
          <w:lang w:val="en-US" w:eastAsia="zh-CN"/>
        </w:rPr>
      </w:pPr>
      <w:bookmarkStart w:id="158" w:name="OLE_LINK4"/>
      <w:bookmarkStart w:id="159" w:name="OLE_LINK5"/>
      <w:proofErr w:type="spellStart"/>
      <w:r w:rsidRPr="00AC6A4B">
        <w:t>M.3386</w:t>
      </w:r>
      <w:proofErr w:type="spellEnd"/>
      <w:r w:rsidRPr="00AC6A4B">
        <w:t xml:space="preserve"> (</w:t>
      </w:r>
      <w:proofErr w:type="spellStart"/>
      <w:r w:rsidRPr="00AC6A4B">
        <w:t>M.rmnoc</w:t>
      </w:r>
      <w:proofErr w:type="spellEnd"/>
      <w:r w:rsidRPr="00AC6A4B">
        <w:t>-AI)</w:t>
      </w:r>
      <w:bookmarkEnd w:id="158"/>
      <w:bookmarkEnd w:id="159"/>
      <w:r w:rsidRPr="00AC6A4B">
        <w:t xml:space="preserve">: Requirements for the management of network operation cost within </w:t>
      </w:r>
      <w:r w:rsidRPr="00382B91">
        <w:t>AI enhanced Telecom Operation and Management</w:t>
      </w:r>
      <w:r>
        <w:t>(</w:t>
      </w:r>
      <w:proofErr w:type="spellStart"/>
      <w:r>
        <w:t>AITOM</w:t>
      </w:r>
      <w:proofErr w:type="spellEnd"/>
      <w:r>
        <w:t>)</w:t>
      </w:r>
      <w:r w:rsidRPr="00382B91">
        <w:t xml:space="preserve"> </w:t>
      </w:r>
      <w:r w:rsidRPr="00AC6A4B">
        <w:t xml:space="preserve">in </w:t>
      </w:r>
      <w:r>
        <w:t>telecommunication</w:t>
      </w:r>
      <w:r w:rsidRPr="00AC6A4B">
        <w:t xml:space="preserve"> operational aspects</w:t>
      </w:r>
      <w:r>
        <w:t xml:space="preserve"> i</w:t>
      </w:r>
      <w:r w:rsidR="002B159C">
        <w:t xml:space="preserve">n </w:t>
      </w:r>
      <w:hyperlink r:id="rId25"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357R2</w:t>
        </w:r>
        <w:proofErr w:type="spellEnd"/>
        <w:r w:rsidR="002B159C" w:rsidRPr="002B159C">
          <w:rPr>
            <w:rStyle w:val="Hyperlink"/>
            <w:rFonts w:ascii="Times New Roman" w:hAnsi="Times New Roman"/>
            <w:lang w:val="en-US"/>
          </w:rPr>
          <w:t>/PLEN</w:t>
        </w:r>
      </w:hyperlink>
      <w:r w:rsidR="002B159C">
        <w:rPr>
          <w:lang w:val="en-US"/>
        </w:rPr>
        <w:t>.</w:t>
      </w:r>
    </w:p>
    <w:p w14:paraId="7BABDF96" w14:textId="16EC400B" w:rsidR="00CC1EF7" w:rsidRDefault="00CC1EF7" w:rsidP="00CC1EF7">
      <w:pPr>
        <w:pStyle w:val="ListParagraph"/>
        <w:numPr>
          <w:ilvl w:val="1"/>
          <w:numId w:val="1"/>
        </w:numPr>
        <w:jc w:val="both"/>
        <w:rPr>
          <w:lang w:eastAsia="zh-CN"/>
        </w:rPr>
      </w:pPr>
      <w:r w:rsidRPr="00CC1EF7">
        <w:rPr>
          <w:b/>
          <w:lang w:eastAsia="zh-CN"/>
        </w:rPr>
        <w:t>consumable material:</w:t>
      </w:r>
      <w:r>
        <w:rPr>
          <w:b/>
          <w:lang w:eastAsia="zh-CN"/>
        </w:rPr>
        <w:t xml:space="preserve"> </w:t>
      </w:r>
      <w:r>
        <w:rPr>
          <w:lang w:eastAsia="zh-CN"/>
        </w:rPr>
        <w:t>All supplies used in the performance of maintenance work which is disposable after use and must be replaced regularly to continue with the performance of maintenance work.</w:t>
      </w:r>
    </w:p>
    <w:p w14:paraId="0BAD7DA0" w14:textId="77777777" w:rsidR="00CC1EF7" w:rsidRPr="00CC1EF7" w:rsidRDefault="00CC1EF7" w:rsidP="00CC1EF7">
      <w:pPr>
        <w:pStyle w:val="ListParagraph"/>
        <w:ind w:left="360" w:firstLine="0"/>
        <w:jc w:val="both"/>
        <w:rPr>
          <w:b/>
          <w:lang w:eastAsia="zh-CN"/>
        </w:rPr>
      </w:pPr>
      <w:r>
        <w:t>NOTE -</w:t>
      </w:r>
      <w:r w:rsidRPr="00535CDC">
        <w:t xml:space="preserve"> Some typical consumable materials are patch cords, pigtail, connector, registered jack, etc.</w:t>
      </w:r>
    </w:p>
    <w:p w14:paraId="19B9079E" w14:textId="49AE657E" w:rsidR="00CC1EF7" w:rsidRDefault="00CC1EF7" w:rsidP="00CC1EF7">
      <w:pPr>
        <w:pStyle w:val="ListParagraph"/>
        <w:numPr>
          <w:ilvl w:val="1"/>
          <w:numId w:val="1"/>
        </w:numPr>
        <w:jc w:val="both"/>
        <w:rPr>
          <w:lang w:eastAsia="zh-CN"/>
        </w:rPr>
      </w:pPr>
      <w:r w:rsidRPr="00CC1EF7">
        <w:rPr>
          <w:rFonts w:hint="eastAsia"/>
          <w:b/>
          <w:lang w:eastAsia="zh-CN"/>
        </w:rPr>
        <w:lastRenderedPageBreak/>
        <w:t>maintenance</w:t>
      </w:r>
      <w:r w:rsidRPr="00CC1EF7">
        <w:rPr>
          <w:b/>
          <w:lang w:eastAsia="zh-CN"/>
        </w:rPr>
        <w:t xml:space="preserve"> </w:t>
      </w:r>
      <w:r w:rsidRPr="00CC1EF7">
        <w:rPr>
          <w:rFonts w:hint="eastAsia"/>
          <w:b/>
          <w:lang w:eastAsia="zh-CN"/>
        </w:rPr>
        <w:t>support</w:t>
      </w:r>
      <w:r w:rsidRPr="00CC1EF7">
        <w:rPr>
          <w:b/>
          <w:lang w:eastAsia="zh-CN"/>
        </w:rPr>
        <w:t xml:space="preserve"> services:</w:t>
      </w:r>
      <w:r w:rsidRPr="003850BA">
        <w:rPr>
          <w:lang w:eastAsia="zh-CN"/>
        </w:rPr>
        <w:t xml:space="preserve"> </w:t>
      </w:r>
      <w:r w:rsidRPr="001A45E5">
        <w:t xml:space="preserve"> </w:t>
      </w:r>
      <w:r>
        <w:rPr>
          <w:lang w:eastAsia="zh-CN"/>
        </w:rPr>
        <w:t xml:space="preserve">Services provided by the original equipment manufacturer or provider </w:t>
      </w:r>
      <w:proofErr w:type="gramStart"/>
      <w:r>
        <w:rPr>
          <w:lang w:eastAsia="zh-CN"/>
        </w:rPr>
        <w:t>in order to</w:t>
      </w:r>
      <w:proofErr w:type="gramEnd"/>
      <w:r>
        <w:rPr>
          <w:lang w:eastAsia="zh-CN"/>
        </w:rPr>
        <w:t xml:space="preserve"> support the operator's maintenance work according to the maintenance contract.</w:t>
      </w:r>
    </w:p>
    <w:p w14:paraId="6A65FD7B" w14:textId="77777777" w:rsidR="00CC1EF7" w:rsidRDefault="00CC1EF7" w:rsidP="00CC1EF7">
      <w:pPr>
        <w:pStyle w:val="ListParagraph"/>
        <w:ind w:left="360" w:firstLine="0"/>
        <w:jc w:val="both"/>
        <w:rPr>
          <w:lang w:eastAsia="zh-CN"/>
        </w:rPr>
      </w:pPr>
      <w:r>
        <w:rPr>
          <w:lang w:eastAsia="zh-CN"/>
        </w:rPr>
        <w:t xml:space="preserve">NOTE - </w:t>
      </w:r>
      <w:bookmarkStart w:id="160" w:name="OLE_LINK14"/>
      <w:bookmarkStart w:id="161" w:name="OLE_LINK15"/>
      <w:r>
        <w:rPr>
          <w:lang w:eastAsia="zh-CN"/>
        </w:rPr>
        <w:t>Maintenance support service</w:t>
      </w:r>
      <w:bookmarkEnd w:id="160"/>
      <w:bookmarkEnd w:id="161"/>
      <w:r>
        <w:rPr>
          <w:lang w:eastAsia="zh-CN"/>
        </w:rPr>
        <w:t>s include technical support in case of operational failures, regular inspection and repairing of the device, etc.</w:t>
      </w:r>
    </w:p>
    <w:p w14:paraId="65BA43A7" w14:textId="61707C81" w:rsidR="00CC1EF7" w:rsidRPr="00CC1EF7" w:rsidRDefault="00CC1EF7" w:rsidP="00CC1EF7">
      <w:pPr>
        <w:pStyle w:val="ListParagraph"/>
        <w:numPr>
          <w:ilvl w:val="1"/>
          <w:numId w:val="1"/>
        </w:numPr>
        <w:jc w:val="both"/>
        <w:rPr>
          <w:bCs/>
          <w:lang w:eastAsia="zh-CN"/>
        </w:rPr>
      </w:pPr>
      <w:r w:rsidRPr="00CC1EF7">
        <w:rPr>
          <w:rFonts w:hint="eastAsia"/>
          <w:b/>
          <w:lang w:eastAsia="zh-CN"/>
        </w:rPr>
        <w:t>network operation cost</w:t>
      </w:r>
      <w:r w:rsidRPr="00CC1EF7">
        <w:rPr>
          <w:bCs/>
          <w:lang w:eastAsia="zh-CN"/>
        </w:rPr>
        <w:t>:</w:t>
      </w:r>
      <w:r>
        <w:t xml:space="preserve"> </w:t>
      </w:r>
      <w:r w:rsidRPr="00CC1EF7">
        <w:rPr>
          <w:bCs/>
          <w:lang w:eastAsia="zh-CN"/>
        </w:rPr>
        <w:t xml:space="preserve">Human and other resources spent during operation and maintenance of a </w:t>
      </w:r>
      <w:proofErr w:type="gramStart"/>
      <w:r w:rsidRPr="00CC1EF7">
        <w:rPr>
          <w:bCs/>
          <w:lang w:eastAsia="zh-CN"/>
        </w:rPr>
        <w:t>network</w:t>
      </w:r>
      <w:r w:rsidRPr="00CC1EF7" w:rsidDel="002D460F">
        <w:rPr>
          <w:rFonts w:hint="eastAsia"/>
          <w:bCs/>
          <w:lang w:eastAsia="zh-CN"/>
        </w:rPr>
        <w:t xml:space="preserve"> </w:t>
      </w:r>
      <w:r w:rsidRPr="00CC1EF7">
        <w:rPr>
          <w:bCs/>
          <w:lang w:eastAsia="zh-CN"/>
        </w:rPr>
        <w:t>.</w:t>
      </w:r>
      <w:proofErr w:type="gramEnd"/>
      <w:r w:rsidRPr="00CC1EF7">
        <w:rPr>
          <w:bCs/>
          <w:lang w:eastAsia="zh-CN"/>
        </w:rPr>
        <w:t xml:space="preserve"> </w:t>
      </w:r>
    </w:p>
    <w:p w14:paraId="35C2540E" w14:textId="3C53AEF9" w:rsidR="00CC1EF7" w:rsidRPr="00166F2A" w:rsidRDefault="00CC1EF7" w:rsidP="00CC1EF7">
      <w:pPr>
        <w:pStyle w:val="ListParagraph"/>
        <w:numPr>
          <w:ilvl w:val="1"/>
          <w:numId w:val="1"/>
        </w:numPr>
        <w:jc w:val="both"/>
        <w:rPr>
          <w:lang w:eastAsia="zh-CN"/>
        </w:rPr>
      </w:pPr>
      <w:r w:rsidRPr="00CC1EF7">
        <w:rPr>
          <w:b/>
          <w:lang w:eastAsia="zh-CN"/>
        </w:rPr>
        <w:t>spare parts</w:t>
      </w:r>
      <w:r w:rsidRPr="00CC1EF7">
        <w:rPr>
          <w:bCs/>
          <w:lang w:eastAsia="zh-CN"/>
        </w:rPr>
        <w:t>:</w:t>
      </w:r>
      <w:r w:rsidRPr="00CC1EF7">
        <w:rPr>
          <w:b/>
          <w:lang w:eastAsia="zh-CN"/>
        </w:rPr>
        <w:t xml:space="preserve"> </w:t>
      </w:r>
      <w:r w:rsidRPr="00F37F69">
        <w:rPr>
          <w:lang w:eastAsia="zh-CN"/>
        </w:rPr>
        <w:t>Extra components or devices prepared in advance for replacing the ones in use according to maintenance work needs</w:t>
      </w:r>
      <w:r w:rsidRPr="00FC5899">
        <w:rPr>
          <w:lang w:eastAsia="zh-CN"/>
        </w:rPr>
        <w:t>.</w:t>
      </w:r>
    </w:p>
    <w:p w14:paraId="62C4561B" w14:textId="7C5FE358" w:rsidR="006152AE" w:rsidRPr="006152AE" w:rsidRDefault="006152AE" w:rsidP="006152AE">
      <w:pPr>
        <w:pStyle w:val="ListParagraph"/>
        <w:numPr>
          <w:ilvl w:val="0"/>
          <w:numId w:val="1"/>
        </w:numPr>
        <w:rPr>
          <w:lang w:val="en-US" w:eastAsia="zh-CN"/>
        </w:rPr>
      </w:pPr>
      <w:proofErr w:type="spellStart"/>
      <w:r>
        <w:t>M.3387</w:t>
      </w:r>
      <w:proofErr w:type="spellEnd"/>
      <w:r>
        <w:rPr>
          <w:rFonts w:hint="eastAsia"/>
          <w:lang w:val="en-US" w:eastAsia="zh-CN"/>
        </w:rPr>
        <w:t xml:space="preserve"> </w:t>
      </w:r>
      <w:r>
        <w:t>(</w:t>
      </w:r>
      <w:proofErr w:type="spellStart"/>
      <w:proofErr w:type="gramStart"/>
      <w:r>
        <w:t>M.rfmls</w:t>
      </w:r>
      <w:proofErr w:type="spellEnd"/>
      <w:proofErr w:type="gramEnd"/>
      <w:r>
        <w:t xml:space="preserve">): Management Requirements for Federated Machine Learning Systems in </w:t>
      </w:r>
      <w:hyperlink r:id="rId26"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358R2</w:t>
        </w:r>
        <w:proofErr w:type="spellEnd"/>
        <w:r w:rsidR="002B159C" w:rsidRPr="002B159C">
          <w:rPr>
            <w:rStyle w:val="Hyperlink"/>
            <w:rFonts w:ascii="Times New Roman" w:hAnsi="Times New Roman"/>
            <w:lang w:val="en-US"/>
          </w:rPr>
          <w:t>/PLEN</w:t>
        </w:r>
      </w:hyperlink>
      <w:r w:rsidR="002B159C">
        <w:rPr>
          <w:lang w:val="en-US"/>
        </w:rPr>
        <w:t>.</w:t>
      </w:r>
    </w:p>
    <w:p w14:paraId="12485776" w14:textId="7BEA3370" w:rsidR="006152AE" w:rsidRPr="006152AE" w:rsidRDefault="006152AE" w:rsidP="006152AE">
      <w:pPr>
        <w:pStyle w:val="ListParagraph"/>
        <w:numPr>
          <w:ilvl w:val="1"/>
          <w:numId w:val="1"/>
        </w:numPr>
        <w:rPr>
          <w:lang w:val="en-US" w:eastAsia="zh-CN"/>
        </w:rPr>
      </w:pPr>
      <w:r w:rsidRPr="006152AE">
        <w:rPr>
          <w:b/>
          <w:bCs/>
          <w:lang w:val="en-US" w:eastAsia="zh-CN"/>
        </w:rPr>
        <w:t>f</w:t>
      </w:r>
      <w:proofErr w:type="spellStart"/>
      <w:r w:rsidRPr="006152AE">
        <w:rPr>
          <w:b/>
          <w:bCs/>
        </w:rPr>
        <w:t>ederated</w:t>
      </w:r>
      <w:proofErr w:type="spellEnd"/>
      <w:r w:rsidRPr="006152AE">
        <w:rPr>
          <w:b/>
          <w:bCs/>
        </w:rPr>
        <w:t xml:space="preserve"> </w:t>
      </w:r>
      <w:r w:rsidRPr="006152AE">
        <w:rPr>
          <w:rFonts w:hint="eastAsia"/>
          <w:b/>
          <w:bCs/>
          <w:lang w:val="en-US" w:eastAsia="zh-CN"/>
        </w:rPr>
        <w:t>m</w:t>
      </w:r>
      <w:proofErr w:type="spellStart"/>
      <w:r w:rsidRPr="006152AE">
        <w:rPr>
          <w:b/>
          <w:bCs/>
        </w:rPr>
        <w:t>achine</w:t>
      </w:r>
      <w:proofErr w:type="spellEnd"/>
      <w:r w:rsidRPr="006152AE">
        <w:rPr>
          <w:b/>
          <w:bCs/>
        </w:rPr>
        <w:t xml:space="preserve"> </w:t>
      </w:r>
      <w:r w:rsidRPr="006152AE">
        <w:rPr>
          <w:b/>
          <w:bCs/>
          <w:lang w:val="en-US" w:eastAsia="zh-CN"/>
        </w:rPr>
        <w:t>l</w:t>
      </w:r>
      <w:r w:rsidRPr="006152AE">
        <w:rPr>
          <w:b/>
          <w:bCs/>
        </w:rPr>
        <w:t xml:space="preserve">earning </w:t>
      </w:r>
      <w:r w:rsidRPr="006152AE">
        <w:rPr>
          <w:b/>
          <w:bCs/>
          <w:lang w:val="en-US" w:eastAsia="zh-CN"/>
        </w:rPr>
        <w:t>m</w:t>
      </w:r>
      <w:r w:rsidRPr="006152AE">
        <w:rPr>
          <w:rFonts w:hint="eastAsia"/>
          <w:b/>
          <w:bCs/>
          <w:lang w:val="en-US" w:eastAsia="zh-CN"/>
        </w:rPr>
        <w:t xml:space="preserve">anagement </w:t>
      </w:r>
      <w:r w:rsidRPr="006152AE">
        <w:rPr>
          <w:b/>
          <w:bCs/>
          <w:lang w:val="en-US" w:eastAsia="zh-CN"/>
        </w:rPr>
        <w:t>s</w:t>
      </w:r>
      <w:r w:rsidRPr="006152AE">
        <w:rPr>
          <w:rFonts w:hint="eastAsia"/>
          <w:b/>
          <w:bCs/>
          <w:lang w:val="en-US" w:eastAsia="zh-CN"/>
        </w:rPr>
        <w:t>ystem</w:t>
      </w:r>
      <w:r w:rsidRPr="006152AE">
        <w:rPr>
          <w:b/>
          <w:bCs/>
          <w:lang w:val="en-US" w:eastAsia="zh-CN"/>
        </w:rPr>
        <w:t xml:space="preserve"> (</w:t>
      </w:r>
      <w:proofErr w:type="spellStart"/>
      <w:r w:rsidRPr="006152AE">
        <w:rPr>
          <w:b/>
          <w:bCs/>
          <w:lang w:val="en-US" w:eastAsia="zh-CN"/>
        </w:rPr>
        <w:t>FMLMS</w:t>
      </w:r>
      <w:proofErr w:type="spellEnd"/>
      <w:r w:rsidRPr="006152AE">
        <w:rPr>
          <w:b/>
          <w:bCs/>
          <w:lang w:val="en-US" w:eastAsia="zh-CN"/>
        </w:rPr>
        <w:t>)</w:t>
      </w:r>
      <w:r w:rsidRPr="006152AE">
        <w:rPr>
          <w:rFonts w:hint="eastAsia"/>
          <w:b/>
          <w:bCs/>
          <w:lang w:val="en-US" w:eastAsia="zh-CN"/>
        </w:rPr>
        <w:t xml:space="preserve">: </w:t>
      </w:r>
      <w:r w:rsidRPr="006152AE">
        <w:rPr>
          <w:lang w:val="en-US" w:eastAsia="zh-CN"/>
        </w:rPr>
        <w:t>A m</w:t>
      </w:r>
      <w:r w:rsidRPr="006152AE">
        <w:rPr>
          <w:rFonts w:hint="eastAsia"/>
          <w:iCs/>
          <w:lang w:val="en-US" w:eastAsia="zh-CN"/>
        </w:rPr>
        <w:t>anagement system that can manage the node resources and model training services of f</w:t>
      </w:r>
      <w:proofErr w:type="spellStart"/>
      <w:r w:rsidRPr="006152AE">
        <w:rPr>
          <w:iCs/>
          <w:lang w:eastAsia="zh-CN"/>
        </w:rPr>
        <w:t>ederated</w:t>
      </w:r>
      <w:proofErr w:type="spellEnd"/>
      <w:r w:rsidRPr="006152AE">
        <w:rPr>
          <w:iCs/>
          <w:lang w:eastAsia="zh-CN"/>
        </w:rPr>
        <w:t xml:space="preserve"> machine learning</w:t>
      </w:r>
      <w:r w:rsidRPr="006152AE">
        <w:rPr>
          <w:rFonts w:hint="eastAsia"/>
          <w:iCs/>
          <w:lang w:val="en-US" w:eastAsia="zh-CN"/>
        </w:rPr>
        <w:t xml:space="preserve"> systems. </w:t>
      </w:r>
    </w:p>
    <w:p w14:paraId="7C501012" w14:textId="111485AB" w:rsidR="006152AE" w:rsidRPr="006152AE" w:rsidRDefault="006152AE" w:rsidP="006152AE">
      <w:pPr>
        <w:pStyle w:val="ListParagraph"/>
        <w:numPr>
          <w:ilvl w:val="1"/>
          <w:numId w:val="1"/>
        </w:numPr>
        <w:jc w:val="both"/>
        <w:rPr>
          <w:rFonts w:eastAsia="FangSong"/>
        </w:rPr>
      </w:pPr>
      <w:r w:rsidRPr="006152AE">
        <w:rPr>
          <w:rFonts w:eastAsia="FangSong"/>
          <w:b/>
          <w:bCs/>
        </w:rPr>
        <w:t>federated machine learning</w:t>
      </w:r>
      <w:r w:rsidRPr="006152AE">
        <w:rPr>
          <w:rFonts w:eastAsia="FangSong"/>
          <w:b/>
          <w:bCs/>
          <w:lang w:val="en-US" w:eastAsia="zh-CN"/>
        </w:rPr>
        <w:t xml:space="preserve"> service:</w:t>
      </w:r>
      <w:r w:rsidRPr="006152AE">
        <w:rPr>
          <w:rFonts w:eastAsia="FangSong" w:hint="eastAsia"/>
          <w:b/>
          <w:bCs/>
          <w:lang w:val="en-US" w:eastAsia="zh-CN"/>
        </w:rPr>
        <w:t xml:space="preserve"> </w:t>
      </w:r>
      <w:bookmarkStart w:id="162" w:name="OLE_LINK8"/>
      <w:bookmarkStart w:id="163" w:name="OLE_LINK7"/>
      <w:bookmarkStart w:id="164" w:name="OLE_LINK19"/>
      <w:r w:rsidRPr="006152AE">
        <w:rPr>
          <w:rFonts w:eastAsia="FangSong"/>
        </w:rPr>
        <w:t>A</w:t>
      </w:r>
      <w:r w:rsidRPr="006152AE">
        <w:rPr>
          <w:rFonts w:eastAsia="FangSong"/>
          <w:lang w:eastAsia="zh-CN"/>
        </w:rPr>
        <w:t>n</w:t>
      </w:r>
      <w:r w:rsidRPr="006152AE">
        <w:rPr>
          <w:rFonts w:eastAsia="FangSong"/>
        </w:rPr>
        <w:t xml:space="preserve"> </w:t>
      </w:r>
      <w:r w:rsidRPr="006152AE">
        <w:rPr>
          <w:rFonts w:eastAsia="FangSong"/>
          <w:lang w:eastAsia="zh-CN"/>
        </w:rPr>
        <w:t>artificial intelligence model training</w:t>
      </w:r>
      <w:r w:rsidRPr="006152AE">
        <w:rPr>
          <w:rFonts w:eastAsia="FangSong"/>
        </w:rPr>
        <w:t xml:space="preserve"> service </w:t>
      </w:r>
      <w:bookmarkEnd w:id="162"/>
      <w:bookmarkEnd w:id="163"/>
      <w:r w:rsidRPr="006152AE">
        <w:rPr>
          <w:rFonts w:eastAsia="FangSong"/>
        </w:rPr>
        <w:t xml:space="preserve">that </w:t>
      </w:r>
      <w:r w:rsidRPr="006152AE">
        <w:rPr>
          <w:rFonts w:eastAsia="FangSong"/>
          <w:lang w:eastAsia="zh-CN"/>
        </w:rPr>
        <w:t>uses</w:t>
      </w:r>
      <w:r w:rsidRPr="006152AE">
        <w:rPr>
          <w:rFonts w:eastAsia="FangSong"/>
        </w:rPr>
        <w:t xml:space="preserve"> the federated machine learning method </w:t>
      </w:r>
      <w:r w:rsidRPr="006152AE">
        <w:rPr>
          <w:rFonts w:eastAsia="FangSong"/>
          <w:lang w:eastAsia="zh-CN"/>
        </w:rPr>
        <w:t xml:space="preserve">and outputs a </w:t>
      </w:r>
      <w:r w:rsidRPr="006152AE">
        <w:rPr>
          <w:rFonts w:eastAsia="FangSong" w:hint="eastAsia"/>
          <w:lang w:eastAsia="zh-CN"/>
        </w:rPr>
        <w:t>globally</w:t>
      </w:r>
      <w:r w:rsidRPr="006152AE">
        <w:rPr>
          <w:rFonts w:eastAsia="FangSong"/>
          <w:lang w:eastAsia="zh-CN"/>
        </w:rPr>
        <w:t xml:space="preserve"> trained model</w:t>
      </w:r>
      <w:r w:rsidRPr="006152AE">
        <w:rPr>
          <w:rFonts w:eastAsia="FangSong"/>
        </w:rPr>
        <w:t>.</w:t>
      </w:r>
      <w:bookmarkEnd w:id="164"/>
    </w:p>
    <w:p w14:paraId="26858A50" w14:textId="769DC8AF" w:rsidR="006152AE" w:rsidRPr="006152AE" w:rsidRDefault="006152AE" w:rsidP="006152AE">
      <w:pPr>
        <w:pStyle w:val="ListParagraph"/>
        <w:numPr>
          <w:ilvl w:val="1"/>
          <w:numId w:val="1"/>
        </w:numPr>
        <w:jc w:val="both"/>
        <w:rPr>
          <w:rFonts w:eastAsia="FangSong"/>
          <w:lang w:val="en-US" w:eastAsia="zh-CN"/>
        </w:rPr>
      </w:pPr>
      <w:r w:rsidRPr="006152AE">
        <w:rPr>
          <w:rFonts w:eastAsia="FangSong"/>
          <w:b/>
          <w:bCs/>
          <w:lang w:val="en-US" w:eastAsia="zh-CN"/>
        </w:rPr>
        <w:t>federated machine learning service client (</w:t>
      </w:r>
      <w:proofErr w:type="spellStart"/>
      <w:r w:rsidRPr="006152AE">
        <w:rPr>
          <w:rFonts w:eastAsia="FangSong"/>
          <w:b/>
          <w:bCs/>
          <w:lang w:val="en-US" w:eastAsia="zh-CN"/>
        </w:rPr>
        <w:t>FMLSC</w:t>
      </w:r>
      <w:proofErr w:type="spellEnd"/>
      <w:r w:rsidRPr="006152AE">
        <w:rPr>
          <w:rFonts w:eastAsia="FangSong"/>
          <w:b/>
          <w:bCs/>
          <w:lang w:val="en-US" w:eastAsia="zh-CN"/>
        </w:rPr>
        <w:t>)</w:t>
      </w:r>
      <w:r w:rsidRPr="006152AE">
        <w:rPr>
          <w:rFonts w:eastAsia="FangSong"/>
          <w:lang w:val="en-US" w:eastAsia="zh-CN"/>
        </w:rPr>
        <w:t xml:space="preserve">: An application entity that initiates the federated machine learning service request </w:t>
      </w:r>
      <w:r w:rsidRPr="006152AE">
        <w:rPr>
          <w:rFonts w:hint="eastAsia"/>
          <w:iCs/>
          <w:lang w:val="en-US" w:eastAsia="zh-CN"/>
        </w:rPr>
        <w:t xml:space="preserve">and </w:t>
      </w:r>
      <w:r w:rsidRPr="006152AE">
        <w:rPr>
          <w:rFonts w:hint="eastAsia"/>
          <w:iCs/>
          <w:lang w:eastAsia="zh-CN"/>
        </w:rPr>
        <w:t>receive</w:t>
      </w:r>
      <w:r w:rsidRPr="006152AE">
        <w:rPr>
          <w:rFonts w:hint="eastAsia"/>
          <w:iCs/>
          <w:lang w:val="en-US" w:eastAsia="zh-CN"/>
        </w:rPr>
        <w:t xml:space="preserve">s trained federated </w:t>
      </w:r>
      <w:r w:rsidRPr="006152AE">
        <w:rPr>
          <w:iCs/>
          <w:lang w:eastAsia="zh-CN"/>
        </w:rPr>
        <w:t xml:space="preserve">machine </w:t>
      </w:r>
      <w:r w:rsidRPr="006152AE">
        <w:rPr>
          <w:rFonts w:hint="eastAsia"/>
          <w:iCs/>
          <w:lang w:val="en-US" w:eastAsia="zh-CN"/>
        </w:rPr>
        <w:t>learning models</w:t>
      </w:r>
      <w:r w:rsidRPr="006152AE">
        <w:rPr>
          <w:rFonts w:eastAsia="FangSong"/>
          <w:lang w:val="en-US" w:eastAsia="zh-CN"/>
        </w:rPr>
        <w:t>.</w:t>
      </w:r>
    </w:p>
    <w:p w14:paraId="6C17D7A2" w14:textId="69F56395" w:rsidR="006152AE" w:rsidRPr="006152AE" w:rsidRDefault="006152AE" w:rsidP="006152AE">
      <w:pPr>
        <w:pStyle w:val="ListParagraph"/>
        <w:numPr>
          <w:ilvl w:val="1"/>
          <w:numId w:val="1"/>
        </w:numPr>
        <w:jc w:val="both"/>
        <w:rPr>
          <w:rFonts w:eastAsia="FangSong"/>
          <w:lang w:eastAsia="zh-CN"/>
        </w:rPr>
      </w:pPr>
      <w:r w:rsidRPr="006152AE">
        <w:rPr>
          <w:rFonts w:eastAsia="FangSong"/>
          <w:b/>
          <w:bCs/>
          <w:lang w:val="en-US" w:eastAsia="zh-CN"/>
        </w:rPr>
        <w:t xml:space="preserve">federated machine learning </w:t>
      </w:r>
      <w:r w:rsidRPr="006152AE">
        <w:rPr>
          <w:rFonts w:eastAsia="FangSong" w:hint="eastAsia"/>
          <w:b/>
          <w:bCs/>
          <w:lang w:val="en-US" w:eastAsia="zh-CN"/>
        </w:rPr>
        <w:t>syst</w:t>
      </w:r>
      <w:r w:rsidRPr="006152AE">
        <w:rPr>
          <w:rFonts w:eastAsia="FangSong"/>
          <w:b/>
          <w:bCs/>
          <w:lang w:val="en-US" w:eastAsia="zh-CN"/>
        </w:rPr>
        <w:t>em (</w:t>
      </w:r>
      <w:proofErr w:type="spellStart"/>
      <w:r w:rsidRPr="006152AE">
        <w:rPr>
          <w:rFonts w:eastAsia="FangSong"/>
          <w:b/>
          <w:bCs/>
          <w:lang w:val="en-US" w:eastAsia="zh-CN"/>
        </w:rPr>
        <w:t>FMLS</w:t>
      </w:r>
      <w:proofErr w:type="spellEnd"/>
      <w:r w:rsidRPr="006152AE">
        <w:rPr>
          <w:rFonts w:eastAsia="FangSong"/>
          <w:b/>
          <w:bCs/>
          <w:lang w:val="en-US" w:eastAsia="zh-CN"/>
        </w:rPr>
        <w:t xml:space="preserve">): </w:t>
      </w:r>
      <w:r w:rsidRPr="006152AE">
        <w:rPr>
          <w:rFonts w:eastAsia="FangSong"/>
          <w:lang w:val="en-US" w:eastAsia="zh-CN"/>
        </w:rPr>
        <w:t>A</w:t>
      </w:r>
      <w:r w:rsidRPr="006152AE">
        <w:rPr>
          <w:iCs/>
          <w:lang w:val="en-US" w:eastAsia="zh-CN"/>
        </w:rPr>
        <w:t xml:space="preserve"> s</w:t>
      </w:r>
      <w:r w:rsidRPr="006152AE">
        <w:rPr>
          <w:rFonts w:hint="eastAsia"/>
          <w:iCs/>
          <w:lang w:val="en-US" w:eastAsia="zh-CN"/>
        </w:rPr>
        <w:t xml:space="preserve">ystem that </w:t>
      </w:r>
      <w:r w:rsidRPr="006152AE">
        <w:rPr>
          <w:rFonts w:hint="eastAsia"/>
          <w:lang w:val="en-US" w:eastAsia="zh-CN"/>
        </w:rPr>
        <w:t>involves</w:t>
      </w:r>
      <w:r>
        <w:t xml:space="preserve"> multiple </w:t>
      </w:r>
      <w:r w:rsidRPr="006152AE">
        <w:rPr>
          <w:rFonts w:hint="eastAsia"/>
          <w:lang w:val="en-US" w:eastAsia="zh-CN"/>
        </w:rPr>
        <w:t>training nodes</w:t>
      </w:r>
      <w:r>
        <w:t xml:space="preserve"> </w:t>
      </w:r>
      <w:r w:rsidRPr="006152AE">
        <w:rPr>
          <w:rFonts w:hint="eastAsia"/>
          <w:lang w:val="en-US" w:eastAsia="zh-CN"/>
        </w:rPr>
        <w:t xml:space="preserve">which </w:t>
      </w:r>
      <w:r>
        <w:t>collaboratively build and use machine learning models without disclosing the raw and private data owned by the participants.</w:t>
      </w:r>
    </w:p>
    <w:p w14:paraId="71ADB992" w14:textId="0C44A548" w:rsidR="00293348" w:rsidRDefault="005213A0" w:rsidP="00623465">
      <w:pPr>
        <w:pStyle w:val="ListParagraph"/>
        <w:numPr>
          <w:ilvl w:val="0"/>
          <w:numId w:val="1"/>
        </w:numPr>
        <w:rPr>
          <w:lang w:val="en-US" w:eastAsia="zh-CN"/>
        </w:rPr>
      </w:pPr>
      <w:proofErr w:type="spellStart"/>
      <w:r>
        <w:rPr>
          <w:rFonts w:eastAsia="SimSun" w:hint="eastAsia"/>
          <w:lang w:val="en-US" w:eastAsia="zh-CN"/>
        </w:rPr>
        <w:t>M.rsmti-uav</w:t>
      </w:r>
      <w:proofErr w:type="spellEnd"/>
      <w:r>
        <w:rPr>
          <w:rFonts w:eastAsia="SimSun" w:hint="eastAsia"/>
          <w:lang w:val="en-US" w:eastAsia="zh-CN"/>
        </w:rPr>
        <w:t>: Requirements for smart maintenance of telecommunications infrastructure based on unmanned aerial vehicles</w:t>
      </w:r>
      <w:r>
        <w:rPr>
          <w:rFonts w:eastAsia="SimSun"/>
          <w:lang w:val="en-US" w:eastAsia="zh-CN"/>
        </w:rPr>
        <w:t xml:space="preserve"> in </w:t>
      </w:r>
      <w:hyperlink r:id="rId27"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361</w:t>
        </w:r>
        <w:proofErr w:type="spellEnd"/>
        <w:r w:rsidR="002B159C" w:rsidRPr="002B159C">
          <w:rPr>
            <w:rStyle w:val="Hyperlink"/>
            <w:rFonts w:ascii="Times New Roman" w:hAnsi="Times New Roman"/>
            <w:lang w:val="en-US"/>
          </w:rPr>
          <w:t>/PLEN</w:t>
        </w:r>
      </w:hyperlink>
    </w:p>
    <w:p w14:paraId="50AA208D" w14:textId="2064159E" w:rsidR="003D5BCF" w:rsidRPr="003D5BCF" w:rsidRDefault="003D5BCF" w:rsidP="003D5BCF">
      <w:pPr>
        <w:pStyle w:val="ListParagraph"/>
        <w:numPr>
          <w:ilvl w:val="1"/>
          <w:numId w:val="1"/>
        </w:numPr>
        <w:rPr>
          <w:rFonts w:eastAsia="SimSun"/>
        </w:rPr>
      </w:pPr>
      <w:r w:rsidRPr="003D5BCF">
        <w:rPr>
          <w:b/>
          <w:bCs/>
        </w:rPr>
        <w:t>smart maintenance system of telecommunications infrastructure based on UAV</w:t>
      </w:r>
      <w:r w:rsidRPr="003D5BCF">
        <w:rPr>
          <w:b/>
          <w:bCs/>
          <w:lang w:eastAsia="zh-CN"/>
        </w:rPr>
        <w:t>s</w:t>
      </w:r>
      <w:r w:rsidRPr="00D2709F">
        <w:t xml:space="preserve">: </w:t>
      </w:r>
      <w:r w:rsidRPr="003D5BCF">
        <w:rPr>
          <w:rFonts w:eastAsia="SimSun"/>
        </w:rPr>
        <w:t xml:space="preserve">A </w:t>
      </w:r>
      <w:r w:rsidRPr="003D5BCF">
        <w:rPr>
          <w:rFonts w:eastAsia="SimSun"/>
          <w:lang w:eastAsia="zh-CN"/>
        </w:rPr>
        <w:t>system</w:t>
      </w:r>
      <w:r w:rsidRPr="003D5BCF">
        <w:rPr>
          <w:rFonts w:eastAsia="SimSun"/>
        </w:rPr>
        <w:t xml:space="preserve"> consisting of UAVs and UAV-based smart patrol </w:t>
      </w:r>
      <w:r w:rsidRPr="003D5BCF">
        <w:rPr>
          <w:rFonts w:eastAsia="SimSun" w:hint="eastAsia"/>
          <w:lang w:eastAsia="zh-CN"/>
        </w:rPr>
        <w:t>system</w:t>
      </w:r>
      <w:r w:rsidRPr="003D5BCF">
        <w:rPr>
          <w:rFonts w:eastAsia="SimSun"/>
        </w:rPr>
        <w:t>, which uses UAVs to patrol the telecommunications infrastructure and its surrounding environment.</w:t>
      </w:r>
    </w:p>
    <w:p w14:paraId="29AF913F" w14:textId="37FB39B1" w:rsidR="003D5BCF" w:rsidRPr="003D5BCF" w:rsidRDefault="003D5BCF" w:rsidP="003D5BCF">
      <w:pPr>
        <w:pStyle w:val="ListParagraph"/>
        <w:numPr>
          <w:ilvl w:val="1"/>
          <w:numId w:val="1"/>
        </w:numPr>
        <w:rPr>
          <w:rFonts w:eastAsia="MS Mincho"/>
        </w:rPr>
      </w:pPr>
      <w:r w:rsidRPr="003D5BCF">
        <w:rPr>
          <w:b/>
          <w:bCs/>
        </w:rPr>
        <w:t>UAV-based smart patrol system</w:t>
      </w:r>
      <w:r w:rsidRPr="00D2709F">
        <w:t xml:space="preserve">: </w:t>
      </w:r>
      <w:bookmarkStart w:id="165" w:name="_Hlk143762957"/>
      <w:r w:rsidRPr="003D5BCF">
        <w:rPr>
          <w:rFonts w:eastAsia="SimSun"/>
        </w:rPr>
        <w:t xml:space="preserve">A </w:t>
      </w:r>
      <w:r w:rsidRPr="003D5BCF">
        <w:rPr>
          <w:rFonts w:eastAsia="SimSun"/>
          <w:lang w:eastAsia="zh-CN"/>
        </w:rPr>
        <w:t>system</w:t>
      </w:r>
      <w:r w:rsidRPr="003D5BCF">
        <w:rPr>
          <w:rFonts w:eastAsia="SimSun"/>
        </w:rPr>
        <w:t xml:space="preserve"> </w:t>
      </w:r>
      <w:r w:rsidRPr="003D5BCF">
        <w:rPr>
          <w:rFonts w:eastAsia="SimSun" w:hint="eastAsia"/>
          <w:lang w:eastAsia="zh-CN"/>
        </w:rPr>
        <w:t>that</w:t>
      </w:r>
      <w:r w:rsidRPr="003D5BCF">
        <w:rPr>
          <w:rFonts w:eastAsia="SimSun"/>
        </w:rPr>
        <w:t xml:space="preserve"> working with UAVs to provide the capability of smart patrol.</w:t>
      </w:r>
      <w:bookmarkEnd w:id="165"/>
    </w:p>
    <w:p w14:paraId="6BDB5F1C" w14:textId="1132BDFF" w:rsidR="006F5A22" w:rsidRPr="006F5A22" w:rsidRDefault="00300E8B" w:rsidP="006F5A22">
      <w:pPr>
        <w:pStyle w:val="ListParagraph"/>
        <w:numPr>
          <w:ilvl w:val="0"/>
          <w:numId w:val="1"/>
        </w:numPr>
        <w:rPr>
          <w:rStyle w:val="Strong"/>
          <w:b w:val="0"/>
          <w:bCs w:val="0"/>
          <w:lang w:val="en-US" w:eastAsia="zh-CN"/>
        </w:rPr>
      </w:pPr>
      <w:proofErr w:type="spellStart"/>
      <w:r>
        <w:t>M.rsds</w:t>
      </w:r>
      <w:proofErr w:type="spellEnd"/>
      <w:r>
        <w:t xml:space="preserve">: Requirement for telecommunications service design within SOMM in </w:t>
      </w:r>
      <w:hyperlink r:id="rId28" w:history="1">
        <w:r w:rsidR="002B159C" w:rsidRPr="002B159C">
          <w:rPr>
            <w:rStyle w:val="Hyperlink"/>
            <w:rFonts w:ascii="Times New Roman" w:hAnsi="Times New Roman"/>
            <w:lang w:val="en-US"/>
          </w:rPr>
          <w:t>SG2-</w:t>
        </w:r>
        <w:proofErr w:type="spellStart"/>
        <w:r w:rsidR="002B159C" w:rsidRPr="002B159C">
          <w:rPr>
            <w:rStyle w:val="Hyperlink"/>
            <w:rFonts w:ascii="Times New Roman" w:hAnsi="Times New Roman"/>
            <w:lang w:val="en-US"/>
          </w:rPr>
          <w:t>TD</w:t>
        </w:r>
        <w:r w:rsidR="002B159C">
          <w:rPr>
            <w:rStyle w:val="Hyperlink"/>
            <w:rFonts w:ascii="Times New Roman" w:hAnsi="Times New Roman"/>
            <w:lang w:val="en-US"/>
          </w:rPr>
          <w:t>363</w:t>
        </w:r>
        <w:proofErr w:type="spellEnd"/>
        <w:r w:rsidR="002B159C" w:rsidRPr="002B159C">
          <w:rPr>
            <w:rStyle w:val="Hyperlink"/>
            <w:rFonts w:ascii="Times New Roman" w:hAnsi="Times New Roman"/>
            <w:lang w:val="en-US"/>
          </w:rPr>
          <w:t>/PLEN</w:t>
        </w:r>
      </w:hyperlink>
      <w:r w:rsidR="002B159C">
        <w:rPr>
          <w:lang w:val="en-US"/>
        </w:rPr>
        <w:t>.</w:t>
      </w:r>
    </w:p>
    <w:p w14:paraId="1FDE04E4" w14:textId="5198BEC5" w:rsidR="006F5A22" w:rsidRPr="006F5A22" w:rsidRDefault="006F5A22" w:rsidP="006F5A22">
      <w:pPr>
        <w:pStyle w:val="ListParagraph"/>
        <w:numPr>
          <w:ilvl w:val="1"/>
          <w:numId w:val="1"/>
        </w:numPr>
        <w:rPr>
          <w:lang w:val="en-US" w:eastAsia="zh-CN"/>
        </w:rPr>
      </w:pPr>
      <w:r w:rsidRPr="006F5A22">
        <w:rPr>
          <w:rFonts w:hint="eastAsia"/>
          <w:b/>
          <w:bCs/>
          <w:szCs w:val="20"/>
          <w:lang w:val="en-US" w:eastAsia="zh-CN"/>
        </w:rPr>
        <w:t xml:space="preserve">capability: </w:t>
      </w:r>
      <w:r w:rsidRPr="006F5A22">
        <w:rPr>
          <w:szCs w:val="20"/>
          <w:lang w:val="en-US" w:eastAsia="zh-CN"/>
        </w:rPr>
        <w:t>Capability is a management function which composed of object and management action.</w:t>
      </w:r>
    </w:p>
    <w:p w14:paraId="6FABEE03" w14:textId="77777777" w:rsidR="006F5A22" w:rsidRDefault="006F5A22" w:rsidP="006F5A22">
      <w:pPr>
        <w:numPr>
          <w:ilvl w:val="255"/>
          <w:numId w:val="0"/>
        </w:numPr>
        <w:overflowPunct w:val="0"/>
        <w:autoSpaceDE w:val="0"/>
        <w:autoSpaceDN w:val="0"/>
        <w:adjustRightInd w:val="0"/>
        <w:ind w:leftChars="300" w:left="723" w:hanging="3"/>
        <w:textAlignment w:val="baseline"/>
        <w:rPr>
          <w:szCs w:val="20"/>
          <w:lang w:val="en-US" w:eastAsia="zh-CN"/>
        </w:rPr>
      </w:pPr>
      <w:r>
        <w:rPr>
          <w:rFonts w:hint="eastAsia"/>
          <w:szCs w:val="20"/>
          <w:lang w:val="en-US" w:eastAsia="zh-CN"/>
        </w:rPr>
        <w:t xml:space="preserve">NOTE - Examples of capability in this recommendation are creation, </w:t>
      </w:r>
      <w:proofErr w:type="gramStart"/>
      <w:r>
        <w:rPr>
          <w:rFonts w:hint="eastAsia"/>
          <w:szCs w:val="20"/>
          <w:lang w:val="en-US" w:eastAsia="zh-CN"/>
        </w:rPr>
        <w:t>deletion</w:t>
      </w:r>
      <w:proofErr w:type="gramEnd"/>
      <w:r>
        <w:rPr>
          <w:rFonts w:hint="eastAsia"/>
          <w:szCs w:val="20"/>
          <w:lang w:val="en-US" w:eastAsia="zh-CN"/>
        </w:rPr>
        <w:t xml:space="preserve"> and modification. </w:t>
      </w:r>
    </w:p>
    <w:p w14:paraId="587D09F7" w14:textId="77777777" w:rsidR="006F5A22" w:rsidRDefault="006F5A22" w:rsidP="006F5A22">
      <w:pPr>
        <w:pStyle w:val="ListParagraph"/>
        <w:numPr>
          <w:ilvl w:val="1"/>
          <w:numId w:val="1"/>
        </w:numPr>
        <w:rPr>
          <w:szCs w:val="20"/>
          <w:lang w:val="en-US" w:eastAsia="zh-CN"/>
        </w:rPr>
      </w:pPr>
      <w:r>
        <w:rPr>
          <w:rFonts w:hint="eastAsia"/>
          <w:b/>
          <w:bCs/>
          <w:szCs w:val="20"/>
          <w:lang w:val="en-US" w:eastAsia="zh-CN"/>
        </w:rPr>
        <w:t xml:space="preserve">child node: </w:t>
      </w:r>
      <w:r>
        <w:rPr>
          <w:rFonts w:hint="eastAsia"/>
          <w:szCs w:val="20"/>
          <w:lang w:val="en-US" w:eastAsia="zh-CN"/>
        </w:rPr>
        <w:t>The point which is descendant of any point in the tree structure.</w:t>
      </w:r>
    </w:p>
    <w:p w14:paraId="65282FD1" w14:textId="77777777" w:rsidR="006F5A22" w:rsidRDefault="006F5A22" w:rsidP="006F5A22">
      <w:pPr>
        <w:pStyle w:val="ListParagraph"/>
        <w:numPr>
          <w:ilvl w:val="1"/>
          <w:numId w:val="1"/>
        </w:numPr>
        <w:rPr>
          <w:szCs w:val="20"/>
          <w:lang w:val="en-US" w:eastAsia="zh-CN"/>
        </w:rPr>
      </w:pPr>
      <w:r w:rsidRPr="006F5A22">
        <w:rPr>
          <w:rFonts w:hint="eastAsia"/>
          <w:b/>
          <w:bCs/>
          <w:szCs w:val="20"/>
          <w:lang w:val="en-US" w:eastAsia="zh-CN"/>
        </w:rPr>
        <w:t xml:space="preserve">object structure: </w:t>
      </w:r>
      <w:r w:rsidRPr="006F5A22">
        <w:rPr>
          <w:rFonts w:hint="eastAsia"/>
          <w:szCs w:val="20"/>
          <w:lang w:val="en-US" w:eastAsia="zh-CN"/>
        </w:rPr>
        <w:t>The layout structure and relationship of object in telecommunication service layer and telecommunication sub-service layer of telecommunication service design structure.   Object in resource layer of telecommunication service design structure does not have object structure.</w:t>
      </w:r>
    </w:p>
    <w:p w14:paraId="077F94FA" w14:textId="77777777" w:rsidR="006F5A22" w:rsidRDefault="006F5A22" w:rsidP="006F5A22">
      <w:pPr>
        <w:pStyle w:val="ListParagraph"/>
        <w:numPr>
          <w:ilvl w:val="1"/>
          <w:numId w:val="1"/>
        </w:numPr>
        <w:rPr>
          <w:szCs w:val="20"/>
          <w:lang w:val="en-US" w:eastAsia="zh-CN"/>
        </w:rPr>
      </w:pPr>
      <w:r w:rsidRPr="006F5A22">
        <w:rPr>
          <w:rFonts w:hint="eastAsia"/>
          <w:b/>
          <w:bCs/>
          <w:szCs w:val="20"/>
          <w:lang w:val="en-US" w:eastAsia="zh-CN"/>
        </w:rPr>
        <w:t>parent node:</w:t>
      </w:r>
      <w:r w:rsidRPr="006F5A22">
        <w:rPr>
          <w:rFonts w:hint="eastAsia"/>
          <w:szCs w:val="20"/>
          <w:lang w:val="en-US" w:eastAsia="zh-CN"/>
        </w:rPr>
        <w:t xml:space="preserve"> The point which is a predecessor of any point in the tree structure.</w:t>
      </w:r>
    </w:p>
    <w:p w14:paraId="0BB208EA" w14:textId="77777777" w:rsidR="006F5A22" w:rsidRDefault="006F5A22" w:rsidP="006F5A22">
      <w:pPr>
        <w:pStyle w:val="ListParagraph"/>
        <w:numPr>
          <w:ilvl w:val="1"/>
          <w:numId w:val="1"/>
        </w:numPr>
        <w:rPr>
          <w:szCs w:val="20"/>
          <w:lang w:val="en-US" w:eastAsia="zh-CN"/>
        </w:rPr>
      </w:pPr>
      <w:r w:rsidRPr="006F5A22">
        <w:rPr>
          <w:rFonts w:hint="eastAsia"/>
          <w:b/>
          <w:bCs/>
          <w:szCs w:val="20"/>
          <w:lang w:val="en-US" w:eastAsia="zh-CN"/>
        </w:rPr>
        <w:t>r</w:t>
      </w:r>
      <w:proofErr w:type="spellStart"/>
      <w:r w:rsidRPr="006F5A22">
        <w:rPr>
          <w:rFonts w:hint="eastAsia"/>
          <w:b/>
          <w:bCs/>
          <w:szCs w:val="20"/>
          <w:lang w:eastAsia="en-US"/>
        </w:rPr>
        <w:t>oot</w:t>
      </w:r>
      <w:proofErr w:type="spellEnd"/>
      <w:r w:rsidRPr="006F5A22">
        <w:rPr>
          <w:rFonts w:hint="eastAsia"/>
          <w:b/>
          <w:bCs/>
          <w:szCs w:val="20"/>
          <w:lang w:eastAsia="en-US"/>
        </w:rPr>
        <w:t xml:space="preserve"> node</w:t>
      </w:r>
      <w:r w:rsidRPr="006F5A22">
        <w:rPr>
          <w:rFonts w:hint="eastAsia"/>
          <w:szCs w:val="20"/>
          <w:lang w:val="en-US" w:eastAsia="zh-CN"/>
        </w:rPr>
        <w:t>: The point at the top of the tree</w:t>
      </w:r>
      <w:r w:rsidRPr="006F5A22">
        <w:rPr>
          <w:rFonts w:hint="eastAsia"/>
          <w:szCs w:val="20"/>
          <w:lang w:eastAsia="en-US"/>
        </w:rPr>
        <w:t xml:space="preserve"> in the tree structure</w:t>
      </w:r>
      <w:r w:rsidRPr="006F5A22">
        <w:rPr>
          <w:rFonts w:hint="eastAsia"/>
          <w:szCs w:val="20"/>
          <w:lang w:val="en-US" w:eastAsia="zh-CN"/>
        </w:rPr>
        <w:t>, and it does not have a parent node.</w:t>
      </w:r>
    </w:p>
    <w:p w14:paraId="0A34651E" w14:textId="77777777" w:rsidR="006F5A22" w:rsidRDefault="006F5A22" w:rsidP="006F5A22">
      <w:pPr>
        <w:pStyle w:val="ListParagraph"/>
        <w:numPr>
          <w:ilvl w:val="1"/>
          <w:numId w:val="1"/>
        </w:numPr>
        <w:rPr>
          <w:szCs w:val="20"/>
          <w:lang w:val="en-US" w:eastAsia="zh-CN"/>
        </w:rPr>
      </w:pPr>
      <w:r w:rsidRPr="006F5A22">
        <w:rPr>
          <w:rFonts w:hint="eastAsia"/>
          <w:b/>
          <w:bCs/>
          <w:szCs w:val="20"/>
          <w:lang w:val="en-US" w:eastAsia="zh-CN"/>
        </w:rPr>
        <w:lastRenderedPageBreak/>
        <w:t>telecommunication sub-service</w:t>
      </w:r>
      <w:r w:rsidRPr="006F5A22">
        <w:rPr>
          <w:rFonts w:hint="eastAsia"/>
          <w:szCs w:val="20"/>
          <w:lang w:val="en-US" w:eastAsia="zh-CN"/>
        </w:rPr>
        <w:t>: A constitution of telecommunication service.  And telecommunication sub-service is provided by the</w:t>
      </w:r>
      <w:r w:rsidRPr="006F5A22">
        <w:rPr>
          <w:szCs w:val="20"/>
          <w:lang w:val="en-US" w:eastAsia="zh-CN"/>
        </w:rPr>
        <w:t xml:space="preserve"> </w:t>
      </w:r>
      <w:r w:rsidRPr="006F5A22">
        <w:rPr>
          <w:rFonts w:hint="eastAsia"/>
          <w:szCs w:val="20"/>
          <w:lang w:val="en-US" w:eastAsia="zh-CN"/>
        </w:rPr>
        <w:t>same network domain.  In the telecommunications service design view, sub-service is composed of one or multiple resources and the telecommunication service is composed of one or multiple sub-services.</w:t>
      </w:r>
    </w:p>
    <w:p w14:paraId="68EAC9A6" w14:textId="4FAF1138" w:rsidR="006F5A22" w:rsidRPr="006F5A22" w:rsidRDefault="006F5A22" w:rsidP="006F5A22">
      <w:pPr>
        <w:pStyle w:val="ListParagraph"/>
        <w:numPr>
          <w:ilvl w:val="1"/>
          <w:numId w:val="1"/>
        </w:numPr>
        <w:rPr>
          <w:szCs w:val="20"/>
          <w:lang w:val="en-US" w:eastAsia="zh-CN"/>
        </w:rPr>
      </w:pPr>
      <w:r w:rsidRPr="006F5A22">
        <w:rPr>
          <w:rFonts w:hint="eastAsia"/>
          <w:b/>
          <w:bCs/>
          <w:szCs w:val="20"/>
          <w:lang w:val="en-US" w:eastAsia="zh-CN"/>
        </w:rPr>
        <w:t xml:space="preserve">telecommunication service design structure: </w:t>
      </w:r>
      <w:r w:rsidRPr="006F5A22">
        <w:rPr>
          <w:rFonts w:hint="eastAsia"/>
          <w:szCs w:val="20"/>
          <w:lang w:val="en-US" w:eastAsia="zh-CN"/>
        </w:rPr>
        <w:t>The complete structure of a specific telecommunication service.  It contains telecommunication service layer, telecommunication sub-service layer and resource layer.  It is displayed in tree structure.</w:t>
      </w:r>
    </w:p>
    <w:p w14:paraId="1246CC56" w14:textId="77777777" w:rsidR="006F5A22" w:rsidRDefault="006F5A22" w:rsidP="006F5A22">
      <w:pPr>
        <w:numPr>
          <w:ilvl w:val="255"/>
          <w:numId w:val="0"/>
        </w:numPr>
        <w:overflowPunct w:val="0"/>
        <w:autoSpaceDE w:val="0"/>
        <w:autoSpaceDN w:val="0"/>
        <w:adjustRightInd w:val="0"/>
        <w:ind w:leftChars="300" w:left="723" w:hanging="3"/>
        <w:textAlignment w:val="baseline"/>
        <w:rPr>
          <w:szCs w:val="20"/>
          <w:lang w:val="en-US" w:eastAsia="zh-CN"/>
        </w:rPr>
      </w:pPr>
      <w:r>
        <w:rPr>
          <w:rFonts w:hint="eastAsia"/>
          <w:szCs w:val="20"/>
          <w:lang w:val="en-US" w:eastAsia="zh-CN"/>
        </w:rPr>
        <w:t>NOTE - Telecommunication service design structure is not an object structure.  The former is a complete structure of all objects in three layers of a specific telecommunication service.  The latter is a structure of one object in telecommunication service layer or telecommunication sub-service layer.  Object structure is part of telecommunication service design structure.</w:t>
      </w:r>
    </w:p>
    <w:p w14:paraId="4119A95A" w14:textId="77777777" w:rsidR="006F5A22" w:rsidRDefault="006F5A22" w:rsidP="006F5A22">
      <w:pPr>
        <w:pStyle w:val="ListParagraph"/>
        <w:numPr>
          <w:ilvl w:val="1"/>
          <w:numId w:val="1"/>
        </w:numPr>
        <w:rPr>
          <w:szCs w:val="20"/>
          <w:lang w:val="en-US" w:eastAsia="zh-CN"/>
        </w:rPr>
      </w:pPr>
      <w:r>
        <w:rPr>
          <w:rFonts w:hint="eastAsia"/>
          <w:b/>
          <w:bCs/>
          <w:szCs w:val="20"/>
          <w:lang w:val="en-US" w:eastAsia="zh-CN"/>
        </w:rPr>
        <w:t>t</w:t>
      </w:r>
      <w:r>
        <w:rPr>
          <w:b/>
          <w:bCs/>
          <w:szCs w:val="20"/>
          <w:lang w:val="en-US" w:eastAsia="zh-CN"/>
        </w:rPr>
        <w:t>ree structure</w:t>
      </w:r>
      <w:r>
        <w:rPr>
          <w:rFonts w:hint="eastAsia"/>
          <w:szCs w:val="20"/>
          <w:lang w:val="en-US" w:eastAsia="zh-CN"/>
        </w:rPr>
        <w:t>: A graphical representation method used to illustrate hierarchical or branching connections. It originates from a root node, and each node can connect to multiple child nodes, forming a tree-like structure where each node represents an object.</w:t>
      </w:r>
    </w:p>
    <w:p w14:paraId="568F5831" w14:textId="401B777E" w:rsidR="00293348" w:rsidRDefault="009E18DF" w:rsidP="00623465">
      <w:pPr>
        <w:pStyle w:val="ListParagraph"/>
        <w:numPr>
          <w:ilvl w:val="0"/>
          <w:numId w:val="1"/>
        </w:numPr>
        <w:rPr>
          <w:lang w:val="en-US" w:eastAsia="zh-CN"/>
        </w:rPr>
      </w:pPr>
      <w:proofErr w:type="spellStart"/>
      <w:r>
        <w:t>M.xr-tosiep</w:t>
      </w:r>
      <w:proofErr w:type="spellEnd"/>
      <w:r>
        <w:t xml:space="preserve">: X interface requirement for telecom operation system and internet e-commerce platform in </w:t>
      </w:r>
      <w:hyperlink r:id="rId29" w:history="1">
        <w:r w:rsidR="00BB4213" w:rsidRPr="002B159C">
          <w:rPr>
            <w:rStyle w:val="Hyperlink"/>
            <w:rFonts w:ascii="Times New Roman" w:hAnsi="Times New Roman"/>
            <w:lang w:val="en-US"/>
          </w:rPr>
          <w:t>SG2-</w:t>
        </w:r>
        <w:proofErr w:type="spellStart"/>
        <w:r w:rsidR="00BB4213" w:rsidRPr="002B159C">
          <w:rPr>
            <w:rStyle w:val="Hyperlink"/>
            <w:rFonts w:ascii="Times New Roman" w:hAnsi="Times New Roman"/>
            <w:lang w:val="en-US"/>
          </w:rPr>
          <w:t>TD</w:t>
        </w:r>
        <w:r w:rsidR="00BB4213">
          <w:rPr>
            <w:rStyle w:val="Hyperlink"/>
            <w:rFonts w:ascii="Times New Roman" w:hAnsi="Times New Roman"/>
            <w:lang w:val="en-US"/>
          </w:rPr>
          <w:t>366</w:t>
        </w:r>
        <w:proofErr w:type="spellEnd"/>
        <w:r w:rsidR="00BB4213" w:rsidRPr="002B159C">
          <w:rPr>
            <w:rStyle w:val="Hyperlink"/>
            <w:rFonts w:ascii="Times New Roman" w:hAnsi="Times New Roman"/>
            <w:lang w:val="en-US"/>
          </w:rPr>
          <w:t>/PLEN</w:t>
        </w:r>
      </w:hyperlink>
      <w:r w:rsidR="00BB4213">
        <w:rPr>
          <w:lang w:val="en-US"/>
        </w:rPr>
        <w:t>.</w:t>
      </w:r>
    </w:p>
    <w:p w14:paraId="691FCFB5" w14:textId="7B70780B" w:rsidR="00293348" w:rsidRPr="00293348" w:rsidRDefault="006F71F3" w:rsidP="009E18DF">
      <w:pPr>
        <w:pStyle w:val="ListParagraph"/>
        <w:numPr>
          <w:ilvl w:val="1"/>
          <w:numId w:val="1"/>
        </w:numPr>
        <w:rPr>
          <w:lang w:val="en-US" w:eastAsia="zh-CN"/>
        </w:rPr>
      </w:pPr>
      <w:r>
        <w:rPr>
          <w:rFonts w:eastAsia="SimSun" w:hint="eastAsia"/>
          <w:b/>
          <w:bCs/>
          <w:color w:val="000000"/>
          <w:lang w:val="en-US" w:eastAsia="zh-CN"/>
        </w:rPr>
        <w:t>internet e-commerce platform</w:t>
      </w:r>
      <w:r>
        <w:t xml:space="preserve">: internet e-commerce platform is an </w:t>
      </w:r>
      <w:r>
        <w:rPr>
          <w:lang w:val="en-US" w:eastAsia="zh-CN"/>
        </w:rPr>
        <w:t>i</w:t>
      </w:r>
      <w:r>
        <w:rPr>
          <w:rFonts w:hint="eastAsia"/>
          <w:lang w:val="en-US" w:eastAsia="zh-CN"/>
        </w:rPr>
        <w:t>mplementation of performing e-commerce activities</w:t>
      </w:r>
      <w:r>
        <w:rPr>
          <w:lang w:val="en-US" w:eastAsia="zh-CN"/>
        </w:rPr>
        <w:t>.</w:t>
      </w:r>
    </w:p>
    <w:p w14:paraId="2510B87E" w14:textId="0782182D" w:rsidR="008112C6" w:rsidRPr="005F1EBA" w:rsidRDefault="005F1EBA">
      <w:pPr>
        <w:numPr>
          <w:ilvl w:val="0"/>
          <w:numId w:val="1"/>
        </w:numPr>
        <w:tabs>
          <w:tab w:val="left" w:pos="1560"/>
          <w:tab w:val="left" w:pos="1588"/>
          <w:tab w:val="left" w:pos="1985"/>
        </w:tabs>
        <w:overflowPunct w:val="0"/>
        <w:jc w:val="both"/>
        <w:rPr>
          <w:u w:val="single"/>
        </w:rPr>
      </w:pPr>
      <w:proofErr w:type="spellStart"/>
      <w:r>
        <w:t>M.xmsnr</w:t>
      </w:r>
      <w:proofErr w:type="spellEnd"/>
      <w:r>
        <w:t xml:space="preserve">: X-interface for management of shared network resources - Protocol neutral requirements in </w:t>
      </w:r>
      <w:hyperlink r:id="rId30" w:history="1">
        <w:r w:rsidR="00BB4213" w:rsidRPr="002B159C">
          <w:rPr>
            <w:rStyle w:val="Hyperlink"/>
            <w:rFonts w:ascii="Times New Roman" w:hAnsi="Times New Roman"/>
            <w:lang w:val="en-US"/>
          </w:rPr>
          <w:t>SG2-</w:t>
        </w:r>
        <w:proofErr w:type="spellStart"/>
        <w:r w:rsidR="00BB4213" w:rsidRPr="002B159C">
          <w:rPr>
            <w:rStyle w:val="Hyperlink"/>
            <w:rFonts w:ascii="Times New Roman" w:hAnsi="Times New Roman"/>
            <w:lang w:val="en-US"/>
          </w:rPr>
          <w:t>TD</w:t>
        </w:r>
        <w:r w:rsidR="00BB4213">
          <w:rPr>
            <w:rStyle w:val="Hyperlink"/>
            <w:rFonts w:ascii="Times New Roman" w:hAnsi="Times New Roman"/>
            <w:lang w:val="en-US"/>
          </w:rPr>
          <w:t>379</w:t>
        </w:r>
        <w:proofErr w:type="spellEnd"/>
        <w:r w:rsidR="00BB4213" w:rsidRPr="002B159C">
          <w:rPr>
            <w:rStyle w:val="Hyperlink"/>
            <w:rFonts w:ascii="Times New Roman" w:hAnsi="Times New Roman"/>
            <w:lang w:val="en-US"/>
          </w:rPr>
          <w:t>/PLEN</w:t>
        </w:r>
      </w:hyperlink>
    </w:p>
    <w:p w14:paraId="17A62B76" w14:textId="3CC90869" w:rsidR="00447A3F" w:rsidRPr="00447A3F" w:rsidRDefault="00447A3F" w:rsidP="00F75BAF">
      <w:pPr>
        <w:pStyle w:val="ListParagraph"/>
        <w:numPr>
          <w:ilvl w:val="1"/>
          <w:numId w:val="1"/>
        </w:numPr>
        <w:rPr>
          <w:rFonts w:eastAsia="SimSun"/>
          <w:lang w:eastAsia="zh-CN"/>
        </w:rPr>
      </w:pPr>
      <w:r w:rsidRPr="00447A3F">
        <w:rPr>
          <w:rFonts w:eastAsia="SimSun"/>
          <w:b/>
          <w:bCs/>
          <w:lang w:eastAsia="zh-CN"/>
        </w:rPr>
        <w:t>Dedicated Network Element:</w:t>
      </w:r>
      <w:r w:rsidRPr="00447A3F">
        <w:rPr>
          <w:rFonts w:eastAsia="SimSun"/>
          <w:lang w:eastAsia="zh-CN"/>
        </w:rPr>
        <w:t xml:space="preserve"> </w:t>
      </w:r>
      <w:r w:rsidRPr="00447A3F">
        <w:rPr>
          <w:rFonts w:eastAsia="SimSun"/>
        </w:rPr>
        <w:t>The</w:t>
      </w:r>
      <w:r w:rsidRPr="008624E9">
        <w:t xml:space="preserve"> </w:t>
      </w:r>
      <w:r>
        <w:t xml:space="preserve">network </w:t>
      </w:r>
      <w:r w:rsidRPr="00447A3F">
        <w:rPr>
          <w:rFonts w:eastAsia="SimSun"/>
        </w:rPr>
        <w:t xml:space="preserve">element that </w:t>
      </w:r>
      <w:r w:rsidRPr="00447A3F">
        <w:rPr>
          <w:rFonts w:eastAsia="SimSun" w:hint="eastAsia"/>
          <w:lang w:eastAsia="zh-CN"/>
        </w:rPr>
        <w:t>only</w:t>
      </w:r>
      <w:r w:rsidRPr="00447A3F">
        <w:rPr>
          <w:rFonts w:eastAsia="SimSun"/>
        </w:rPr>
        <w:t xml:space="preserve"> be used and managed by the owner operator.</w:t>
      </w:r>
    </w:p>
    <w:p w14:paraId="7A52971F" w14:textId="0F976C1A" w:rsidR="005F1EBA" w:rsidRPr="002B159C" w:rsidRDefault="00447A3F" w:rsidP="002B159C">
      <w:pPr>
        <w:pStyle w:val="ListParagraph"/>
        <w:numPr>
          <w:ilvl w:val="1"/>
          <w:numId w:val="1"/>
        </w:numPr>
        <w:jc w:val="both"/>
        <w:rPr>
          <w:rFonts w:eastAsia="SimSun"/>
        </w:rPr>
      </w:pPr>
      <w:r w:rsidRPr="00447A3F">
        <w:rPr>
          <w:rFonts w:eastAsia="SimSun"/>
          <w:b/>
          <w:bCs/>
        </w:rPr>
        <w:t>Shared Network Element:</w:t>
      </w:r>
      <w:r w:rsidRPr="00447A3F">
        <w:rPr>
          <w:rFonts w:eastAsia="SimSun"/>
        </w:rPr>
        <w:t xml:space="preserve"> The network element whose usage and access are shared by multiple operators, and the management of which requires the collaboration of multiple operators.</w:t>
      </w:r>
    </w:p>
    <w:p w14:paraId="56063521" w14:textId="0BF38785" w:rsidR="00206C14" w:rsidRDefault="005C232B" w:rsidP="00206C14">
      <w:pPr>
        <w:tabs>
          <w:tab w:val="left" w:pos="1560"/>
          <w:tab w:val="left" w:pos="1588"/>
          <w:tab w:val="left" w:pos="1985"/>
        </w:tabs>
        <w:overflowPunct w:val="0"/>
        <w:jc w:val="both"/>
        <w:rPr>
          <w:color w:val="000000"/>
        </w:rPr>
      </w:pPr>
      <w:r w:rsidRPr="0071229D">
        <w:t>SG</w:t>
      </w:r>
      <w:r>
        <w:t>2</w:t>
      </w:r>
      <w:r w:rsidRPr="0071229D">
        <w:t xml:space="preserve"> looks forward to collaborating closely with all the relevant parties</w:t>
      </w:r>
      <w:r>
        <w:t>.</w:t>
      </w:r>
    </w:p>
    <w:p w14:paraId="47310D47" w14:textId="77777777" w:rsidR="003B7D26" w:rsidRDefault="003B7D26" w:rsidP="00817F0C">
      <w:pPr>
        <w:jc w:val="center"/>
      </w:pPr>
    </w:p>
    <w:p w14:paraId="3FD731E9" w14:textId="77777777" w:rsidR="00FE3BB1" w:rsidRDefault="001C32D0" w:rsidP="004E557A">
      <w:pPr>
        <w:jc w:val="center"/>
      </w:pPr>
      <w:r>
        <w:t>_______________________</w:t>
      </w:r>
    </w:p>
    <w:sectPr w:rsidR="00FE3BB1" w:rsidSect="00D61827">
      <w:headerReference w:type="default" r:id="rId31"/>
      <w:pgSz w:w="11906" w:h="16838"/>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12E6" w14:textId="77777777" w:rsidR="007B78E6" w:rsidRDefault="007B78E6">
      <w:pPr>
        <w:spacing w:before="0"/>
      </w:pPr>
      <w:r>
        <w:separator/>
      </w:r>
    </w:p>
  </w:endnote>
  <w:endnote w:type="continuationSeparator" w:id="0">
    <w:p w14:paraId="5DCB6A9B" w14:textId="77777777" w:rsidR="007B78E6" w:rsidRDefault="007B78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A20B" w14:textId="77777777" w:rsidR="007B78E6" w:rsidRDefault="007B78E6">
      <w:pPr>
        <w:spacing w:before="0"/>
      </w:pPr>
      <w:r>
        <w:separator/>
      </w:r>
    </w:p>
  </w:footnote>
  <w:footnote w:type="continuationSeparator" w:id="0">
    <w:p w14:paraId="5A55A019" w14:textId="77777777" w:rsidR="007B78E6" w:rsidRDefault="007B78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AB7" w14:textId="58A45A07" w:rsidR="00FE3BB1" w:rsidRPr="00772E94" w:rsidRDefault="00772E94" w:rsidP="00772E94">
    <w:pPr>
      <w:pStyle w:val="Header"/>
      <w:rPr>
        <w:sz w:val="18"/>
      </w:rPr>
    </w:pPr>
    <w:r w:rsidRPr="00772E94">
      <w:rPr>
        <w:sz w:val="18"/>
      </w:rPr>
      <w:t xml:space="preserve">- </w:t>
    </w:r>
    <w:r w:rsidRPr="00772E94">
      <w:rPr>
        <w:sz w:val="18"/>
      </w:rPr>
      <w:fldChar w:fldCharType="begin"/>
    </w:r>
    <w:r w:rsidRPr="00772E94">
      <w:rPr>
        <w:sz w:val="18"/>
      </w:rPr>
      <w:instrText xml:space="preserve"> PAGE  \* MERGEFORMAT </w:instrText>
    </w:r>
    <w:r w:rsidRPr="00772E94">
      <w:rPr>
        <w:sz w:val="18"/>
      </w:rPr>
      <w:fldChar w:fldCharType="separate"/>
    </w:r>
    <w:r w:rsidRPr="00772E94">
      <w:rPr>
        <w:noProof/>
        <w:sz w:val="18"/>
      </w:rPr>
      <w:t>1</w:t>
    </w:r>
    <w:r w:rsidRPr="00772E94">
      <w:rPr>
        <w:sz w:val="18"/>
      </w:rPr>
      <w:fldChar w:fldCharType="end"/>
    </w:r>
    <w:r w:rsidRPr="00772E94">
      <w:rPr>
        <w:sz w:val="18"/>
      </w:rPr>
      <w:t xml:space="preserve"> -</w:t>
    </w:r>
  </w:p>
  <w:p w14:paraId="16978474" w14:textId="7CEA33DF" w:rsidR="00772E94" w:rsidRPr="00772E94" w:rsidRDefault="00772E94" w:rsidP="00772E94">
    <w:pPr>
      <w:pStyle w:val="Header"/>
      <w:spacing w:after="240"/>
      <w:rPr>
        <w:sz w:val="18"/>
      </w:rPr>
    </w:pPr>
    <w:r w:rsidRPr="00772E94">
      <w:rPr>
        <w:sz w:val="18"/>
      </w:rPr>
      <w:fldChar w:fldCharType="begin"/>
    </w:r>
    <w:r w:rsidRPr="00772E94">
      <w:rPr>
        <w:sz w:val="18"/>
      </w:rPr>
      <w:instrText xml:space="preserve"> STYLEREF  Docnumber  </w:instrText>
    </w:r>
    <w:r w:rsidRPr="00772E94">
      <w:rPr>
        <w:sz w:val="18"/>
      </w:rPr>
      <w:fldChar w:fldCharType="separate"/>
    </w:r>
    <w:r w:rsidR="007122B6">
      <w:rPr>
        <w:noProof/>
        <w:sz w:val="18"/>
      </w:rPr>
      <w:t>TSAG-TD377</w:t>
    </w:r>
    <w:r w:rsidRPr="00772E9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A980141"/>
    <w:multiLevelType w:val="multilevel"/>
    <w:tmpl w:val="1A980141"/>
    <w:lvl w:ilvl="0">
      <w:start w:val="3"/>
      <w:numFmt w:val="decimal"/>
      <w:lvlText w:val="%1"/>
      <w:lvlJc w:val="left"/>
      <w:pPr>
        <w:ind w:left="480" w:hanging="480"/>
      </w:pPr>
      <w:rPr>
        <w:b/>
      </w:rPr>
    </w:lvl>
    <w:lvl w:ilvl="1">
      <w:start w:val="2"/>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A206FC"/>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0FA19F6"/>
    <w:multiLevelType w:val="multilevel"/>
    <w:tmpl w:val="60FA19F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3686335">
    <w:abstractNumId w:val="6"/>
  </w:num>
  <w:num w:numId="2" w16cid:durableId="1399400260">
    <w:abstractNumId w:val="12"/>
  </w:num>
  <w:num w:numId="3" w16cid:durableId="1550921122">
    <w:abstractNumId w:val="9"/>
  </w:num>
  <w:num w:numId="4" w16cid:durableId="742459375">
    <w:abstractNumId w:val="2"/>
  </w:num>
  <w:num w:numId="5" w16cid:durableId="1163157114">
    <w:abstractNumId w:val="1"/>
  </w:num>
  <w:num w:numId="6" w16cid:durableId="1150097482">
    <w:abstractNumId w:val="0"/>
  </w:num>
  <w:num w:numId="7" w16cid:durableId="662781547">
    <w:abstractNumId w:val="8"/>
  </w:num>
  <w:num w:numId="8" w16cid:durableId="32317014">
    <w:abstractNumId w:val="11"/>
  </w:num>
  <w:num w:numId="9" w16cid:durableId="1141113793">
    <w:abstractNumId w:val="5"/>
  </w:num>
  <w:num w:numId="10" w16cid:durableId="1809123746">
    <w:abstractNumId w:val="3"/>
  </w:num>
  <w:num w:numId="11" w16cid:durableId="306279264">
    <w:abstractNumId w:val="7"/>
  </w:num>
  <w:num w:numId="12" w16cid:durableId="463038081">
    <w:abstractNumId w:val="10"/>
  </w:num>
  <w:num w:numId="13" w16cid:durableId="177401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42096"/>
    <w:rsid w:val="00062148"/>
    <w:rsid w:val="00064C08"/>
    <w:rsid w:val="000843EE"/>
    <w:rsid w:val="00097B3A"/>
    <w:rsid w:val="000A4878"/>
    <w:rsid w:val="000B2BDA"/>
    <w:rsid w:val="001050C8"/>
    <w:rsid w:val="00153A39"/>
    <w:rsid w:val="00163E8D"/>
    <w:rsid w:val="00164489"/>
    <w:rsid w:val="001A5C52"/>
    <w:rsid w:val="001C10D5"/>
    <w:rsid w:val="001C32D0"/>
    <w:rsid w:val="001E23D2"/>
    <w:rsid w:val="00206C14"/>
    <w:rsid w:val="00243391"/>
    <w:rsid w:val="00265C8A"/>
    <w:rsid w:val="00274337"/>
    <w:rsid w:val="00287D07"/>
    <w:rsid w:val="002918E4"/>
    <w:rsid w:val="00293348"/>
    <w:rsid w:val="002B159C"/>
    <w:rsid w:val="002B1912"/>
    <w:rsid w:val="00300E8B"/>
    <w:rsid w:val="00332914"/>
    <w:rsid w:val="0036615F"/>
    <w:rsid w:val="00385723"/>
    <w:rsid w:val="003B61C7"/>
    <w:rsid w:val="003B7D26"/>
    <w:rsid w:val="003C0801"/>
    <w:rsid w:val="003C16C2"/>
    <w:rsid w:val="003C7CFC"/>
    <w:rsid w:val="003D5BCF"/>
    <w:rsid w:val="003F0E60"/>
    <w:rsid w:val="00447A3F"/>
    <w:rsid w:val="0048111D"/>
    <w:rsid w:val="004A0968"/>
    <w:rsid w:val="004E557A"/>
    <w:rsid w:val="005213A0"/>
    <w:rsid w:val="0052589E"/>
    <w:rsid w:val="0053279E"/>
    <w:rsid w:val="00551CDB"/>
    <w:rsid w:val="0057678C"/>
    <w:rsid w:val="005C232B"/>
    <w:rsid w:val="005F1EBA"/>
    <w:rsid w:val="006152AE"/>
    <w:rsid w:val="00623465"/>
    <w:rsid w:val="00697B33"/>
    <w:rsid w:val="006B4BA1"/>
    <w:rsid w:val="006C7CA4"/>
    <w:rsid w:val="006D6898"/>
    <w:rsid w:val="006F5A22"/>
    <w:rsid w:val="006F71F3"/>
    <w:rsid w:val="007122B6"/>
    <w:rsid w:val="00743BC3"/>
    <w:rsid w:val="00765E1E"/>
    <w:rsid w:val="0077283B"/>
    <w:rsid w:val="00772E94"/>
    <w:rsid w:val="0078151A"/>
    <w:rsid w:val="00786D7D"/>
    <w:rsid w:val="00793D87"/>
    <w:rsid w:val="007A470B"/>
    <w:rsid w:val="007B1376"/>
    <w:rsid w:val="007B78E6"/>
    <w:rsid w:val="007C39CD"/>
    <w:rsid w:val="007E377A"/>
    <w:rsid w:val="007E4840"/>
    <w:rsid w:val="00800D0F"/>
    <w:rsid w:val="008112C6"/>
    <w:rsid w:val="00816504"/>
    <w:rsid w:val="00817F0C"/>
    <w:rsid w:val="00823351"/>
    <w:rsid w:val="0084111C"/>
    <w:rsid w:val="0084427D"/>
    <w:rsid w:val="00857A01"/>
    <w:rsid w:val="00864BFE"/>
    <w:rsid w:val="00882950"/>
    <w:rsid w:val="008B1FAD"/>
    <w:rsid w:val="008C6570"/>
    <w:rsid w:val="008C7B4A"/>
    <w:rsid w:val="008D3BC6"/>
    <w:rsid w:val="00904CA3"/>
    <w:rsid w:val="0091254D"/>
    <w:rsid w:val="00931011"/>
    <w:rsid w:val="00936122"/>
    <w:rsid w:val="009505B4"/>
    <w:rsid w:val="00966451"/>
    <w:rsid w:val="009722EF"/>
    <w:rsid w:val="0099486F"/>
    <w:rsid w:val="009B62B4"/>
    <w:rsid w:val="009B6562"/>
    <w:rsid w:val="009E18DF"/>
    <w:rsid w:val="00A31ACF"/>
    <w:rsid w:val="00A344D6"/>
    <w:rsid w:val="00A4451D"/>
    <w:rsid w:val="00A95B17"/>
    <w:rsid w:val="00AA0E1F"/>
    <w:rsid w:val="00AA578A"/>
    <w:rsid w:val="00AB074D"/>
    <w:rsid w:val="00AC41D7"/>
    <w:rsid w:val="00B06023"/>
    <w:rsid w:val="00B4539D"/>
    <w:rsid w:val="00B7377B"/>
    <w:rsid w:val="00BB4213"/>
    <w:rsid w:val="00BC5378"/>
    <w:rsid w:val="00C04A67"/>
    <w:rsid w:val="00C0640F"/>
    <w:rsid w:val="00C112CD"/>
    <w:rsid w:val="00C21C0C"/>
    <w:rsid w:val="00C54AD2"/>
    <w:rsid w:val="00C7734B"/>
    <w:rsid w:val="00CB247E"/>
    <w:rsid w:val="00CB4F2C"/>
    <w:rsid w:val="00CC1EF7"/>
    <w:rsid w:val="00CE5801"/>
    <w:rsid w:val="00D11776"/>
    <w:rsid w:val="00D13BA2"/>
    <w:rsid w:val="00D20464"/>
    <w:rsid w:val="00D3606D"/>
    <w:rsid w:val="00D433B4"/>
    <w:rsid w:val="00D47306"/>
    <w:rsid w:val="00D61827"/>
    <w:rsid w:val="00D81E67"/>
    <w:rsid w:val="00D84F2F"/>
    <w:rsid w:val="00DB1FB6"/>
    <w:rsid w:val="00DC0669"/>
    <w:rsid w:val="00DD469B"/>
    <w:rsid w:val="00E126ED"/>
    <w:rsid w:val="00E14AC2"/>
    <w:rsid w:val="00E1749B"/>
    <w:rsid w:val="00E37586"/>
    <w:rsid w:val="00E742F6"/>
    <w:rsid w:val="00EC18B3"/>
    <w:rsid w:val="00ED7318"/>
    <w:rsid w:val="00EE1EF2"/>
    <w:rsid w:val="00EE5A5D"/>
    <w:rsid w:val="00EF53E8"/>
    <w:rsid w:val="00F1527F"/>
    <w:rsid w:val="00F25755"/>
    <w:rsid w:val="00F67ACB"/>
    <w:rsid w:val="00F75BAF"/>
    <w:rsid w:val="00FA79AA"/>
    <w:rsid w:val="00FE2DB7"/>
    <w:rsid w:val="00FE2F53"/>
    <w:rsid w:val="00FE3BB1"/>
    <w:rsid w:val="00FE42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10">
    <w:name w:val="Заголовок1"/>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1">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6">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7">
    <w:name w:val="Содержимое таблицы"/>
    <w:basedOn w:val="Normal"/>
    <w:qFormat/>
    <w:rsid w:val="00D81E67"/>
    <w:pPr>
      <w:suppressLineNumbers/>
    </w:pPr>
  </w:style>
  <w:style w:type="paragraph" w:customStyle="1" w:styleId="a8">
    <w:name w:val="Заголовок таблицы"/>
    <w:basedOn w:val="a7"/>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customStyle="1" w:styleId="rynqvb">
    <w:name w:val="rynqvb"/>
    <w:basedOn w:val="DefaultParagraphFont"/>
    <w:rsid w:val="0052589E"/>
  </w:style>
  <w:style w:type="paragraph" w:customStyle="1" w:styleId="Note">
    <w:name w:val="Note"/>
    <w:basedOn w:val="Normal"/>
    <w:qFormat/>
    <w:rsid w:val="007E4840"/>
    <w:pPr>
      <w:tabs>
        <w:tab w:val="left" w:pos="794"/>
        <w:tab w:val="left" w:pos="1191"/>
        <w:tab w:val="left" w:pos="1588"/>
        <w:tab w:val="left" w:pos="1985"/>
      </w:tabs>
      <w:overflowPunct w:val="0"/>
      <w:autoSpaceDE w:val="0"/>
      <w:autoSpaceDN w:val="0"/>
      <w:adjustRightInd w:val="0"/>
      <w:spacing w:before="80"/>
      <w:jc w:val="both"/>
    </w:pPr>
    <w:rPr>
      <w:rFonts w:eastAsia="Times New Roman"/>
      <w:sz w:val="22"/>
      <w:szCs w:val="20"/>
      <w:lang w:eastAsia="en-US"/>
    </w:rPr>
  </w:style>
  <w:style w:type="character" w:customStyle="1" w:styleId="Bold">
    <w:name w:val="Bold"/>
    <w:basedOn w:val="DefaultParagraphFont"/>
    <w:qFormat/>
    <w:rsid w:val="000843EE"/>
    <w:rPr>
      <w:b/>
    </w:rPr>
  </w:style>
  <w:style w:type="paragraph" w:styleId="BodyTextIndent2">
    <w:name w:val="Body Text Indent 2"/>
    <w:basedOn w:val="Normal"/>
    <w:link w:val="BodyTextIndent2Char"/>
    <w:uiPriority w:val="99"/>
    <w:semiHidden/>
    <w:unhideWhenUsed/>
    <w:rsid w:val="00097B3A"/>
    <w:pPr>
      <w:spacing w:after="120" w:line="480" w:lineRule="auto"/>
      <w:ind w:left="283"/>
    </w:pPr>
  </w:style>
  <w:style w:type="character" w:customStyle="1" w:styleId="BodyTextIndent2Char">
    <w:name w:val="Body Text Indent 2 Char"/>
    <w:basedOn w:val="DefaultParagraphFont"/>
    <w:link w:val="BodyTextIndent2"/>
    <w:uiPriority w:val="99"/>
    <w:semiHidden/>
    <w:rsid w:val="00097B3A"/>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097B3A"/>
    <w:rPr>
      <w:sz w:val="16"/>
      <w:szCs w:val="16"/>
    </w:rPr>
  </w:style>
  <w:style w:type="paragraph" w:styleId="CommentText">
    <w:name w:val="annotation text"/>
    <w:basedOn w:val="Normal"/>
    <w:link w:val="CommentTextChar"/>
    <w:uiPriority w:val="99"/>
    <w:unhideWhenUsed/>
    <w:rsid w:val="00097B3A"/>
    <w:rPr>
      <w:sz w:val="20"/>
      <w:szCs w:val="20"/>
    </w:rPr>
  </w:style>
  <w:style w:type="character" w:customStyle="1" w:styleId="CommentTextChar">
    <w:name w:val="Comment Text Char"/>
    <w:basedOn w:val="DefaultParagraphFont"/>
    <w:link w:val="CommentText"/>
    <w:uiPriority w:val="99"/>
    <w:rsid w:val="00097B3A"/>
    <w:rPr>
      <w:rFonts w:ascii="Times New Roman" w:hAnsi="Times New Roman" w:cs="Times New Roman"/>
      <w:szCs w:val="20"/>
      <w:lang w:val="en-GB" w:eastAsia="ja-JP"/>
    </w:rPr>
  </w:style>
  <w:style w:type="character" w:styleId="UnresolvedMention">
    <w:name w:val="Unresolved Mention"/>
    <w:basedOn w:val="DefaultParagraphFont"/>
    <w:uiPriority w:val="99"/>
    <w:semiHidden/>
    <w:unhideWhenUsed/>
    <w:rsid w:val="00772E94"/>
    <w:rPr>
      <w:color w:val="605E5C"/>
      <w:shd w:val="clear" w:color="auto" w:fill="E1DFDD"/>
    </w:rPr>
  </w:style>
  <w:style w:type="paragraph" w:customStyle="1" w:styleId="TSBHeaderQuestion">
    <w:name w:val="TSBHeaderQuestion"/>
    <w:basedOn w:val="Normal"/>
    <w:rsid w:val="00D61827"/>
    <w:rPr>
      <w:rFonts w:eastAsia="DengXian"/>
      <w:lang w:eastAsia="en-GB"/>
    </w:rPr>
  </w:style>
  <w:style w:type="paragraph" w:customStyle="1" w:styleId="TSBHeaderRight14">
    <w:name w:val="TSBHeaderRight14"/>
    <w:basedOn w:val="Normal"/>
    <w:rsid w:val="00D61827"/>
    <w:pPr>
      <w:jc w:val="right"/>
    </w:pPr>
    <w:rPr>
      <w:rFonts w:eastAsia="DengXian"/>
      <w:b/>
      <w:bCs/>
      <w:sz w:val="28"/>
      <w:szCs w:val="28"/>
      <w:lang w:eastAsia="en-GB"/>
    </w:rPr>
  </w:style>
  <w:style w:type="paragraph" w:customStyle="1" w:styleId="TSBHeaderSource">
    <w:name w:val="TSBHeaderSource"/>
    <w:basedOn w:val="Normal"/>
    <w:rsid w:val="00D61827"/>
    <w:rPr>
      <w:rFonts w:eastAsia="DengXian"/>
      <w:lang w:eastAsia="en-GB"/>
    </w:rPr>
  </w:style>
  <w:style w:type="paragraph" w:customStyle="1" w:styleId="TSBHeaderSummary">
    <w:name w:val="TSBHeaderSummary"/>
    <w:basedOn w:val="Normal"/>
    <w:rsid w:val="00D61827"/>
    <w:rPr>
      <w:rFonts w:eastAsia="DengXian"/>
      <w:lang w:eastAsia="en-GB"/>
    </w:rPr>
  </w:style>
  <w:style w:type="paragraph" w:customStyle="1" w:styleId="TSBHeaderTitle">
    <w:name w:val="TSBHeaderTitle"/>
    <w:basedOn w:val="Normal"/>
    <w:rsid w:val="00D61827"/>
    <w:rPr>
      <w:rFonts w:eastAsia="DengXian"/>
      <w:lang w:eastAsia="en-GB"/>
    </w:rPr>
  </w:style>
  <w:style w:type="paragraph" w:customStyle="1" w:styleId="VenueDate">
    <w:name w:val="VenueDate"/>
    <w:basedOn w:val="Normal"/>
    <w:rsid w:val="00D61827"/>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7-sg2-oLS-00071.docx" TargetMode="External"/><Relationship Id="rId18" Type="http://schemas.openxmlformats.org/officeDocument/2006/relationships/hyperlink" Target="https://www.itu.int/md/T22-SG02-231108-TD-PLEN-0330" TargetMode="External"/><Relationship Id="rId26" Type="http://schemas.openxmlformats.org/officeDocument/2006/relationships/hyperlink" Target="https://www.itu.int/md/T22-SG02-231108-TD-PLEN-0358" TargetMode="External"/><Relationship Id="rId3" Type="http://schemas.openxmlformats.org/officeDocument/2006/relationships/customXml" Target="../customXml/item3.xml"/><Relationship Id="rId21" Type="http://schemas.openxmlformats.org/officeDocument/2006/relationships/hyperlink" Target="https://www.itu.int/md/T22-SG02-231108-TD-PLEN-0352" TargetMode="External"/><Relationship Id="rId7" Type="http://schemas.openxmlformats.org/officeDocument/2006/relationships/settings" Target="settings.xml"/><Relationship Id="rId12" Type="http://schemas.openxmlformats.org/officeDocument/2006/relationships/hyperlink" Target="http://handle.itu.int/11.1002/ls/sp17-sg2-oLS-00071.docx" TargetMode="External"/><Relationship Id="rId17" Type="http://schemas.openxmlformats.org/officeDocument/2006/relationships/hyperlink" Target="https://www.itu.int/md/T22-SG02-231108-TD-PLEN-0327" TargetMode="External"/><Relationship Id="rId25" Type="http://schemas.openxmlformats.org/officeDocument/2006/relationships/hyperlink" Target="https://www.itu.int/md/T22-SG02-231108-TD-PLEN-035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T22-SG02-231108-TD-PLEN-0300" TargetMode="External"/><Relationship Id="rId20" Type="http://schemas.openxmlformats.org/officeDocument/2006/relationships/hyperlink" Target="https://www.itu.int/md/T22-SG02-231108-TD-PLEN-0382" TargetMode="External"/><Relationship Id="rId29" Type="http://schemas.openxmlformats.org/officeDocument/2006/relationships/hyperlink" Target="https://www.itu.int/md/T22-SG02-231108-TD-PLEN-03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SG02-231108-TD-PLEN-035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SG02-231108-TD-PLEN-0299" TargetMode="External"/><Relationship Id="rId23" Type="http://schemas.openxmlformats.org/officeDocument/2006/relationships/hyperlink" Target="https://www.itu.int/md/T22-SG02-231108-TD-PLEN-0355" TargetMode="External"/><Relationship Id="rId28" Type="http://schemas.openxmlformats.org/officeDocument/2006/relationships/hyperlink" Target="https://www.itu.int/md/T22-SG02-231108-TD-PLEN-0363" TargetMode="External"/><Relationship Id="rId10" Type="http://schemas.openxmlformats.org/officeDocument/2006/relationships/endnotes" Target="endnotes.xml"/><Relationship Id="rId19" Type="http://schemas.openxmlformats.org/officeDocument/2006/relationships/hyperlink" Target="https://www.itu.int/md/T22-SG02-231108-TD-PLEN-033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2-231108-TD-GEN-0364/en" TargetMode="External"/><Relationship Id="rId22" Type="http://schemas.openxmlformats.org/officeDocument/2006/relationships/hyperlink" Target="https://www.itu.int/md/T22-SG02-231108-TD-PLEN-0354" TargetMode="External"/><Relationship Id="rId27" Type="http://schemas.openxmlformats.org/officeDocument/2006/relationships/hyperlink" Target="https://www.itu.int/md/T22-SG02-231108-TD-PLEN-0361" TargetMode="External"/><Relationship Id="rId30" Type="http://schemas.openxmlformats.org/officeDocument/2006/relationships/hyperlink" Target="https://www.itu.int/md/T22-SG02-231108-TD-PLEN-0379"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 xsi:nil="true"/>
    <Purpose xmlns="3f6fad35-1f81-480e-a4e5-6e5474dcfb96">Admin</Purpose>
    <Abstract xmlns="3f6fad35-1f81-480e-a4e5-6e5474dcfb96">This Liaison Statemnet outlines the current terms and definitions activities within ITU-T SG2.</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1/2</QuestionText>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Source xmlns="3f6fad35-1f81-480e-a4e5-6e5474dcfb96">Rapporteur Q1/2</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purl.org/dc/elements/1.1/"/>
    <ds:schemaRef ds:uri="http://schemas.microsoft.com/office/infopath/2007/PartnerControls"/>
    <ds:schemaRef ds:uri="http://schemas.microsoft.com/sharepoint.v3"/>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3f6fad35-1f81-480e-a4e5-6e5474dcfb96"/>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819A7-D0FA-4F84-829F-8CE4B53ACE9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3213</Words>
  <Characters>18316</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on SCV activity in SG2 [to SCV/CCV/CCT, TSAG, ITU-T SG3, SG5, SG9, SG11, SG12, SG13, SG15, SG16, SG17, SG20, FG-AI4EE]</vt:lpstr>
      <vt:lpstr>LS/o to SG20 regarding SG2 work on certain aspects of IoT naming, numbering and identification [to ITU-T SG20]</vt:lpstr>
    </vt:vector>
  </TitlesOfParts>
  <Manager>ITU-T</Manager>
  <Company>International Telecommunication Union (ITU)</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SCV activity in SG2 [to SCV/CCV/CCT, TSAG, ITU-T SG3, SG5, SG9, SG11, SG12, SG13, SG15, SG16, SG17, SG20, FG-AI4EE]</dc:title>
  <dc:creator>ITU-T Study Group 2</dc:creator>
  <cp:keywords>SCV; terms; definitions</cp:keywords>
  <dc:description>SG2-LS71  For: Geneva, 8-17 November 2023_x000d_Document date: _x000d_Saved by ITU51014924 at 09:29:25 on 20.11.2023</dc:description>
  <cp:lastModifiedBy>Al-Mnini, Lara</cp:lastModifiedBy>
  <cp:revision>3</cp:revision>
  <cp:lastPrinted>2016-12-23T12:52:00Z</cp:lastPrinted>
  <dcterms:created xsi:type="dcterms:W3CDTF">2023-11-21T07:22:00Z</dcterms:created>
  <dcterms:modified xsi:type="dcterms:W3CDTF">2023-11-21T07:36:00Z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All/2</vt:lpwstr>
  </property>
  <property fmtid="{D5CDD505-2E9C-101B-9397-08002B2CF9AE}" pid="7" name="Docdate">
    <vt:lpwstr/>
  </property>
  <property fmtid="{D5CDD505-2E9C-101B-9397-08002B2CF9AE}" pid="8" name="Docdest">
    <vt:lpwstr>Geneva, 8-17 November 2023</vt:lpwstr>
  </property>
  <property fmtid="{D5CDD505-2E9C-101B-9397-08002B2CF9AE}" pid="9" name="Docnum">
    <vt:lpwstr>SG2-LS71</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ies>
</file>