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3700AC" w14:paraId="6A641586" w14:textId="77777777" w:rsidTr="00073F07">
        <w:trPr>
          <w:cantSplit/>
        </w:trPr>
        <w:tc>
          <w:tcPr>
            <w:tcW w:w="1160" w:type="dxa"/>
            <w:vMerge w:val="restart"/>
            <w:vAlign w:val="center"/>
          </w:tcPr>
          <w:p w14:paraId="09D681A7" w14:textId="77777777" w:rsidR="003700AC" w:rsidRDefault="003700AC" w:rsidP="004719B3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40D53073" wp14:editId="4DB08996">
                  <wp:extent cx="650240" cy="706120"/>
                  <wp:effectExtent l="0" t="0" r="0" b="0"/>
                  <wp:docPr id="385744536" name="Picture 385744536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0538A3A9" w14:textId="77777777" w:rsidR="003700AC" w:rsidRDefault="003700AC" w:rsidP="004719B3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8EB4283" w14:textId="77777777" w:rsidR="003700AC" w:rsidRDefault="003700AC" w:rsidP="004719B3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4639DAB" w14:textId="77777777" w:rsidR="003700AC" w:rsidRDefault="003700AC" w:rsidP="004719B3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CA46930" w14:textId="77777777" w:rsidR="003700AC" w:rsidRDefault="003700AC" w:rsidP="004719B3">
            <w:pPr>
              <w:pStyle w:val="Docnumber"/>
            </w:pPr>
            <w:r>
              <w:t>TSAG-TD358</w:t>
            </w:r>
          </w:p>
        </w:tc>
      </w:tr>
      <w:tr w:rsidR="003700AC" w14:paraId="619FF301" w14:textId="77777777" w:rsidTr="00073F07">
        <w:trPr>
          <w:cantSplit/>
          <w:trHeight w:val="461"/>
        </w:trPr>
        <w:tc>
          <w:tcPr>
            <w:tcW w:w="1160" w:type="dxa"/>
            <w:vMerge/>
          </w:tcPr>
          <w:p w14:paraId="1C9AB3A3" w14:textId="77777777" w:rsidR="003700AC" w:rsidRDefault="003700AC" w:rsidP="004719B3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75EA34A6" w14:textId="77777777" w:rsidR="003700AC" w:rsidRDefault="003700AC" w:rsidP="004719B3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34F2CC9A" w14:textId="77777777" w:rsidR="003700AC" w:rsidRDefault="003700AC" w:rsidP="004719B3">
            <w:pPr>
              <w:pStyle w:val="TSBHeaderRight14"/>
            </w:pPr>
            <w:r>
              <w:t>TSAG</w:t>
            </w:r>
          </w:p>
        </w:tc>
      </w:tr>
      <w:tr w:rsidR="003700AC" w14:paraId="4E8C6A9F" w14:textId="77777777" w:rsidTr="00073F07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03A5D01" w14:textId="77777777" w:rsidR="003700AC" w:rsidRDefault="003700AC" w:rsidP="004719B3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6A0EE1ED" w14:textId="77777777" w:rsidR="003700AC" w:rsidRDefault="003700AC" w:rsidP="004719B3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57FE36E2" w14:textId="77777777" w:rsidR="003700AC" w:rsidRDefault="003700AC" w:rsidP="004719B3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3700AC" w14:paraId="2B85812B" w14:textId="77777777" w:rsidTr="00073F07">
        <w:trPr>
          <w:cantSplit/>
          <w:trHeight w:val="357"/>
        </w:trPr>
        <w:tc>
          <w:tcPr>
            <w:tcW w:w="1508" w:type="dxa"/>
            <w:gridSpan w:val="2"/>
          </w:tcPr>
          <w:p w14:paraId="7BE32C86" w14:textId="77777777" w:rsidR="003700AC" w:rsidRDefault="003700AC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55301DEB" w14:textId="41AEDFBF" w:rsidR="003700AC" w:rsidRDefault="00073F07" w:rsidP="004719B3">
            <w:pPr>
              <w:pStyle w:val="TSBHeaderQuestion"/>
            </w:pPr>
            <w:r>
              <w:t>N/</w:t>
            </w:r>
            <w:r w:rsidR="003700AC">
              <w:t>A</w:t>
            </w:r>
          </w:p>
        </w:tc>
        <w:tc>
          <w:tcPr>
            <w:tcW w:w="3525" w:type="dxa"/>
          </w:tcPr>
          <w:p w14:paraId="31F8A959" w14:textId="77777777" w:rsidR="003700AC" w:rsidRDefault="003700AC" w:rsidP="004719B3">
            <w:pPr>
              <w:pStyle w:val="VenueDate"/>
            </w:pPr>
            <w:r>
              <w:t>Geneva, 22-26 January 2024</w:t>
            </w:r>
          </w:p>
        </w:tc>
      </w:tr>
      <w:tr w:rsidR="003700AC" w14:paraId="453BB79D" w14:textId="77777777" w:rsidTr="004719B3">
        <w:trPr>
          <w:cantSplit/>
          <w:trHeight w:val="357"/>
        </w:trPr>
        <w:tc>
          <w:tcPr>
            <w:tcW w:w="9639" w:type="dxa"/>
            <w:gridSpan w:val="6"/>
          </w:tcPr>
          <w:p w14:paraId="3BB90D30" w14:textId="455C37BA" w:rsidR="003700AC" w:rsidRDefault="003700AC" w:rsidP="004719B3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73F0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SG12-LS40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3700AC" w14:paraId="4ED396B8" w14:textId="77777777" w:rsidTr="00073F07">
        <w:trPr>
          <w:cantSplit/>
          <w:trHeight w:val="357"/>
        </w:trPr>
        <w:tc>
          <w:tcPr>
            <w:tcW w:w="1508" w:type="dxa"/>
            <w:gridSpan w:val="2"/>
          </w:tcPr>
          <w:p w14:paraId="1EFFDF53" w14:textId="77777777" w:rsidR="003700AC" w:rsidRDefault="003700AC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9272C19" w14:textId="77777777" w:rsidR="003700AC" w:rsidRDefault="003700AC" w:rsidP="004719B3">
            <w:pPr>
              <w:pStyle w:val="TSBHeaderSource"/>
            </w:pPr>
            <w:r>
              <w:t>ITU-T Study Group 12</w:t>
            </w:r>
          </w:p>
        </w:tc>
      </w:tr>
      <w:tr w:rsidR="003700AC" w14:paraId="4A530913" w14:textId="77777777" w:rsidTr="00073F07">
        <w:trPr>
          <w:cantSplit/>
          <w:trHeight w:val="357"/>
        </w:trPr>
        <w:tc>
          <w:tcPr>
            <w:tcW w:w="1508" w:type="dxa"/>
            <w:gridSpan w:val="2"/>
          </w:tcPr>
          <w:p w14:paraId="2649F04E" w14:textId="77777777" w:rsidR="003700AC" w:rsidRDefault="003700AC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D94A38B" w14:textId="169DEDFA" w:rsidR="003700AC" w:rsidRDefault="003700AC" w:rsidP="004719B3">
            <w:pPr>
              <w:pStyle w:val="TSBHeaderTitle"/>
            </w:pPr>
            <w:r>
              <w:t>LS</w:t>
            </w:r>
            <w:r w:rsidR="00073F07">
              <w:t>/i</w:t>
            </w:r>
            <w:r>
              <w:t xml:space="preserve"> on deletion of P.862.[x] Recommendations</w:t>
            </w:r>
            <w:r w:rsidR="00073F07">
              <w:t xml:space="preserve"> [from ITU-T SG12]</w:t>
            </w:r>
          </w:p>
        </w:tc>
      </w:tr>
      <w:tr w:rsidR="003700AC" w14:paraId="2698693F" w14:textId="77777777" w:rsidTr="004719B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E900839" w14:textId="77777777" w:rsidR="003700AC" w:rsidRDefault="003700AC" w:rsidP="004719B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700AC" w14:paraId="0610EBC7" w14:textId="77777777" w:rsidTr="00073F07">
        <w:trPr>
          <w:cantSplit/>
          <w:trHeight w:val="357"/>
        </w:trPr>
        <w:tc>
          <w:tcPr>
            <w:tcW w:w="2187" w:type="dxa"/>
            <w:gridSpan w:val="3"/>
          </w:tcPr>
          <w:p w14:paraId="400A5726" w14:textId="77777777" w:rsidR="003700AC" w:rsidRDefault="003700AC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67BE2EA9" w14:textId="3D77B49B" w:rsidR="003700AC" w:rsidRDefault="00073F07" w:rsidP="004719B3">
            <w:r>
              <w:t xml:space="preserve">ITU-T </w:t>
            </w:r>
            <w:r w:rsidR="003700AC">
              <w:t>SG2, SG3, SG5, SG9, SG11, SG13, SG15, SG16, SG17, SG20</w:t>
            </w:r>
            <w:r>
              <w:t xml:space="preserve">, </w:t>
            </w:r>
            <w:r>
              <w:t>TSAG</w:t>
            </w:r>
          </w:p>
        </w:tc>
      </w:tr>
      <w:tr w:rsidR="003700AC" w14:paraId="387842E3" w14:textId="77777777" w:rsidTr="00073F07">
        <w:trPr>
          <w:cantSplit/>
          <w:trHeight w:val="357"/>
        </w:trPr>
        <w:tc>
          <w:tcPr>
            <w:tcW w:w="2187" w:type="dxa"/>
            <w:gridSpan w:val="3"/>
          </w:tcPr>
          <w:p w14:paraId="5231F7BA" w14:textId="77777777" w:rsidR="003700AC" w:rsidRDefault="003700AC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61F96A84" w14:textId="77777777" w:rsidR="003700AC" w:rsidRDefault="003700AC" w:rsidP="004719B3">
            <w:r>
              <w:t>-</w:t>
            </w:r>
          </w:p>
        </w:tc>
      </w:tr>
      <w:tr w:rsidR="003700AC" w14:paraId="29838AB7" w14:textId="77777777" w:rsidTr="00073F07">
        <w:trPr>
          <w:cantSplit/>
          <w:trHeight w:val="357"/>
        </w:trPr>
        <w:tc>
          <w:tcPr>
            <w:tcW w:w="2187" w:type="dxa"/>
            <w:gridSpan w:val="3"/>
          </w:tcPr>
          <w:p w14:paraId="78AADEBF" w14:textId="77777777" w:rsidR="003700AC" w:rsidRDefault="003700AC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4E302EE3" w14:textId="77777777" w:rsidR="003700AC" w:rsidRDefault="003700AC" w:rsidP="004719B3">
            <w:r>
              <w:t>ITU-T Study Group 12 meeting (Mexico City, 28 September 2023)</w:t>
            </w:r>
          </w:p>
        </w:tc>
      </w:tr>
      <w:tr w:rsidR="003700AC" w14:paraId="2FBDF72C" w14:textId="77777777" w:rsidTr="00073F07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66D5690" w14:textId="77777777" w:rsidR="003700AC" w:rsidRDefault="003700AC" w:rsidP="004719B3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1B9EA21D" w14:textId="77777777" w:rsidR="003700AC" w:rsidRDefault="003700AC" w:rsidP="004719B3">
            <w:r>
              <w:t>-</w:t>
            </w:r>
          </w:p>
        </w:tc>
      </w:tr>
      <w:tr w:rsidR="00073F07" w14:paraId="79A8F3A5" w14:textId="77777777" w:rsidTr="00073F0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5C01526" w14:textId="77777777" w:rsidR="00073F07" w:rsidRDefault="00073F07" w:rsidP="00073F0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5C1149C8" w14:textId="77777777" w:rsidR="00073F07" w:rsidRDefault="00073F07" w:rsidP="00073F07">
            <w:pPr>
              <w:rPr>
                <w:lang w:val="fr-FR"/>
              </w:rPr>
            </w:pPr>
            <w:r>
              <w:rPr>
                <w:lang w:val="fr-FR"/>
              </w:rPr>
              <w:t>Tania Villa</w:t>
            </w:r>
          </w:p>
          <w:p w14:paraId="1E485420" w14:textId="77777777" w:rsidR="00073F07" w:rsidRDefault="00073F07" w:rsidP="00073F07">
            <w:pPr>
              <w:spacing w:before="0"/>
              <w:rPr>
                <w:lang w:val="fr-FR"/>
              </w:rPr>
            </w:pPr>
            <w:r>
              <w:rPr>
                <w:lang w:val="fr-FR"/>
              </w:rPr>
              <w:t>SG12 Chair</w:t>
            </w:r>
          </w:p>
          <w:p w14:paraId="54F81531" w14:textId="57D01AA1" w:rsidR="00073F07" w:rsidRDefault="00073F07" w:rsidP="00073F07">
            <w:pPr>
              <w:spacing w:before="0"/>
            </w:pPr>
            <w:r>
              <w:rPr>
                <w:lang w:val="es-MX"/>
              </w:rPr>
              <w:t xml:space="preserve">IFT, </w:t>
            </w:r>
            <w:r w:rsidRPr="009D1837">
              <w:rPr>
                <w:lang w:val="es-MX"/>
              </w:rPr>
              <w:t>Mexico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4C51D018" w14:textId="6F350FF4" w:rsidR="00073F07" w:rsidRDefault="00073F07" w:rsidP="00073F07">
            <w:r w:rsidRPr="00073F07">
              <w:t>E-mail:</w:t>
            </w:r>
            <w:r w:rsidRPr="00073F07">
              <w:tab/>
            </w:r>
            <w:hyperlink r:id="rId12" w:history="1">
              <w:r w:rsidRPr="00073F07">
                <w:rPr>
                  <w:rStyle w:val="Hyperlink"/>
                  <w:rFonts w:ascii="Times New Roman" w:hAnsi="Times New Roman"/>
                </w:rPr>
                <w:t>tania.villa@ift.org.mx</w:t>
              </w:r>
            </w:hyperlink>
            <w:r w:rsidRPr="00073F07">
              <w:t xml:space="preserve"> </w:t>
            </w:r>
          </w:p>
        </w:tc>
      </w:tr>
      <w:tr w:rsidR="00073F07" w:rsidRPr="00B33BDB" w14:paraId="3BF5EDE8" w14:textId="77777777" w:rsidTr="00073F0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197F35B" w14:textId="77777777" w:rsidR="00073F07" w:rsidRDefault="00073F07" w:rsidP="00073F0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03EE76F1" w14:textId="77777777" w:rsidR="00073F07" w:rsidRPr="00B33BDB" w:rsidRDefault="00073F07" w:rsidP="00073F07">
            <w:pPr>
              <w:rPr>
                <w:lang w:val="de-DE"/>
              </w:rPr>
            </w:pPr>
            <w:r w:rsidRPr="00B33BDB">
              <w:rPr>
                <w:lang w:val="de-DE"/>
              </w:rPr>
              <w:t>Jens Berger</w:t>
            </w:r>
          </w:p>
          <w:p w14:paraId="6E55BC70" w14:textId="77777777" w:rsidR="00073F07" w:rsidRPr="00B33BDB" w:rsidRDefault="00073F07" w:rsidP="00073F07">
            <w:pPr>
              <w:spacing w:before="0"/>
              <w:rPr>
                <w:lang w:val="de-DE"/>
              </w:rPr>
            </w:pPr>
            <w:r w:rsidRPr="00B33BDB">
              <w:rPr>
                <w:lang w:val="de-DE"/>
              </w:rPr>
              <w:t>Rapporteur, Q9/12</w:t>
            </w:r>
          </w:p>
          <w:p w14:paraId="1D5FD1FD" w14:textId="6A2AFA10" w:rsidR="00073F07" w:rsidRPr="00B33BDB" w:rsidRDefault="00073F07" w:rsidP="00073F07">
            <w:pPr>
              <w:spacing w:before="0"/>
              <w:rPr>
                <w:lang w:val="de-DE"/>
              </w:rPr>
            </w:pPr>
            <w:r w:rsidRPr="00B33BDB">
              <w:rPr>
                <w:lang w:val="de-DE"/>
              </w:rPr>
              <w:t xml:space="preserve">Rohde &amp; Schwarz, Switzerland 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000787EB" w14:textId="53BB12E7" w:rsidR="00073F07" w:rsidRPr="00B33BDB" w:rsidRDefault="00073F07" w:rsidP="00073F07">
            <w:pPr>
              <w:rPr>
                <w:lang w:val="de-DE"/>
              </w:rPr>
            </w:pPr>
            <w:r w:rsidRPr="00B33BDB">
              <w:rPr>
                <w:lang w:val="de-DE"/>
              </w:rPr>
              <w:t xml:space="preserve">E-mail: </w:t>
            </w:r>
            <w:hyperlink r:id="rId13" w:history="1">
              <w:r w:rsidRPr="00B33BDB">
                <w:rPr>
                  <w:rStyle w:val="Hyperlink"/>
                  <w:rFonts w:ascii="Times New Roman" w:hAnsi="Times New Roman"/>
                  <w:lang w:val="de-DE"/>
                </w:rPr>
                <w:t>jens.berger@rohde-schwarz.com</w:t>
              </w:r>
            </w:hyperlink>
            <w:r w:rsidRPr="00B33BDB">
              <w:rPr>
                <w:lang w:val="de-DE"/>
              </w:rPr>
              <w:t xml:space="preserve"> </w:t>
            </w:r>
          </w:p>
        </w:tc>
      </w:tr>
    </w:tbl>
    <w:p w14:paraId="64B4A536" w14:textId="77777777" w:rsidR="003700AC" w:rsidRPr="00B33BDB" w:rsidRDefault="003700AC" w:rsidP="003700AC">
      <w:pPr>
        <w:rPr>
          <w:lang w:val="de-DE"/>
        </w:rPr>
      </w:pPr>
    </w:p>
    <w:p w14:paraId="45D0235F" w14:textId="77777777" w:rsidR="003700AC" w:rsidRDefault="003700AC" w:rsidP="003700AC">
      <w:r>
        <w:t>A new liaison statement has been received from SG12.</w:t>
      </w:r>
    </w:p>
    <w:p w14:paraId="5CE9C48C" w14:textId="77777777" w:rsidR="003700AC" w:rsidRDefault="003700AC" w:rsidP="003700AC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http://handle.itu.int/11.1002/ls/sp17-sg12-oLS-00040.docx</w:t>
        </w:r>
      </w:hyperlink>
      <w:r>
        <w:t>.</w:t>
      </w:r>
    </w:p>
    <w:p w14:paraId="0F260687" w14:textId="77777777" w:rsidR="003700AC" w:rsidRDefault="003700AC" w:rsidP="003700AC">
      <w:pPr>
        <w:spacing w:before="0"/>
        <w:jc w:val="center"/>
      </w:pPr>
    </w:p>
    <w:p w14:paraId="476B60C3" w14:textId="77777777" w:rsidR="003700AC" w:rsidRDefault="003700AC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582"/>
        <w:gridCol w:w="3260"/>
        <w:gridCol w:w="68"/>
        <w:gridCol w:w="4184"/>
      </w:tblGrid>
      <w:tr w:rsidR="009E0F16" w:rsidRPr="009E0F16" w14:paraId="43AAF71A" w14:textId="77777777" w:rsidTr="2636E1B2">
        <w:trPr>
          <w:cantSplit/>
        </w:trPr>
        <w:tc>
          <w:tcPr>
            <w:tcW w:w="1104" w:type="dxa"/>
            <w:vMerge w:val="restart"/>
            <w:vAlign w:val="center"/>
          </w:tcPr>
          <w:p w14:paraId="113BF31E" w14:textId="491861C3" w:rsidR="009E0F16" w:rsidRPr="009E0F16" w:rsidRDefault="009E0F16" w:rsidP="009E0F16">
            <w:pPr>
              <w:spacing w:before="0"/>
              <w:jc w:val="center"/>
              <w:rPr>
                <w:sz w:val="20"/>
                <w:szCs w:val="20"/>
              </w:rPr>
            </w:pPr>
            <w:r w:rsidRPr="009E0F16">
              <w:rPr>
                <w:noProof/>
              </w:rPr>
              <w:lastRenderedPageBreak/>
              <w:drawing>
                <wp:inline distT="0" distB="0" distL="0" distR="0" wp14:anchorId="7CE5147B" wp14:editId="7B4F9BF4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43EA91F3" w14:textId="77777777" w:rsidR="009E0F16" w:rsidRPr="009E0F16" w:rsidRDefault="009E0F16" w:rsidP="009E0F16">
            <w:pPr>
              <w:rPr>
                <w:sz w:val="16"/>
                <w:szCs w:val="16"/>
              </w:rPr>
            </w:pPr>
            <w:r w:rsidRPr="009E0F16">
              <w:rPr>
                <w:sz w:val="16"/>
                <w:szCs w:val="16"/>
              </w:rPr>
              <w:t>INTERNATIONAL TELECOMMUNICATION UNION</w:t>
            </w:r>
          </w:p>
          <w:p w14:paraId="18EDFF21" w14:textId="77777777" w:rsidR="009E0F16" w:rsidRPr="009E0F16" w:rsidRDefault="009E0F16" w:rsidP="009E0F16">
            <w:pPr>
              <w:rPr>
                <w:b/>
                <w:bCs/>
                <w:sz w:val="26"/>
                <w:szCs w:val="26"/>
              </w:rPr>
            </w:pPr>
            <w:r w:rsidRPr="009E0F16">
              <w:rPr>
                <w:b/>
                <w:bCs/>
                <w:sz w:val="26"/>
                <w:szCs w:val="26"/>
              </w:rPr>
              <w:t>TELECOMMUNICATION</w:t>
            </w:r>
            <w:r w:rsidRPr="009E0F1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616562" w14:textId="77777777" w:rsidR="009E0F16" w:rsidRPr="009E0F16" w:rsidRDefault="009E0F16" w:rsidP="009E0F16">
            <w:pPr>
              <w:rPr>
                <w:sz w:val="20"/>
                <w:szCs w:val="20"/>
              </w:rPr>
            </w:pPr>
            <w:r w:rsidRPr="009E0F16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9E0F16">
              <w:rPr>
                <w:sz w:val="20"/>
              </w:rPr>
              <w:t>2022</w:t>
            </w:r>
            <w:r w:rsidRPr="009E0F16">
              <w:rPr>
                <w:sz w:val="20"/>
                <w:szCs w:val="20"/>
              </w:rPr>
              <w:t>-</w:t>
            </w:r>
            <w:r w:rsidRPr="009E0F16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1C7B5CFC" w14:textId="791DF039" w:rsidR="009E0F16" w:rsidRPr="003700AC" w:rsidRDefault="009E0F16" w:rsidP="003700AC">
            <w:pPr>
              <w:jc w:val="right"/>
              <w:rPr>
                <w:b/>
                <w:sz w:val="28"/>
              </w:rPr>
            </w:pPr>
            <w:r w:rsidRPr="003700AC">
              <w:rPr>
                <w:b/>
                <w:sz w:val="28"/>
              </w:rPr>
              <w:t>SG12-LS40</w:t>
            </w:r>
          </w:p>
        </w:tc>
      </w:tr>
      <w:tr w:rsidR="009E0F16" w:rsidRPr="009E0F16" w14:paraId="0450877E" w14:textId="77777777" w:rsidTr="2636E1B2">
        <w:trPr>
          <w:cantSplit/>
        </w:trPr>
        <w:tc>
          <w:tcPr>
            <w:tcW w:w="1104" w:type="dxa"/>
            <w:vMerge/>
          </w:tcPr>
          <w:p w14:paraId="10D68C32" w14:textId="77777777" w:rsidR="009E0F16" w:rsidRPr="009E0F16" w:rsidRDefault="009E0F16" w:rsidP="009E0F16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11CD1549" w14:textId="77777777" w:rsidR="009E0F16" w:rsidRPr="009E0F16" w:rsidRDefault="009E0F16" w:rsidP="009E0F16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03B65110" w14:textId="7BF8212F" w:rsidR="009E0F16" w:rsidRPr="009E0F16" w:rsidRDefault="009E0F16" w:rsidP="009E0F1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12</w:t>
            </w:r>
          </w:p>
        </w:tc>
      </w:tr>
      <w:bookmarkEnd w:id="5"/>
      <w:tr w:rsidR="009E0F16" w:rsidRPr="009E0F16" w14:paraId="54672D04" w14:textId="77777777" w:rsidTr="2636E1B2">
        <w:trPr>
          <w:cantSplit/>
        </w:trPr>
        <w:tc>
          <w:tcPr>
            <w:tcW w:w="1104" w:type="dxa"/>
            <w:vMerge/>
          </w:tcPr>
          <w:p w14:paraId="206A947D" w14:textId="77777777" w:rsidR="009E0F16" w:rsidRPr="009E0F16" w:rsidRDefault="009E0F16" w:rsidP="009E0F16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</w:tcPr>
          <w:p w14:paraId="33CF3D3A" w14:textId="77777777" w:rsidR="009E0F16" w:rsidRPr="009E0F16" w:rsidRDefault="009E0F16" w:rsidP="009E0F16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306CAE4A" w14:textId="77777777" w:rsidR="009E0F16" w:rsidRPr="009E0F16" w:rsidRDefault="009E0F16" w:rsidP="009E0F16">
            <w:pPr>
              <w:jc w:val="right"/>
              <w:rPr>
                <w:b/>
                <w:bCs/>
                <w:sz w:val="28"/>
                <w:szCs w:val="28"/>
              </w:rPr>
            </w:pPr>
            <w:r w:rsidRPr="009E0F1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E0F16" w:rsidRPr="009E0F16" w14:paraId="418605BB" w14:textId="77777777" w:rsidTr="2636E1B2">
        <w:trPr>
          <w:cantSplit/>
        </w:trPr>
        <w:tc>
          <w:tcPr>
            <w:tcW w:w="1545" w:type="dxa"/>
            <w:gridSpan w:val="2"/>
          </w:tcPr>
          <w:p w14:paraId="1536CE05" w14:textId="77777777" w:rsidR="009E0F16" w:rsidRPr="009E0F16" w:rsidRDefault="009E0F16" w:rsidP="009E0F16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9E0F16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3"/>
          </w:tcPr>
          <w:p w14:paraId="728A47F1" w14:textId="0C95A722" w:rsidR="009E0F16" w:rsidRPr="009E0F16" w:rsidRDefault="009E0F16" w:rsidP="009E0F16">
            <w:r w:rsidRPr="009E0F16">
              <w:t>9/12</w:t>
            </w:r>
          </w:p>
        </w:tc>
        <w:tc>
          <w:tcPr>
            <w:tcW w:w="4184" w:type="dxa"/>
          </w:tcPr>
          <w:p w14:paraId="3DF6D63F" w14:textId="64397088" w:rsidR="009E0F16" w:rsidRPr="009E0F16" w:rsidRDefault="009E0F16" w:rsidP="009E0F16">
            <w:pPr>
              <w:jc w:val="right"/>
            </w:pPr>
            <w:r w:rsidRPr="009E0F16">
              <w:t>Mexico City, 19-28 September 2023</w:t>
            </w:r>
          </w:p>
        </w:tc>
      </w:tr>
      <w:tr w:rsidR="009E0F16" w:rsidRPr="009E0F16" w14:paraId="26482D4A" w14:textId="77777777" w:rsidTr="2636E1B2">
        <w:trPr>
          <w:cantSplit/>
        </w:trPr>
        <w:tc>
          <w:tcPr>
            <w:tcW w:w="9639" w:type="dxa"/>
            <w:gridSpan w:val="6"/>
          </w:tcPr>
          <w:p w14:paraId="4D969E6A" w14:textId="5992B2E7" w:rsidR="009E0F16" w:rsidRPr="009E0F16" w:rsidRDefault="009E0F16" w:rsidP="009E0F16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9E0F16">
              <w:rPr>
                <w:b/>
                <w:bCs/>
              </w:rPr>
              <w:t xml:space="preserve">Ref.: </w:t>
            </w:r>
            <w:hyperlink r:id="rId15" w:history="1">
              <w:r w:rsidRPr="00D151D1">
                <w:rPr>
                  <w:rStyle w:val="Hyperlink"/>
                  <w:rFonts w:ascii="Times New Roman" w:hAnsi="Times New Roman"/>
                  <w:b/>
                  <w:bCs/>
                </w:rPr>
                <w:t>SG12-TD475</w:t>
              </w:r>
            </w:hyperlink>
          </w:p>
        </w:tc>
      </w:tr>
      <w:tr w:rsidR="009E0F16" w:rsidRPr="009E0F16" w14:paraId="4D4C2CF1" w14:textId="77777777" w:rsidTr="2636E1B2">
        <w:trPr>
          <w:cantSplit/>
        </w:trPr>
        <w:tc>
          <w:tcPr>
            <w:tcW w:w="1545" w:type="dxa"/>
            <w:gridSpan w:val="2"/>
          </w:tcPr>
          <w:p w14:paraId="39FE2F1F" w14:textId="77777777" w:rsidR="009E0F16" w:rsidRPr="009E0F16" w:rsidRDefault="009E0F16" w:rsidP="009E0F16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9E0F16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4"/>
          </w:tcPr>
          <w:p w14:paraId="67629DCA" w14:textId="0A9EFF8E" w:rsidR="009E0F16" w:rsidRPr="009E0F16" w:rsidRDefault="009E0F16" w:rsidP="009E0F16">
            <w:r w:rsidRPr="009E0F16">
              <w:t>ITU-T Study Group 12</w:t>
            </w:r>
          </w:p>
        </w:tc>
      </w:tr>
      <w:tr w:rsidR="009E0F16" w:rsidRPr="009E0F16" w14:paraId="7AD9497C" w14:textId="77777777" w:rsidTr="2636E1B2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7E64FC3A" w14:textId="77777777" w:rsidR="009E0F16" w:rsidRPr="009E0F16" w:rsidRDefault="009E0F16" w:rsidP="009E0F16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9E0F16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032D45BE" w14:textId="14C9CA2A" w:rsidR="009E0F16" w:rsidRPr="009E0F16" w:rsidRDefault="009E0F16" w:rsidP="009E0F16">
            <w:r w:rsidRPr="009E0F16">
              <w:t>LS on deletion of P.862.[x] Recommendations</w:t>
            </w:r>
          </w:p>
        </w:tc>
      </w:tr>
      <w:bookmarkEnd w:id="1"/>
      <w:bookmarkEnd w:id="10"/>
      <w:tr w:rsidR="00FB30B1" w14:paraId="5144EFEE" w14:textId="77777777" w:rsidTr="2636E1B2">
        <w:trPr>
          <w:cantSplit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E23DF93" w14:textId="77777777" w:rsidR="00FB30B1" w:rsidRDefault="00FB30B1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B30B1" w:rsidRPr="007D4BE4" w14:paraId="48710071" w14:textId="77777777" w:rsidTr="2636E1B2">
        <w:trPr>
          <w:cantSplit/>
        </w:trPr>
        <w:tc>
          <w:tcPr>
            <w:tcW w:w="2127" w:type="dxa"/>
            <w:gridSpan w:val="3"/>
          </w:tcPr>
          <w:p w14:paraId="5CB55C05" w14:textId="77777777" w:rsidR="00FB30B1" w:rsidRPr="003869CD" w:rsidRDefault="00FB30B1" w:rsidP="00CA70E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7512" w:type="dxa"/>
            <w:gridSpan w:val="3"/>
          </w:tcPr>
          <w:p w14:paraId="34980E7F" w14:textId="68D20903" w:rsidR="00FB30B1" w:rsidRPr="007D4BE4" w:rsidRDefault="008E3F11" w:rsidP="00CA70EF">
            <w:pPr>
              <w:pStyle w:val="LSForAction"/>
            </w:pPr>
            <w:r>
              <w:rPr>
                <w:szCs w:val="24"/>
              </w:rPr>
              <w:t>All ITU-T Study Groups</w:t>
            </w:r>
          </w:p>
        </w:tc>
      </w:tr>
      <w:tr w:rsidR="00FB30B1" w:rsidRPr="00A81334" w14:paraId="11DACA66" w14:textId="77777777" w:rsidTr="2636E1B2">
        <w:trPr>
          <w:cantSplit/>
        </w:trPr>
        <w:tc>
          <w:tcPr>
            <w:tcW w:w="2127" w:type="dxa"/>
            <w:gridSpan w:val="3"/>
          </w:tcPr>
          <w:p w14:paraId="322AD4E1" w14:textId="77777777" w:rsidR="00FB30B1" w:rsidRPr="003869CD" w:rsidRDefault="00FB30B1" w:rsidP="00CA70E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30358FCF" w14:textId="69D26183" w:rsidR="00FB30B1" w:rsidRPr="00A81334" w:rsidRDefault="00FB30B1" w:rsidP="00CA70EF">
            <w:pPr>
              <w:pStyle w:val="LSForInfo"/>
              <w:rPr>
                <w:szCs w:val="24"/>
                <w:highlight w:val="yellow"/>
              </w:rPr>
            </w:pPr>
          </w:p>
        </w:tc>
      </w:tr>
      <w:tr w:rsidR="00FB30B1" w:rsidRPr="00060236" w14:paraId="6961311C" w14:textId="77777777" w:rsidTr="2636E1B2">
        <w:trPr>
          <w:cantSplit/>
        </w:trPr>
        <w:tc>
          <w:tcPr>
            <w:tcW w:w="2127" w:type="dxa"/>
            <w:gridSpan w:val="3"/>
          </w:tcPr>
          <w:p w14:paraId="11936880" w14:textId="77777777" w:rsidR="00FB30B1" w:rsidRDefault="00FB30B1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5F1CA7E0" w14:textId="1C4BCFF4" w:rsidR="00FB30B1" w:rsidRPr="00060236" w:rsidRDefault="00FB30B1" w:rsidP="00CA70EF">
            <w:r w:rsidRPr="00400489">
              <w:t xml:space="preserve">ITU-T Study Group </w:t>
            </w:r>
            <w:r w:rsidR="000F5302">
              <w:t>1</w:t>
            </w:r>
            <w:r>
              <w:t>2</w:t>
            </w:r>
            <w:r w:rsidRPr="00400489">
              <w:t xml:space="preserve"> </w:t>
            </w:r>
            <w:r w:rsidR="002313A9">
              <w:t xml:space="preserve">meeting </w:t>
            </w:r>
            <w:r>
              <w:t>(</w:t>
            </w:r>
            <w:r w:rsidR="000F5302">
              <w:t>Mexico City</w:t>
            </w:r>
            <w:r>
              <w:t>,</w:t>
            </w:r>
            <w:r w:rsidRPr="006977FA">
              <w:t xml:space="preserve"> </w:t>
            </w:r>
            <w:r>
              <w:t>2</w:t>
            </w:r>
            <w:r w:rsidR="00BC2065">
              <w:t>8</w:t>
            </w:r>
            <w:r>
              <w:t xml:space="preserve"> </w:t>
            </w:r>
            <w:r w:rsidR="000F5302">
              <w:t>September 2023)</w:t>
            </w:r>
          </w:p>
        </w:tc>
      </w:tr>
      <w:tr w:rsidR="00FB30B1" w:rsidRPr="00060236" w14:paraId="41C71B78" w14:textId="77777777" w:rsidTr="2636E1B2">
        <w:trPr>
          <w:cantSplit/>
        </w:trPr>
        <w:tc>
          <w:tcPr>
            <w:tcW w:w="2127" w:type="dxa"/>
            <w:gridSpan w:val="3"/>
            <w:tcBorders>
              <w:bottom w:val="single" w:sz="8" w:space="0" w:color="auto"/>
            </w:tcBorders>
          </w:tcPr>
          <w:p w14:paraId="50A5FF39" w14:textId="77777777" w:rsidR="00FB30B1" w:rsidRDefault="00FB30B1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8" w:space="0" w:color="auto"/>
            </w:tcBorders>
          </w:tcPr>
          <w:p w14:paraId="0B3D17CF" w14:textId="38F0470A" w:rsidR="00FB30B1" w:rsidRPr="00060236" w:rsidRDefault="00FB30B1" w:rsidP="00CA70EF">
            <w:pPr>
              <w:pStyle w:val="LSDeadline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B30B1" w:rsidRPr="00B33BDB" w14:paraId="223D7850" w14:textId="77777777" w:rsidTr="2636E1B2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E759813" w14:textId="77777777" w:rsidR="00FB30B1" w:rsidRPr="00136DDD" w:rsidRDefault="00FB30B1" w:rsidP="00CA70E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14:paraId="1D96C10C" w14:textId="77777777" w:rsidR="00FB30B1" w:rsidRDefault="001C610C" w:rsidP="00CA70EF">
            <w:pPr>
              <w:rPr>
                <w:lang w:val="fr-FR"/>
              </w:rPr>
            </w:pPr>
            <w:r>
              <w:rPr>
                <w:lang w:val="fr-FR"/>
              </w:rPr>
              <w:t>Tania Villa</w:t>
            </w:r>
          </w:p>
          <w:p w14:paraId="6361CC95" w14:textId="77777777" w:rsidR="001C610C" w:rsidRDefault="001C610C" w:rsidP="001C610C">
            <w:pPr>
              <w:spacing w:before="0"/>
              <w:rPr>
                <w:lang w:val="fr-FR"/>
              </w:rPr>
            </w:pPr>
            <w:r>
              <w:rPr>
                <w:lang w:val="fr-FR"/>
              </w:rPr>
              <w:t>SG12 Chair</w:t>
            </w:r>
          </w:p>
          <w:p w14:paraId="5057BD56" w14:textId="510CF719" w:rsidR="001C610C" w:rsidRPr="004A4D7A" w:rsidRDefault="009E27DB" w:rsidP="001C610C">
            <w:pPr>
              <w:spacing w:before="0"/>
              <w:rPr>
                <w:lang w:val="fr-FR"/>
              </w:rPr>
            </w:pPr>
            <w:r>
              <w:rPr>
                <w:lang w:val="es-MX"/>
              </w:rPr>
              <w:t xml:space="preserve">IFT, </w:t>
            </w:r>
            <w:r w:rsidRPr="009D1837">
              <w:rPr>
                <w:lang w:val="es-MX"/>
              </w:rPr>
              <w:t>Mexico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75B11" w14:textId="140B0B7B" w:rsidR="00FB30B1" w:rsidRPr="00CD758E" w:rsidRDefault="001C610C" w:rsidP="00CA70EF">
            <w:pPr>
              <w:rPr>
                <w:lang w:val="fr-CH"/>
              </w:rPr>
            </w:pPr>
            <w:r>
              <w:rPr>
                <w:lang w:val="fr-FR"/>
              </w:rPr>
              <w:t>E-mail:</w:t>
            </w:r>
            <w:r>
              <w:rPr>
                <w:lang w:val="fr-FR"/>
              </w:rPr>
              <w:tab/>
            </w:r>
            <w:hyperlink r:id="rId16" w:history="1">
              <w:r w:rsidRPr="00FF1AF4">
                <w:rPr>
                  <w:rStyle w:val="Hyperlink"/>
                  <w:rFonts w:ascii="Times New Roman" w:hAnsi="Times New Roman"/>
                  <w:lang w:val="fr-FR"/>
                </w:rPr>
                <w:t>tania.villa@ift.org.mx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66184A" w:rsidRPr="00B33BDB" w14:paraId="1B33F3FE" w14:textId="77777777" w:rsidTr="2636E1B2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857ABF" w14:textId="2764C2EE" w:rsidR="0066184A" w:rsidRPr="00136DDD" w:rsidRDefault="0066184A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14:paraId="4D6D1020" w14:textId="77777777" w:rsidR="0066184A" w:rsidRPr="00B33BDB" w:rsidRDefault="0066184A" w:rsidP="00CA70EF">
            <w:pPr>
              <w:rPr>
                <w:lang w:val="de-DE"/>
              </w:rPr>
            </w:pPr>
            <w:r w:rsidRPr="00B33BDB">
              <w:rPr>
                <w:lang w:val="de-DE"/>
              </w:rPr>
              <w:t>Jens Berger</w:t>
            </w:r>
          </w:p>
          <w:p w14:paraId="3123D0F7" w14:textId="347C0AFE" w:rsidR="0066184A" w:rsidRPr="00B33BDB" w:rsidRDefault="00E12A55" w:rsidP="2636E1B2">
            <w:pPr>
              <w:spacing w:before="0"/>
              <w:rPr>
                <w:lang w:val="de-DE"/>
              </w:rPr>
            </w:pPr>
            <w:r w:rsidRPr="00B33BDB">
              <w:rPr>
                <w:lang w:val="de-DE"/>
              </w:rPr>
              <w:t>Rapporteur, Q9/12</w:t>
            </w:r>
          </w:p>
          <w:p w14:paraId="41C2E381" w14:textId="28361C45" w:rsidR="0066184A" w:rsidRPr="00B33BDB" w:rsidRDefault="5D8FAF5F" w:rsidP="00E12A55">
            <w:pPr>
              <w:spacing w:before="0"/>
              <w:rPr>
                <w:lang w:val="de-DE"/>
              </w:rPr>
            </w:pPr>
            <w:r w:rsidRPr="00B33BDB">
              <w:rPr>
                <w:lang w:val="de-DE"/>
              </w:rPr>
              <w:t>Rohde &amp; Schwarz, Switzerland</w:t>
            </w:r>
            <w:r w:rsidR="00E12A55" w:rsidRPr="00B33BDB">
              <w:rPr>
                <w:lang w:val="de-DE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9E97D7" w14:textId="4774F49B" w:rsidR="0066184A" w:rsidRPr="00B33BDB" w:rsidRDefault="00E12A55" w:rsidP="00CA70EF">
            <w:pPr>
              <w:rPr>
                <w:lang w:val="de-DE"/>
              </w:rPr>
            </w:pPr>
            <w:r w:rsidRPr="00B33BDB">
              <w:rPr>
                <w:lang w:val="de-DE"/>
              </w:rPr>
              <w:t xml:space="preserve">E-mail: </w:t>
            </w:r>
            <w:hyperlink r:id="rId17" w:history="1">
              <w:r w:rsidRPr="00B33BDB">
                <w:rPr>
                  <w:rStyle w:val="Hyperlink"/>
                  <w:rFonts w:ascii="Times New Roman" w:hAnsi="Times New Roman"/>
                  <w:lang w:val="de-DE"/>
                </w:rPr>
                <w:t>jens.berger@rohde-schwarz.com</w:t>
              </w:r>
            </w:hyperlink>
            <w:r w:rsidRPr="00B33BDB">
              <w:rPr>
                <w:lang w:val="de-DE"/>
              </w:rPr>
              <w:t xml:space="preserve"> </w:t>
            </w:r>
          </w:p>
        </w:tc>
      </w:tr>
    </w:tbl>
    <w:p w14:paraId="006C74CC" w14:textId="77777777" w:rsidR="00604D9C" w:rsidRPr="00061268" w:rsidRDefault="00604D9C" w:rsidP="00335B63">
      <w:pPr>
        <w:spacing w:before="0"/>
        <w:rPr>
          <w:lang w:val="pt-B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0"/>
      </w:tblGrid>
      <w:tr w:rsidR="001C610C" w14:paraId="1F41959A" w14:textId="77777777" w:rsidTr="00564D44">
        <w:trPr>
          <w:cantSplit/>
        </w:trPr>
        <w:tc>
          <w:tcPr>
            <w:tcW w:w="1589" w:type="dxa"/>
            <w:hideMark/>
          </w:tcPr>
          <w:p w14:paraId="3078F7B8" w14:textId="77777777" w:rsidR="001C610C" w:rsidRDefault="001C610C">
            <w:pPr>
              <w:spacing w:line="25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050" w:type="dxa"/>
            <w:hideMark/>
          </w:tcPr>
          <w:p w14:paraId="2BC4280F" w14:textId="3AEFF42D" w:rsidR="001C610C" w:rsidRPr="001C610C" w:rsidRDefault="001C610C" w:rsidP="001C610C">
            <w:pPr>
              <w:pStyle w:val="TSBHeaderSummary"/>
              <w:spacing w:line="256" w:lineRule="auto"/>
            </w:pPr>
            <w:r>
              <w:rPr>
                <w:lang w:val="en-US"/>
              </w:rPr>
              <w:t xml:space="preserve">This Liaison Statement informs all ITU-T Study Groups of SG12’s proposed deletion of the </w:t>
            </w:r>
            <w:r>
              <w:t>ITU-T P.862.[x] ‘PESQ’ series of Recommendations and encourages all Study Groups</w:t>
            </w:r>
            <w:r w:rsidR="00921CCD">
              <w:t xml:space="preserve"> </w:t>
            </w:r>
            <w:r w:rsidRPr="000D2EE9">
              <w:t>to take appropriate action</w:t>
            </w:r>
            <w:r>
              <w:t>, as needed.</w:t>
            </w:r>
          </w:p>
        </w:tc>
      </w:tr>
    </w:tbl>
    <w:p w14:paraId="0ADA9280" w14:textId="6BE67527" w:rsidR="000F5302" w:rsidRPr="000A2AB1" w:rsidRDefault="009B28FA" w:rsidP="000A2AB1">
      <w:r w:rsidRPr="000A2AB1">
        <w:t xml:space="preserve">ITU-T Study Group </w:t>
      </w:r>
      <w:r w:rsidR="000F5302" w:rsidRPr="000A2AB1">
        <w:t>12</w:t>
      </w:r>
      <w:r w:rsidRPr="000A2AB1">
        <w:t xml:space="preserve"> (SG</w:t>
      </w:r>
      <w:r w:rsidR="000F5302" w:rsidRPr="000A2AB1">
        <w:t>1</w:t>
      </w:r>
      <w:r w:rsidRPr="000A2AB1">
        <w:t xml:space="preserve">2) wishes to inform you that </w:t>
      </w:r>
      <w:r w:rsidR="005F22A1" w:rsidRPr="000A2AB1">
        <w:t>we have recently disc</w:t>
      </w:r>
      <w:r w:rsidR="00DA3D40" w:rsidRPr="000A2AB1">
        <w:t>ussed the</w:t>
      </w:r>
      <w:r w:rsidR="000D2EE9" w:rsidRPr="000A2AB1">
        <w:t xml:space="preserve"> </w:t>
      </w:r>
      <w:r w:rsidR="0066184A" w:rsidRPr="000A2AB1">
        <w:t>deletion</w:t>
      </w:r>
      <w:r w:rsidR="000D2EE9" w:rsidRPr="000A2AB1">
        <w:t xml:space="preserve"> of </w:t>
      </w:r>
      <w:r w:rsidR="000F5302" w:rsidRPr="000A2AB1">
        <w:t xml:space="preserve">the ITU-T P.862.[x] </w:t>
      </w:r>
      <w:r w:rsidR="00833370" w:rsidRPr="00833370">
        <w:t>Perceptual evaluation of speech quality (PESQ)</w:t>
      </w:r>
      <w:r w:rsidR="00A57941" w:rsidRPr="000A2AB1">
        <w:t xml:space="preserve"> series of Recommendations </w:t>
      </w:r>
      <w:r w:rsidR="000D2EE9" w:rsidRPr="000A2AB1">
        <w:t xml:space="preserve">related to </w:t>
      </w:r>
      <w:r w:rsidR="000F5302" w:rsidRPr="000A2AB1">
        <w:t>speech quality prediction</w:t>
      </w:r>
      <w:r w:rsidR="0066184A" w:rsidRPr="000A2AB1">
        <w:t>, in line with</w:t>
      </w:r>
      <w:r w:rsidR="00E12A55" w:rsidRPr="000A2AB1">
        <w:t xml:space="preserve"> WTSA Resolution 1</w:t>
      </w:r>
      <w:r w:rsidR="001E3A98" w:rsidRPr="000A2AB1">
        <w:t xml:space="preserve"> §9.8.2.</w:t>
      </w:r>
    </w:p>
    <w:p w14:paraId="2A5F42E4" w14:textId="17CC420A" w:rsidR="008969B8" w:rsidRDefault="000F5302" w:rsidP="000A2AB1">
      <w:pPr>
        <w:jc w:val="both"/>
      </w:pPr>
      <w:r>
        <w:t xml:space="preserve">The </w:t>
      </w:r>
      <w:r w:rsidR="00717221">
        <w:t xml:space="preserve">PESQ </w:t>
      </w:r>
      <w:r>
        <w:t>speech quality prediction algorithm</w:t>
      </w:r>
      <w:r w:rsidR="00003CCD">
        <w:t xml:space="preserve"> </w:t>
      </w:r>
      <w:r w:rsidR="00E12A55">
        <w:t xml:space="preserve">(approved in 2001) </w:t>
      </w:r>
      <w:r>
        <w:t xml:space="preserve">was developed </w:t>
      </w:r>
      <w:r w:rsidR="00717221">
        <w:t>to</w:t>
      </w:r>
      <w:r>
        <w:t xml:space="preserve"> predict listening quality in pure narrowband speech transmission scenarios.</w:t>
      </w:r>
      <w:r w:rsidR="00717221" w:rsidRPr="00717221">
        <w:t xml:space="preserve"> </w:t>
      </w:r>
      <w:r w:rsidR="008969B8">
        <w:t>I</w:t>
      </w:r>
      <w:r w:rsidR="00717221">
        <w:t xml:space="preserve">t is </w:t>
      </w:r>
      <w:r w:rsidR="008969B8">
        <w:t xml:space="preserve">thus </w:t>
      </w:r>
      <w:r w:rsidR="00717221">
        <w:t xml:space="preserve">unable to provide accurate and reliable results in </w:t>
      </w:r>
      <w:r w:rsidR="008969B8">
        <w:t xml:space="preserve">the </w:t>
      </w:r>
      <w:r w:rsidR="00717221">
        <w:t>case of advanced time warping and packet-loss replacement technologies</w:t>
      </w:r>
      <w:r w:rsidR="00717221" w:rsidDel="006C5875">
        <w:t xml:space="preserve"> </w:t>
      </w:r>
      <w:r w:rsidR="00717221">
        <w:t xml:space="preserve">as well as dynamic gain adaptions </w:t>
      </w:r>
      <w:r w:rsidR="008969B8">
        <w:t>which are</w:t>
      </w:r>
      <w:r w:rsidR="00717221">
        <w:t xml:space="preserve"> typical </w:t>
      </w:r>
      <w:r w:rsidR="008969B8">
        <w:t>in</w:t>
      </w:r>
      <w:r w:rsidR="00717221">
        <w:t xml:space="preserve"> today’s VoIP and VoLTE connections. </w:t>
      </w:r>
    </w:p>
    <w:p w14:paraId="74BD049F" w14:textId="77777777" w:rsidR="00833370" w:rsidRDefault="00717221" w:rsidP="000A2AB1">
      <w:pPr>
        <w:jc w:val="both"/>
      </w:pPr>
      <w:r w:rsidRPr="00717221">
        <w:t xml:space="preserve">To address these limitations and </w:t>
      </w:r>
      <w:r w:rsidR="00003CCD">
        <w:t>extend to more recent technologies</w:t>
      </w:r>
      <w:r w:rsidRPr="00717221">
        <w:t xml:space="preserve">, </w:t>
      </w:r>
      <w:r w:rsidR="00E12A55" w:rsidRPr="00717221">
        <w:t xml:space="preserve">Recommendation </w:t>
      </w:r>
      <w:r w:rsidRPr="00717221">
        <w:t>ITU-T P.863</w:t>
      </w:r>
      <w:r w:rsidR="00003CCD">
        <w:t xml:space="preserve"> </w:t>
      </w:r>
      <w:r w:rsidR="00833370" w:rsidRPr="00833370">
        <w:rPr>
          <w:i/>
          <w:iCs/>
        </w:rPr>
        <w:t>“Perceptual objective listening quality prediction”</w:t>
      </w:r>
      <w:r w:rsidR="00003CCD">
        <w:t xml:space="preserve"> </w:t>
      </w:r>
      <w:r w:rsidR="00E12A55">
        <w:t xml:space="preserve">(initially approved in 2011, latest edition in 2018) </w:t>
      </w:r>
      <w:r w:rsidRPr="00717221">
        <w:t>was developed</w:t>
      </w:r>
      <w:r w:rsidR="00F8155A">
        <w:t xml:space="preserve"> which</w:t>
      </w:r>
      <w:r w:rsidRPr="00717221">
        <w:t xml:space="preserve"> </w:t>
      </w:r>
      <w:r w:rsidR="00003CCD">
        <w:t>cover</w:t>
      </w:r>
      <w:r w:rsidR="00F8155A">
        <w:t>s</w:t>
      </w:r>
      <w:r w:rsidRPr="00717221">
        <w:t xml:space="preserve"> both</w:t>
      </w:r>
      <w:r w:rsidR="008969B8">
        <w:t xml:space="preserve"> </w:t>
      </w:r>
      <w:r w:rsidRPr="00717221">
        <w:t>narrowband</w:t>
      </w:r>
      <w:r w:rsidR="008969B8">
        <w:t xml:space="preserve"> </w:t>
      </w:r>
      <w:r w:rsidRPr="00717221">
        <w:t xml:space="preserve">and fullband modes. </w:t>
      </w:r>
    </w:p>
    <w:p w14:paraId="1C590F92" w14:textId="7F1C1E22" w:rsidR="00833370" w:rsidRDefault="00717221" w:rsidP="000A2AB1">
      <w:pPr>
        <w:jc w:val="both"/>
      </w:pPr>
      <w:r w:rsidRPr="00717221">
        <w:t>The narrowband</w:t>
      </w:r>
      <w:r w:rsidR="008969B8">
        <w:t xml:space="preserve"> </w:t>
      </w:r>
      <w:r w:rsidRPr="00717221">
        <w:t>mode</w:t>
      </w:r>
      <w:r w:rsidR="00003CCD">
        <w:t xml:space="preserve"> in </w:t>
      </w:r>
      <w:r w:rsidR="008969B8">
        <w:t xml:space="preserve">ITU-T </w:t>
      </w:r>
      <w:r w:rsidR="00003CCD" w:rsidRPr="00717221">
        <w:t xml:space="preserve">P.863 </w:t>
      </w:r>
      <w:r w:rsidRPr="00717221">
        <w:t>maintains backward compatibility with P.862</w:t>
      </w:r>
      <w:r w:rsidR="00003CCD">
        <w:t xml:space="preserve"> </w:t>
      </w:r>
      <w:r w:rsidRPr="00717221">
        <w:t>allowing a seamless transition</w:t>
      </w:r>
      <w:r w:rsidR="008969B8">
        <w:t xml:space="preserve"> from P.862 to </w:t>
      </w:r>
      <w:r w:rsidR="001C610C" w:rsidRPr="00717221">
        <w:t>P.863</w:t>
      </w:r>
      <w:r w:rsidRPr="00717221">
        <w:t xml:space="preserve">, while the fullband mode has become the standard for quality measurements in </w:t>
      </w:r>
      <w:r w:rsidR="008969B8">
        <w:t>current</w:t>
      </w:r>
      <w:r w:rsidRPr="00717221">
        <w:t xml:space="preserve"> telephony networks. </w:t>
      </w:r>
    </w:p>
    <w:p w14:paraId="7DF26567" w14:textId="27EBCE60" w:rsidR="00717221" w:rsidRDefault="00717221" w:rsidP="000A2AB1">
      <w:pPr>
        <w:jc w:val="both"/>
      </w:pPr>
      <w:r w:rsidRPr="00717221">
        <w:t xml:space="preserve">Consequently, the PESQ-related </w:t>
      </w:r>
      <w:r w:rsidR="00003CCD">
        <w:t>R</w:t>
      </w:r>
      <w:r w:rsidRPr="00717221">
        <w:t xml:space="preserve">ecommendations are no longer pertinent in today's </w:t>
      </w:r>
      <w:r w:rsidR="00E12A55">
        <w:t>tele</w:t>
      </w:r>
      <w:r w:rsidRPr="00717221">
        <w:t>communication landscape.</w:t>
      </w:r>
    </w:p>
    <w:p w14:paraId="36E14319" w14:textId="640B67AB" w:rsidR="008969B8" w:rsidRDefault="00A57941" w:rsidP="000A2AB1">
      <w:pPr>
        <w:jc w:val="both"/>
      </w:pPr>
      <w:r>
        <w:t xml:space="preserve">Given this rationale, SG12 has </w:t>
      </w:r>
      <w:r w:rsidR="005D10A1">
        <w:t xml:space="preserve">agreed to </w:t>
      </w:r>
      <w:r>
        <w:t>advise the TSB Director to initiate the deletion of</w:t>
      </w:r>
      <w:r w:rsidR="008969B8">
        <w:t xml:space="preserve"> </w:t>
      </w:r>
      <w:r w:rsidR="001C610C">
        <w:t>the</w:t>
      </w:r>
      <w:r w:rsidR="008969B8">
        <w:t xml:space="preserve"> </w:t>
      </w:r>
      <w:r w:rsidR="008969B8">
        <w:rPr>
          <w:iCs/>
        </w:rPr>
        <w:t>P.862.[x] series of</w:t>
      </w:r>
      <w:r w:rsidR="008969B8">
        <w:t xml:space="preserve"> Recommendations which are under the purview of SG12:</w:t>
      </w:r>
    </w:p>
    <w:p w14:paraId="7664E256" w14:textId="77777777" w:rsidR="008969B8" w:rsidRDefault="008969B8" w:rsidP="000A2AB1">
      <w:pPr>
        <w:pStyle w:val="ListParagraph"/>
        <w:numPr>
          <w:ilvl w:val="0"/>
          <w:numId w:val="15"/>
        </w:numPr>
        <w:ind w:left="357" w:hanging="357"/>
        <w:contextualSpacing w:val="0"/>
        <w:jc w:val="both"/>
      </w:pPr>
      <w:r>
        <w:t>ITU-T P.862 “</w:t>
      </w:r>
      <w:r w:rsidRPr="001C610C">
        <w:rPr>
          <w:i/>
          <w:iCs/>
        </w:rPr>
        <w:t>Perceptual evaluation of speech quality (PESQ): An objective method for end-to-end speech quality assessment of narrow-band telephone networks and speech codecs</w:t>
      </w:r>
      <w:r>
        <w:t>”</w:t>
      </w:r>
    </w:p>
    <w:p w14:paraId="3FFF3C29" w14:textId="77777777" w:rsidR="008969B8" w:rsidRDefault="008969B8" w:rsidP="000A2AB1">
      <w:pPr>
        <w:pStyle w:val="ListParagraph"/>
        <w:numPr>
          <w:ilvl w:val="0"/>
          <w:numId w:val="15"/>
        </w:numPr>
        <w:ind w:left="357" w:hanging="357"/>
        <w:contextualSpacing w:val="0"/>
        <w:jc w:val="both"/>
      </w:pPr>
      <w:r>
        <w:lastRenderedPageBreak/>
        <w:t>ITU-T P.862.1 “</w:t>
      </w:r>
      <w:r w:rsidRPr="001C610C">
        <w:rPr>
          <w:i/>
          <w:iCs/>
        </w:rPr>
        <w:t>Mapping function for transforming P.862 raw result scores to MOS-LQO</w:t>
      </w:r>
      <w:r>
        <w:t>”</w:t>
      </w:r>
    </w:p>
    <w:p w14:paraId="6AD598EB" w14:textId="366F74B8" w:rsidR="008969B8" w:rsidRDefault="008969B8" w:rsidP="000A2AB1">
      <w:pPr>
        <w:pStyle w:val="ListParagraph"/>
        <w:numPr>
          <w:ilvl w:val="0"/>
          <w:numId w:val="15"/>
        </w:numPr>
        <w:ind w:left="357" w:hanging="357"/>
        <w:contextualSpacing w:val="0"/>
        <w:jc w:val="both"/>
      </w:pPr>
      <w:r>
        <w:t>ITU-T P.862.2 “</w:t>
      </w:r>
      <w:r w:rsidRPr="001C610C">
        <w:rPr>
          <w:i/>
          <w:iCs/>
        </w:rPr>
        <w:t>Wideband extension to Recommendation P.862 for the assessment of wideband telephone networks and speech codecs</w:t>
      </w:r>
      <w:r>
        <w:t xml:space="preserve">” </w:t>
      </w:r>
    </w:p>
    <w:p w14:paraId="2E00B5F7" w14:textId="551C0D2D" w:rsidR="008969B8" w:rsidRDefault="008969B8" w:rsidP="000A2AB1">
      <w:pPr>
        <w:pStyle w:val="ListParagraph"/>
        <w:numPr>
          <w:ilvl w:val="0"/>
          <w:numId w:val="15"/>
        </w:numPr>
        <w:ind w:left="357" w:hanging="357"/>
        <w:contextualSpacing w:val="0"/>
        <w:jc w:val="both"/>
      </w:pPr>
      <w:r>
        <w:t>ITU-T P.862.3 “</w:t>
      </w:r>
      <w:r w:rsidRPr="001C610C">
        <w:rPr>
          <w:i/>
          <w:iCs/>
        </w:rPr>
        <w:t>Application guide for objective quality measurement based on Recommendations P.862, P.862.1 and P.862.2</w:t>
      </w:r>
      <w:r>
        <w:t>”</w:t>
      </w:r>
    </w:p>
    <w:p w14:paraId="6C0C486B" w14:textId="340723B3" w:rsidR="00A57941" w:rsidRDefault="009038FD" w:rsidP="000A2AB1">
      <w:pPr>
        <w:jc w:val="both"/>
      </w:pPr>
      <w:r w:rsidRPr="000D2EE9">
        <w:t>Based on</w:t>
      </w:r>
      <w:r w:rsidR="00A57941" w:rsidRPr="000D2EE9">
        <w:t xml:space="preserve"> a</w:t>
      </w:r>
      <w:r w:rsidR="00A57941">
        <w:t xml:space="preserve"> preliminary list</w:t>
      </w:r>
      <w:r w:rsidR="00A57941" w:rsidRPr="000D2EE9">
        <w:t xml:space="preserve"> of </w:t>
      </w:r>
      <w:r w:rsidR="001C610C">
        <w:t>PESQ-related</w:t>
      </w:r>
      <w:r w:rsidR="00A57941" w:rsidRPr="000D2EE9">
        <w:t xml:space="preserve"> </w:t>
      </w:r>
      <w:r w:rsidR="001C610C">
        <w:t>R</w:t>
      </w:r>
      <w:r w:rsidR="00A57941" w:rsidRPr="000D2EE9">
        <w:t xml:space="preserve">ecommendations prepared by TSB </w:t>
      </w:r>
      <w:r w:rsidR="001C610C">
        <w:t>(see</w:t>
      </w:r>
      <w:r w:rsidR="00BC2065">
        <w:t xml:space="preserve"> Annex A</w:t>
      </w:r>
      <w:r w:rsidR="001C610C">
        <w:t>)</w:t>
      </w:r>
      <w:r w:rsidR="00A57941" w:rsidRPr="000D2EE9">
        <w:t xml:space="preserve">, we note that there are </w:t>
      </w:r>
      <w:r w:rsidR="00BC2065">
        <w:t>R</w:t>
      </w:r>
      <w:r w:rsidR="00A57941" w:rsidRPr="000D2EE9">
        <w:t>ecommend</w:t>
      </w:r>
      <w:r w:rsidR="00A57941">
        <w:t xml:space="preserve">ations </w:t>
      </w:r>
      <w:r w:rsidR="00A57941" w:rsidRPr="000D2EE9">
        <w:t xml:space="preserve">under the purview of </w:t>
      </w:r>
      <w:r w:rsidR="00A57941">
        <w:t>other Study Groups</w:t>
      </w:r>
      <w:r w:rsidR="00BC2065">
        <w:t xml:space="preserve"> that reference the </w:t>
      </w:r>
      <w:r w:rsidR="00BC2065">
        <w:rPr>
          <w:iCs/>
        </w:rPr>
        <w:t>P.862.[x] series</w:t>
      </w:r>
      <w:r w:rsidR="00E12A55">
        <w:rPr>
          <w:iCs/>
        </w:rPr>
        <w:t xml:space="preserve"> and</w:t>
      </w:r>
      <w:r w:rsidR="00A57941" w:rsidRPr="000D2EE9">
        <w:t xml:space="preserve"> encourage </w:t>
      </w:r>
      <w:r w:rsidR="00A57941">
        <w:t>all</w:t>
      </w:r>
      <w:r w:rsidR="00A57941" w:rsidRPr="000D2EE9">
        <w:t xml:space="preserve"> Study Groups to</w:t>
      </w:r>
      <w:r>
        <w:t>,</w:t>
      </w:r>
      <w:r w:rsidR="00A57941" w:rsidRPr="000D2EE9">
        <w:t xml:space="preserve"> likewise</w:t>
      </w:r>
      <w:r>
        <w:t>,</w:t>
      </w:r>
      <w:r w:rsidR="00A57941" w:rsidRPr="000D2EE9">
        <w:t xml:space="preserve"> take appropriate action</w:t>
      </w:r>
      <w:r w:rsidR="00A57941" w:rsidRPr="001C610C">
        <w:t>.</w:t>
      </w:r>
      <w:r w:rsidR="00A57941" w:rsidRPr="000D2EE9">
        <w:t xml:space="preserve">  </w:t>
      </w:r>
    </w:p>
    <w:p w14:paraId="5B0081DD" w14:textId="77777777" w:rsidR="001C610C" w:rsidRDefault="001C610C">
      <w:pPr>
        <w:spacing w:before="0"/>
        <w:rPr>
          <w:b/>
          <w:bCs/>
        </w:rPr>
      </w:pPr>
      <w:r>
        <w:rPr>
          <w:b/>
          <w:bCs/>
        </w:rPr>
        <w:br w:type="page"/>
      </w:r>
    </w:p>
    <w:p w14:paraId="682E6FBA" w14:textId="271490B7" w:rsidR="000875BD" w:rsidRPr="001C610C" w:rsidRDefault="000875BD" w:rsidP="00AC707D">
      <w:pPr>
        <w:spacing w:before="0"/>
        <w:rPr>
          <w:b/>
          <w:bCs/>
        </w:rPr>
      </w:pPr>
      <w:r w:rsidRPr="001C610C">
        <w:rPr>
          <w:b/>
          <w:bCs/>
        </w:rPr>
        <w:lastRenderedPageBreak/>
        <w:t>Annex A</w:t>
      </w:r>
    </w:p>
    <w:p w14:paraId="3336E2BD" w14:textId="539203BA" w:rsidR="000875BD" w:rsidRPr="001C610C" w:rsidRDefault="001C610C" w:rsidP="001C610C">
      <w:pPr>
        <w:spacing w:before="0"/>
        <w:jc w:val="center"/>
        <w:rPr>
          <w:b/>
          <w:bCs/>
        </w:rPr>
      </w:pPr>
      <w:r>
        <w:rPr>
          <w:b/>
          <w:bCs/>
        </w:rPr>
        <w:t>P</w:t>
      </w:r>
      <w:r w:rsidR="000875BD" w:rsidRPr="001C610C">
        <w:rPr>
          <w:b/>
          <w:bCs/>
        </w:rPr>
        <w:t>reliminary list</w:t>
      </w:r>
      <w:r>
        <w:rPr>
          <w:b/>
          <w:bCs/>
        </w:rPr>
        <w:t xml:space="preserve"> of R</w:t>
      </w:r>
      <w:r w:rsidRPr="001C610C">
        <w:rPr>
          <w:b/>
          <w:bCs/>
        </w:rPr>
        <w:t>ecommendations</w:t>
      </w:r>
      <w:r w:rsidR="005D10A1">
        <w:rPr>
          <w:b/>
          <w:bCs/>
        </w:rPr>
        <w:t xml:space="preserve"> referencing </w:t>
      </w:r>
      <w:r w:rsidR="005D10A1" w:rsidRPr="005D10A1">
        <w:rPr>
          <w:b/>
          <w:bCs/>
        </w:rPr>
        <w:t>the P.862.[x] series</w:t>
      </w:r>
    </w:p>
    <w:p w14:paraId="382055E8" w14:textId="77777777" w:rsidR="000875BD" w:rsidRDefault="000875BD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412"/>
      </w:tblGrid>
      <w:tr w:rsidR="009038FD" w:rsidRPr="001C610C" w14:paraId="51336E6C" w14:textId="77777777" w:rsidTr="001C610C">
        <w:tc>
          <w:tcPr>
            <w:tcW w:w="8217" w:type="dxa"/>
            <w:vAlign w:val="center"/>
          </w:tcPr>
          <w:p w14:paraId="11445F73" w14:textId="77777777" w:rsidR="009038FD" w:rsidRPr="001C610C" w:rsidRDefault="009038FD" w:rsidP="00BE08D8">
            <w:pPr>
              <w:jc w:val="center"/>
              <w:rPr>
                <w:b/>
                <w:bCs/>
                <w:sz w:val="21"/>
                <w:szCs w:val="21"/>
              </w:rPr>
            </w:pPr>
            <w:r w:rsidRPr="001C610C">
              <w:rPr>
                <w:b/>
                <w:bCs/>
                <w:sz w:val="21"/>
                <w:szCs w:val="21"/>
              </w:rPr>
              <w:t>Recommendation</w:t>
            </w:r>
          </w:p>
        </w:tc>
        <w:tc>
          <w:tcPr>
            <w:tcW w:w="1412" w:type="dxa"/>
            <w:vAlign w:val="center"/>
          </w:tcPr>
          <w:p w14:paraId="070E788D" w14:textId="77777777" w:rsidR="009038FD" w:rsidRPr="001C610C" w:rsidRDefault="009038FD" w:rsidP="00BE08D8">
            <w:pPr>
              <w:jc w:val="center"/>
              <w:rPr>
                <w:b/>
                <w:bCs/>
                <w:sz w:val="21"/>
                <w:szCs w:val="21"/>
              </w:rPr>
            </w:pPr>
            <w:r w:rsidRPr="001C610C">
              <w:rPr>
                <w:b/>
                <w:bCs/>
                <w:sz w:val="21"/>
                <w:szCs w:val="21"/>
              </w:rPr>
              <w:t>Responsible SG</w:t>
            </w:r>
          </w:p>
        </w:tc>
      </w:tr>
      <w:tr w:rsidR="009038FD" w:rsidRPr="001C610C" w14:paraId="607E67C2" w14:textId="77777777" w:rsidTr="001C610C">
        <w:tc>
          <w:tcPr>
            <w:tcW w:w="8217" w:type="dxa"/>
            <w:shd w:val="clear" w:color="auto" w:fill="auto"/>
          </w:tcPr>
          <w:p w14:paraId="3D1FFDBA" w14:textId="77777777" w:rsidR="009038FD" w:rsidRPr="001C610C" w:rsidRDefault="00073F07" w:rsidP="00BE08D8">
            <w:pPr>
              <w:rPr>
                <w:sz w:val="21"/>
                <w:szCs w:val="21"/>
              </w:rPr>
            </w:pPr>
            <w:hyperlink r:id="rId18" w:history="1">
              <w:r w:rsidR="009038FD" w:rsidRPr="001C610C">
                <w:rPr>
                  <w:rStyle w:val="Hyperlink"/>
                  <w:rFonts w:ascii="Times New Roman" w:hAnsi="Times New Roman"/>
                  <w:sz w:val="21"/>
                  <w:szCs w:val="21"/>
                </w:rPr>
                <w:t>G.161</w:t>
              </w:r>
            </w:hyperlink>
            <w:r w:rsidR="009038FD" w:rsidRPr="001C610C">
              <w:rPr>
                <w:sz w:val="21"/>
                <w:szCs w:val="21"/>
              </w:rPr>
              <w:t xml:space="preserve"> (2012), Interaction aspects of signal processing network equipment</w:t>
            </w:r>
          </w:p>
        </w:tc>
        <w:tc>
          <w:tcPr>
            <w:tcW w:w="1412" w:type="dxa"/>
            <w:shd w:val="clear" w:color="auto" w:fill="auto"/>
          </w:tcPr>
          <w:p w14:paraId="0F558FE8" w14:textId="77777777" w:rsidR="009038FD" w:rsidRPr="001C610C" w:rsidRDefault="009038FD" w:rsidP="00BE08D8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SG16</w:t>
            </w:r>
          </w:p>
        </w:tc>
      </w:tr>
      <w:tr w:rsidR="009038FD" w:rsidRPr="001C610C" w14:paraId="0E06595B" w14:textId="77777777" w:rsidTr="001C610C">
        <w:tc>
          <w:tcPr>
            <w:tcW w:w="8217" w:type="dxa"/>
            <w:shd w:val="clear" w:color="auto" w:fill="auto"/>
          </w:tcPr>
          <w:p w14:paraId="6C5F6B52" w14:textId="77777777" w:rsidR="009038FD" w:rsidRPr="001C610C" w:rsidRDefault="00073F07" w:rsidP="00BE08D8">
            <w:pPr>
              <w:rPr>
                <w:sz w:val="21"/>
                <w:szCs w:val="21"/>
              </w:rPr>
            </w:pPr>
            <w:hyperlink r:id="rId19" w:history="1">
              <w:r w:rsidR="009038FD" w:rsidRPr="001C610C">
                <w:rPr>
                  <w:rStyle w:val="Hyperlink"/>
                  <w:rFonts w:ascii="Times New Roman" w:hAnsi="Times New Roman"/>
                  <w:sz w:val="21"/>
                  <w:szCs w:val="21"/>
                </w:rPr>
                <w:t>G.161.1</w:t>
              </w:r>
            </w:hyperlink>
            <w:r w:rsidR="009038FD" w:rsidRPr="001C610C">
              <w:rPr>
                <w:sz w:val="21"/>
                <w:szCs w:val="21"/>
              </w:rPr>
              <w:t xml:space="preserve"> (2014), Do-no-harm testing</w:t>
            </w:r>
          </w:p>
        </w:tc>
        <w:tc>
          <w:tcPr>
            <w:tcW w:w="1412" w:type="dxa"/>
            <w:shd w:val="clear" w:color="auto" w:fill="auto"/>
          </w:tcPr>
          <w:p w14:paraId="23A50D92" w14:textId="77777777" w:rsidR="009038FD" w:rsidRPr="001C610C" w:rsidRDefault="009038FD" w:rsidP="00BE08D8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SG16</w:t>
            </w:r>
          </w:p>
        </w:tc>
      </w:tr>
      <w:tr w:rsidR="009038FD" w:rsidRPr="001C610C" w14:paraId="25C15F38" w14:textId="77777777" w:rsidTr="001C610C">
        <w:tc>
          <w:tcPr>
            <w:tcW w:w="8217" w:type="dxa"/>
            <w:shd w:val="clear" w:color="auto" w:fill="auto"/>
          </w:tcPr>
          <w:p w14:paraId="249EBE32" w14:textId="77777777" w:rsidR="009038FD" w:rsidRPr="001C610C" w:rsidRDefault="00073F07" w:rsidP="00BE08D8">
            <w:pPr>
              <w:rPr>
                <w:sz w:val="21"/>
                <w:szCs w:val="21"/>
              </w:rPr>
            </w:pPr>
            <w:hyperlink r:id="rId20" w:history="1">
              <w:r w:rsidR="009038FD" w:rsidRPr="001C610C">
                <w:rPr>
                  <w:rStyle w:val="Hyperlink"/>
                  <w:rFonts w:ascii="Times New Roman" w:hAnsi="Times New Roman"/>
                  <w:sz w:val="21"/>
                  <w:szCs w:val="21"/>
                </w:rPr>
                <w:t>G.799.1</w:t>
              </w:r>
            </w:hyperlink>
            <w:r w:rsidR="009038FD" w:rsidRPr="001C610C">
              <w:rPr>
                <w:sz w:val="21"/>
                <w:szCs w:val="21"/>
              </w:rPr>
              <w:t>/</w:t>
            </w:r>
            <w:hyperlink r:id="rId21" w:history="1">
              <w:r w:rsidR="009038FD" w:rsidRPr="001C610C">
                <w:rPr>
                  <w:rStyle w:val="Hyperlink"/>
                  <w:rFonts w:ascii="Times New Roman" w:hAnsi="Times New Roman"/>
                  <w:sz w:val="21"/>
                  <w:szCs w:val="21"/>
                </w:rPr>
                <w:t>Y.1451.1</w:t>
              </w:r>
            </w:hyperlink>
            <w:r w:rsidR="009038FD" w:rsidRPr="001C610C">
              <w:rPr>
                <w:sz w:val="21"/>
                <w:szCs w:val="21"/>
              </w:rPr>
              <w:t xml:space="preserve"> (2016), Functionality and interface specifications for GSTN transport network equipment for interconnecting GSTN and IP networks</w:t>
            </w:r>
          </w:p>
        </w:tc>
        <w:tc>
          <w:tcPr>
            <w:tcW w:w="1412" w:type="dxa"/>
            <w:shd w:val="clear" w:color="auto" w:fill="auto"/>
          </w:tcPr>
          <w:p w14:paraId="78F3383C" w14:textId="77777777" w:rsidR="009038FD" w:rsidRPr="001C610C" w:rsidRDefault="009038FD" w:rsidP="00BE08D8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SG16</w:t>
            </w:r>
          </w:p>
        </w:tc>
      </w:tr>
      <w:tr w:rsidR="009038FD" w:rsidRPr="001C610C" w14:paraId="725B4652" w14:textId="77777777" w:rsidTr="001C610C">
        <w:tc>
          <w:tcPr>
            <w:tcW w:w="8217" w:type="dxa"/>
            <w:shd w:val="clear" w:color="auto" w:fill="auto"/>
          </w:tcPr>
          <w:p w14:paraId="066E9FEB" w14:textId="77777777" w:rsidR="009038FD" w:rsidRPr="001C610C" w:rsidRDefault="00073F07" w:rsidP="00BE08D8">
            <w:pPr>
              <w:rPr>
                <w:sz w:val="21"/>
                <w:szCs w:val="21"/>
              </w:rPr>
            </w:pPr>
            <w:hyperlink r:id="rId22" w:history="1">
              <w:r w:rsidR="009038FD" w:rsidRPr="001C610C">
                <w:rPr>
                  <w:rStyle w:val="Hyperlink"/>
                  <w:rFonts w:ascii="Times New Roman" w:hAnsi="Times New Roman"/>
                  <w:sz w:val="21"/>
                  <w:szCs w:val="21"/>
                </w:rPr>
                <w:t>G.799.3</w:t>
              </w:r>
            </w:hyperlink>
            <w:r w:rsidR="009038FD" w:rsidRPr="001C610C">
              <w:rPr>
                <w:sz w:val="21"/>
                <w:szCs w:val="21"/>
              </w:rPr>
              <w:t xml:space="preserve"> (2011), Signal processing functionality and performance of an IP-to-IP voice gateway optimised for the transport of voice and voiceband data</w:t>
            </w:r>
          </w:p>
        </w:tc>
        <w:tc>
          <w:tcPr>
            <w:tcW w:w="1412" w:type="dxa"/>
            <w:shd w:val="clear" w:color="auto" w:fill="auto"/>
          </w:tcPr>
          <w:p w14:paraId="5CF9B32A" w14:textId="77777777" w:rsidR="009038FD" w:rsidRPr="001C610C" w:rsidRDefault="009038FD" w:rsidP="00BE08D8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SG16</w:t>
            </w:r>
          </w:p>
        </w:tc>
      </w:tr>
      <w:tr w:rsidR="009038FD" w:rsidRPr="001C610C" w14:paraId="5359470E" w14:textId="77777777" w:rsidTr="001C610C">
        <w:tc>
          <w:tcPr>
            <w:tcW w:w="8217" w:type="dxa"/>
            <w:shd w:val="clear" w:color="auto" w:fill="auto"/>
          </w:tcPr>
          <w:p w14:paraId="32A59F7E" w14:textId="77777777" w:rsidR="009038FD" w:rsidRPr="001C610C" w:rsidRDefault="00073F07" w:rsidP="002B480B">
            <w:pPr>
              <w:rPr>
                <w:sz w:val="21"/>
                <w:szCs w:val="21"/>
              </w:rPr>
            </w:pPr>
            <w:hyperlink r:id="rId23" w:history="1">
              <w:r w:rsidR="009038FD" w:rsidRPr="001C610C">
                <w:rPr>
                  <w:rStyle w:val="Hyperlink"/>
                  <w:rFonts w:ascii="Times New Roman" w:eastAsia="Times New Roman" w:hAnsi="Times New Roman"/>
                  <w:sz w:val="21"/>
                  <w:szCs w:val="21"/>
                  <w:lang w:eastAsia="zh-CN"/>
                </w:rPr>
                <w:t>J.161</w:t>
              </w:r>
            </w:hyperlink>
            <w:r w:rsidR="009038FD" w:rsidRPr="001C610C">
              <w:rPr>
                <w:rFonts w:eastAsia="Times New Roman"/>
                <w:sz w:val="21"/>
                <w:szCs w:val="21"/>
                <w:lang w:eastAsia="zh-CN"/>
              </w:rPr>
              <w:t xml:space="preserve"> (2007), Audio and video codec requirements and usage for the provision of bidirectional audio services over cable television networks using cable modems</w:t>
            </w:r>
          </w:p>
        </w:tc>
        <w:tc>
          <w:tcPr>
            <w:tcW w:w="1412" w:type="dxa"/>
            <w:shd w:val="clear" w:color="auto" w:fill="auto"/>
          </w:tcPr>
          <w:p w14:paraId="16E4673D" w14:textId="77777777" w:rsidR="009038FD" w:rsidRPr="001C610C" w:rsidRDefault="009038FD" w:rsidP="002B480B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SG9</w:t>
            </w:r>
          </w:p>
        </w:tc>
      </w:tr>
      <w:tr w:rsidR="009038FD" w:rsidRPr="001C610C" w14:paraId="05EA5CC0" w14:textId="77777777" w:rsidTr="001C610C">
        <w:tc>
          <w:tcPr>
            <w:tcW w:w="8217" w:type="dxa"/>
            <w:shd w:val="clear" w:color="auto" w:fill="auto"/>
          </w:tcPr>
          <w:p w14:paraId="2307D142" w14:textId="77777777" w:rsidR="009038FD" w:rsidRPr="001C610C" w:rsidRDefault="00073F07" w:rsidP="002B480B">
            <w:pPr>
              <w:rPr>
                <w:rFonts w:eastAsia="Times New Roman"/>
                <w:sz w:val="21"/>
                <w:szCs w:val="21"/>
                <w:lang w:eastAsia="zh-CN"/>
              </w:rPr>
            </w:pPr>
            <w:hyperlink r:id="rId24" w:history="1">
              <w:r w:rsidR="009038FD" w:rsidRPr="001C610C">
                <w:rPr>
                  <w:rStyle w:val="Hyperlink"/>
                  <w:rFonts w:ascii="Times New Roman" w:eastAsia="Times New Roman" w:hAnsi="Times New Roman"/>
                  <w:sz w:val="21"/>
                  <w:szCs w:val="21"/>
                  <w:lang w:eastAsia="zh-CN"/>
                </w:rPr>
                <w:t>J.361</w:t>
              </w:r>
            </w:hyperlink>
            <w:r w:rsidR="009038FD" w:rsidRPr="001C610C">
              <w:rPr>
                <w:rFonts w:eastAsia="Times New Roman"/>
                <w:sz w:val="21"/>
                <w:szCs w:val="21"/>
                <w:lang w:eastAsia="zh-CN"/>
              </w:rPr>
              <w:t xml:space="preserve"> (2006), IPCablecom2 codec and media</w:t>
            </w:r>
          </w:p>
        </w:tc>
        <w:tc>
          <w:tcPr>
            <w:tcW w:w="1412" w:type="dxa"/>
            <w:shd w:val="clear" w:color="auto" w:fill="auto"/>
          </w:tcPr>
          <w:p w14:paraId="7DF39D66" w14:textId="77777777" w:rsidR="009038FD" w:rsidRPr="001C610C" w:rsidRDefault="009038FD" w:rsidP="002B480B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SG9</w:t>
            </w:r>
          </w:p>
        </w:tc>
      </w:tr>
      <w:tr w:rsidR="009038FD" w:rsidRPr="001C610C" w14:paraId="246CAD2B" w14:textId="77777777" w:rsidTr="001C610C">
        <w:tc>
          <w:tcPr>
            <w:tcW w:w="8217" w:type="dxa"/>
            <w:shd w:val="clear" w:color="auto" w:fill="auto"/>
          </w:tcPr>
          <w:p w14:paraId="0AF4ED9F" w14:textId="77777777" w:rsidR="009038FD" w:rsidRPr="001C610C" w:rsidRDefault="00073F07" w:rsidP="002B480B">
            <w:pPr>
              <w:rPr>
                <w:sz w:val="21"/>
                <w:szCs w:val="21"/>
              </w:rPr>
            </w:pPr>
            <w:hyperlink r:id="rId25" w:history="1">
              <w:r w:rsidR="009038FD" w:rsidRPr="001C610C">
                <w:rPr>
                  <w:rStyle w:val="Hyperlink"/>
                  <w:rFonts w:ascii="Times New Roman" w:eastAsia="Times New Roman" w:hAnsi="Times New Roman"/>
                  <w:sz w:val="21"/>
                  <w:szCs w:val="21"/>
                  <w:lang w:eastAsia="zh-CN"/>
                </w:rPr>
                <w:t>Q.3911</w:t>
              </w:r>
            </w:hyperlink>
            <w:r w:rsidR="009038FD" w:rsidRPr="001C610C">
              <w:rPr>
                <w:rFonts w:eastAsia="Times New Roman"/>
                <w:sz w:val="21"/>
                <w:szCs w:val="21"/>
                <w:lang w:eastAsia="zh-CN"/>
              </w:rPr>
              <w:t xml:space="preserve"> (2010), Parameters for monitoring voice services in NGN</w:t>
            </w:r>
          </w:p>
        </w:tc>
        <w:tc>
          <w:tcPr>
            <w:tcW w:w="1412" w:type="dxa"/>
            <w:shd w:val="clear" w:color="auto" w:fill="auto"/>
          </w:tcPr>
          <w:p w14:paraId="714CA541" w14:textId="77777777" w:rsidR="009038FD" w:rsidRPr="001C610C" w:rsidRDefault="009038FD" w:rsidP="002B480B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SG11</w:t>
            </w:r>
          </w:p>
        </w:tc>
      </w:tr>
      <w:tr w:rsidR="009038FD" w:rsidRPr="001C610C" w14:paraId="7CDA731C" w14:textId="77777777" w:rsidTr="001C610C">
        <w:tc>
          <w:tcPr>
            <w:tcW w:w="8217" w:type="dxa"/>
            <w:shd w:val="clear" w:color="auto" w:fill="auto"/>
          </w:tcPr>
          <w:p w14:paraId="783C1C84" w14:textId="77777777" w:rsidR="009038FD" w:rsidRPr="001C610C" w:rsidRDefault="00073F07" w:rsidP="002B480B">
            <w:pPr>
              <w:rPr>
                <w:sz w:val="21"/>
                <w:szCs w:val="21"/>
              </w:rPr>
            </w:pPr>
            <w:hyperlink r:id="rId26" w:history="1">
              <w:r w:rsidR="009038FD" w:rsidRPr="001C610C">
                <w:rPr>
                  <w:rStyle w:val="Hyperlink"/>
                  <w:rFonts w:ascii="Times New Roman" w:eastAsia="Times New Roman" w:hAnsi="Times New Roman"/>
                  <w:sz w:val="21"/>
                  <w:szCs w:val="21"/>
                  <w:lang w:eastAsia="zh-CN"/>
                </w:rPr>
                <w:t>Q.3912</w:t>
              </w:r>
            </w:hyperlink>
            <w:r w:rsidR="009038FD" w:rsidRPr="001C610C">
              <w:rPr>
                <w:rFonts w:eastAsia="Times New Roman"/>
                <w:sz w:val="21"/>
                <w:szCs w:val="21"/>
                <w:lang w:eastAsia="zh-CN"/>
              </w:rPr>
              <w:t xml:space="preserve"> (2012), Set of parameters for monitoring next generation network streaming services</w:t>
            </w:r>
          </w:p>
        </w:tc>
        <w:tc>
          <w:tcPr>
            <w:tcW w:w="1412" w:type="dxa"/>
            <w:shd w:val="clear" w:color="auto" w:fill="auto"/>
          </w:tcPr>
          <w:p w14:paraId="351EE240" w14:textId="77777777" w:rsidR="009038FD" w:rsidRPr="001C610C" w:rsidRDefault="009038FD" w:rsidP="002B480B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SG11</w:t>
            </w:r>
          </w:p>
        </w:tc>
      </w:tr>
      <w:tr w:rsidR="009038FD" w:rsidRPr="001C610C" w14:paraId="1BB269E8" w14:textId="77777777" w:rsidTr="001C610C">
        <w:tc>
          <w:tcPr>
            <w:tcW w:w="8217" w:type="dxa"/>
            <w:shd w:val="clear" w:color="auto" w:fill="auto"/>
          </w:tcPr>
          <w:p w14:paraId="637EEC69" w14:textId="77777777" w:rsidR="009038FD" w:rsidRPr="001C610C" w:rsidRDefault="00073F07" w:rsidP="002B480B">
            <w:pPr>
              <w:rPr>
                <w:sz w:val="21"/>
                <w:szCs w:val="21"/>
              </w:rPr>
            </w:pPr>
            <w:hyperlink r:id="rId27" w:history="1">
              <w:r w:rsidR="009038FD" w:rsidRPr="001C610C">
                <w:rPr>
                  <w:rStyle w:val="Hyperlink"/>
                  <w:rFonts w:ascii="Times New Roman" w:eastAsia="Times New Roman" w:hAnsi="Times New Roman"/>
                  <w:sz w:val="21"/>
                  <w:szCs w:val="21"/>
                  <w:lang w:eastAsia="zh-CN"/>
                </w:rPr>
                <w:t>Q.3932.1</w:t>
              </w:r>
            </w:hyperlink>
            <w:r w:rsidR="009038FD" w:rsidRPr="001C610C">
              <w:rPr>
                <w:rFonts w:eastAsia="Times New Roman"/>
                <w:sz w:val="21"/>
                <w:szCs w:val="21"/>
                <w:lang w:eastAsia="zh-CN"/>
              </w:rPr>
              <w:t xml:space="preserve"> (2015), IMS/NGN performance benchmark – Part 1: Core concept</w:t>
            </w:r>
          </w:p>
        </w:tc>
        <w:tc>
          <w:tcPr>
            <w:tcW w:w="1412" w:type="dxa"/>
            <w:shd w:val="clear" w:color="auto" w:fill="auto"/>
          </w:tcPr>
          <w:p w14:paraId="17406013" w14:textId="77777777" w:rsidR="009038FD" w:rsidRPr="001C610C" w:rsidRDefault="009038FD" w:rsidP="002B480B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SG11</w:t>
            </w:r>
          </w:p>
        </w:tc>
      </w:tr>
      <w:tr w:rsidR="009038FD" w:rsidRPr="001C610C" w14:paraId="3871CACE" w14:textId="77777777" w:rsidTr="001C610C">
        <w:tc>
          <w:tcPr>
            <w:tcW w:w="8217" w:type="dxa"/>
            <w:shd w:val="clear" w:color="auto" w:fill="auto"/>
          </w:tcPr>
          <w:p w14:paraId="2695BB2E" w14:textId="77777777" w:rsidR="009038FD" w:rsidRPr="001C610C" w:rsidRDefault="00073F07" w:rsidP="002B480B">
            <w:pPr>
              <w:rPr>
                <w:sz w:val="21"/>
                <w:szCs w:val="21"/>
              </w:rPr>
            </w:pPr>
            <w:hyperlink r:id="rId28" w:history="1">
              <w:r w:rsidR="009038FD" w:rsidRPr="001C610C">
                <w:rPr>
                  <w:rStyle w:val="Hyperlink"/>
                  <w:rFonts w:ascii="Times New Roman" w:eastAsia="Times New Roman" w:hAnsi="Times New Roman"/>
                  <w:sz w:val="21"/>
                  <w:szCs w:val="21"/>
                  <w:lang w:eastAsia="zh-CN"/>
                </w:rPr>
                <w:t>Q.3932.2</w:t>
              </w:r>
            </w:hyperlink>
            <w:r w:rsidR="009038FD" w:rsidRPr="001C610C">
              <w:rPr>
                <w:rFonts w:eastAsia="Times New Roman"/>
                <w:sz w:val="21"/>
                <w:szCs w:val="21"/>
                <w:lang w:eastAsia="zh-CN"/>
              </w:rPr>
              <w:t xml:space="preserve"> (2015), IMS/NGN performance benchmark – Part 2: Subsystem configurations and benchmarks</w:t>
            </w:r>
          </w:p>
        </w:tc>
        <w:tc>
          <w:tcPr>
            <w:tcW w:w="1412" w:type="dxa"/>
            <w:shd w:val="clear" w:color="auto" w:fill="auto"/>
          </w:tcPr>
          <w:p w14:paraId="593A9BA4" w14:textId="77777777" w:rsidR="009038FD" w:rsidRPr="001C610C" w:rsidRDefault="009038FD" w:rsidP="002B480B">
            <w:pPr>
              <w:jc w:val="center"/>
              <w:rPr>
                <w:sz w:val="21"/>
                <w:szCs w:val="21"/>
              </w:rPr>
            </w:pPr>
            <w:r w:rsidRPr="001C610C">
              <w:rPr>
                <w:sz w:val="21"/>
                <w:szCs w:val="21"/>
              </w:rPr>
              <w:t>SG11</w:t>
            </w:r>
          </w:p>
        </w:tc>
      </w:tr>
    </w:tbl>
    <w:p w14:paraId="089F0A7C" w14:textId="4A8AE89D" w:rsidR="00FD3691" w:rsidRPr="004A4D7A" w:rsidRDefault="004A4D7A" w:rsidP="002E5237">
      <w:pPr>
        <w:spacing w:before="0"/>
        <w:contextualSpacing/>
        <w:jc w:val="center"/>
        <w:rPr>
          <w:rFonts w:eastAsia="Times New Roman"/>
          <w:lang w:eastAsia="zh-CN"/>
        </w:rPr>
      </w:pPr>
      <w:r w:rsidRPr="004A4D7A">
        <w:rPr>
          <w:rFonts w:eastAsia="Times New Roman"/>
          <w:lang w:eastAsia="zh-CN"/>
        </w:rPr>
        <w:t>______________</w:t>
      </w:r>
    </w:p>
    <w:sectPr w:rsidR="00FD3691" w:rsidRPr="004A4D7A" w:rsidSect="003700AC">
      <w:headerReference w:type="even" r:id="rId29"/>
      <w:headerReference w:type="default" r:id="rId30"/>
      <w:headerReference w:type="first" r:id="rId3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2A46" w14:textId="77777777" w:rsidR="00FA5F86" w:rsidRDefault="00FA5F86">
      <w:pPr>
        <w:spacing w:before="0"/>
      </w:pPr>
      <w:r>
        <w:separator/>
      </w:r>
    </w:p>
  </w:endnote>
  <w:endnote w:type="continuationSeparator" w:id="0">
    <w:p w14:paraId="3D5ED48E" w14:textId="77777777" w:rsidR="00FA5F86" w:rsidRDefault="00FA5F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32BB" w14:textId="77777777" w:rsidR="00FA5F86" w:rsidRDefault="00FA5F86">
      <w:pPr>
        <w:spacing w:before="0"/>
      </w:pPr>
      <w:r>
        <w:separator/>
      </w:r>
    </w:p>
  </w:footnote>
  <w:footnote w:type="continuationSeparator" w:id="0">
    <w:p w14:paraId="21AA4F98" w14:textId="77777777" w:rsidR="00FA5F86" w:rsidRDefault="00FA5F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E087" w14:textId="7F194C74" w:rsidR="00D37D2A" w:rsidRDefault="00D37D2A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8970431" wp14:editId="24887DA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52518899"/>
                          </w:sdtPr>
                          <w:sdtEndPr/>
                          <w:sdtContent>
                            <w:p w14:paraId="5CD9AA09" w14:textId="1FC7DD73" w:rsidR="00D37D2A" w:rsidRPr="00A11327" w:rsidRDefault="00D37D2A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70431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left:0;text-align:left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QxCgIAABoEAAAOAAAAZHJzL2Uyb0RvYy54bWysU11r2zAUfR/sPwi9L05Smg4Tp2QtGYPQ&#10;FtLRZ0WWYoOsK6Sb2Nmv35VsJ6Xb09iLfK37fc7R8r5rDDspH2qwBZ9NppwpK6Gs7aHgP183X75y&#10;FlDYUhiwquBnFfj96vOnZetyNYcKTKk8oyI25K0reIXo8iwLslKNCBNwypJTg28E0q8/ZKUXLVVv&#10;TDafThdZC750HqQKgW4feydfpfpaK4nPWgeFzBScZsN0+nTu45mtliI/eOGqWg5jiH+YohG1paaX&#10;Uo8CBTv6+o9STS09BNA4kdBkoHUtVdqBtplNP2yzq4RTaRcCJ7gLTOH/lZVPp5178Qy7b9ARgRGQ&#10;1oU80GXcp9O+iV+alJGfIDxfYFMdMkmXt3eLO+KCM0m+m/ndgmwqk12znQ/4XUHDolFwT7QktMRp&#10;G7APHUNiMwub2phEjbGsLfji5naaEi4eKm4s9bjOGi3s9t2wwB7KM+3loac8OLmpqflWBHwRnjim&#10;eUm3+EyHNkBNYLA4q8D/+tt9jCfoyctZS5opuCVRc2Z+WKIkyms0/GjsR8MemwcgEc7oPTiZTErw&#10;aEZTe2jeSMzr2INcwkrqVHAczQfsdUuPQar1OgWRiJzArd05GUtH8CKQr92b8G5AG4mnJxi1JPIP&#10;oPexMTO49REJ+sRIhLPHcECZBJg4HR5LVPj7/xR1fdKr3wAAAP//AwBQSwMEFAAGAAgAAAAhAMeh&#10;93jaAAAABgEAAA8AAABkcnMvZG93bnJldi54bWxMj8FOwzAQRO9I/IO1SNyoTahQSLOpoCIckWg4&#10;cHTjbRKI15HtpuHvMSc4jmY086bcLnYUM/kwOEa4XSkQxK0zA3cI7019k4MIUbPRo2NC+KYA2+ry&#10;otSFcWd+o3kfO5FKOBQaoY9xKqQMbU9Wh5WbiJN3dN7qmKTvpPH6nMrtKDOl7qXVA6eFXk+066n9&#10;2p8swq5uGj9T8OMHvdR3n69Pa3peEK+vlscNiEhL/AvDL35ChyoxHdyJTRAjQjoSEbJ8DSK5DyrP&#10;QBwQcqVAVqX8j1/9AAAA//8DAFBLAQItABQABgAIAAAAIQC2gziS/gAAAOEBAAATAAAAAAAAAAAA&#10;AAAAAAAAAABbQ29udGVudF9UeXBlc10ueG1sUEsBAi0AFAAGAAgAAAAhADj9If/WAAAAlAEAAAsA&#10;AAAAAAAAAAAAAAAALwEAAF9yZWxzLy5yZWxzUEsBAi0AFAAGAAgAAAAhAO2KJDEKAgAAGgQAAA4A&#10;AAAAAAAAAAAAAAAALgIAAGRycy9lMm9Eb2MueG1sUEsBAi0AFAAGAAgAAAAhAMeh93jaAAAABgEA&#10;AA8AAAAAAAAAAAAAAAAAZAQAAGRycy9kb3ducmV2LnhtbFBLBQYAAAAABAAEAPMAAABrBQAAAAA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52518899"/>
                    </w:sdtPr>
                    <w:sdtEndPr/>
                    <w:sdtContent>
                      <w:p w14:paraId="5CD9AA09" w14:textId="1FC7DD73" w:rsidR="00D37D2A" w:rsidRPr="00A11327" w:rsidRDefault="00D37D2A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E50" w14:textId="6B2C7A1E" w:rsidR="0066184A" w:rsidRPr="009E0F16" w:rsidRDefault="009E0F16" w:rsidP="009E0F16">
    <w:pPr>
      <w:pStyle w:val="Header"/>
      <w:rPr>
        <w:sz w:val="18"/>
      </w:rPr>
    </w:pPr>
    <w:r w:rsidRPr="009E0F16">
      <w:rPr>
        <w:sz w:val="18"/>
      </w:rPr>
      <w:t xml:space="preserve">- </w:t>
    </w:r>
    <w:r w:rsidRPr="009E0F16">
      <w:rPr>
        <w:sz w:val="18"/>
      </w:rPr>
      <w:fldChar w:fldCharType="begin"/>
    </w:r>
    <w:r w:rsidRPr="009E0F16">
      <w:rPr>
        <w:sz w:val="18"/>
      </w:rPr>
      <w:instrText xml:space="preserve"> PAGE  \* MERGEFORMAT </w:instrText>
    </w:r>
    <w:r w:rsidRPr="009E0F16">
      <w:rPr>
        <w:sz w:val="18"/>
      </w:rPr>
      <w:fldChar w:fldCharType="separate"/>
    </w:r>
    <w:r w:rsidRPr="009E0F16">
      <w:rPr>
        <w:noProof/>
        <w:sz w:val="18"/>
      </w:rPr>
      <w:t>1</w:t>
    </w:r>
    <w:r w:rsidRPr="009E0F16">
      <w:rPr>
        <w:sz w:val="18"/>
      </w:rPr>
      <w:fldChar w:fldCharType="end"/>
    </w:r>
    <w:r w:rsidRPr="009E0F16">
      <w:rPr>
        <w:sz w:val="18"/>
      </w:rPr>
      <w:t xml:space="preserve"> -</w:t>
    </w:r>
  </w:p>
  <w:p w14:paraId="07F0E168" w14:textId="0CFA2ACC" w:rsidR="009E0F16" w:rsidRPr="009E0F16" w:rsidRDefault="009E0F16" w:rsidP="009E0F16">
    <w:pPr>
      <w:pStyle w:val="Header"/>
      <w:spacing w:after="240"/>
      <w:rPr>
        <w:sz w:val="18"/>
      </w:rPr>
    </w:pPr>
    <w:r w:rsidRPr="009E0F16">
      <w:rPr>
        <w:sz w:val="18"/>
      </w:rPr>
      <w:fldChar w:fldCharType="begin"/>
    </w:r>
    <w:r w:rsidRPr="009E0F16">
      <w:rPr>
        <w:sz w:val="18"/>
      </w:rPr>
      <w:instrText xml:space="preserve"> STYLEREF  Docnumber  </w:instrText>
    </w:r>
    <w:r w:rsidRPr="009E0F16">
      <w:rPr>
        <w:sz w:val="18"/>
      </w:rPr>
      <w:fldChar w:fldCharType="separate"/>
    </w:r>
    <w:r w:rsidR="00073F07">
      <w:rPr>
        <w:noProof/>
        <w:sz w:val="18"/>
      </w:rPr>
      <w:t>TSAG-TD358</w:t>
    </w:r>
    <w:r w:rsidRPr="009E0F16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6AD5" w14:textId="6C85C6D1" w:rsidR="00D37D2A" w:rsidRDefault="00D37D2A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329376F" wp14:editId="3F4092BD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737291138"/>
                          </w:sdtPr>
                          <w:sdtEndPr/>
                          <w:sdtContent>
                            <w:p w14:paraId="3A8A7AEF" w14:textId="098B1154" w:rsidR="00D37D2A" w:rsidRPr="00A11327" w:rsidRDefault="00D37D2A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93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left:0;text-align:left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cLDA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d/tsaXyiPUcnZj3Vq4azLAWPrwI&#10;B6oxNuQbnnFUmtCLzhZnNblff7uP8WAAXs46SKfgBtrmTP8wYCaqbDDcYGwHw+zbB4IWJ3gWViYT&#10;CS7owawctW/Q9DL2gEsYiU4FD4P5EE7yxZuQarlMQdCSFWFtNlbG0hHDiOdr/yacPYMeQNcTDZIS&#10;+QfsT7Ex09vlPoCBRExE9YThGWzoMFF7fjNR6O//U9T1ZS9+AwAA//8DAFBLAwQUAAYACAAAACEA&#10;x6H3eNoAAAAGAQAADwAAAGRycy9kb3ducmV2LnhtbEyPwU7DMBBE70j8g7VI3KhNqFBIs6mgIhyR&#10;aDhwdONtEojXke2m4e8xJziOZjTzptwudhQz+TA4RrhdKRDErTMDdwjvTX2TgwhRs9GjY0L4pgDb&#10;6vKi1IVxZ36jeR87kUo4FBqhj3EqpAxtT1aHlZuIk3d03uqYpO+k8fqcyu0oM6XupdUDp4VeT7Tr&#10;qf3anyzCrm4aP1Pw4we91Hefr09rel4Qr6+Wxw2ISEv8C8MvfkKHKjEd3IlNECNCOhIRsnwNIrkP&#10;Ks9AHBBypUBWpfyPX/0AAAD//wMAUEsBAi0AFAAGAAgAAAAhALaDOJL+AAAA4QEAABMAAAAAAAAA&#10;AAAAAAAAAAAAAFtDb250ZW50X1R5cGVzXS54bWxQSwECLQAUAAYACAAAACEAOP0h/9YAAACUAQAA&#10;CwAAAAAAAAAAAAAAAAAvAQAAX3JlbHMvLnJlbHNQSwECLQAUAAYACAAAACEA83JHCwwCAAAhBAAA&#10;DgAAAAAAAAAAAAAAAAAuAgAAZHJzL2Uyb0RvYy54bWxQSwECLQAUAAYACAAAACEAx6H3eNoAAAAG&#10;AQAADwAAAAAAAAAAAAAAAABmBAAAZHJzL2Rvd25yZXYueG1sUEsFBgAAAAAEAAQA8wAAAG0FAAAA&#10;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737291138"/>
                    </w:sdtPr>
                    <w:sdtEndPr/>
                    <w:sdtContent>
                      <w:p w14:paraId="3A8A7AEF" w14:textId="098B1154" w:rsidR="00D37D2A" w:rsidRPr="00A11327" w:rsidRDefault="00D37D2A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F"/>
    <w:multiLevelType w:val="hybridMultilevel"/>
    <w:tmpl w:val="C2B4223C"/>
    <w:lvl w:ilvl="0" w:tplc="A35C8AC2">
      <w:start w:val="1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F1C"/>
    <w:multiLevelType w:val="hybridMultilevel"/>
    <w:tmpl w:val="53CC1A0E"/>
    <w:lvl w:ilvl="0" w:tplc="4B2E7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36B7E"/>
    <w:multiLevelType w:val="hybridMultilevel"/>
    <w:tmpl w:val="00422A52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18C9162F"/>
    <w:multiLevelType w:val="hybridMultilevel"/>
    <w:tmpl w:val="D38AD8F6"/>
    <w:lvl w:ilvl="0" w:tplc="477859F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F29D0"/>
    <w:multiLevelType w:val="hybridMultilevel"/>
    <w:tmpl w:val="9D14A17C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72DB4"/>
    <w:multiLevelType w:val="hybridMultilevel"/>
    <w:tmpl w:val="1DF0F2B4"/>
    <w:lvl w:ilvl="0" w:tplc="C1EAA0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B25354"/>
    <w:multiLevelType w:val="hybridMultilevel"/>
    <w:tmpl w:val="03A4F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94985"/>
    <w:multiLevelType w:val="hybridMultilevel"/>
    <w:tmpl w:val="F414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502F1"/>
    <w:multiLevelType w:val="hybridMultilevel"/>
    <w:tmpl w:val="1CD4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217BC"/>
    <w:multiLevelType w:val="hybridMultilevel"/>
    <w:tmpl w:val="61ECF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A51FD"/>
    <w:multiLevelType w:val="hybridMultilevel"/>
    <w:tmpl w:val="8382859C"/>
    <w:lvl w:ilvl="0" w:tplc="CA386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70B74"/>
    <w:multiLevelType w:val="hybridMultilevel"/>
    <w:tmpl w:val="B5E210FE"/>
    <w:lvl w:ilvl="0" w:tplc="F9282EC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84F72"/>
    <w:multiLevelType w:val="hybridMultilevel"/>
    <w:tmpl w:val="FFF8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87A55"/>
    <w:multiLevelType w:val="hybridMultilevel"/>
    <w:tmpl w:val="1B223D2A"/>
    <w:lvl w:ilvl="0" w:tplc="FCF0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961833">
    <w:abstractNumId w:val="13"/>
  </w:num>
  <w:num w:numId="2" w16cid:durableId="1496460572">
    <w:abstractNumId w:val="2"/>
  </w:num>
  <w:num w:numId="3" w16cid:durableId="1070033093">
    <w:abstractNumId w:val="10"/>
  </w:num>
  <w:num w:numId="4" w16cid:durableId="1638029515">
    <w:abstractNumId w:val="5"/>
  </w:num>
  <w:num w:numId="5" w16cid:durableId="1639609780">
    <w:abstractNumId w:val="4"/>
  </w:num>
  <w:num w:numId="6" w16cid:durableId="200363946">
    <w:abstractNumId w:val="12"/>
  </w:num>
  <w:num w:numId="7" w16cid:durableId="1105884693">
    <w:abstractNumId w:val="8"/>
  </w:num>
  <w:num w:numId="8" w16cid:durableId="147986495">
    <w:abstractNumId w:val="7"/>
  </w:num>
  <w:num w:numId="9" w16cid:durableId="275408167">
    <w:abstractNumId w:val="3"/>
  </w:num>
  <w:num w:numId="10" w16cid:durableId="1393505509">
    <w:abstractNumId w:val="11"/>
  </w:num>
  <w:num w:numId="11" w16cid:durableId="1032000756">
    <w:abstractNumId w:val="0"/>
  </w:num>
  <w:num w:numId="12" w16cid:durableId="592472220">
    <w:abstractNumId w:val="6"/>
  </w:num>
  <w:num w:numId="13" w16cid:durableId="398863172">
    <w:abstractNumId w:val="6"/>
  </w:num>
  <w:num w:numId="14" w16cid:durableId="1057700753">
    <w:abstractNumId w:val="9"/>
  </w:num>
  <w:num w:numId="15" w16cid:durableId="159720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9C"/>
    <w:rsid w:val="00003CCD"/>
    <w:rsid w:val="00004B24"/>
    <w:rsid w:val="00006CF2"/>
    <w:rsid w:val="0001099F"/>
    <w:rsid w:val="000156F8"/>
    <w:rsid w:val="00016AEA"/>
    <w:rsid w:val="00017DE5"/>
    <w:rsid w:val="00020F19"/>
    <w:rsid w:val="0002389E"/>
    <w:rsid w:val="000327EF"/>
    <w:rsid w:val="00034BC2"/>
    <w:rsid w:val="00036021"/>
    <w:rsid w:val="000374AD"/>
    <w:rsid w:val="000374BB"/>
    <w:rsid w:val="0004002E"/>
    <w:rsid w:val="000436EC"/>
    <w:rsid w:val="000438CB"/>
    <w:rsid w:val="000655A2"/>
    <w:rsid w:val="00073F07"/>
    <w:rsid w:val="00076893"/>
    <w:rsid w:val="00080001"/>
    <w:rsid w:val="000875BD"/>
    <w:rsid w:val="00093FAF"/>
    <w:rsid w:val="00095B0D"/>
    <w:rsid w:val="00096C70"/>
    <w:rsid w:val="000A19A8"/>
    <w:rsid w:val="000A2AB1"/>
    <w:rsid w:val="000B091A"/>
    <w:rsid w:val="000B5124"/>
    <w:rsid w:val="000C1676"/>
    <w:rsid w:val="000C30DF"/>
    <w:rsid w:val="000D2EE9"/>
    <w:rsid w:val="000F30B5"/>
    <w:rsid w:val="000F5302"/>
    <w:rsid w:val="000F5805"/>
    <w:rsid w:val="0010020B"/>
    <w:rsid w:val="00101FC3"/>
    <w:rsid w:val="001142E4"/>
    <w:rsid w:val="001155F8"/>
    <w:rsid w:val="00124E76"/>
    <w:rsid w:val="0013492D"/>
    <w:rsid w:val="001633D3"/>
    <w:rsid w:val="00167246"/>
    <w:rsid w:val="00180100"/>
    <w:rsid w:val="00182516"/>
    <w:rsid w:val="001843E6"/>
    <w:rsid w:val="00193FF1"/>
    <w:rsid w:val="001B1BDC"/>
    <w:rsid w:val="001B4006"/>
    <w:rsid w:val="001B791E"/>
    <w:rsid w:val="001C5A2B"/>
    <w:rsid w:val="001C610C"/>
    <w:rsid w:val="001D5E81"/>
    <w:rsid w:val="001E33F8"/>
    <w:rsid w:val="001E3A98"/>
    <w:rsid w:val="001E3F5E"/>
    <w:rsid w:val="001F291E"/>
    <w:rsid w:val="00201860"/>
    <w:rsid w:val="00204B53"/>
    <w:rsid w:val="00207C50"/>
    <w:rsid w:val="002147F4"/>
    <w:rsid w:val="00214E43"/>
    <w:rsid w:val="0022141E"/>
    <w:rsid w:val="0022250B"/>
    <w:rsid w:val="002245ED"/>
    <w:rsid w:val="00227C10"/>
    <w:rsid w:val="002313A9"/>
    <w:rsid w:val="002439CA"/>
    <w:rsid w:val="00245F02"/>
    <w:rsid w:val="00252702"/>
    <w:rsid w:val="002570E0"/>
    <w:rsid w:val="00257726"/>
    <w:rsid w:val="00260B6A"/>
    <w:rsid w:val="00266444"/>
    <w:rsid w:val="00281F19"/>
    <w:rsid w:val="00283A43"/>
    <w:rsid w:val="0028545D"/>
    <w:rsid w:val="00291AA8"/>
    <w:rsid w:val="002A10A1"/>
    <w:rsid w:val="002A1532"/>
    <w:rsid w:val="002B0042"/>
    <w:rsid w:val="002B480B"/>
    <w:rsid w:val="002B6859"/>
    <w:rsid w:val="002B7F61"/>
    <w:rsid w:val="002D7916"/>
    <w:rsid w:val="002E5237"/>
    <w:rsid w:val="002F168C"/>
    <w:rsid w:val="002F348D"/>
    <w:rsid w:val="003125F5"/>
    <w:rsid w:val="00315AE1"/>
    <w:rsid w:val="00320AC9"/>
    <w:rsid w:val="00335B63"/>
    <w:rsid w:val="00336B6B"/>
    <w:rsid w:val="0033766A"/>
    <w:rsid w:val="00346ABD"/>
    <w:rsid w:val="00357938"/>
    <w:rsid w:val="003609AA"/>
    <w:rsid w:val="003700AC"/>
    <w:rsid w:val="003772B0"/>
    <w:rsid w:val="00383418"/>
    <w:rsid w:val="00384613"/>
    <w:rsid w:val="00390E52"/>
    <w:rsid w:val="0039162C"/>
    <w:rsid w:val="003A2FD4"/>
    <w:rsid w:val="003B1BF9"/>
    <w:rsid w:val="003D43C5"/>
    <w:rsid w:val="003E04FC"/>
    <w:rsid w:val="003E0755"/>
    <w:rsid w:val="003E0FF8"/>
    <w:rsid w:val="003E3B78"/>
    <w:rsid w:val="00400489"/>
    <w:rsid w:val="00402E9C"/>
    <w:rsid w:val="004044D4"/>
    <w:rsid w:val="0040674B"/>
    <w:rsid w:val="004305D3"/>
    <w:rsid w:val="004356B6"/>
    <w:rsid w:val="00437824"/>
    <w:rsid w:val="00441F8E"/>
    <w:rsid w:val="0047017E"/>
    <w:rsid w:val="004719C1"/>
    <w:rsid w:val="00480B83"/>
    <w:rsid w:val="004877B8"/>
    <w:rsid w:val="004939E6"/>
    <w:rsid w:val="00494DD6"/>
    <w:rsid w:val="004963F6"/>
    <w:rsid w:val="004A4D7A"/>
    <w:rsid w:val="004A6C87"/>
    <w:rsid w:val="004B09FE"/>
    <w:rsid w:val="004D059A"/>
    <w:rsid w:val="004D7860"/>
    <w:rsid w:val="004F702A"/>
    <w:rsid w:val="00511389"/>
    <w:rsid w:val="005238E8"/>
    <w:rsid w:val="005331A3"/>
    <w:rsid w:val="0053329E"/>
    <w:rsid w:val="00535A6E"/>
    <w:rsid w:val="0054682F"/>
    <w:rsid w:val="005522AE"/>
    <w:rsid w:val="00554591"/>
    <w:rsid w:val="0055603D"/>
    <w:rsid w:val="0055663C"/>
    <w:rsid w:val="00564D44"/>
    <w:rsid w:val="00567232"/>
    <w:rsid w:val="005703BD"/>
    <w:rsid w:val="00570915"/>
    <w:rsid w:val="00570940"/>
    <w:rsid w:val="0057197D"/>
    <w:rsid w:val="0057381F"/>
    <w:rsid w:val="00582C92"/>
    <w:rsid w:val="00590745"/>
    <w:rsid w:val="0059475C"/>
    <w:rsid w:val="00595223"/>
    <w:rsid w:val="005A78E3"/>
    <w:rsid w:val="005C4037"/>
    <w:rsid w:val="005C5B13"/>
    <w:rsid w:val="005C67ED"/>
    <w:rsid w:val="005D10A1"/>
    <w:rsid w:val="005D34D8"/>
    <w:rsid w:val="005D657A"/>
    <w:rsid w:val="005E0E7D"/>
    <w:rsid w:val="005F22A1"/>
    <w:rsid w:val="005F33E6"/>
    <w:rsid w:val="005F5B6A"/>
    <w:rsid w:val="0060179D"/>
    <w:rsid w:val="00602DFA"/>
    <w:rsid w:val="00604D9C"/>
    <w:rsid w:val="006221A3"/>
    <w:rsid w:val="00624128"/>
    <w:rsid w:val="006371E2"/>
    <w:rsid w:val="006376CD"/>
    <w:rsid w:val="0065080E"/>
    <w:rsid w:val="00653097"/>
    <w:rsid w:val="0066184A"/>
    <w:rsid w:val="0066497C"/>
    <w:rsid w:val="00677AAF"/>
    <w:rsid w:val="00682918"/>
    <w:rsid w:val="00693282"/>
    <w:rsid w:val="00694C61"/>
    <w:rsid w:val="00695C14"/>
    <w:rsid w:val="00695E11"/>
    <w:rsid w:val="006977FA"/>
    <w:rsid w:val="006C3EC4"/>
    <w:rsid w:val="006C59D8"/>
    <w:rsid w:val="006D47E4"/>
    <w:rsid w:val="006F56FA"/>
    <w:rsid w:val="007143E2"/>
    <w:rsid w:val="00717221"/>
    <w:rsid w:val="00730FEA"/>
    <w:rsid w:val="007372B5"/>
    <w:rsid w:val="007404E3"/>
    <w:rsid w:val="00741214"/>
    <w:rsid w:val="0075491A"/>
    <w:rsid w:val="00757CE6"/>
    <w:rsid w:val="007602F2"/>
    <w:rsid w:val="00777C12"/>
    <w:rsid w:val="0078300D"/>
    <w:rsid w:val="007A2862"/>
    <w:rsid w:val="007D152F"/>
    <w:rsid w:val="007D4A67"/>
    <w:rsid w:val="007D4BE4"/>
    <w:rsid w:val="007D6C6E"/>
    <w:rsid w:val="007E5B03"/>
    <w:rsid w:val="00820F1C"/>
    <w:rsid w:val="00825827"/>
    <w:rsid w:val="00830499"/>
    <w:rsid w:val="00833370"/>
    <w:rsid w:val="008539F4"/>
    <w:rsid w:val="00860273"/>
    <w:rsid w:val="0086653C"/>
    <w:rsid w:val="008670C6"/>
    <w:rsid w:val="00882E6A"/>
    <w:rsid w:val="008969B8"/>
    <w:rsid w:val="008B2615"/>
    <w:rsid w:val="008B5FEE"/>
    <w:rsid w:val="008D1C8C"/>
    <w:rsid w:val="008E3F11"/>
    <w:rsid w:val="008E67AE"/>
    <w:rsid w:val="008F08E8"/>
    <w:rsid w:val="009038FD"/>
    <w:rsid w:val="00921CCD"/>
    <w:rsid w:val="009226B7"/>
    <w:rsid w:val="00923E77"/>
    <w:rsid w:val="00944B09"/>
    <w:rsid w:val="00947899"/>
    <w:rsid w:val="00954021"/>
    <w:rsid w:val="009711B0"/>
    <w:rsid w:val="00971722"/>
    <w:rsid w:val="00973CD9"/>
    <w:rsid w:val="00973E2C"/>
    <w:rsid w:val="00981C9D"/>
    <w:rsid w:val="00994CBC"/>
    <w:rsid w:val="00994F3A"/>
    <w:rsid w:val="00996860"/>
    <w:rsid w:val="009B27C6"/>
    <w:rsid w:val="009B28FA"/>
    <w:rsid w:val="009D4A6C"/>
    <w:rsid w:val="009D5FF6"/>
    <w:rsid w:val="009E0F16"/>
    <w:rsid w:val="009E27DB"/>
    <w:rsid w:val="009E63F2"/>
    <w:rsid w:val="00A0754B"/>
    <w:rsid w:val="00A07F3F"/>
    <w:rsid w:val="00A12C8E"/>
    <w:rsid w:val="00A24DF1"/>
    <w:rsid w:val="00A26166"/>
    <w:rsid w:val="00A31D96"/>
    <w:rsid w:val="00A351BC"/>
    <w:rsid w:val="00A405B5"/>
    <w:rsid w:val="00A42C47"/>
    <w:rsid w:val="00A57941"/>
    <w:rsid w:val="00A6302E"/>
    <w:rsid w:val="00A72FE5"/>
    <w:rsid w:val="00A73AFD"/>
    <w:rsid w:val="00A81334"/>
    <w:rsid w:val="00A951B2"/>
    <w:rsid w:val="00AA08CD"/>
    <w:rsid w:val="00AA3AC5"/>
    <w:rsid w:val="00AA5D9F"/>
    <w:rsid w:val="00AB646C"/>
    <w:rsid w:val="00AC52B2"/>
    <w:rsid w:val="00AC707D"/>
    <w:rsid w:val="00AD39B1"/>
    <w:rsid w:val="00AD3A73"/>
    <w:rsid w:val="00AD63C8"/>
    <w:rsid w:val="00AD715A"/>
    <w:rsid w:val="00AF3BE0"/>
    <w:rsid w:val="00AF43F6"/>
    <w:rsid w:val="00B0350E"/>
    <w:rsid w:val="00B1468A"/>
    <w:rsid w:val="00B15466"/>
    <w:rsid w:val="00B1770F"/>
    <w:rsid w:val="00B32D54"/>
    <w:rsid w:val="00B33BDB"/>
    <w:rsid w:val="00B3587F"/>
    <w:rsid w:val="00B37EB7"/>
    <w:rsid w:val="00B42629"/>
    <w:rsid w:val="00B4709C"/>
    <w:rsid w:val="00B522AE"/>
    <w:rsid w:val="00B54842"/>
    <w:rsid w:val="00B5644D"/>
    <w:rsid w:val="00B67501"/>
    <w:rsid w:val="00B75DA4"/>
    <w:rsid w:val="00B978D2"/>
    <w:rsid w:val="00BA3799"/>
    <w:rsid w:val="00BA4256"/>
    <w:rsid w:val="00BB6EE9"/>
    <w:rsid w:val="00BC2065"/>
    <w:rsid w:val="00BC3659"/>
    <w:rsid w:val="00BC7216"/>
    <w:rsid w:val="00BD249F"/>
    <w:rsid w:val="00BD6112"/>
    <w:rsid w:val="00BD732E"/>
    <w:rsid w:val="00BF5482"/>
    <w:rsid w:val="00BF67D7"/>
    <w:rsid w:val="00C13BD1"/>
    <w:rsid w:val="00C312C4"/>
    <w:rsid w:val="00C347DD"/>
    <w:rsid w:val="00C37E75"/>
    <w:rsid w:val="00C421AC"/>
    <w:rsid w:val="00C43314"/>
    <w:rsid w:val="00C53FE8"/>
    <w:rsid w:val="00C56EBD"/>
    <w:rsid w:val="00C640F6"/>
    <w:rsid w:val="00C96A0E"/>
    <w:rsid w:val="00CA314F"/>
    <w:rsid w:val="00CA4212"/>
    <w:rsid w:val="00CA680B"/>
    <w:rsid w:val="00CC5AB0"/>
    <w:rsid w:val="00CD074E"/>
    <w:rsid w:val="00CD33FB"/>
    <w:rsid w:val="00CD379D"/>
    <w:rsid w:val="00CD758E"/>
    <w:rsid w:val="00CE0BAC"/>
    <w:rsid w:val="00CF14F2"/>
    <w:rsid w:val="00CF3785"/>
    <w:rsid w:val="00CF6438"/>
    <w:rsid w:val="00D151D1"/>
    <w:rsid w:val="00D34110"/>
    <w:rsid w:val="00D37D2A"/>
    <w:rsid w:val="00D4556E"/>
    <w:rsid w:val="00D63A1F"/>
    <w:rsid w:val="00D658EB"/>
    <w:rsid w:val="00D67D78"/>
    <w:rsid w:val="00D77968"/>
    <w:rsid w:val="00D82B1A"/>
    <w:rsid w:val="00D8422D"/>
    <w:rsid w:val="00D92619"/>
    <w:rsid w:val="00D93848"/>
    <w:rsid w:val="00D94F16"/>
    <w:rsid w:val="00D956B9"/>
    <w:rsid w:val="00DA33D3"/>
    <w:rsid w:val="00DA3D40"/>
    <w:rsid w:val="00DC2875"/>
    <w:rsid w:val="00DD32C6"/>
    <w:rsid w:val="00DD611D"/>
    <w:rsid w:val="00E0407D"/>
    <w:rsid w:val="00E07347"/>
    <w:rsid w:val="00E10402"/>
    <w:rsid w:val="00E1181A"/>
    <w:rsid w:val="00E12A55"/>
    <w:rsid w:val="00E40532"/>
    <w:rsid w:val="00E65240"/>
    <w:rsid w:val="00E80176"/>
    <w:rsid w:val="00E9114B"/>
    <w:rsid w:val="00E9246F"/>
    <w:rsid w:val="00EA000B"/>
    <w:rsid w:val="00EA0D62"/>
    <w:rsid w:val="00EA7FEC"/>
    <w:rsid w:val="00EB3DE3"/>
    <w:rsid w:val="00EC51E7"/>
    <w:rsid w:val="00EC6FFF"/>
    <w:rsid w:val="00ED3786"/>
    <w:rsid w:val="00ED5954"/>
    <w:rsid w:val="00EE1455"/>
    <w:rsid w:val="00EE191B"/>
    <w:rsid w:val="00EE5933"/>
    <w:rsid w:val="00EF4331"/>
    <w:rsid w:val="00F01A14"/>
    <w:rsid w:val="00F05CCF"/>
    <w:rsid w:val="00F0705C"/>
    <w:rsid w:val="00F0786B"/>
    <w:rsid w:val="00F12108"/>
    <w:rsid w:val="00F1260D"/>
    <w:rsid w:val="00F1340C"/>
    <w:rsid w:val="00F25F85"/>
    <w:rsid w:val="00F326CE"/>
    <w:rsid w:val="00F3698A"/>
    <w:rsid w:val="00F62DA0"/>
    <w:rsid w:val="00F65F8C"/>
    <w:rsid w:val="00F67706"/>
    <w:rsid w:val="00F72513"/>
    <w:rsid w:val="00F73E28"/>
    <w:rsid w:val="00F74B1E"/>
    <w:rsid w:val="00F759A4"/>
    <w:rsid w:val="00F8155A"/>
    <w:rsid w:val="00F93F53"/>
    <w:rsid w:val="00FA4619"/>
    <w:rsid w:val="00FA5F86"/>
    <w:rsid w:val="00FA7A54"/>
    <w:rsid w:val="00FB1F0D"/>
    <w:rsid w:val="00FB2663"/>
    <w:rsid w:val="00FB30B1"/>
    <w:rsid w:val="00FC0D44"/>
    <w:rsid w:val="00FC0F60"/>
    <w:rsid w:val="00FC3DAB"/>
    <w:rsid w:val="00FD3691"/>
    <w:rsid w:val="00FE6935"/>
    <w:rsid w:val="00FF285C"/>
    <w:rsid w:val="00FF4F97"/>
    <w:rsid w:val="2636E1B2"/>
    <w:rsid w:val="5D8FA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4E566"/>
  <w15:docId w15:val="{5503F0B0-9BFD-4CEA-8E1A-79DA2D5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9C"/>
    <w:pPr>
      <w:spacing w:before="120"/>
    </w:pPr>
    <w:rPr>
      <w:rFonts w:ascii="Times New Roman" w:hAnsi="Times New Roman" w:cs="Times New Roman"/>
      <w:kern w:val="0"/>
      <w:sz w:val="24"/>
      <w:szCs w:val="24"/>
      <w:lang w:val="en-GB" w:eastAsia="ja-JP"/>
    </w:rPr>
  </w:style>
  <w:style w:type="paragraph" w:styleId="Heading1">
    <w:name w:val="heading 1"/>
    <w:basedOn w:val="Normal"/>
    <w:link w:val="Heading1Char"/>
    <w:uiPriority w:val="9"/>
    <w:qFormat/>
    <w:rsid w:val="00AD39B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04D9C"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character" w:styleId="Hyperlink">
    <w:name w:val="Hyperlink"/>
    <w:basedOn w:val="DefaultParagraphFont"/>
    <w:qFormat/>
    <w:rsid w:val="00604D9C"/>
    <w:rPr>
      <w:rFonts w:asciiTheme="majorBidi" w:hAnsiTheme="majorBidi"/>
      <w:color w:val="0000FF"/>
      <w:u w:val="single"/>
    </w:rPr>
  </w:style>
  <w:style w:type="paragraph" w:styleId="Header">
    <w:name w:val="header"/>
    <w:basedOn w:val="Normal"/>
    <w:link w:val="HeaderChar"/>
    <w:unhideWhenUsed/>
    <w:rsid w:val="00604D9C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9C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LSDeadline">
    <w:name w:val="LSDeadline"/>
    <w:basedOn w:val="LSForAction"/>
    <w:next w:val="Normal"/>
    <w:rsid w:val="00604D9C"/>
    <w:rPr>
      <w:bCs w:val="0"/>
    </w:rPr>
  </w:style>
  <w:style w:type="paragraph" w:customStyle="1" w:styleId="LSForAction">
    <w:name w:val="LSForAction"/>
    <w:basedOn w:val="Normal"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04D9C"/>
  </w:style>
  <w:style w:type="paragraph" w:customStyle="1" w:styleId="LSForComment">
    <w:name w:val="LSForComment"/>
    <w:basedOn w:val="LSForAction"/>
    <w:next w:val="Normal"/>
    <w:rsid w:val="00604D9C"/>
  </w:style>
  <w:style w:type="paragraph" w:styleId="NormalWeb">
    <w:name w:val="Normal (Web)"/>
    <w:basedOn w:val="Normal"/>
    <w:uiPriority w:val="99"/>
    <w:unhideWhenUsed/>
    <w:rsid w:val="00604D9C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PlaceholderText">
    <w:name w:val="Placeholder Text"/>
    <w:basedOn w:val="DefaultParagraphFont"/>
    <w:uiPriority w:val="99"/>
    <w:rsid w:val="00604D9C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C"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5F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37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82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25827"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rsid w:val="00B358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39B1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3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4F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14F"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CA314F"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F43F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B1BDC"/>
    <w:pPr>
      <w:spacing w:befor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1BDC"/>
    <w:rPr>
      <w:rFonts w:ascii="Calibri" w:eastAsiaTheme="minorHAnsi" w:hAnsi="Calibri"/>
      <w:kern w:val="0"/>
      <w:sz w:val="22"/>
      <w:szCs w:val="21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D37D2A"/>
    <w:pPr>
      <w:spacing w:before="0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D37D2A"/>
    <w:rPr>
      <w:rFonts w:eastAsiaTheme="minorHAnsi"/>
      <w:sz w:val="20"/>
      <w:szCs w:val="20"/>
      <w:lang w:eastAsia="en-US"/>
      <w14:ligatures w14:val="standardContextual"/>
    </w:rPr>
  </w:style>
  <w:style w:type="paragraph" w:customStyle="1" w:styleId="enumlev1">
    <w:name w:val="enumlev1"/>
    <w:basedOn w:val="Normal"/>
    <w:rsid w:val="00A579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39"/>
    <w:rsid w:val="00A57941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17221"/>
  </w:style>
  <w:style w:type="paragraph" w:customStyle="1" w:styleId="TSBHeaderSummary">
    <w:name w:val="TSBHeaderSummary"/>
    <w:basedOn w:val="Normal"/>
    <w:rsid w:val="001C610C"/>
  </w:style>
  <w:style w:type="paragraph" w:customStyle="1" w:styleId="TSBHeaderQuestion">
    <w:name w:val="TSBHeaderQuestion"/>
    <w:basedOn w:val="Normal"/>
    <w:qFormat/>
    <w:rsid w:val="00564D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564D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564D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564D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564D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s.berger@rohde-schwarz.com" TargetMode="External"/><Relationship Id="rId18" Type="http://schemas.openxmlformats.org/officeDocument/2006/relationships/hyperlink" Target="https://www.itu.int/rec/T-REC-G.161" TargetMode="External"/><Relationship Id="rId26" Type="http://schemas.openxmlformats.org/officeDocument/2006/relationships/hyperlink" Target="https://www.itu.int/rec/T-REC-Q.391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T-REC-Y.1451.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tania.villa@ift.org.mx" TargetMode="External"/><Relationship Id="rId17" Type="http://schemas.openxmlformats.org/officeDocument/2006/relationships/hyperlink" Target="mailto:jens.berger@rohde-schwarz.com" TargetMode="External"/><Relationship Id="rId25" Type="http://schemas.openxmlformats.org/officeDocument/2006/relationships/hyperlink" Target="https://www.itu.int/rec/T-REC-Q.391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ania.villa@ift.org.mx" TargetMode="External"/><Relationship Id="rId20" Type="http://schemas.openxmlformats.org/officeDocument/2006/relationships/hyperlink" Target="https://www.itu.int/rec/T-REC-G.799.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2-oLS-00040.docx" TargetMode="External"/><Relationship Id="rId24" Type="http://schemas.openxmlformats.org/officeDocument/2006/relationships/hyperlink" Target="https://www.itu.int/rec/T-REC-J.361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T22-SG12-230919-TD-GEN-0475/en" TargetMode="External"/><Relationship Id="rId23" Type="http://schemas.openxmlformats.org/officeDocument/2006/relationships/hyperlink" Target="https://www.itu.int/rec/T-REC-J.161" TargetMode="External"/><Relationship Id="rId28" Type="http://schemas.openxmlformats.org/officeDocument/2006/relationships/hyperlink" Target="https://www.itu.int/rec/T-REC-Q.3932.2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rec/T-REC-G.161.1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2-oLS-00040.docx" TargetMode="External"/><Relationship Id="rId22" Type="http://schemas.openxmlformats.org/officeDocument/2006/relationships/hyperlink" Target="https://www.itu.int/rec/T-REC-G.799.3" TargetMode="External"/><Relationship Id="rId27" Type="http://schemas.openxmlformats.org/officeDocument/2006/relationships/hyperlink" Target="https://www.itu.int/rec/T-REC-Q.3932.1" TargetMode="External"/><Relationship Id="rId30" Type="http://schemas.openxmlformats.org/officeDocument/2006/relationships/header" Target="header2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</documentManagement>
</p:properties>
</file>

<file path=customXml/itemProps1.xml><?xml version="1.0" encoding="utf-8"?>
<ds:datastoreItem xmlns:ds="http://schemas.openxmlformats.org/officeDocument/2006/customXml" ds:itemID="{EAF0097B-F2DB-4782-8160-DA2D34A5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7881E-8E04-4340-935E-4EB5BB2C5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A8F7-8B27-4B4E-80EF-AB90AE1D898E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deletion of P.862.[x] Recommendations</vt:lpstr>
    </vt:vector>
  </TitlesOfParts>
  <Manager>ITU-T</Manager>
  <Company>International Telecommunication Union (ITU)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deletion of P.862.[x] Recommendations</dc:title>
  <dc:creator>ITU-T Study Group 12</dc:creator>
  <cp:keywords/>
  <dc:description>SG12-LS40  For: Mexico City, 19-28 September 2023_x000d_Document date: _x000d_Saved by ITU51013862 at 10:15:42 on 03/10/2023</dc:description>
  <cp:lastModifiedBy>Al-Mnini, Lara</cp:lastModifiedBy>
  <cp:revision>3</cp:revision>
  <cp:lastPrinted>2019-01-23T08:06:00Z</cp:lastPrinted>
  <dcterms:created xsi:type="dcterms:W3CDTF">2023-10-04T12:23:00Z</dcterms:created>
  <dcterms:modified xsi:type="dcterms:W3CDTF">2023-10-04T12:34:00Z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SG12-LS40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9/12</vt:lpwstr>
  </property>
  <property fmtid="{D5CDD505-2E9C-101B-9397-08002B2CF9AE}" pid="6" name="Docdest">
    <vt:lpwstr>Mexico City, 19-28 September 2023</vt:lpwstr>
  </property>
  <property fmtid="{D5CDD505-2E9C-101B-9397-08002B2CF9AE}" pid="7" name="Docauthor">
    <vt:lpwstr>ITU-T Study Group 12</vt:lpwstr>
  </property>
  <property fmtid="{D5CDD505-2E9C-101B-9397-08002B2CF9AE}" pid="8" name="ContentTypeId">
    <vt:lpwstr>0x010100DD41769929400247A482A6B8D8C3D7A8</vt:lpwstr>
  </property>
  <property fmtid="{D5CDD505-2E9C-101B-9397-08002B2CF9AE}" pid="9" name="MSIP_Label_9764cdcd-3664-4d05-9615-7cbf65a4f0a8_Enabled">
    <vt:lpwstr>true</vt:lpwstr>
  </property>
  <property fmtid="{D5CDD505-2E9C-101B-9397-08002B2CF9AE}" pid="10" name="MSIP_Label_9764cdcd-3664-4d05-9615-7cbf65a4f0a8_SetDate">
    <vt:lpwstr>2023-09-26T08:35:33Z</vt:lpwstr>
  </property>
  <property fmtid="{D5CDD505-2E9C-101B-9397-08002B2CF9AE}" pid="11" name="MSIP_Label_9764cdcd-3664-4d05-9615-7cbf65a4f0a8_Method">
    <vt:lpwstr>Privileged</vt:lpwstr>
  </property>
  <property fmtid="{D5CDD505-2E9C-101B-9397-08002B2CF9AE}" pid="12" name="MSIP_Label_9764cdcd-3664-4d05-9615-7cbf65a4f0a8_Name">
    <vt:lpwstr>UNRESTRICTED</vt:lpwstr>
  </property>
  <property fmtid="{D5CDD505-2E9C-101B-9397-08002B2CF9AE}" pid="13" name="MSIP_Label_9764cdcd-3664-4d05-9615-7cbf65a4f0a8_SiteId">
    <vt:lpwstr>74bddbd9-705c-456e-aabd-99beb719a2b2</vt:lpwstr>
  </property>
  <property fmtid="{D5CDD505-2E9C-101B-9397-08002B2CF9AE}" pid="14" name="MSIP_Label_9764cdcd-3664-4d05-9615-7cbf65a4f0a8_ActionId">
    <vt:lpwstr>20b911b8-0b35-4e94-9219-4c754abae448</vt:lpwstr>
  </property>
  <property fmtid="{D5CDD505-2E9C-101B-9397-08002B2CF9AE}" pid="15" name="MSIP_Label_9764cdcd-3664-4d05-9615-7cbf65a4f0a8_ContentBits">
    <vt:lpwstr>0</vt:lpwstr>
  </property>
  <property fmtid="{D5CDD505-2E9C-101B-9397-08002B2CF9AE}" pid="16" name="MediaServiceImageTags">
    <vt:lpwstr/>
  </property>
</Properties>
</file>