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30"/>
        <w:gridCol w:w="457"/>
        <w:gridCol w:w="18"/>
        <w:gridCol w:w="3634"/>
        <w:gridCol w:w="372"/>
        <w:gridCol w:w="4312"/>
      </w:tblGrid>
      <w:tr w:rsidR="00A851B2" w:rsidRPr="001D439B" w14:paraId="20ED9004" w14:textId="77777777" w:rsidTr="00491A67">
        <w:trPr>
          <w:cantSplit/>
        </w:trPr>
        <w:tc>
          <w:tcPr>
            <w:tcW w:w="1130" w:type="dxa"/>
            <w:vMerge w:val="restart"/>
            <w:vAlign w:val="center"/>
          </w:tcPr>
          <w:p w14:paraId="2840108C" w14:textId="77777777" w:rsidR="00A851B2" w:rsidRPr="001D439B" w:rsidRDefault="00A851B2" w:rsidP="00491A67">
            <w:pPr>
              <w:spacing w:before="120"/>
              <w:jc w:val="center"/>
              <w:rPr>
                <w:rFonts w:ascii="Times New Roman" w:hAnsi="Times New Roman" w:cs="Times New Roman"/>
                <w:sz w:val="20"/>
                <w:szCs w:val="20"/>
              </w:rPr>
            </w:pPr>
            <w:bookmarkStart w:id="0" w:name="dnum" w:colFirst="2" w:colLast="2"/>
            <w:bookmarkStart w:id="1" w:name="dtableau"/>
            <w:r w:rsidRPr="001D439B">
              <w:rPr>
                <w:rFonts w:ascii="Times New Roman" w:hAnsi="Times New Roman" w:cs="Times New Roman"/>
                <w:noProof/>
              </w:rPr>
              <w:drawing>
                <wp:inline distT="0" distB="0" distL="0" distR="0" wp14:anchorId="7B604274" wp14:editId="36E25F7E">
                  <wp:extent cx="647700" cy="705600"/>
                  <wp:effectExtent l="0" t="0" r="0" b="0"/>
                  <wp:docPr id="5"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3CC792DE" w14:textId="77777777" w:rsidR="00A851B2" w:rsidRPr="001D439B" w:rsidRDefault="00A851B2" w:rsidP="00491A67">
            <w:pPr>
              <w:spacing w:before="120"/>
              <w:rPr>
                <w:rFonts w:ascii="Times New Roman" w:hAnsi="Times New Roman" w:cs="Times New Roman"/>
                <w:sz w:val="16"/>
                <w:szCs w:val="16"/>
              </w:rPr>
            </w:pPr>
            <w:r w:rsidRPr="001D439B">
              <w:rPr>
                <w:rFonts w:ascii="Times New Roman" w:hAnsi="Times New Roman" w:cs="Times New Roman"/>
                <w:sz w:val="16"/>
                <w:szCs w:val="16"/>
              </w:rPr>
              <w:t>INTERNATIONAL TELECOMMUNICATION UNION</w:t>
            </w:r>
          </w:p>
          <w:p w14:paraId="4F5A177A" w14:textId="77777777" w:rsidR="00A851B2" w:rsidRPr="001D439B" w:rsidRDefault="00A851B2" w:rsidP="00491A67">
            <w:pPr>
              <w:spacing w:before="120"/>
              <w:rPr>
                <w:rFonts w:ascii="Times New Roman" w:hAnsi="Times New Roman" w:cs="Times New Roman"/>
                <w:b/>
                <w:bCs/>
                <w:sz w:val="26"/>
                <w:szCs w:val="26"/>
              </w:rPr>
            </w:pPr>
            <w:r w:rsidRPr="001D439B">
              <w:rPr>
                <w:rFonts w:ascii="Times New Roman" w:hAnsi="Times New Roman" w:cs="Times New Roman"/>
                <w:b/>
                <w:bCs/>
                <w:sz w:val="26"/>
                <w:szCs w:val="26"/>
              </w:rPr>
              <w:t>TELECOMMUNICATION</w:t>
            </w:r>
            <w:r w:rsidRPr="001D439B">
              <w:rPr>
                <w:rFonts w:ascii="Times New Roman" w:hAnsi="Times New Roman" w:cs="Times New Roman"/>
                <w:b/>
                <w:bCs/>
                <w:sz w:val="26"/>
                <w:szCs w:val="26"/>
              </w:rPr>
              <w:br/>
              <w:t>STANDARDIZATION SECTOR</w:t>
            </w:r>
          </w:p>
          <w:p w14:paraId="4E439270" w14:textId="77777777" w:rsidR="00A851B2" w:rsidRPr="001D439B" w:rsidRDefault="00A851B2" w:rsidP="00491A67">
            <w:pPr>
              <w:spacing w:before="120"/>
              <w:rPr>
                <w:rFonts w:ascii="Times New Roman" w:hAnsi="Times New Roman" w:cs="Times New Roman"/>
                <w:sz w:val="20"/>
                <w:szCs w:val="20"/>
              </w:rPr>
            </w:pPr>
            <w:r w:rsidRPr="001D439B">
              <w:rPr>
                <w:rFonts w:ascii="Times New Roman" w:hAnsi="Times New Roman" w:cs="Times New Roman"/>
                <w:sz w:val="20"/>
                <w:szCs w:val="20"/>
              </w:rPr>
              <w:t xml:space="preserve">STUDY PERIOD </w:t>
            </w:r>
            <w:bookmarkStart w:id="2" w:name="dstudyperiod"/>
            <w:r w:rsidRPr="001D439B">
              <w:rPr>
                <w:rFonts w:ascii="Times New Roman" w:hAnsi="Times New Roman" w:cs="Times New Roman"/>
                <w:sz w:val="20"/>
              </w:rPr>
              <w:t>2022</w:t>
            </w:r>
            <w:r w:rsidRPr="001D439B">
              <w:rPr>
                <w:rFonts w:ascii="Times New Roman" w:hAnsi="Times New Roman" w:cs="Times New Roman"/>
                <w:sz w:val="20"/>
                <w:szCs w:val="20"/>
              </w:rPr>
              <w:t>-</w:t>
            </w:r>
            <w:r w:rsidRPr="001D439B">
              <w:rPr>
                <w:rFonts w:ascii="Times New Roman" w:hAnsi="Times New Roman" w:cs="Times New Roman"/>
                <w:sz w:val="20"/>
              </w:rPr>
              <w:t>2024</w:t>
            </w:r>
            <w:bookmarkEnd w:id="2"/>
          </w:p>
        </w:tc>
        <w:tc>
          <w:tcPr>
            <w:tcW w:w="4312" w:type="dxa"/>
            <w:vAlign w:val="center"/>
          </w:tcPr>
          <w:p w14:paraId="1155BAD7" w14:textId="19B9780E" w:rsidR="00A851B2" w:rsidRPr="001D439B" w:rsidRDefault="00A851B2" w:rsidP="00491A67">
            <w:pPr>
              <w:pStyle w:val="Docnumber"/>
              <w:rPr>
                <w:sz w:val="32"/>
              </w:rPr>
            </w:pPr>
            <w:r>
              <w:rPr>
                <w:sz w:val="32"/>
              </w:rPr>
              <w:t>TSAG-</w:t>
            </w:r>
            <w:proofErr w:type="spellStart"/>
            <w:r>
              <w:rPr>
                <w:sz w:val="32"/>
              </w:rPr>
              <w:t>TD325</w:t>
            </w:r>
            <w:proofErr w:type="spellEnd"/>
          </w:p>
        </w:tc>
      </w:tr>
      <w:tr w:rsidR="00A851B2" w:rsidRPr="001D439B" w14:paraId="636DBD1D" w14:textId="77777777" w:rsidTr="00491A67">
        <w:trPr>
          <w:cantSplit/>
        </w:trPr>
        <w:tc>
          <w:tcPr>
            <w:tcW w:w="1130" w:type="dxa"/>
            <w:vMerge/>
          </w:tcPr>
          <w:p w14:paraId="54BAAEFC" w14:textId="77777777" w:rsidR="00A851B2" w:rsidRPr="001D439B" w:rsidRDefault="00A851B2" w:rsidP="00491A67">
            <w:pPr>
              <w:spacing w:before="120"/>
              <w:rPr>
                <w:rFonts w:ascii="Times New Roman" w:hAnsi="Times New Roman" w:cs="Times New Roman"/>
                <w:smallCaps/>
                <w:sz w:val="20"/>
              </w:rPr>
            </w:pPr>
            <w:bookmarkStart w:id="3" w:name="dsg" w:colFirst="2" w:colLast="2"/>
            <w:bookmarkEnd w:id="0"/>
          </w:p>
        </w:tc>
        <w:tc>
          <w:tcPr>
            <w:tcW w:w="4481" w:type="dxa"/>
            <w:gridSpan w:val="4"/>
            <w:vMerge/>
          </w:tcPr>
          <w:p w14:paraId="18D7E8F8" w14:textId="77777777" w:rsidR="00A851B2" w:rsidRPr="001D439B" w:rsidRDefault="00A851B2" w:rsidP="00491A67">
            <w:pPr>
              <w:spacing w:before="120"/>
              <w:rPr>
                <w:rFonts w:ascii="Times New Roman" w:hAnsi="Times New Roman" w:cs="Times New Roman"/>
                <w:smallCaps/>
                <w:sz w:val="20"/>
              </w:rPr>
            </w:pPr>
          </w:p>
        </w:tc>
        <w:tc>
          <w:tcPr>
            <w:tcW w:w="4312" w:type="dxa"/>
          </w:tcPr>
          <w:p w14:paraId="2E112964" w14:textId="77777777" w:rsidR="00A851B2" w:rsidRPr="001D439B" w:rsidRDefault="00A851B2" w:rsidP="00491A67">
            <w:pPr>
              <w:pStyle w:val="TSBHeaderRight14"/>
              <w:rPr>
                <w:smallCaps/>
              </w:rPr>
            </w:pPr>
            <w:r>
              <w:rPr>
                <w:smallCaps/>
              </w:rPr>
              <w:t>TSAG</w:t>
            </w:r>
          </w:p>
        </w:tc>
      </w:tr>
      <w:bookmarkEnd w:id="3"/>
      <w:tr w:rsidR="00A851B2" w:rsidRPr="001D439B" w14:paraId="226E4966" w14:textId="77777777" w:rsidTr="00491A67">
        <w:trPr>
          <w:cantSplit/>
        </w:trPr>
        <w:tc>
          <w:tcPr>
            <w:tcW w:w="1130" w:type="dxa"/>
            <w:vMerge/>
            <w:tcBorders>
              <w:bottom w:val="single" w:sz="12" w:space="0" w:color="auto"/>
            </w:tcBorders>
          </w:tcPr>
          <w:p w14:paraId="03FCEEEF" w14:textId="77777777" w:rsidR="00A851B2" w:rsidRPr="001D439B" w:rsidRDefault="00A851B2" w:rsidP="00491A67">
            <w:pPr>
              <w:spacing w:before="120"/>
              <w:rPr>
                <w:rFonts w:ascii="Times New Roman" w:hAnsi="Times New Roman" w:cs="Times New Roman"/>
                <w:b/>
                <w:bCs/>
                <w:sz w:val="26"/>
              </w:rPr>
            </w:pPr>
          </w:p>
        </w:tc>
        <w:tc>
          <w:tcPr>
            <w:tcW w:w="4481" w:type="dxa"/>
            <w:gridSpan w:val="4"/>
            <w:vMerge/>
            <w:tcBorders>
              <w:bottom w:val="single" w:sz="12" w:space="0" w:color="auto"/>
            </w:tcBorders>
          </w:tcPr>
          <w:p w14:paraId="196701CC" w14:textId="77777777" w:rsidR="00A851B2" w:rsidRPr="001D439B" w:rsidRDefault="00A851B2" w:rsidP="00491A67">
            <w:pPr>
              <w:spacing w:before="120"/>
              <w:rPr>
                <w:rFonts w:ascii="Times New Roman" w:hAnsi="Times New Roman" w:cs="Times New Roman"/>
                <w:b/>
                <w:bCs/>
                <w:sz w:val="26"/>
              </w:rPr>
            </w:pPr>
          </w:p>
        </w:tc>
        <w:tc>
          <w:tcPr>
            <w:tcW w:w="4312" w:type="dxa"/>
            <w:tcBorders>
              <w:bottom w:val="single" w:sz="12" w:space="0" w:color="auto"/>
            </w:tcBorders>
            <w:vAlign w:val="center"/>
          </w:tcPr>
          <w:p w14:paraId="1FBCA0B7" w14:textId="77777777" w:rsidR="00A851B2" w:rsidRPr="001D439B" w:rsidRDefault="00A851B2" w:rsidP="00491A67">
            <w:pPr>
              <w:pStyle w:val="TSBHeaderRight14"/>
            </w:pPr>
            <w:r w:rsidRPr="001D439B">
              <w:t>Original: English</w:t>
            </w:r>
          </w:p>
        </w:tc>
      </w:tr>
      <w:tr w:rsidR="00A851B2" w:rsidRPr="001D439B" w14:paraId="4C5EF915" w14:textId="77777777" w:rsidTr="00491A67">
        <w:trPr>
          <w:cantSplit/>
        </w:trPr>
        <w:tc>
          <w:tcPr>
            <w:tcW w:w="1587" w:type="dxa"/>
            <w:gridSpan w:val="2"/>
          </w:tcPr>
          <w:p w14:paraId="7C029B61" w14:textId="77777777" w:rsidR="00A851B2" w:rsidRPr="00BB0371" w:rsidRDefault="00A851B2" w:rsidP="00491A67">
            <w:pPr>
              <w:spacing w:before="120"/>
              <w:rPr>
                <w:rFonts w:asciiTheme="majorBidi" w:hAnsiTheme="majorBidi" w:cstheme="majorBidi"/>
                <w:b/>
                <w:bCs/>
                <w:sz w:val="24"/>
                <w:szCs w:val="24"/>
              </w:rPr>
            </w:pPr>
            <w:bookmarkStart w:id="4" w:name="dbluepink" w:colFirst="1" w:colLast="1"/>
            <w:bookmarkStart w:id="5" w:name="dmeeting" w:colFirst="2" w:colLast="2"/>
            <w:r w:rsidRPr="00BB0371">
              <w:rPr>
                <w:rFonts w:asciiTheme="majorBidi" w:hAnsiTheme="majorBidi" w:cstheme="majorBidi"/>
                <w:b/>
                <w:bCs/>
                <w:sz w:val="24"/>
                <w:szCs w:val="24"/>
              </w:rPr>
              <w:t>Question(s):</w:t>
            </w:r>
          </w:p>
        </w:tc>
        <w:tc>
          <w:tcPr>
            <w:tcW w:w="4024" w:type="dxa"/>
            <w:gridSpan w:val="3"/>
          </w:tcPr>
          <w:p w14:paraId="0B0FC377" w14:textId="77777777" w:rsidR="00A851B2" w:rsidRPr="00BB0371" w:rsidRDefault="00A851B2" w:rsidP="00491A67">
            <w:pPr>
              <w:pStyle w:val="TSBHeaderQuestion"/>
              <w:rPr>
                <w:rFonts w:asciiTheme="majorBidi" w:hAnsiTheme="majorBidi" w:cstheme="majorBidi"/>
              </w:rPr>
            </w:pPr>
            <w:r w:rsidRPr="00BB0371">
              <w:rPr>
                <w:rFonts w:asciiTheme="majorBidi" w:hAnsiTheme="majorBidi" w:cstheme="majorBidi"/>
              </w:rPr>
              <w:t>N/A</w:t>
            </w:r>
          </w:p>
        </w:tc>
        <w:tc>
          <w:tcPr>
            <w:tcW w:w="4312" w:type="dxa"/>
          </w:tcPr>
          <w:p w14:paraId="76CA5D01" w14:textId="77777777" w:rsidR="00A851B2" w:rsidRPr="00BB0371" w:rsidRDefault="00A851B2" w:rsidP="00491A67">
            <w:pPr>
              <w:pStyle w:val="VenueDate"/>
              <w:rPr>
                <w:rFonts w:asciiTheme="majorBidi" w:hAnsiTheme="majorBidi" w:cstheme="majorBidi"/>
              </w:rPr>
            </w:pPr>
            <w:r w:rsidRPr="00BB0371">
              <w:rPr>
                <w:rFonts w:asciiTheme="majorBidi" w:hAnsiTheme="majorBidi" w:cstheme="majorBidi"/>
              </w:rPr>
              <w:t xml:space="preserve">Geneva, </w:t>
            </w:r>
            <w:r>
              <w:rPr>
                <w:rFonts w:asciiTheme="majorBidi" w:hAnsiTheme="majorBidi" w:cstheme="majorBidi"/>
              </w:rPr>
              <w:t>22-26 January 2024</w:t>
            </w:r>
          </w:p>
        </w:tc>
      </w:tr>
      <w:tr w:rsidR="00A851B2" w:rsidRPr="001D439B" w14:paraId="2A5FFA94" w14:textId="77777777" w:rsidTr="00491A67">
        <w:trPr>
          <w:cantSplit/>
        </w:trPr>
        <w:tc>
          <w:tcPr>
            <w:tcW w:w="9923" w:type="dxa"/>
            <w:gridSpan w:val="6"/>
          </w:tcPr>
          <w:p w14:paraId="72866F12" w14:textId="77777777" w:rsidR="00A851B2" w:rsidRPr="00BB0371" w:rsidRDefault="00A851B2" w:rsidP="00491A67">
            <w:pPr>
              <w:spacing w:before="120"/>
              <w:jc w:val="center"/>
              <w:rPr>
                <w:rFonts w:asciiTheme="majorBidi" w:hAnsiTheme="majorBidi" w:cstheme="majorBidi"/>
                <w:b/>
                <w:bCs/>
                <w:sz w:val="24"/>
                <w:szCs w:val="24"/>
              </w:rPr>
            </w:pPr>
            <w:bookmarkStart w:id="6" w:name="ddoctype"/>
            <w:bookmarkEnd w:id="4"/>
            <w:bookmarkEnd w:id="5"/>
            <w:r w:rsidRPr="00BB0371">
              <w:rPr>
                <w:rFonts w:asciiTheme="majorBidi" w:hAnsiTheme="majorBidi" w:cstheme="majorBidi"/>
                <w:b/>
                <w:bCs/>
                <w:sz w:val="24"/>
                <w:szCs w:val="24"/>
              </w:rPr>
              <w:t>TD</w:t>
            </w:r>
          </w:p>
        </w:tc>
      </w:tr>
      <w:tr w:rsidR="00A851B2" w:rsidRPr="001D439B" w14:paraId="4345EDE1" w14:textId="77777777" w:rsidTr="00491A67">
        <w:trPr>
          <w:cantSplit/>
        </w:trPr>
        <w:tc>
          <w:tcPr>
            <w:tcW w:w="1587" w:type="dxa"/>
            <w:gridSpan w:val="2"/>
          </w:tcPr>
          <w:p w14:paraId="3F1CCF1D" w14:textId="77777777" w:rsidR="00A851B2" w:rsidRPr="00BB0371" w:rsidRDefault="00A851B2" w:rsidP="00491A67">
            <w:pPr>
              <w:spacing w:before="120"/>
              <w:rPr>
                <w:rFonts w:asciiTheme="majorBidi" w:hAnsiTheme="majorBidi" w:cstheme="majorBidi"/>
                <w:b/>
                <w:bCs/>
                <w:sz w:val="24"/>
                <w:szCs w:val="24"/>
              </w:rPr>
            </w:pPr>
            <w:bookmarkStart w:id="7" w:name="dsource" w:colFirst="1" w:colLast="1"/>
            <w:bookmarkEnd w:id="6"/>
            <w:r w:rsidRPr="00BB0371">
              <w:rPr>
                <w:rFonts w:asciiTheme="majorBidi" w:hAnsiTheme="majorBidi" w:cstheme="majorBidi"/>
                <w:b/>
                <w:bCs/>
                <w:sz w:val="24"/>
                <w:szCs w:val="24"/>
              </w:rPr>
              <w:t>Source:</w:t>
            </w:r>
          </w:p>
        </w:tc>
        <w:tc>
          <w:tcPr>
            <w:tcW w:w="8336" w:type="dxa"/>
            <w:gridSpan w:val="4"/>
          </w:tcPr>
          <w:p w14:paraId="4F427316" w14:textId="61AAE3B5" w:rsidR="00A851B2" w:rsidRPr="00BB0371" w:rsidRDefault="00A851B2" w:rsidP="00491A67">
            <w:pPr>
              <w:pStyle w:val="TSBHeaderSource"/>
              <w:rPr>
                <w:rFonts w:asciiTheme="majorBidi" w:hAnsiTheme="majorBidi" w:cstheme="majorBidi"/>
              </w:rPr>
            </w:pPr>
            <w:r w:rsidRPr="00BB0371">
              <w:rPr>
                <w:rFonts w:asciiTheme="majorBidi" w:hAnsiTheme="majorBidi" w:cstheme="majorBidi"/>
              </w:rPr>
              <w:t>TSB</w:t>
            </w:r>
          </w:p>
        </w:tc>
      </w:tr>
      <w:tr w:rsidR="00A851B2" w:rsidRPr="001D439B" w14:paraId="254CA6AD" w14:textId="77777777" w:rsidTr="00491A67">
        <w:trPr>
          <w:cantSplit/>
        </w:trPr>
        <w:tc>
          <w:tcPr>
            <w:tcW w:w="1587" w:type="dxa"/>
            <w:gridSpan w:val="2"/>
            <w:tcBorders>
              <w:bottom w:val="single" w:sz="8" w:space="0" w:color="auto"/>
            </w:tcBorders>
          </w:tcPr>
          <w:p w14:paraId="6CC3B73D" w14:textId="77777777" w:rsidR="00A851B2" w:rsidRPr="00BB0371" w:rsidRDefault="00A851B2" w:rsidP="00491A67">
            <w:pPr>
              <w:spacing w:before="120"/>
              <w:rPr>
                <w:rFonts w:asciiTheme="majorBidi" w:hAnsiTheme="majorBidi" w:cstheme="majorBidi"/>
                <w:b/>
                <w:bCs/>
                <w:sz w:val="24"/>
                <w:szCs w:val="24"/>
              </w:rPr>
            </w:pPr>
            <w:bookmarkStart w:id="8" w:name="dtitle1" w:colFirst="1" w:colLast="1"/>
            <w:bookmarkEnd w:id="7"/>
            <w:r w:rsidRPr="00BB0371">
              <w:rPr>
                <w:rFonts w:asciiTheme="majorBidi" w:hAnsiTheme="majorBidi" w:cstheme="majorBidi"/>
                <w:b/>
                <w:bCs/>
                <w:sz w:val="24"/>
                <w:szCs w:val="24"/>
              </w:rPr>
              <w:t>Title:</w:t>
            </w:r>
          </w:p>
        </w:tc>
        <w:tc>
          <w:tcPr>
            <w:tcW w:w="8336" w:type="dxa"/>
            <w:gridSpan w:val="4"/>
            <w:tcBorders>
              <w:bottom w:val="single" w:sz="8" w:space="0" w:color="auto"/>
            </w:tcBorders>
          </w:tcPr>
          <w:p w14:paraId="2B598B95" w14:textId="0346C8C7" w:rsidR="00A851B2" w:rsidRPr="00BB0371" w:rsidRDefault="00A851B2" w:rsidP="00491A67">
            <w:pPr>
              <w:pStyle w:val="TSBHeaderTitle"/>
              <w:rPr>
                <w:rFonts w:asciiTheme="majorBidi" w:hAnsiTheme="majorBidi" w:cstheme="majorBidi"/>
              </w:rPr>
            </w:pPr>
            <w:r w:rsidRPr="00BB0371">
              <w:rPr>
                <w:rFonts w:asciiTheme="majorBidi" w:hAnsiTheme="majorBidi" w:cstheme="majorBidi"/>
              </w:rPr>
              <w:t xml:space="preserve">Opening </w:t>
            </w:r>
            <w:r w:rsidR="00346C73">
              <w:rPr>
                <w:rFonts w:asciiTheme="majorBidi" w:hAnsiTheme="majorBidi" w:cstheme="majorBidi"/>
              </w:rPr>
              <w:t xml:space="preserve">Remarks of the Director of the </w:t>
            </w:r>
            <w:r w:rsidR="00346C73" w:rsidRPr="00346C73">
              <w:rPr>
                <w:rFonts w:asciiTheme="majorBidi" w:hAnsiTheme="majorBidi" w:cstheme="majorBidi"/>
              </w:rPr>
              <w:t>Radiocommunication Bureau</w:t>
            </w:r>
            <w:r w:rsidR="00346C73">
              <w:rPr>
                <w:rFonts w:asciiTheme="majorBidi" w:hAnsiTheme="majorBidi" w:cstheme="majorBidi"/>
              </w:rPr>
              <w:t xml:space="preserve"> </w:t>
            </w:r>
            <w:r w:rsidRPr="00BB0371">
              <w:rPr>
                <w:rFonts w:asciiTheme="majorBidi" w:hAnsiTheme="majorBidi" w:cstheme="majorBidi"/>
              </w:rPr>
              <w:t xml:space="preserve">at TSAG Meeting, </w:t>
            </w:r>
            <w:r>
              <w:rPr>
                <w:rFonts w:asciiTheme="majorBidi" w:hAnsiTheme="majorBidi" w:cstheme="majorBidi"/>
              </w:rPr>
              <w:t>22 January</w:t>
            </w:r>
            <w:r w:rsidRPr="00BB0371">
              <w:rPr>
                <w:rFonts w:asciiTheme="majorBidi" w:hAnsiTheme="majorBidi" w:cstheme="majorBidi"/>
              </w:rPr>
              <w:t xml:space="preserve"> 202</w:t>
            </w:r>
            <w:r>
              <w:rPr>
                <w:rFonts w:asciiTheme="majorBidi" w:hAnsiTheme="majorBidi" w:cstheme="majorBidi"/>
              </w:rPr>
              <w:t>4</w:t>
            </w:r>
          </w:p>
        </w:tc>
      </w:tr>
      <w:bookmarkEnd w:id="1"/>
      <w:bookmarkEnd w:id="8"/>
      <w:tr w:rsidR="00A851B2" w:rsidRPr="008A5A66" w14:paraId="1BBEA22C" w14:textId="77777777" w:rsidTr="00491A67">
        <w:trPr>
          <w:cantSplit/>
        </w:trPr>
        <w:tc>
          <w:tcPr>
            <w:tcW w:w="1605" w:type="dxa"/>
            <w:gridSpan w:val="3"/>
            <w:tcBorders>
              <w:top w:val="single" w:sz="8" w:space="0" w:color="auto"/>
              <w:bottom w:val="single" w:sz="8" w:space="0" w:color="auto"/>
            </w:tcBorders>
          </w:tcPr>
          <w:p w14:paraId="08A302A2" w14:textId="77777777" w:rsidR="00A851B2" w:rsidRPr="00BB0371" w:rsidRDefault="00A851B2" w:rsidP="00491A67">
            <w:pPr>
              <w:spacing w:before="120"/>
              <w:rPr>
                <w:rFonts w:asciiTheme="majorBidi" w:hAnsiTheme="majorBidi" w:cstheme="majorBidi"/>
                <w:b/>
                <w:bCs/>
                <w:sz w:val="24"/>
                <w:szCs w:val="24"/>
                <w:lang w:eastAsia="ja-JP"/>
              </w:rPr>
            </w:pPr>
            <w:r w:rsidRPr="00BB0371">
              <w:rPr>
                <w:rFonts w:asciiTheme="majorBidi" w:hAnsiTheme="majorBidi" w:cstheme="majorBidi"/>
                <w:b/>
                <w:bCs/>
                <w:sz w:val="24"/>
                <w:szCs w:val="24"/>
                <w:lang w:eastAsia="ja-JP"/>
              </w:rPr>
              <w:t>Contact:</w:t>
            </w:r>
          </w:p>
        </w:tc>
        <w:tc>
          <w:tcPr>
            <w:tcW w:w="3634" w:type="dxa"/>
            <w:tcBorders>
              <w:top w:val="single" w:sz="8" w:space="0" w:color="auto"/>
              <w:bottom w:val="single" w:sz="8" w:space="0" w:color="auto"/>
            </w:tcBorders>
          </w:tcPr>
          <w:p w14:paraId="70A8B4C6" w14:textId="075854F7" w:rsidR="00A851B2" w:rsidRPr="00BB0371" w:rsidRDefault="00A851B2" w:rsidP="00491A67">
            <w:pPr>
              <w:tabs>
                <w:tab w:val="left" w:pos="794"/>
                <w:tab w:val="left" w:pos="1191"/>
                <w:tab w:val="left" w:pos="1588"/>
                <w:tab w:val="left" w:pos="1985"/>
              </w:tabs>
              <w:overflowPunct w:val="0"/>
              <w:adjustRightInd w:val="0"/>
              <w:spacing w:before="120"/>
              <w:textAlignment w:val="baseline"/>
              <w:rPr>
                <w:rFonts w:asciiTheme="majorBidi" w:eastAsia="Times New Roman" w:hAnsiTheme="majorBidi" w:cstheme="majorBidi"/>
                <w:sz w:val="24"/>
                <w:szCs w:val="24"/>
              </w:rPr>
            </w:pPr>
            <w:r w:rsidRPr="00BB0371">
              <w:rPr>
                <w:rFonts w:asciiTheme="majorBidi" w:hAnsiTheme="majorBidi" w:cstheme="majorBidi"/>
                <w:sz w:val="24"/>
                <w:szCs w:val="24"/>
              </w:rPr>
              <w:t>TSB</w:t>
            </w:r>
          </w:p>
        </w:tc>
        <w:tc>
          <w:tcPr>
            <w:tcW w:w="4684" w:type="dxa"/>
            <w:gridSpan w:val="2"/>
            <w:tcBorders>
              <w:top w:val="single" w:sz="8" w:space="0" w:color="auto"/>
              <w:bottom w:val="single" w:sz="8" w:space="0" w:color="auto"/>
            </w:tcBorders>
          </w:tcPr>
          <w:p w14:paraId="132C0B6A" w14:textId="086C10E9" w:rsidR="00A851B2" w:rsidRPr="00BB0371" w:rsidRDefault="00A851B2" w:rsidP="00491A67">
            <w:pPr>
              <w:spacing w:before="120"/>
              <w:rPr>
                <w:rFonts w:asciiTheme="majorBidi" w:eastAsia="Times New Roman" w:hAnsiTheme="majorBidi" w:cstheme="majorBidi"/>
                <w:sz w:val="24"/>
                <w:szCs w:val="24"/>
              </w:rPr>
            </w:pPr>
            <w:r w:rsidRPr="00BB0371">
              <w:rPr>
                <w:rFonts w:asciiTheme="majorBidi" w:hAnsiTheme="majorBidi" w:cstheme="majorBidi"/>
                <w:sz w:val="24"/>
                <w:szCs w:val="24"/>
              </w:rPr>
              <w:t xml:space="preserve">Email: </w:t>
            </w:r>
            <w:hyperlink r:id="rId8" w:history="1">
              <w:r w:rsidR="00346C73" w:rsidRPr="000273ED">
                <w:rPr>
                  <w:rStyle w:val="Hyperlink"/>
                  <w:rFonts w:asciiTheme="majorBidi" w:hAnsiTheme="majorBidi" w:cstheme="majorBidi"/>
                  <w:sz w:val="24"/>
                  <w:szCs w:val="24"/>
                </w:rPr>
                <w:t>tsbtsag@itu.int</w:t>
              </w:r>
            </w:hyperlink>
            <w:r w:rsidR="00346C73">
              <w:rPr>
                <w:rStyle w:val="Hyperlink"/>
                <w:rFonts w:asciiTheme="majorBidi" w:hAnsiTheme="majorBidi" w:cstheme="majorBidi"/>
                <w:color w:val="2F5496" w:themeColor="accent1" w:themeShade="BF"/>
                <w:sz w:val="24"/>
                <w:szCs w:val="24"/>
              </w:rPr>
              <w:t xml:space="preserve"> </w:t>
            </w:r>
            <w:r w:rsidRPr="00BB0371">
              <w:rPr>
                <w:rFonts w:asciiTheme="majorBidi" w:hAnsiTheme="majorBidi" w:cstheme="majorBidi"/>
                <w:sz w:val="24"/>
                <w:szCs w:val="24"/>
              </w:rPr>
              <w:t xml:space="preserve"> </w:t>
            </w:r>
            <w:r w:rsidRPr="00BB0371">
              <w:rPr>
                <w:rFonts w:asciiTheme="majorBidi" w:hAnsiTheme="majorBidi" w:cstheme="majorBidi"/>
                <w:color w:val="000000"/>
                <w:sz w:val="24"/>
                <w:szCs w:val="24"/>
                <w:u w:val="single"/>
              </w:rPr>
              <w:t xml:space="preserve"> </w:t>
            </w:r>
          </w:p>
        </w:tc>
      </w:tr>
    </w:tbl>
    <w:p w14:paraId="671C6DCC" w14:textId="77777777" w:rsidR="00A851B2" w:rsidRDefault="00A851B2" w:rsidP="00F22C39">
      <w:pPr>
        <w:pStyle w:val="Default"/>
        <w:jc w:val="center"/>
        <w:rPr>
          <w:b/>
          <w:bCs/>
          <w:color w:val="1F3863"/>
          <w:sz w:val="28"/>
          <w:szCs w:val="28"/>
        </w:rPr>
      </w:pPr>
    </w:p>
    <w:p w14:paraId="4CA89A4F" w14:textId="77777777" w:rsidR="00CD4225" w:rsidRPr="00714222" w:rsidRDefault="00CD4225" w:rsidP="00CD4225">
      <w:pPr>
        <w:spacing w:before="120" w:after="240"/>
        <w:jc w:val="center"/>
        <w:rPr>
          <w:rFonts w:ascii="Trebuchet MS" w:eastAsia="Times New Roman" w:hAnsi="Trebuchet MS" w:cs="Times New Roman"/>
          <w:b/>
          <w:smallCaps/>
          <w:sz w:val="28"/>
          <w:szCs w:val="28"/>
          <w:lang w:eastAsia="zh-CN"/>
        </w:rPr>
      </w:pPr>
      <w:r w:rsidRPr="00714222">
        <w:rPr>
          <w:rFonts w:ascii="Trebuchet MS" w:eastAsia="Times New Roman" w:hAnsi="Trebuchet MS" w:cs="Times New Roman"/>
          <w:b/>
          <w:smallCaps/>
          <w:sz w:val="28"/>
          <w:szCs w:val="20"/>
          <w:lang w:eastAsia="zh-CN"/>
        </w:rPr>
        <w:t>Telecommunication Standardization Advisory Group</w:t>
      </w:r>
    </w:p>
    <w:p w14:paraId="7B34B39E" w14:textId="77777777" w:rsidR="00CD4225" w:rsidRPr="00714222" w:rsidRDefault="00CD4225" w:rsidP="00CD4225">
      <w:pPr>
        <w:spacing w:after="240"/>
        <w:jc w:val="center"/>
        <w:rPr>
          <w:rFonts w:ascii="Trebuchet MS" w:eastAsia="Times New Roman" w:hAnsi="Trebuchet MS" w:cs="Times New Roman"/>
          <w:b/>
          <w:smallCaps/>
          <w:sz w:val="28"/>
          <w:szCs w:val="28"/>
          <w:lang w:eastAsia="zh-CN"/>
        </w:rPr>
      </w:pPr>
      <w:r w:rsidRPr="00714222">
        <w:rPr>
          <w:rFonts w:ascii="Trebuchet MS" w:eastAsia="Times New Roman" w:hAnsi="Trebuchet MS" w:cs="Times New Roman"/>
          <w:b/>
          <w:smallCaps/>
          <w:sz w:val="28"/>
          <w:szCs w:val="28"/>
          <w:lang w:eastAsia="zh-CN"/>
        </w:rPr>
        <w:t>Geneva</w:t>
      </w:r>
    </w:p>
    <w:p w14:paraId="2FDBBC52" w14:textId="77777777" w:rsidR="00CD4225" w:rsidRPr="00714222" w:rsidRDefault="00CD4225" w:rsidP="00CD4225">
      <w:pPr>
        <w:spacing w:after="240"/>
        <w:jc w:val="center"/>
        <w:rPr>
          <w:rFonts w:ascii="Trebuchet MS" w:eastAsia="Times New Roman" w:hAnsi="Trebuchet MS" w:cs="Times New Roman"/>
          <w:b/>
          <w:smallCaps/>
          <w:sz w:val="28"/>
          <w:szCs w:val="28"/>
          <w:lang w:eastAsia="zh-CN"/>
        </w:rPr>
      </w:pPr>
      <w:r w:rsidRPr="00714222">
        <w:rPr>
          <w:rFonts w:ascii="Trebuchet MS" w:eastAsia="Times New Roman" w:hAnsi="Trebuchet MS" w:cs="Times New Roman"/>
          <w:b/>
          <w:smallCaps/>
          <w:sz w:val="28"/>
          <w:szCs w:val="28"/>
          <w:lang w:eastAsia="zh-CN"/>
        </w:rPr>
        <w:t>22 January 2024</w:t>
      </w:r>
    </w:p>
    <w:p w14:paraId="1BD45C73" w14:textId="2993BD61" w:rsidR="00CD4225" w:rsidRPr="00714222" w:rsidRDefault="00CD4225" w:rsidP="00CD4225">
      <w:pPr>
        <w:spacing w:before="120" w:after="240"/>
        <w:jc w:val="center"/>
        <w:rPr>
          <w:rFonts w:ascii="Trebuchet MS" w:eastAsia="Times New Roman" w:hAnsi="Trebuchet MS" w:cs="Times New Roman"/>
          <w:b/>
          <w:i/>
          <w:smallCaps/>
          <w:sz w:val="28"/>
          <w:szCs w:val="28"/>
          <w:lang w:eastAsia="zh-CN"/>
        </w:rPr>
      </w:pPr>
      <w:r>
        <w:rPr>
          <w:rFonts w:ascii="Trebuchet MS" w:eastAsia="Times New Roman" w:hAnsi="Trebuchet MS" w:cs="Times New Roman"/>
          <w:b/>
          <w:i/>
          <w:smallCaps/>
          <w:sz w:val="28"/>
          <w:szCs w:val="28"/>
          <w:lang w:eastAsia="zh-CN"/>
        </w:rPr>
        <w:t>Opening</w:t>
      </w:r>
      <w:r w:rsidRPr="00714222">
        <w:rPr>
          <w:rFonts w:ascii="Trebuchet MS" w:eastAsia="Times New Roman" w:hAnsi="Trebuchet MS" w:cs="Times New Roman"/>
          <w:b/>
          <w:i/>
          <w:smallCaps/>
          <w:sz w:val="28"/>
          <w:szCs w:val="28"/>
          <w:lang w:eastAsia="zh-CN"/>
        </w:rPr>
        <w:t xml:space="preserve"> Remarks  </w:t>
      </w:r>
    </w:p>
    <w:p w14:paraId="3CEB6645" w14:textId="4BEC1A89" w:rsidR="00CD4225" w:rsidRPr="00714222" w:rsidRDefault="00CD4225" w:rsidP="00CD4225">
      <w:pPr>
        <w:spacing w:before="120" w:after="120" w:line="240" w:lineRule="atLeast"/>
        <w:jc w:val="center"/>
        <w:rPr>
          <w:rFonts w:ascii="Trebuchet MS" w:eastAsia="Times New Roman" w:hAnsi="Trebuchet MS" w:cs="Times New Roman"/>
          <w:b/>
          <w:smallCaps/>
          <w:sz w:val="28"/>
          <w:szCs w:val="28"/>
          <w:u w:val="single"/>
          <w:lang w:eastAsia="zh-CN"/>
        </w:rPr>
      </w:pPr>
      <w:r w:rsidRPr="00CD4225">
        <w:rPr>
          <w:rFonts w:ascii="Trebuchet MS" w:eastAsia="Times New Roman" w:hAnsi="Trebuchet MS" w:cs="Times New Roman"/>
          <w:b/>
          <w:smallCaps/>
          <w:sz w:val="28"/>
          <w:szCs w:val="28"/>
          <w:u w:val="single"/>
          <w:lang w:eastAsia="zh-CN"/>
        </w:rPr>
        <w:t>MARIO MANIEWICZ</w:t>
      </w:r>
    </w:p>
    <w:p w14:paraId="7E7253CF" w14:textId="22E87503" w:rsidR="006A4A24" w:rsidRDefault="00CD4225" w:rsidP="009931A3">
      <w:pPr>
        <w:widowControl/>
        <w:autoSpaceDE/>
        <w:autoSpaceDN/>
        <w:spacing w:after="240"/>
        <w:jc w:val="center"/>
        <w:rPr>
          <w:rFonts w:ascii="Verdana" w:eastAsia="Times New Roman" w:hAnsi="Verdana" w:cs="Times New Roman"/>
          <w:b/>
          <w:smallCaps/>
          <w:sz w:val="28"/>
          <w:szCs w:val="28"/>
          <w:lang w:eastAsia="zh-CN"/>
        </w:rPr>
      </w:pPr>
      <w:r w:rsidRPr="00CD4225">
        <w:rPr>
          <w:rFonts w:ascii="Trebuchet MS" w:eastAsia="Times New Roman" w:hAnsi="Trebuchet MS" w:cs="Times New Roman"/>
          <w:b/>
          <w:smallCaps/>
          <w:sz w:val="28"/>
          <w:szCs w:val="28"/>
          <w:lang w:val="en-GB" w:eastAsia="zh-CN"/>
        </w:rPr>
        <w:t>Director, Radiocommunication Bureau</w:t>
      </w:r>
      <w:r w:rsidR="009931A3">
        <w:rPr>
          <w:rFonts w:ascii="Trebuchet MS" w:eastAsia="Times New Roman" w:hAnsi="Trebuchet MS" w:cs="Times New Roman"/>
          <w:b/>
          <w:smallCaps/>
          <w:sz w:val="28"/>
          <w:szCs w:val="28"/>
          <w:lang w:val="en-GB" w:eastAsia="zh-CN"/>
        </w:rPr>
        <w:br/>
      </w:r>
      <w:r w:rsidRPr="00714222">
        <w:rPr>
          <w:rFonts w:ascii="Trebuchet MS" w:eastAsia="Times New Roman" w:hAnsi="Trebuchet MS" w:cs="Times New Roman"/>
          <w:b/>
          <w:smallCaps/>
          <w:sz w:val="28"/>
          <w:szCs w:val="28"/>
          <w:lang w:eastAsia="zh-CN"/>
        </w:rPr>
        <w:t>International Telecommunication Union</w:t>
      </w:r>
      <w:r w:rsidRPr="00714222">
        <w:rPr>
          <w:rFonts w:ascii="Verdana" w:eastAsia="Times New Roman" w:hAnsi="Verdana" w:cs="Times New Roman"/>
          <w:b/>
          <w:smallCaps/>
          <w:sz w:val="28"/>
          <w:szCs w:val="28"/>
          <w:lang w:eastAsia="zh-CN"/>
        </w:rPr>
        <w:t xml:space="preserve"> </w:t>
      </w:r>
    </w:p>
    <w:p w14:paraId="70DDCB71" w14:textId="77777777" w:rsidR="00CD4225" w:rsidRDefault="00CD4225" w:rsidP="00CD4225">
      <w:pPr>
        <w:snapToGrid w:val="0"/>
        <w:spacing w:after="120" w:line="240" w:lineRule="atLeast"/>
        <w:jc w:val="center"/>
        <w:rPr>
          <w:rFonts w:ascii="Verdana" w:eastAsia="Times New Roman" w:hAnsi="Verdana" w:cs="Times New Roman"/>
          <w:b/>
          <w:smallCaps/>
          <w:sz w:val="28"/>
          <w:szCs w:val="28"/>
          <w:lang w:eastAsia="zh-CN"/>
        </w:rPr>
      </w:pPr>
    </w:p>
    <w:p w14:paraId="3879851A" w14:textId="6BC4D7D4" w:rsidR="00CD4225" w:rsidRPr="00CD4225" w:rsidRDefault="00CD4225" w:rsidP="00CD4225">
      <w:pPr>
        <w:snapToGrid w:val="0"/>
        <w:spacing w:after="120" w:line="240" w:lineRule="atLeast"/>
        <w:rPr>
          <w:rFonts w:ascii="Arial" w:eastAsia="SimSun" w:hAnsi="Arial" w:cs="Arial"/>
          <w:sz w:val="24"/>
          <w:szCs w:val="24"/>
          <w:lang w:eastAsia="zh-CN"/>
        </w:rPr>
      </w:pPr>
      <w:r w:rsidRPr="00CD4225">
        <w:rPr>
          <w:rFonts w:ascii="Arial" w:eastAsia="SimSun" w:hAnsi="Arial" w:cs="Arial"/>
          <w:sz w:val="24"/>
          <w:szCs w:val="24"/>
          <w:lang w:eastAsia="zh-CN"/>
        </w:rPr>
        <w:t>Good morning!</w:t>
      </w:r>
    </w:p>
    <w:p w14:paraId="030623B7" w14:textId="77777777" w:rsidR="006A4A24" w:rsidRPr="00CD4225" w:rsidRDefault="006A4A24" w:rsidP="00513E72">
      <w:pPr>
        <w:spacing w:line="276" w:lineRule="auto"/>
        <w:jc w:val="both"/>
        <w:rPr>
          <w:rFonts w:ascii="Arial" w:eastAsia="SimSun" w:hAnsi="Arial" w:cs="Arial"/>
          <w:sz w:val="24"/>
          <w:szCs w:val="24"/>
          <w:lang w:eastAsia="zh-CN"/>
        </w:rPr>
      </w:pPr>
    </w:p>
    <w:p w14:paraId="7069594C" w14:textId="274C2708"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This is an important year for the ITU</w:t>
      </w:r>
      <w:r w:rsidR="00387D5A" w:rsidRPr="00CD4225">
        <w:rPr>
          <w:rFonts w:ascii="Arial" w:eastAsia="SimSun" w:hAnsi="Arial" w:cs="Arial"/>
          <w:sz w:val="24"/>
          <w:szCs w:val="24"/>
          <w:lang w:eastAsia="zh-CN"/>
        </w:rPr>
        <w:t xml:space="preserve">, and particularly for the ITU-T, </w:t>
      </w:r>
      <w:r w:rsidRPr="00CD4225">
        <w:rPr>
          <w:rFonts w:ascii="Arial" w:eastAsia="SimSun" w:hAnsi="Arial" w:cs="Arial"/>
          <w:sz w:val="24"/>
          <w:szCs w:val="24"/>
          <w:lang w:eastAsia="zh-CN"/>
        </w:rPr>
        <w:t>with the upcoming World Telecommunication Standardization Assembly and the Global Standards Symposium.</w:t>
      </w:r>
    </w:p>
    <w:p w14:paraId="7664DFC5" w14:textId="77777777" w:rsidR="00513E72" w:rsidRPr="00CD4225" w:rsidRDefault="00513E72" w:rsidP="00513E72">
      <w:pPr>
        <w:spacing w:line="276" w:lineRule="auto"/>
        <w:jc w:val="both"/>
        <w:rPr>
          <w:rFonts w:ascii="Arial" w:eastAsia="SimSun" w:hAnsi="Arial" w:cs="Arial"/>
          <w:sz w:val="24"/>
          <w:szCs w:val="24"/>
          <w:lang w:eastAsia="zh-CN"/>
        </w:rPr>
      </w:pPr>
    </w:p>
    <w:p w14:paraId="1493BAFD" w14:textId="442A45EE"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Defining the next</w:t>
      </w:r>
      <w:r w:rsidR="00981D23" w:rsidRPr="00CD4225">
        <w:rPr>
          <w:rFonts w:ascii="Arial" w:eastAsia="SimSun" w:hAnsi="Arial" w:cs="Arial"/>
          <w:sz w:val="24"/>
          <w:szCs w:val="24"/>
          <w:lang w:eastAsia="zh-CN"/>
        </w:rPr>
        <w:t xml:space="preserve"> study</w:t>
      </w:r>
      <w:r w:rsidRPr="00CD4225">
        <w:rPr>
          <w:rFonts w:ascii="Arial" w:eastAsia="SimSun" w:hAnsi="Arial" w:cs="Arial"/>
          <w:sz w:val="24"/>
          <w:szCs w:val="24"/>
          <w:lang w:eastAsia="zh-CN"/>
        </w:rPr>
        <w:t xml:space="preserve"> period for ITU-T will allow experts from around the world to continue developing standards that ensure telecommunications have adequate quality and security, are interoperable, </w:t>
      </w:r>
      <w:r w:rsidR="00FF2E23" w:rsidRPr="00CD4225">
        <w:rPr>
          <w:rFonts w:ascii="Arial" w:eastAsia="SimSun" w:hAnsi="Arial" w:cs="Arial"/>
          <w:sz w:val="24"/>
          <w:szCs w:val="24"/>
          <w:lang w:eastAsia="zh-CN"/>
        </w:rPr>
        <w:t>affordable,</w:t>
      </w:r>
      <w:r w:rsidRPr="00CD4225">
        <w:rPr>
          <w:rFonts w:ascii="Arial" w:eastAsia="SimSun" w:hAnsi="Arial" w:cs="Arial"/>
          <w:sz w:val="24"/>
          <w:szCs w:val="24"/>
          <w:lang w:eastAsia="zh-CN"/>
        </w:rPr>
        <w:t xml:space="preserve"> and accessible to all.</w:t>
      </w:r>
    </w:p>
    <w:p w14:paraId="0279317D" w14:textId="77777777" w:rsidR="006A4A24" w:rsidRPr="00CD4225" w:rsidRDefault="006A4A24" w:rsidP="00513E72">
      <w:pPr>
        <w:spacing w:line="276" w:lineRule="auto"/>
        <w:jc w:val="both"/>
        <w:rPr>
          <w:rFonts w:ascii="Arial" w:eastAsia="SimSun" w:hAnsi="Arial" w:cs="Arial"/>
          <w:sz w:val="24"/>
          <w:szCs w:val="24"/>
          <w:lang w:eastAsia="zh-CN"/>
        </w:rPr>
      </w:pPr>
    </w:p>
    <w:p w14:paraId="7E6C3703" w14:textId="6BA69731"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Similarly, </w:t>
      </w:r>
      <w:r w:rsidR="00090CA1" w:rsidRPr="00CD4225">
        <w:rPr>
          <w:rFonts w:ascii="Arial" w:eastAsia="SimSun" w:hAnsi="Arial" w:cs="Arial"/>
          <w:sz w:val="24"/>
          <w:szCs w:val="24"/>
          <w:lang w:eastAsia="zh-CN"/>
        </w:rPr>
        <w:t>at</w:t>
      </w:r>
      <w:r w:rsidRPr="00CD4225">
        <w:rPr>
          <w:rFonts w:ascii="Arial" w:eastAsia="SimSun" w:hAnsi="Arial" w:cs="Arial"/>
          <w:sz w:val="24"/>
          <w:szCs w:val="24"/>
          <w:lang w:eastAsia="zh-CN"/>
        </w:rPr>
        <w:t xml:space="preserve"> the end of 2023, the Radiocommunication Assembly also defined the leadership and the study questions for the ITU-R. </w:t>
      </w:r>
    </w:p>
    <w:p w14:paraId="18876D8C" w14:textId="77777777" w:rsidR="006A4A24" w:rsidRPr="00CD4225" w:rsidRDefault="006A4A24" w:rsidP="00513E72">
      <w:pPr>
        <w:spacing w:line="276" w:lineRule="auto"/>
        <w:jc w:val="both"/>
        <w:rPr>
          <w:rFonts w:ascii="Arial" w:eastAsia="SimSun" w:hAnsi="Arial" w:cs="Arial"/>
          <w:sz w:val="24"/>
          <w:szCs w:val="24"/>
          <w:lang w:eastAsia="zh-CN"/>
        </w:rPr>
      </w:pPr>
    </w:p>
    <w:p w14:paraId="6993BF8C" w14:textId="58FA7AC4" w:rsidR="00F354BB"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In the ITU-R, we highly value and encourage the coordination of activities with the ITU-T</w:t>
      </w:r>
      <w:r w:rsidR="007C7D83" w:rsidRPr="00CD4225">
        <w:rPr>
          <w:rFonts w:ascii="Arial" w:eastAsia="SimSun" w:hAnsi="Arial" w:cs="Arial"/>
          <w:sz w:val="24"/>
          <w:szCs w:val="24"/>
          <w:lang w:eastAsia="zh-CN"/>
        </w:rPr>
        <w:t xml:space="preserve"> regarding matters </w:t>
      </w:r>
      <w:r w:rsidR="000D2700" w:rsidRPr="00CD4225">
        <w:rPr>
          <w:rFonts w:ascii="Arial" w:eastAsia="SimSun" w:hAnsi="Arial" w:cs="Arial"/>
          <w:sz w:val="24"/>
          <w:szCs w:val="24"/>
          <w:lang w:eastAsia="zh-CN"/>
        </w:rPr>
        <w:t>of common interest to both of our Sectors</w:t>
      </w:r>
      <w:r w:rsidRPr="00CD4225">
        <w:rPr>
          <w:rFonts w:ascii="Arial" w:eastAsia="SimSun" w:hAnsi="Arial" w:cs="Arial"/>
          <w:sz w:val="24"/>
          <w:szCs w:val="24"/>
          <w:lang w:eastAsia="zh-CN"/>
        </w:rPr>
        <w:t xml:space="preserve">. </w:t>
      </w:r>
      <w:r w:rsidR="000D2700" w:rsidRPr="00CD4225">
        <w:rPr>
          <w:rFonts w:ascii="Arial" w:eastAsia="SimSun" w:hAnsi="Arial" w:cs="Arial"/>
          <w:sz w:val="24"/>
          <w:szCs w:val="24"/>
          <w:lang w:eastAsia="zh-CN"/>
        </w:rPr>
        <w:t>This collaborative approach ensures that each Sector</w:t>
      </w:r>
      <w:r w:rsidR="00DC737B" w:rsidRPr="00CD4225">
        <w:rPr>
          <w:rFonts w:ascii="Arial" w:eastAsia="SimSun" w:hAnsi="Arial" w:cs="Arial"/>
          <w:sz w:val="24"/>
          <w:szCs w:val="24"/>
          <w:lang w:eastAsia="zh-CN"/>
        </w:rPr>
        <w:t xml:space="preserve"> works within its mandate, thus avoiding redundant efforts, maximizing </w:t>
      </w:r>
      <w:r w:rsidR="00965F8C" w:rsidRPr="00CD4225">
        <w:rPr>
          <w:rFonts w:ascii="Arial" w:eastAsia="SimSun" w:hAnsi="Arial" w:cs="Arial"/>
          <w:sz w:val="24"/>
          <w:szCs w:val="24"/>
          <w:lang w:eastAsia="zh-CN"/>
        </w:rPr>
        <w:t>efficiency,</w:t>
      </w:r>
      <w:r w:rsidR="00DC737B" w:rsidRPr="00CD4225">
        <w:rPr>
          <w:rFonts w:ascii="Arial" w:eastAsia="SimSun" w:hAnsi="Arial" w:cs="Arial"/>
          <w:sz w:val="24"/>
          <w:szCs w:val="24"/>
          <w:lang w:eastAsia="zh-CN"/>
        </w:rPr>
        <w:t xml:space="preserve"> and optimizing the use of the Union’s </w:t>
      </w:r>
      <w:r w:rsidR="00F354BB" w:rsidRPr="00CD4225">
        <w:rPr>
          <w:rFonts w:ascii="Arial" w:eastAsia="SimSun" w:hAnsi="Arial" w:cs="Arial"/>
          <w:sz w:val="24"/>
          <w:szCs w:val="24"/>
          <w:lang w:eastAsia="zh-CN"/>
        </w:rPr>
        <w:t>financial resources to the benefit of our members.</w:t>
      </w:r>
    </w:p>
    <w:p w14:paraId="7881472F" w14:textId="77777777" w:rsidR="00A620CE" w:rsidRPr="00CD4225" w:rsidRDefault="00A620CE" w:rsidP="00513E72">
      <w:pPr>
        <w:spacing w:line="276" w:lineRule="auto"/>
        <w:jc w:val="both"/>
        <w:rPr>
          <w:rFonts w:ascii="Arial" w:eastAsia="SimSun" w:hAnsi="Arial" w:cs="Arial"/>
          <w:sz w:val="24"/>
          <w:szCs w:val="24"/>
          <w:lang w:eastAsia="zh-CN"/>
        </w:rPr>
      </w:pPr>
    </w:p>
    <w:p w14:paraId="70695082" w14:textId="2A05DDFC" w:rsidR="00A620CE" w:rsidRPr="00CD4225" w:rsidRDefault="00580759"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As you surely remember, </w:t>
      </w:r>
      <w:r w:rsidR="00502254" w:rsidRPr="00CD4225">
        <w:rPr>
          <w:rFonts w:ascii="Arial" w:eastAsia="SimSun" w:hAnsi="Arial" w:cs="Arial"/>
          <w:sz w:val="24"/>
          <w:szCs w:val="24"/>
          <w:lang w:eastAsia="zh-CN"/>
        </w:rPr>
        <w:t xml:space="preserve">at your </w:t>
      </w:r>
      <w:r w:rsidR="00FD3B2C" w:rsidRPr="00CD4225">
        <w:rPr>
          <w:rFonts w:ascii="Arial" w:eastAsia="SimSun" w:hAnsi="Arial" w:cs="Arial"/>
          <w:sz w:val="24"/>
          <w:szCs w:val="24"/>
          <w:lang w:eastAsia="zh-CN"/>
        </w:rPr>
        <w:t xml:space="preserve">meeting last year, I reported to you on the concern </w:t>
      </w:r>
      <w:r w:rsidR="00E17D90" w:rsidRPr="00CD4225">
        <w:rPr>
          <w:rFonts w:ascii="Arial" w:eastAsia="SimSun" w:hAnsi="Arial" w:cs="Arial"/>
          <w:sz w:val="24"/>
          <w:szCs w:val="24"/>
          <w:lang w:eastAsia="zh-CN"/>
        </w:rPr>
        <w:t xml:space="preserve">raised </w:t>
      </w:r>
      <w:r w:rsidR="00FD3B2C" w:rsidRPr="00CD4225">
        <w:rPr>
          <w:rFonts w:ascii="Arial" w:eastAsia="SimSun" w:hAnsi="Arial" w:cs="Arial"/>
          <w:sz w:val="24"/>
          <w:szCs w:val="24"/>
          <w:lang w:eastAsia="zh-CN"/>
        </w:rPr>
        <w:lastRenderedPageBreak/>
        <w:t xml:space="preserve">by the RAG regarding </w:t>
      </w:r>
      <w:r w:rsidR="00E17D90" w:rsidRPr="00CD4225">
        <w:rPr>
          <w:rFonts w:ascii="Arial" w:eastAsia="SimSun" w:hAnsi="Arial" w:cs="Arial"/>
          <w:sz w:val="24"/>
          <w:szCs w:val="24"/>
          <w:lang w:eastAsia="zh-CN"/>
        </w:rPr>
        <w:t xml:space="preserve">the </w:t>
      </w:r>
      <w:r w:rsidR="00860C50" w:rsidRPr="00CD4225">
        <w:rPr>
          <w:rFonts w:ascii="Arial" w:eastAsia="SimSun" w:hAnsi="Arial" w:cs="Arial"/>
          <w:sz w:val="24"/>
          <w:szCs w:val="24"/>
          <w:lang w:eastAsia="zh-CN"/>
        </w:rPr>
        <w:t xml:space="preserve">growing trend in ITU-T, particularly its Study Groups 5, 13 and 20, of addressing matters that are uniquely within the mandates of ITU-R Study Groups, such as work on </w:t>
      </w:r>
      <w:r w:rsidR="006E2EDB" w:rsidRPr="00CD4225">
        <w:rPr>
          <w:rFonts w:ascii="Arial" w:eastAsia="SimSun" w:hAnsi="Arial" w:cs="Arial"/>
          <w:sz w:val="24"/>
          <w:szCs w:val="24"/>
          <w:lang w:eastAsia="zh-CN"/>
        </w:rPr>
        <w:t xml:space="preserve">Unmanned Aircraft Systems </w:t>
      </w:r>
      <w:r w:rsidR="00860C50" w:rsidRPr="00CD4225">
        <w:rPr>
          <w:rFonts w:ascii="Arial" w:eastAsia="SimSun" w:hAnsi="Arial" w:cs="Arial"/>
          <w:sz w:val="24"/>
          <w:szCs w:val="24"/>
          <w:lang w:eastAsia="zh-CN"/>
        </w:rPr>
        <w:t>and satellite technologies.</w:t>
      </w:r>
    </w:p>
    <w:p w14:paraId="12013F98" w14:textId="77777777" w:rsidR="0095153A" w:rsidRPr="00CD4225" w:rsidRDefault="0095153A" w:rsidP="00513E72">
      <w:pPr>
        <w:spacing w:line="276" w:lineRule="auto"/>
        <w:jc w:val="both"/>
        <w:rPr>
          <w:rFonts w:ascii="Arial" w:eastAsia="SimSun" w:hAnsi="Arial" w:cs="Arial"/>
          <w:sz w:val="24"/>
          <w:szCs w:val="24"/>
          <w:lang w:eastAsia="zh-CN"/>
        </w:rPr>
      </w:pPr>
    </w:p>
    <w:p w14:paraId="00C80D01" w14:textId="5F8CC38A" w:rsidR="009B611C"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In </w:t>
      </w:r>
      <w:r w:rsidR="00BD73B2" w:rsidRPr="00CD4225">
        <w:rPr>
          <w:rFonts w:ascii="Arial" w:eastAsia="SimSun" w:hAnsi="Arial" w:cs="Arial"/>
          <w:sz w:val="24"/>
          <w:szCs w:val="24"/>
          <w:lang w:eastAsia="zh-CN"/>
        </w:rPr>
        <w:t>this</w:t>
      </w:r>
      <w:r w:rsidRPr="00CD4225">
        <w:rPr>
          <w:rFonts w:ascii="Arial" w:eastAsia="SimSun" w:hAnsi="Arial" w:cs="Arial"/>
          <w:sz w:val="24"/>
          <w:szCs w:val="24"/>
          <w:lang w:eastAsia="zh-CN"/>
        </w:rPr>
        <w:t xml:space="preserve"> </w:t>
      </w:r>
      <w:r w:rsidR="005547C2" w:rsidRPr="00CD4225">
        <w:rPr>
          <w:rFonts w:ascii="Arial" w:eastAsia="SimSun" w:hAnsi="Arial" w:cs="Arial"/>
          <w:sz w:val="24"/>
          <w:szCs w:val="24"/>
          <w:lang w:eastAsia="zh-CN"/>
        </w:rPr>
        <w:t>regard</w:t>
      </w:r>
      <w:r w:rsidR="009D4BD8" w:rsidRPr="00CD4225">
        <w:rPr>
          <w:rFonts w:ascii="Arial" w:eastAsia="SimSun" w:hAnsi="Arial" w:cs="Arial"/>
          <w:sz w:val="24"/>
          <w:szCs w:val="24"/>
          <w:lang w:eastAsia="zh-CN"/>
        </w:rPr>
        <w:t xml:space="preserve"> </w:t>
      </w:r>
      <w:r w:rsidR="005547C2" w:rsidRPr="00CD4225">
        <w:rPr>
          <w:rFonts w:ascii="Arial" w:eastAsia="SimSun" w:hAnsi="Arial" w:cs="Arial"/>
          <w:sz w:val="24"/>
          <w:szCs w:val="24"/>
          <w:lang w:eastAsia="zh-CN"/>
        </w:rPr>
        <w:t>and</w:t>
      </w:r>
      <w:r w:rsidR="006B54F8" w:rsidRPr="00CD4225">
        <w:rPr>
          <w:rFonts w:ascii="Arial" w:eastAsia="SimSun" w:hAnsi="Arial" w:cs="Arial"/>
          <w:sz w:val="24"/>
          <w:szCs w:val="24"/>
          <w:lang w:eastAsia="zh-CN"/>
        </w:rPr>
        <w:t xml:space="preserve"> </w:t>
      </w:r>
      <w:r w:rsidR="006C150B" w:rsidRPr="00CD4225">
        <w:rPr>
          <w:rFonts w:ascii="Arial" w:eastAsia="SimSun" w:hAnsi="Arial" w:cs="Arial"/>
          <w:sz w:val="24"/>
          <w:szCs w:val="24"/>
          <w:lang w:eastAsia="zh-CN"/>
        </w:rPr>
        <w:t>considering</w:t>
      </w:r>
      <w:r w:rsidR="00BD73B2" w:rsidRPr="00CD4225">
        <w:rPr>
          <w:rFonts w:ascii="Arial" w:eastAsia="SimSun" w:hAnsi="Arial" w:cs="Arial"/>
          <w:sz w:val="24"/>
          <w:szCs w:val="24"/>
          <w:lang w:eastAsia="zh-CN"/>
        </w:rPr>
        <w:t xml:space="preserve"> </w:t>
      </w:r>
      <w:r w:rsidR="006B54F8" w:rsidRPr="00CD4225">
        <w:rPr>
          <w:rFonts w:ascii="Arial" w:eastAsia="SimSun" w:hAnsi="Arial" w:cs="Arial"/>
          <w:sz w:val="24"/>
          <w:szCs w:val="24"/>
          <w:lang w:eastAsia="zh-CN"/>
        </w:rPr>
        <w:t xml:space="preserve">the coordination efforts carried out </w:t>
      </w:r>
      <w:r w:rsidR="00C04D09" w:rsidRPr="00CD4225">
        <w:rPr>
          <w:rFonts w:ascii="Arial" w:eastAsia="SimSun" w:hAnsi="Arial" w:cs="Arial"/>
          <w:sz w:val="24"/>
          <w:szCs w:val="24"/>
          <w:lang w:eastAsia="zh-CN"/>
        </w:rPr>
        <w:t xml:space="preserve">since then </w:t>
      </w:r>
      <w:r w:rsidR="006B54F8" w:rsidRPr="00CD4225">
        <w:rPr>
          <w:rFonts w:ascii="Arial" w:eastAsia="SimSun" w:hAnsi="Arial" w:cs="Arial"/>
          <w:sz w:val="24"/>
          <w:szCs w:val="24"/>
          <w:lang w:eastAsia="zh-CN"/>
        </w:rPr>
        <w:t xml:space="preserve">by the </w:t>
      </w:r>
      <w:r w:rsidR="00000F93" w:rsidRPr="00CD4225">
        <w:rPr>
          <w:rFonts w:ascii="Arial" w:eastAsia="SimSun" w:hAnsi="Arial" w:cs="Arial"/>
          <w:sz w:val="24"/>
          <w:szCs w:val="24"/>
          <w:lang w:eastAsia="zh-CN"/>
        </w:rPr>
        <w:t xml:space="preserve">BR and TSB counsellors to avoid such </w:t>
      </w:r>
      <w:r w:rsidR="005547C2" w:rsidRPr="00CD4225">
        <w:rPr>
          <w:rFonts w:ascii="Arial" w:eastAsia="SimSun" w:hAnsi="Arial" w:cs="Arial"/>
          <w:sz w:val="24"/>
          <w:szCs w:val="24"/>
          <w:lang w:eastAsia="zh-CN"/>
        </w:rPr>
        <w:t>overlapping</w:t>
      </w:r>
      <w:r w:rsidR="0001151F" w:rsidRPr="00CD4225">
        <w:rPr>
          <w:rFonts w:ascii="Arial" w:eastAsia="SimSun" w:hAnsi="Arial" w:cs="Arial"/>
          <w:sz w:val="24"/>
          <w:szCs w:val="24"/>
          <w:lang w:eastAsia="zh-CN"/>
        </w:rPr>
        <w:t xml:space="preserve"> </w:t>
      </w:r>
      <w:r w:rsidR="005547C2" w:rsidRPr="00CD4225">
        <w:rPr>
          <w:rFonts w:ascii="Arial" w:eastAsia="SimSun" w:hAnsi="Arial" w:cs="Arial"/>
          <w:sz w:val="24"/>
          <w:szCs w:val="24"/>
          <w:lang w:eastAsia="zh-CN"/>
        </w:rPr>
        <w:t>activities</w:t>
      </w:r>
      <w:r w:rsidR="00000F93" w:rsidRPr="00CD4225">
        <w:rPr>
          <w:rFonts w:ascii="Arial" w:eastAsia="SimSun" w:hAnsi="Arial" w:cs="Arial"/>
          <w:sz w:val="24"/>
          <w:szCs w:val="24"/>
          <w:lang w:eastAsia="zh-CN"/>
        </w:rPr>
        <w:t xml:space="preserve">, </w:t>
      </w:r>
      <w:r w:rsidR="009B611C" w:rsidRPr="00CD4225">
        <w:rPr>
          <w:rFonts w:ascii="Arial" w:eastAsia="SimSun" w:hAnsi="Arial" w:cs="Arial"/>
          <w:sz w:val="24"/>
          <w:szCs w:val="24"/>
          <w:lang w:eastAsia="zh-CN"/>
        </w:rPr>
        <w:t xml:space="preserve">we </w:t>
      </w:r>
      <w:r w:rsidR="006C150B" w:rsidRPr="00CD4225">
        <w:rPr>
          <w:rFonts w:ascii="Arial" w:eastAsia="SimSun" w:hAnsi="Arial" w:cs="Arial"/>
          <w:sz w:val="24"/>
          <w:szCs w:val="24"/>
          <w:lang w:eastAsia="zh-CN"/>
        </w:rPr>
        <w:t xml:space="preserve">will </w:t>
      </w:r>
      <w:r w:rsidR="009B611C" w:rsidRPr="00CD4225">
        <w:rPr>
          <w:rFonts w:ascii="Arial" w:eastAsia="SimSun" w:hAnsi="Arial" w:cs="Arial"/>
          <w:sz w:val="24"/>
          <w:szCs w:val="24"/>
          <w:lang w:eastAsia="zh-CN"/>
        </w:rPr>
        <w:t xml:space="preserve">keep monitoring the progress and will report on the </w:t>
      </w:r>
      <w:r w:rsidR="001F1A12" w:rsidRPr="00CD4225">
        <w:rPr>
          <w:rFonts w:ascii="Arial" w:eastAsia="SimSun" w:hAnsi="Arial" w:cs="Arial"/>
          <w:sz w:val="24"/>
          <w:szCs w:val="24"/>
          <w:lang w:eastAsia="zh-CN"/>
        </w:rPr>
        <w:t xml:space="preserve">expected </w:t>
      </w:r>
      <w:r w:rsidR="009B611C" w:rsidRPr="00CD4225">
        <w:rPr>
          <w:rFonts w:ascii="Arial" w:eastAsia="SimSun" w:hAnsi="Arial" w:cs="Arial"/>
          <w:sz w:val="24"/>
          <w:szCs w:val="24"/>
          <w:lang w:eastAsia="zh-CN"/>
        </w:rPr>
        <w:t>improvements</w:t>
      </w:r>
      <w:r w:rsidR="005547C2" w:rsidRPr="00CD4225">
        <w:rPr>
          <w:rFonts w:ascii="Arial" w:eastAsia="SimSun" w:hAnsi="Arial" w:cs="Arial"/>
          <w:sz w:val="24"/>
          <w:szCs w:val="24"/>
          <w:lang w:eastAsia="zh-CN"/>
        </w:rPr>
        <w:t>.</w:t>
      </w:r>
    </w:p>
    <w:p w14:paraId="59880A77" w14:textId="77777777" w:rsidR="009B611C" w:rsidRPr="00CD4225" w:rsidRDefault="009B611C" w:rsidP="00513E72">
      <w:pPr>
        <w:spacing w:line="276" w:lineRule="auto"/>
        <w:jc w:val="both"/>
        <w:rPr>
          <w:rFonts w:ascii="Arial" w:eastAsia="SimSun" w:hAnsi="Arial" w:cs="Arial"/>
          <w:sz w:val="24"/>
          <w:szCs w:val="24"/>
          <w:lang w:eastAsia="zh-CN"/>
        </w:rPr>
      </w:pPr>
    </w:p>
    <w:p w14:paraId="1EA5A4AB" w14:textId="77777777" w:rsidR="000E6BEB" w:rsidRPr="00CD4225" w:rsidRDefault="000E6BEB"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Dear colleagues,</w:t>
      </w:r>
    </w:p>
    <w:p w14:paraId="61B6E565" w14:textId="77777777" w:rsidR="000E6BEB" w:rsidRPr="00CD4225" w:rsidRDefault="000E6BEB" w:rsidP="00513E72">
      <w:pPr>
        <w:spacing w:line="276" w:lineRule="auto"/>
        <w:jc w:val="both"/>
        <w:rPr>
          <w:rFonts w:ascii="Arial" w:eastAsia="SimSun" w:hAnsi="Arial" w:cs="Arial"/>
          <w:sz w:val="24"/>
          <w:szCs w:val="24"/>
          <w:lang w:eastAsia="zh-CN"/>
        </w:rPr>
      </w:pPr>
    </w:p>
    <w:p w14:paraId="2843D579" w14:textId="7C3E2F16" w:rsidR="006A4A24" w:rsidRPr="00CD4225" w:rsidRDefault="000E6BEB"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Since </w:t>
      </w:r>
      <w:r w:rsidR="006A4A24" w:rsidRPr="00CD4225">
        <w:rPr>
          <w:rFonts w:ascii="Arial" w:eastAsia="SimSun" w:hAnsi="Arial" w:cs="Arial"/>
          <w:sz w:val="24"/>
          <w:szCs w:val="24"/>
          <w:lang w:eastAsia="zh-CN"/>
        </w:rPr>
        <w:t>the last exchange of Liaison statements by TSAG and the RAG in May 2023, significant developments have taken place.</w:t>
      </w:r>
      <w:r w:rsidR="00FD2756" w:rsidRPr="00CD4225">
        <w:rPr>
          <w:rFonts w:ascii="Arial" w:eastAsia="SimSun" w:hAnsi="Arial" w:cs="Arial"/>
          <w:sz w:val="24"/>
          <w:szCs w:val="24"/>
          <w:lang w:eastAsia="zh-CN"/>
        </w:rPr>
        <w:t xml:space="preserve"> </w:t>
      </w:r>
      <w:r w:rsidR="006A4A24" w:rsidRPr="00CD4225">
        <w:rPr>
          <w:rFonts w:ascii="Arial" w:eastAsia="SimSun" w:hAnsi="Arial" w:cs="Arial"/>
          <w:sz w:val="24"/>
          <w:szCs w:val="24"/>
          <w:lang w:eastAsia="zh-CN"/>
        </w:rPr>
        <w:t xml:space="preserve">The work of the ITU-R study groups has progressed, and notably, the </w:t>
      </w:r>
      <w:r w:rsidR="00427C83" w:rsidRPr="00CD4225">
        <w:rPr>
          <w:rFonts w:ascii="Arial" w:eastAsia="SimSun" w:hAnsi="Arial" w:cs="Arial"/>
          <w:sz w:val="24"/>
          <w:szCs w:val="24"/>
          <w:lang w:eastAsia="zh-CN"/>
        </w:rPr>
        <w:t xml:space="preserve">Radiocommunication Assembly and the </w:t>
      </w:r>
      <w:r w:rsidR="006A4A24" w:rsidRPr="00CD4225">
        <w:rPr>
          <w:rFonts w:ascii="Arial" w:eastAsia="SimSun" w:hAnsi="Arial" w:cs="Arial"/>
          <w:sz w:val="24"/>
          <w:szCs w:val="24"/>
          <w:lang w:eastAsia="zh-CN"/>
        </w:rPr>
        <w:t xml:space="preserve">World Radiocommunication Conference of 2023 took important decisions on radiocommunication related matters. </w:t>
      </w:r>
    </w:p>
    <w:p w14:paraId="6D236BD8" w14:textId="77777777" w:rsidR="005A0259" w:rsidRPr="00CD4225" w:rsidRDefault="005A0259" w:rsidP="00513E72">
      <w:pPr>
        <w:spacing w:line="276" w:lineRule="auto"/>
        <w:jc w:val="both"/>
        <w:rPr>
          <w:rFonts w:ascii="Arial" w:eastAsia="SimSun" w:hAnsi="Arial" w:cs="Arial"/>
          <w:sz w:val="24"/>
          <w:szCs w:val="24"/>
          <w:lang w:eastAsia="zh-CN"/>
        </w:rPr>
      </w:pPr>
    </w:p>
    <w:p w14:paraId="2F73784E" w14:textId="4BCE7DB5"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Today, I want to share with you some of the advancements of the ITU-R that may be of interest to ITU-T in general and to the TSAG in particular. </w:t>
      </w:r>
    </w:p>
    <w:p w14:paraId="1D84CF02" w14:textId="47C47F06" w:rsidR="006A4A24" w:rsidRPr="00CD4225" w:rsidRDefault="006A4A24" w:rsidP="00513E72">
      <w:pPr>
        <w:pStyle w:val="ListParagraph"/>
        <w:numPr>
          <w:ilvl w:val="0"/>
          <w:numId w:val="7"/>
        </w:numPr>
        <w:spacing w:line="276" w:lineRule="auto"/>
        <w:jc w:val="both"/>
        <w:rPr>
          <w:rFonts w:ascii="Arial" w:eastAsia="SimSun" w:hAnsi="Arial" w:cs="Arial"/>
          <w:lang w:eastAsia="zh-CN"/>
        </w:rPr>
      </w:pPr>
      <w:r w:rsidRPr="00CD4225">
        <w:rPr>
          <w:rFonts w:ascii="Arial" w:eastAsia="SimSun" w:hAnsi="Arial" w:cs="Arial"/>
          <w:lang w:eastAsia="zh-CN"/>
        </w:rPr>
        <w:t xml:space="preserve">Firstly, on Unmanned Aircraft Systems (UAS): </w:t>
      </w:r>
    </w:p>
    <w:p w14:paraId="0B064E7B"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WRC-23 considered regulatory actions to accommodate the use of fixed-satellite service networks by control and non-payload communications of unmanned aircraft systems.</w:t>
      </w:r>
    </w:p>
    <w:p w14:paraId="0BFD747E" w14:textId="77777777" w:rsidR="006A4A24" w:rsidRPr="00CD4225" w:rsidRDefault="006A4A24" w:rsidP="00513E72">
      <w:pPr>
        <w:spacing w:line="276" w:lineRule="auto"/>
        <w:jc w:val="both"/>
        <w:rPr>
          <w:rFonts w:ascii="Arial" w:eastAsia="SimSun" w:hAnsi="Arial" w:cs="Arial"/>
          <w:sz w:val="24"/>
          <w:szCs w:val="24"/>
          <w:lang w:eastAsia="zh-CN"/>
        </w:rPr>
      </w:pPr>
    </w:p>
    <w:p w14:paraId="39AAE56C" w14:textId="5849F66D"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After lengthy deliberations, the Conference instructed ITU-R to study, as a matter of urgency, necessary measures to facilitate the operation of earth stations on board unmanned aircraft used for control and non-payload communication operated in non-segregated airspace using satellite links by the aeronautical mobile-satellite (route) service in suitable frequency bands in order to decide on the appropriate course of action to be taken for WRC-31. It also invited Administrations to contribute on the matter.</w:t>
      </w:r>
    </w:p>
    <w:p w14:paraId="63282E40" w14:textId="77777777" w:rsidR="00076213" w:rsidRPr="00CD4225" w:rsidRDefault="00076213" w:rsidP="00513E72">
      <w:pPr>
        <w:spacing w:line="276" w:lineRule="auto"/>
        <w:jc w:val="both"/>
        <w:rPr>
          <w:rFonts w:ascii="Arial" w:eastAsia="SimSun" w:hAnsi="Arial" w:cs="Arial"/>
          <w:sz w:val="24"/>
          <w:szCs w:val="24"/>
          <w:lang w:eastAsia="zh-CN"/>
        </w:rPr>
      </w:pPr>
    </w:p>
    <w:p w14:paraId="3598B25C" w14:textId="32790875" w:rsidR="00076213" w:rsidRPr="00CD4225" w:rsidRDefault="00076213"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RAG will certainly provide further guidance to TSAG regarding any work they may propose to undertake in that area.  </w:t>
      </w:r>
    </w:p>
    <w:p w14:paraId="1272AE18" w14:textId="471B6B8E" w:rsidR="006A4A24" w:rsidRPr="00CD4225" w:rsidRDefault="006A4A24" w:rsidP="00513E72">
      <w:pPr>
        <w:pStyle w:val="ListParagraph"/>
        <w:numPr>
          <w:ilvl w:val="0"/>
          <w:numId w:val="7"/>
        </w:numPr>
        <w:spacing w:line="276" w:lineRule="auto"/>
        <w:jc w:val="both"/>
        <w:rPr>
          <w:rFonts w:ascii="Arial" w:eastAsia="SimSun" w:hAnsi="Arial" w:cs="Arial"/>
          <w:lang w:eastAsia="zh-CN"/>
        </w:rPr>
      </w:pPr>
      <w:r w:rsidRPr="00CD4225">
        <w:rPr>
          <w:rFonts w:ascii="Arial" w:eastAsia="SimSun" w:hAnsi="Arial" w:cs="Arial"/>
          <w:lang w:eastAsia="zh-CN"/>
        </w:rPr>
        <w:t xml:space="preserve">Secondly, on </w:t>
      </w:r>
      <w:proofErr w:type="spellStart"/>
      <w:r w:rsidRPr="00CD4225">
        <w:rPr>
          <w:rFonts w:ascii="Arial" w:eastAsia="SimSun" w:hAnsi="Arial" w:cs="Arial"/>
          <w:lang w:eastAsia="zh-CN"/>
        </w:rPr>
        <w:t>IMT</w:t>
      </w:r>
      <w:proofErr w:type="spellEnd"/>
      <w:r w:rsidRPr="00CD4225">
        <w:rPr>
          <w:rFonts w:ascii="Arial" w:eastAsia="SimSun" w:hAnsi="Arial" w:cs="Arial"/>
          <w:lang w:eastAsia="zh-CN"/>
        </w:rPr>
        <w:t xml:space="preserve">-2020 and </w:t>
      </w:r>
      <w:proofErr w:type="spellStart"/>
      <w:r w:rsidRPr="00CD4225">
        <w:rPr>
          <w:rFonts w:ascii="Arial" w:eastAsia="SimSun" w:hAnsi="Arial" w:cs="Arial"/>
          <w:lang w:eastAsia="zh-CN"/>
        </w:rPr>
        <w:t>IMT</w:t>
      </w:r>
      <w:proofErr w:type="spellEnd"/>
      <w:r w:rsidRPr="00CD4225">
        <w:rPr>
          <w:rFonts w:ascii="Arial" w:eastAsia="SimSun" w:hAnsi="Arial" w:cs="Arial"/>
          <w:lang w:eastAsia="zh-CN"/>
        </w:rPr>
        <w:t xml:space="preserve">-2030, as well as on the convergence of Fixed, Mobile and Satellite: </w:t>
      </w:r>
    </w:p>
    <w:p w14:paraId="4BB6CAFC" w14:textId="77777777" w:rsidR="0095153A" w:rsidRPr="00CD4225" w:rsidRDefault="0095153A" w:rsidP="00513E72">
      <w:pPr>
        <w:spacing w:line="276" w:lineRule="auto"/>
        <w:jc w:val="both"/>
        <w:rPr>
          <w:rFonts w:ascii="Arial" w:eastAsia="SimSun" w:hAnsi="Arial" w:cs="Arial"/>
          <w:sz w:val="24"/>
          <w:szCs w:val="24"/>
          <w:lang w:eastAsia="zh-CN"/>
        </w:rPr>
      </w:pPr>
    </w:p>
    <w:p w14:paraId="548D80B2" w14:textId="54F164D9"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As you know, ITU-R has a rich history in developing radio interface standards for International Mobile Telecommunications. From </w:t>
      </w:r>
      <w:proofErr w:type="spellStart"/>
      <w:r w:rsidRPr="00CD4225">
        <w:rPr>
          <w:rFonts w:ascii="Arial" w:eastAsia="SimSun" w:hAnsi="Arial" w:cs="Arial"/>
          <w:sz w:val="24"/>
          <w:szCs w:val="24"/>
          <w:lang w:eastAsia="zh-CN"/>
        </w:rPr>
        <w:t>IMT</w:t>
      </w:r>
      <w:proofErr w:type="spellEnd"/>
      <w:r w:rsidRPr="00CD4225">
        <w:rPr>
          <w:rFonts w:ascii="Arial" w:eastAsia="SimSun" w:hAnsi="Arial" w:cs="Arial"/>
          <w:sz w:val="24"/>
          <w:szCs w:val="24"/>
          <w:lang w:eastAsia="zh-CN"/>
        </w:rPr>
        <w:t>-2000 (</w:t>
      </w:r>
      <w:proofErr w:type="spellStart"/>
      <w:r w:rsidRPr="00CD4225">
        <w:rPr>
          <w:rFonts w:ascii="Arial" w:eastAsia="SimSun" w:hAnsi="Arial" w:cs="Arial"/>
          <w:sz w:val="24"/>
          <w:szCs w:val="24"/>
          <w:lang w:eastAsia="zh-CN"/>
        </w:rPr>
        <w:t>3G</w:t>
      </w:r>
      <w:proofErr w:type="spellEnd"/>
      <w:r w:rsidRPr="00CD4225">
        <w:rPr>
          <w:rFonts w:ascii="Arial" w:eastAsia="SimSun" w:hAnsi="Arial" w:cs="Arial"/>
          <w:sz w:val="24"/>
          <w:szCs w:val="24"/>
          <w:lang w:eastAsia="zh-CN"/>
        </w:rPr>
        <w:t xml:space="preserve">) to </w:t>
      </w:r>
      <w:proofErr w:type="spellStart"/>
      <w:r w:rsidRPr="00CD4225">
        <w:rPr>
          <w:rFonts w:ascii="Arial" w:eastAsia="SimSun" w:hAnsi="Arial" w:cs="Arial"/>
          <w:sz w:val="24"/>
          <w:szCs w:val="24"/>
          <w:lang w:eastAsia="zh-CN"/>
        </w:rPr>
        <w:t>IMT</w:t>
      </w:r>
      <w:proofErr w:type="spellEnd"/>
      <w:r w:rsidRPr="00CD4225">
        <w:rPr>
          <w:rFonts w:ascii="Arial" w:eastAsia="SimSun" w:hAnsi="Arial" w:cs="Arial"/>
          <w:sz w:val="24"/>
          <w:szCs w:val="24"/>
          <w:lang w:eastAsia="zh-CN"/>
        </w:rPr>
        <w:t>-Advanced (</w:t>
      </w:r>
      <w:proofErr w:type="spellStart"/>
      <w:r w:rsidRPr="00CD4225">
        <w:rPr>
          <w:rFonts w:ascii="Arial" w:eastAsia="SimSun" w:hAnsi="Arial" w:cs="Arial"/>
          <w:sz w:val="24"/>
          <w:szCs w:val="24"/>
          <w:lang w:eastAsia="zh-CN"/>
        </w:rPr>
        <w:t>4G</w:t>
      </w:r>
      <w:proofErr w:type="spellEnd"/>
      <w:r w:rsidRPr="00CD4225">
        <w:rPr>
          <w:rFonts w:ascii="Arial" w:eastAsia="SimSun" w:hAnsi="Arial" w:cs="Arial"/>
          <w:sz w:val="24"/>
          <w:szCs w:val="24"/>
          <w:lang w:eastAsia="zh-CN"/>
        </w:rPr>
        <w:t xml:space="preserve">) and the more recently published specification for </w:t>
      </w:r>
      <w:proofErr w:type="spellStart"/>
      <w:r w:rsidRPr="00CD4225">
        <w:rPr>
          <w:rFonts w:ascii="Arial" w:eastAsia="SimSun" w:hAnsi="Arial" w:cs="Arial"/>
          <w:sz w:val="24"/>
          <w:szCs w:val="24"/>
          <w:lang w:eastAsia="zh-CN"/>
        </w:rPr>
        <w:t>IMT</w:t>
      </w:r>
      <w:proofErr w:type="spellEnd"/>
      <w:r w:rsidRPr="00CD4225">
        <w:rPr>
          <w:rFonts w:ascii="Arial" w:eastAsia="SimSun" w:hAnsi="Arial" w:cs="Arial"/>
          <w:sz w:val="24"/>
          <w:szCs w:val="24"/>
          <w:lang w:eastAsia="zh-CN"/>
        </w:rPr>
        <w:t xml:space="preserve">-2020 (5G). Working Party </w:t>
      </w:r>
      <w:proofErr w:type="spellStart"/>
      <w:r w:rsidRPr="00CD4225">
        <w:rPr>
          <w:rFonts w:ascii="Arial" w:eastAsia="SimSun" w:hAnsi="Arial" w:cs="Arial"/>
          <w:sz w:val="24"/>
          <w:szCs w:val="24"/>
          <w:lang w:eastAsia="zh-CN"/>
        </w:rPr>
        <w:t>5D</w:t>
      </w:r>
      <w:proofErr w:type="spellEnd"/>
      <w:r w:rsidRPr="00CD4225">
        <w:rPr>
          <w:rFonts w:ascii="Arial" w:eastAsia="SimSun" w:hAnsi="Arial" w:cs="Arial"/>
          <w:sz w:val="24"/>
          <w:szCs w:val="24"/>
          <w:lang w:eastAsia="zh-CN"/>
        </w:rPr>
        <w:t xml:space="preserve"> has already initiated the standardization process for </w:t>
      </w:r>
      <w:proofErr w:type="spellStart"/>
      <w:r w:rsidRPr="00CD4225">
        <w:rPr>
          <w:rFonts w:ascii="Arial" w:eastAsia="SimSun" w:hAnsi="Arial" w:cs="Arial"/>
          <w:sz w:val="24"/>
          <w:szCs w:val="24"/>
          <w:lang w:eastAsia="zh-CN"/>
        </w:rPr>
        <w:t>IMT</w:t>
      </w:r>
      <w:proofErr w:type="spellEnd"/>
      <w:r w:rsidRPr="00CD4225">
        <w:rPr>
          <w:rFonts w:ascii="Arial" w:eastAsia="SimSun" w:hAnsi="Arial" w:cs="Arial"/>
          <w:sz w:val="24"/>
          <w:szCs w:val="24"/>
          <w:lang w:eastAsia="zh-CN"/>
        </w:rPr>
        <w:t>-2030 (</w:t>
      </w:r>
      <w:proofErr w:type="spellStart"/>
      <w:r w:rsidRPr="00CD4225">
        <w:rPr>
          <w:rFonts w:ascii="Arial" w:eastAsia="SimSun" w:hAnsi="Arial" w:cs="Arial"/>
          <w:sz w:val="24"/>
          <w:szCs w:val="24"/>
          <w:lang w:eastAsia="zh-CN"/>
        </w:rPr>
        <w:t>6G</w:t>
      </w:r>
      <w:proofErr w:type="spellEnd"/>
      <w:r w:rsidRPr="00CD4225">
        <w:rPr>
          <w:rFonts w:ascii="Arial" w:eastAsia="SimSun" w:hAnsi="Arial" w:cs="Arial"/>
          <w:sz w:val="24"/>
          <w:szCs w:val="24"/>
          <w:lang w:eastAsia="zh-CN"/>
        </w:rPr>
        <w:t>).</w:t>
      </w:r>
    </w:p>
    <w:p w14:paraId="538F0C6C" w14:textId="77777777" w:rsidR="006A4A24" w:rsidRPr="00CD4225" w:rsidRDefault="006A4A24" w:rsidP="00513E72">
      <w:pPr>
        <w:spacing w:line="276" w:lineRule="auto"/>
        <w:jc w:val="both"/>
        <w:rPr>
          <w:rFonts w:ascii="Arial" w:eastAsia="SimSun" w:hAnsi="Arial" w:cs="Arial"/>
          <w:sz w:val="24"/>
          <w:szCs w:val="24"/>
          <w:lang w:eastAsia="zh-CN"/>
        </w:rPr>
      </w:pPr>
    </w:p>
    <w:p w14:paraId="31DC6A52"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In addition, World Radiocommunication Conferences have identified frequency bands for </w:t>
      </w:r>
      <w:proofErr w:type="spellStart"/>
      <w:r w:rsidRPr="00CD4225">
        <w:rPr>
          <w:rFonts w:ascii="Arial" w:eastAsia="SimSun" w:hAnsi="Arial" w:cs="Arial"/>
          <w:sz w:val="24"/>
          <w:szCs w:val="24"/>
          <w:lang w:eastAsia="zh-CN"/>
        </w:rPr>
        <w:lastRenderedPageBreak/>
        <w:t>IMT</w:t>
      </w:r>
      <w:proofErr w:type="spellEnd"/>
      <w:r w:rsidRPr="00CD4225">
        <w:rPr>
          <w:rFonts w:ascii="Arial" w:eastAsia="SimSun" w:hAnsi="Arial" w:cs="Arial"/>
          <w:sz w:val="24"/>
          <w:szCs w:val="24"/>
          <w:lang w:eastAsia="zh-CN"/>
        </w:rPr>
        <w:t xml:space="preserve">, enabling global harmonization and widespread use of these technologies. </w:t>
      </w:r>
    </w:p>
    <w:p w14:paraId="6FE79285" w14:textId="77777777" w:rsidR="006A4A24" w:rsidRPr="00CD4225" w:rsidRDefault="006A4A24" w:rsidP="00513E72">
      <w:pPr>
        <w:spacing w:line="276" w:lineRule="auto"/>
        <w:jc w:val="both"/>
        <w:rPr>
          <w:rFonts w:ascii="Arial" w:eastAsia="SimSun" w:hAnsi="Arial" w:cs="Arial"/>
          <w:sz w:val="24"/>
          <w:szCs w:val="24"/>
          <w:lang w:eastAsia="zh-CN"/>
        </w:rPr>
      </w:pPr>
    </w:p>
    <w:p w14:paraId="21ECE424"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WRC-23 extended broadband communication to the air and the sea, with regulatory provisions and interference management mechanisms for earth stations in motion on aircrafts and vessels to communicate with both geostationary and non-geostationary space stations.</w:t>
      </w:r>
    </w:p>
    <w:p w14:paraId="17F8FB3E" w14:textId="77777777" w:rsidR="006A4A24" w:rsidRPr="00CD4225" w:rsidRDefault="006A4A24" w:rsidP="00513E72">
      <w:pPr>
        <w:spacing w:line="276" w:lineRule="auto"/>
        <w:jc w:val="both"/>
        <w:rPr>
          <w:rFonts w:ascii="Arial" w:eastAsia="SimSun" w:hAnsi="Arial" w:cs="Arial"/>
          <w:sz w:val="24"/>
          <w:szCs w:val="24"/>
          <w:lang w:eastAsia="zh-CN"/>
        </w:rPr>
      </w:pPr>
    </w:p>
    <w:p w14:paraId="45CB3BE9"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Moreover, new Agenda Items for WRC-27 were approved to consider new allocations to the mobile-satellite service for direct connectivity between space stations and </w:t>
      </w:r>
      <w:proofErr w:type="spellStart"/>
      <w:r w:rsidRPr="00CD4225">
        <w:rPr>
          <w:rFonts w:ascii="Arial" w:eastAsia="SimSun" w:hAnsi="Arial" w:cs="Arial"/>
          <w:sz w:val="24"/>
          <w:szCs w:val="24"/>
          <w:lang w:eastAsia="zh-CN"/>
        </w:rPr>
        <w:t>IMT</w:t>
      </w:r>
      <w:proofErr w:type="spellEnd"/>
      <w:r w:rsidRPr="00CD4225">
        <w:rPr>
          <w:rFonts w:ascii="Arial" w:eastAsia="SimSun" w:hAnsi="Arial" w:cs="Arial"/>
          <w:sz w:val="24"/>
          <w:szCs w:val="24"/>
          <w:lang w:eastAsia="zh-CN"/>
        </w:rPr>
        <w:t xml:space="preserve"> user equipment to complement terrestrial network coverage; and for the future development of low-data-rate non-geostationary mobile</w:t>
      </w:r>
      <w:r w:rsidRPr="00CD4225">
        <w:rPr>
          <w:rFonts w:ascii="Arial" w:eastAsia="SimSun" w:hAnsi="Arial" w:cs="Arial"/>
          <w:sz w:val="24"/>
          <w:szCs w:val="24"/>
          <w:lang w:eastAsia="zh-CN"/>
        </w:rPr>
        <w:noBreakHyphen/>
        <w:t>satellite systems to provide connectivity to the Internet of things. These new agenda items reflect the expected convergence of terrestrial and satellite networks.</w:t>
      </w:r>
    </w:p>
    <w:p w14:paraId="20C630F0" w14:textId="77777777" w:rsidR="006A4A24" w:rsidRPr="00CD4225" w:rsidRDefault="006A4A24" w:rsidP="00513E72">
      <w:pPr>
        <w:spacing w:line="276" w:lineRule="auto"/>
        <w:jc w:val="both"/>
        <w:rPr>
          <w:rFonts w:ascii="Arial" w:eastAsia="SimSun" w:hAnsi="Arial" w:cs="Arial"/>
          <w:sz w:val="24"/>
          <w:szCs w:val="24"/>
          <w:lang w:eastAsia="zh-CN"/>
        </w:rPr>
      </w:pPr>
    </w:p>
    <w:p w14:paraId="6E50321D"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I would also like to draw your attention to the Small Satellites Handbook published in 2023, which, inter alia, promotes and provides technical assistance to developing countries, enterprises, and individuals in the field of small satellite utilization.</w:t>
      </w:r>
    </w:p>
    <w:p w14:paraId="159F74F4" w14:textId="77777777" w:rsidR="006A4A24" w:rsidRPr="00CD4225" w:rsidRDefault="006A4A24" w:rsidP="00513E72">
      <w:pPr>
        <w:spacing w:line="276" w:lineRule="auto"/>
        <w:jc w:val="both"/>
        <w:rPr>
          <w:rFonts w:ascii="Arial" w:eastAsia="SimSun" w:hAnsi="Arial" w:cs="Arial"/>
          <w:sz w:val="24"/>
          <w:szCs w:val="24"/>
          <w:lang w:eastAsia="zh-CN"/>
        </w:rPr>
      </w:pPr>
    </w:p>
    <w:p w14:paraId="21567635"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These are just some examples of the work carried out and planned by the ITU-R, covering Unmanned Aircraft Systems (UAS), Fixed, mobile and satellite convergence, airborne broadband communication in </w:t>
      </w:r>
      <w:proofErr w:type="spellStart"/>
      <w:r w:rsidRPr="00CD4225">
        <w:rPr>
          <w:rFonts w:ascii="Arial" w:eastAsia="SimSun" w:hAnsi="Arial" w:cs="Arial"/>
          <w:sz w:val="24"/>
          <w:szCs w:val="24"/>
          <w:lang w:eastAsia="zh-CN"/>
        </w:rPr>
        <w:t>IMT</w:t>
      </w:r>
      <w:proofErr w:type="spellEnd"/>
      <w:r w:rsidRPr="00CD4225">
        <w:rPr>
          <w:rFonts w:ascii="Arial" w:eastAsia="SimSun" w:hAnsi="Arial" w:cs="Arial"/>
          <w:sz w:val="24"/>
          <w:szCs w:val="24"/>
          <w:lang w:eastAsia="zh-CN"/>
        </w:rPr>
        <w:t xml:space="preserve"> networks, and satellite communications. </w:t>
      </w:r>
    </w:p>
    <w:p w14:paraId="0D018043" w14:textId="77777777" w:rsidR="006A4A24" w:rsidRPr="00CD4225" w:rsidRDefault="006A4A24" w:rsidP="00513E72">
      <w:pPr>
        <w:spacing w:line="276" w:lineRule="auto"/>
        <w:jc w:val="both"/>
        <w:rPr>
          <w:rFonts w:ascii="Arial" w:eastAsia="SimSun" w:hAnsi="Arial" w:cs="Arial"/>
          <w:sz w:val="24"/>
          <w:szCs w:val="24"/>
          <w:lang w:eastAsia="zh-CN"/>
        </w:rPr>
      </w:pPr>
    </w:p>
    <w:p w14:paraId="0DA235E0"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As we commence a new study cycle in 2024, these topics will be explored in-depth by ITU-R study groups, culminating in the corresponding updating of the Radio Regulations by the World Radiocommunication Conference of 2027.</w:t>
      </w:r>
    </w:p>
    <w:p w14:paraId="22F99A4F" w14:textId="77777777" w:rsidR="006A4A24" w:rsidRPr="00CD4225" w:rsidRDefault="006A4A24" w:rsidP="00513E72">
      <w:pPr>
        <w:spacing w:line="276" w:lineRule="auto"/>
        <w:jc w:val="both"/>
        <w:rPr>
          <w:rFonts w:ascii="Arial" w:eastAsia="SimSun" w:hAnsi="Arial" w:cs="Arial"/>
          <w:sz w:val="24"/>
          <w:szCs w:val="24"/>
          <w:lang w:eastAsia="zh-CN"/>
        </w:rPr>
      </w:pPr>
    </w:p>
    <w:p w14:paraId="3C4D8331" w14:textId="01C3FE3F"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I invite all Administrations interested in these topics or other </w:t>
      </w:r>
      <w:r w:rsidR="00BD691B" w:rsidRPr="00CD4225">
        <w:rPr>
          <w:rFonts w:ascii="Arial" w:eastAsia="SimSun" w:hAnsi="Arial" w:cs="Arial"/>
          <w:sz w:val="24"/>
          <w:szCs w:val="24"/>
          <w:lang w:eastAsia="zh-CN"/>
        </w:rPr>
        <w:t>R</w:t>
      </w:r>
      <w:r w:rsidRPr="00CD4225">
        <w:rPr>
          <w:rFonts w:ascii="Arial" w:eastAsia="SimSun" w:hAnsi="Arial" w:cs="Arial"/>
          <w:sz w:val="24"/>
          <w:szCs w:val="24"/>
          <w:lang w:eastAsia="zh-CN"/>
        </w:rPr>
        <w:t>adiocommunication-related subjects, to engage in the work of the ITU-R.</w:t>
      </w:r>
    </w:p>
    <w:p w14:paraId="22E20432" w14:textId="77777777" w:rsidR="00655118" w:rsidRPr="00CD4225" w:rsidRDefault="00655118" w:rsidP="00513E72">
      <w:pPr>
        <w:spacing w:line="276" w:lineRule="auto"/>
        <w:jc w:val="both"/>
        <w:rPr>
          <w:rFonts w:ascii="Arial" w:eastAsia="SimSun" w:hAnsi="Arial" w:cs="Arial"/>
          <w:sz w:val="24"/>
          <w:szCs w:val="24"/>
          <w:lang w:eastAsia="zh-CN"/>
        </w:rPr>
      </w:pPr>
    </w:p>
    <w:p w14:paraId="0CE18A35" w14:textId="77777777" w:rsidR="00513E72" w:rsidRPr="00CD4225" w:rsidRDefault="00513E72" w:rsidP="00513E72">
      <w:pPr>
        <w:spacing w:line="276" w:lineRule="auto"/>
        <w:jc w:val="both"/>
        <w:rPr>
          <w:rFonts w:ascii="Arial" w:eastAsia="SimSun" w:hAnsi="Arial" w:cs="Arial"/>
          <w:sz w:val="24"/>
          <w:szCs w:val="24"/>
          <w:lang w:eastAsia="zh-CN"/>
        </w:rPr>
      </w:pPr>
    </w:p>
    <w:p w14:paraId="04AEB038" w14:textId="77777777"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Mr. Chairman, </w:t>
      </w:r>
    </w:p>
    <w:p w14:paraId="3CAAF769" w14:textId="77777777" w:rsidR="006A4A24" w:rsidRPr="00CD4225" w:rsidRDefault="006A4A24" w:rsidP="00513E72">
      <w:pPr>
        <w:spacing w:line="276" w:lineRule="auto"/>
        <w:jc w:val="both"/>
        <w:rPr>
          <w:rFonts w:ascii="Arial" w:eastAsia="SimSun" w:hAnsi="Arial" w:cs="Arial"/>
          <w:sz w:val="24"/>
          <w:szCs w:val="24"/>
          <w:lang w:eastAsia="zh-CN"/>
        </w:rPr>
      </w:pPr>
    </w:p>
    <w:p w14:paraId="24DF16C4" w14:textId="77777777" w:rsidR="00BD691B" w:rsidRPr="00CD4225" w:rsidRDefault="00BD691B" w:rsidP="00BD691B">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As I mentioned previously, we appreciate the long-standing collaboration between the ITU-R and ITU-T, since we believe it produces synergies, and minimizes overlaps.</w:t>
      </w:r>
    </w:p>
    <w:p w14:paraId="565524B3" w14:textId="77777777" w:rsidR="006A4A24" w:rsidRPr="00CD4225" w:rsidRDefault="006A4A24" w:rsidP="00513E72">
      <w:pPr>
        <w:spacing w:line="276" w:lineRule="auto"/>
        <w:jc w:val="both"/>
        <w:rPr>
          <w:rFonts w:ascii="Arial" w:eastAsia="SimSun" w:hAnsi="Arial" w:cs="Arial"/>
          <w:sz w:val="24"/>
          <w:szCs w:val="24"/>
          <w:lang w:eastAsia="zh-CN"/>
        </w:rPr>
      </w:pPr>
    </w:p>
    <w:p w14:paraId="1B6DD64C" w14:textId="35D7427A"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 xml:space="preserve">As a new year begins, let us take this opportunity to establish priorities and increase our collaboration to deliver the best results to our </w:t>
      </w:r>
      <w:r w:rsidR="00BD691B" w:rsidRPr="00CD4225">
        <w:rPr>
          <w:rFonts w:ascii="Arial" w:eastAsia="SimSun" w:hAnsi="Arial" w:cs="Arial"/>
          <w:sz w:val="24"/>
          <w:szCs w:val="24"/>
          <w:lang w:eastAsia="zh-CN"/>
        </w:rPr>
        <w:t>members</w:t>
      </w:r>
      <w:r w:rsidRPr="00CD4225">
        <w:rPr>
          <w:rFonts w:ascii="Arial" w:eastAsia="SimSun" w:hAnsi="Arial" w:cs="Arial"/>
          <w:sz w:val="24"/>
          <w:szCs w:val="24"/>
          <w:lang w:eastAsia="zh-CN"/>
        </w:rPr>
        <w:t>.</w:t>
      </w:r>
    </w:p>
    <w:p w14:paraId="5FC2F155" w14:textId="77777777" w:rsidR="006A4A24" w:rsidRPr="00CD4225" w:rsidRDefault="006A4A24" w:rsidP="00513E72">
      <w:pPr>
        <w:spacing w:line="276" w:lineRule="auto"/>
        <w:jc w:val="both"/>
        <w:rPr>
          <w:rFonts w:ascii="Arial" w:eastAsia="SimSun" w:hAnsi="Arial" w:cs="Arial"/>
          <w:sz w:val="24"/>
          <w:szCs w:val="24"/>
          <w:lang w:eastAsia="zh-CN"/>
        </w:rPr>
      </w:pPr>
    </w:p>
    <w:p w14:paraId="54B12DE8" w14:textId="437FCE26" w:rsidR="006A4A24" w:rsidRPr="00CD4225" w:rsidRDefault="006A4A24" w:rsidP="00513E72">
      <w:pPr>
        <w:spacing w:line="276" w:lineRule="auto"/>
        <w:jc w:val="both"/>
        <w:rPr>
          <w:rFonts w:ascii="Arial" w:eastAsia="SimSun" w:hAnsi="Arial" w:cs="Arial"/>
          <w:sz w:val="24"/>
          <w:szCs w:val="24"/>
          <w:lang w:eastAsia="zh-CN"/>
        </w:rPr>
      </w:pPr>
      <w:r w:rsidRPr="00CD4225">
        <w:rPr>
          <w:rFonts w:ascii="Arial" w:eastAsia="SimSun" w:hAnsi="Arial" w:cs="Arial"/>
          <w:sz w:val="24"/>
          <w:szCs w:val="24"/>
          <w:lang w:eastAsia="zh-CN"/>
        </w:rPr>
        <w:t>Thank you</w:t>
      </w:r>
      <w:r w:rsidR="00513E72" w:rsidRPr="00CD4225">
        <w:rPr>
          <w:rFonts w:ascii="Arial" w:eastAsia="SimSun" w:hAnsi="Arial" w:cs="Arial"/>
          <w:sz w:val="24"/>
          <w:szCs w:val="24"/>
          <w:lang w:eastAsia="zh-CN"/>
        </w:rPr>
        <w:t>.</w:t>
      </w:r>
    </w:p>
    <w:p w14:paraId="13447494" w14:textId="77777777" w:rsidR="00346C73" w:rsidRDefault="00346C73" w:rsidP="00346C73">
      <w:pPr>
        <w:spacing w:line="276" w:lineRule="auto"/>
        <w:rPr>
          <w:rFonts w:ascii="Arial" w:eastAsia="SimSun" w:hAnsi="Arial" w:cs="Arial"/>
          <w:sz w:val="24"/>
          <w:szCs w:val="24"/>
          <w:lang w:eastAsia="zh-CN"/>
        </w:rPr>
      </w:pPr>
    </w:p>
    <w:p w14:paraId="5B8DA18E" w14:textId="77777777" w:rsidR="00346C73" w:rsidRDefault="00346C73" w:rsidP="00346C73">
      <w:pPr>
        <w:spacing w:line="276" w:lineRule="auto"/>
        <w:rPr>
          <w:rFonts w:ascii="Arial" w:eastAsia="SimSun" w:hAnsi="Arial" w:cs="Arial"/>
          <w:sz w:val="24"/>
          <w:szCs w:val="24"/>
          <w:lang w:eastAsia="zh-CN"/>
        </w:rPr>
      </w:pPr>
    </w:p>
    <w:p w14:paraId="47D4363E" w14:textId="44390BFC" w:rsidR="00F22C39" w:rsidRPr="00346C73" w:rsidRDefault="00346C73" w:rsidP="00346C73">
      <w:pPr>
        <w:spacing w:line="276" w:lineRule="auto"/>
        <w:ind w:left="2160" w:firstLine="720"/>
        <w:rPr>
          <w:rFonts w:ascii="Arial" w:eastAsia="SimSun" w:hAnsi="Arial" w:cs="Arial"/>
          <w:sz w:val="16"/>
          <w:szCs w:val="16"/>
          <w:lang w:eastAsia="zh-CN"/>
        </w:rPr>
      </w:pPr>
      <w:r w:rsidRPr="00346C73">
        <w:rPr>
          <w:rFonts w:ascii="Arial" w:eastAsia="SimSun" w:hAnsi="Arial" w:cs="Arial"/>
          <w:sz w:val="16"/>
          <w:szCs w:val="16"/>
          <w:lang w:eastAsia="zh-CN"/>
        </w:rPr>
        <w:t>_______________</w:t>
      </w:r>
      <w:r>
        <w:rPr>
          <w:rFonts w:ascii="Arial" w:eastAsia="SimSun" w:hAnsi="Arial" w:cs="Arial"/>
          <w:sz w:val="16"/>
          <w:szCs w:val="16"/>
          <w:lang w:eastAsia="zh-CN"/>
        </w:rPr>
        <w:t>_______</w:t>
      </w:r>
    </w:p>
    <w:sectPr w:rsidR="00F22C39" w:rsidRPr="00346C73" w:rsidSect="00B231F0">
      <w:headerReference w:type="even" r:id="rId9"/>
      <w:headerReference w:type="default" r:id="rId10"/>
      <w:footerReference w:type="even" r:id="rId11"/>
      <w:footerReference w:type="default" r:id="rId12"/>
      <w:headerReference w:type="first" r:id="rId13"/>
      <w:footerReference w:type="first" r:id="rId14"/>
      <w:pgSz w:w="11906" w:h="16838" w:code="9"/>
      <w:pgMar w:top="1134" w:right="740" w:bottom="993" w:left="1600" w:header="0" w:footer="1000"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4410" w14:textId="77777777" w:rsidR="00E501E0" w:rsidRDefault="00E501E0" w:rsidP="00795AB2">
      <w:r>
        <w:separator/>
      </w:r>
    </w:p>
  </w:endnote>
  <w:endnote w:type="continuationSeparator" w:id="0">
    <w:p w14:paraId="7959A0D5" w14:textId="77777777" w:rsidR="00E501E0" w:rsidRDefault="00E501E0" w:rsidP="0079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E475" w14:textId="77777777" w:rsidR="00B231F0" w:rsidRDefault="00B2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27A8" w14:textId="0112C951" w:rsidR="00795AB2" w:rsidRDefault="00795AB2">
    <w:pPr>
      <w:pStyle w:val="Footer"/>
      <w:jc w:val="center"/>
    </w:pPr>
  </w:p>
  <w:p w14:paraId="676EB420" w14:textId="77777777" w:rsidR="00795AB2" w:rsidRDefault="00795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C153" w14:textId="77777777" w:rsidR="00B231F0" w:rsidRDefault="00B2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D998" w14:textId="77777777" w:rsidR="00E501E0" w:rsidRDefault="00E501E0" w:rsidP="00795AB2">
      <w:r>
        <w:separator/>
      </w:r>
    </w:p>
  </w:footnote>
  <w:footnote w:type="continuationSeparator" w:id="0">
    <w:p w14:paraId="7B6D6CB7" w14:textId="77777777" w:rsidR="00E501E0" w:rsidRDefault="00E501E0" w:rsidP="0079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C6EC" w14:textId="77777777" w:rsidR="00B231F0" w:rsidRDefault="00B2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F442" w14:textId="77777777" w:rsidR="00B231F0" w:rsidRDefault="00B231F0">
    <w:pPr>
      <w:pStyle w:val="Header"/>
      <w:jc w:val="center"/>
    </w:pPr>
  </w:p>
  <w:p w14:paraId="4E1763C2" w14:textId="77777777" w:rsidR="00B231F0" w:rsidRDefault="00B231F0">
    <w:pPr>
      <w:pStyle w:val="Header"/>
      <w:jc w:val="center"/>
    </w:pPr>
  </w:p>
  <w:sdt>
    <w:sdtPr>
      <w:id w:val="-1604333785"/>
      <w:docPartObj>
        <w:docPartGallery w:val="Page Numbers (Top of Page)"/>
        <w:docPartUnique/>
      </w:docPartObj>
    </w:sdtPr>
    <w:sdtEndPr>
      <w:rPr>
        <w:rFonts w:asciiTheme="majorBidi" w:hAnsiTheme="majorBidi" w:cstheme="majorBidi"/>
        <w:noProof/>
        <w:sz w:val="18"/>
        <w:szCs w:val="18"/>
      </w:rPr>
    </w:sdtEndPr>
    <w:sdtContent>
      <w:p w14:paraId="2A9BDB69" w14:textId="7F76DA36" w:rsidR="00B231F0" w:rsidRPr="00B231F0" w:rsidRDefault="00B231F0">
        <w:pPr>
          <w:pStyle w:val="Header"/>
          <w:jc w:val="center"/>
          <w:rPr>
            <w:rFonts w:asciiTheme="majorBidi" w:hAnsiTheme="majorBidi" w:cstheme="majorBidi"/>
            <w:sz w:val="18"/>
            <w:szCs w:val="18"/>
          </w:rPr>
        </w:pPr>
        <w:r w:rsidRPr="00B231F0">
          <w:rPr>
            <w:rFonts w:asciiTheme="majorBidi" w:hAnsiTheme="majorBidi" w:cstheme="majorBidi"/>
            <w:sz w:val="18"/>
            <w:szCs w:val="18"/>
          </w:rPr>
          <w:fldChar w:fldCharType="begin"/>
        </w:r>
        <w:r w:rsidRPr="00B231F0">
          <w:rPr>
            <w:rFonts w:asciiTheme="majorBidi" w:hAnsiTheme="majorBidi" w:cstheme="majorBidi"/>
            <w:sz w:val="18"/>
            <w:szCs w:val="18"/>
          </w:rPr>
          <w:instrText xml:space="preserve"> PAGE   \* MERGEFORMAT </w:instrText>
        </w:r>
        <w:r w:rsidRPr="00B231F0">
          <w:rPr>
            <w:rFonts w:asciiTheme="majorBidi" w:hAnsiTheme="majorBidi" w:cstheme="majorBidi"/>
            <w:sz w:val="18"/>
            <w:szCs w:val="18"/>
          </w:rPr>
          <w:fldChar w:fldCharType="separate"/>
        </w:r>
        <w:r w:rsidRPr="00B231F0">
          <w:rPr>
            <w:rFonts w:asciiTheme="majorBidi" w:hAnsiTheme="majorBidi" w:cstheme="majorBidi"/>
            <w:noProof/>
            <w:sz w:val="18"/>
            <w:szCs w:val="18"/>
          </w:rPr>
          <w:t>2</w:t>
        </w:r>
        <w:r w:rsidRPr="00B231F0">
          <w:rPr>
            <w:rFonts w:asciiTheme="majorBidi" w:hAnsiTheme="majorBidi" w:cstheme="majorBidi"/>
            <w:noProof/>
            <w:sz w:val="18"/>
            <w:szCs w:val="18"/>
          </w:rPr>
          <w:fldChar w:fldCharType="end"/>
        </w:r>
        <w:r>
          <w:rPr>
            <w:rFonts w:asciiTheme="majorBidi" w:hAnsiTheme="majorBidi" w:cstheme="majorBidi"/>
            <w:noProof/>
            <w:sz w:val="18"/>
            <w:szCs w:val="18"/>
          </w:rPr>
          <w:br/>
          <w:t>TSAG-TD325</w:t>
        </w:r>
      </w:p>
    </w:sdtContent>
  </w:sdt>
  <w:p w14:paraId="4AB4C22C" w14:textId="77777777" w:rsidR="00B231F0" w:rsidRDefault="00B23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A5D9" w14:textId="77777777" w:rsidR="00B231F0" w:rsidRDefault="00B2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F68"/>
    <w:multiLevelType w:val="hybridMultilevel"/>
    <w:tmpl w:val="7E50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576FB"/>
    <w:multiLevelType w:val="hybridMultilevel"/>
    <w:tmpl w:val="BB5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B7A06"/>
    <w:multiLevelType w:val="hybridMultilevel"/>
    <w:tmpl w:val="3B70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35985"/>
    <w:multiLevelType w:val="hybridMultilevel"/>
    <w:tmpl w:val="3F446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369EE"/>
    <w:multiLevelType w:val="hybridMultilevel"/>
    <w:tmpl w:val="390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E11CF8"/>
    <w:multiLevelType w:val="multilevel"/>
    <w:tmpl w:val="3C3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137AD"/>
    <w:multiLevelType w:val="hybridMultilevel"/>
    <w:tmpl w:val="6D9A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17988">
    <w:abstractNumId w:val="5"/>
  </w:num>
  <w:num w:numId="2" w16cid:durableId="899705231">
    <w:abstractNumId w:val="3"/>
  </w:num>
  <w:num w:numId="3" w16cid:durableId="882012695">
    <w:abstractNumId w:val="0"/>
  </w:num>
  <w:num w:numId="4" w16cid:durableId="485785464">
    <w:abstractNumId w:val="1"/>
  </w:num>
  <w:num w:numId="5" w16cid:durableId="2049337279">
    <w:abstractNumId w:val="4"/>
  </w:num>
  <w:num w:numId="6" w16cid:durableId="1656643394">
    <w:abstractNumId w:val="6"/>
  </w:num>
  <w:num w:numId="7" w16cid:durableId="214495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39"/>
    <w:rsid w:val="00000F93"/>
    <w:rsid w:val="0000322E"/>
    <w:rsid w:val="0001123F"/>
    <w:rsid w:val="0001151F"/>
    <w:rsid w:val="0002509D"/>
    <w:rsid w:val="00032C3F"/>
    <w:rsid w:val="0003544C"/>
    <w:rsid w:val="00073034"/>
    <w:rsid w:val="00076213"/>
    <w:rsid w:val="00082657"/>
    <w:rsid w:val="00090CA1"/>
    <w:rsid w:val="000B129E"/>
    <w:rsid w:val="000D2700"/>
    <w:rsid w:val="000D3493"/>
    <w:rsid w:val="000E6BEB"/>
    <w:rsid w:val="000F44CD"/>
    <w:rsid w:val="00114C87"/>
    <w:rsid w:val="001260D6"/>
    <w:rsid w:val="00126B71"/>
    <w:rsid w:val="00164332"/>
    <w:rsid w:val="001715D1"/>
    <w:rsid w:val="001840F7"/>
    <w:rsid w:val="001F1A12"/>
    <w:rsid w:val="001F51E6"/>
    <w:rsid w:val="00227A2C"/>
    <w:rsid w:val="00253C23"/>
    <w:rsid w:val="00282486"/>
    <w:rsid w:val="002851DC"/>
    <w:rsid w:val="00296DCA"/>
    <w:rsid w:val="002C04D7"/>
    <w:rsid w:val="00332F0A"/>
    <w:rsid w:val="00346C73"/>
    <w:rsid w:val="0034748A"/>
    <w:rsid w:val="00374BD1"/>
    <w:rsid w:val="0038048A"/>
    <w:rsid w:val="003836FE"/>
    <w:rsid w:val="00387D5A"/>
    <w:rsid w:val="00427C83"/>
    <w:rsid w:val="00462B8E"/>
    <w:rsid w:val="00480E6C"/>
    <w:rsid w:val="00482F79"/>
    <w:rsid w:val="00495167"/>
    <w:rsid w:val="004B4FA5"/>
    <w:rsid w:val="004B5CCF"/>
    <w:rsid w:val="004E4CAA"/>
    <w:rsid w:val="00502254"/>
    <w:rsid w:val="00513E72"/>
    <w:rsid w:val="005400C3"/>
    <w:rsid w:val="005547C2"/>
    <w:rsid w:val="00580759"/>
    <w:rsid w:val="00592E6E"/>
    <w:rsid w:val="005A0259"/>
    <w:rsid w:val="005B2670"/>
    <w:rsid w:val="005C0949"/>
    <w:rsid w:val="006244A6"/>
    <w:rsid w:val="00647442"/>
    <w:rsid w:val="00655118"/>
    <w:rsid w:val="0067190A"/>
    <w:rsid w:val="00673BFC"/>
    <w:rsid w:val="00675D34"/>
    <w:rsid w:val="00687213"/>
    <w:rsid w:val="006A4A24"/>
    <w:rsid w:val="006B492A"/>
    <w:rsid w:val="006B54F8"/>
    <w:rsid w:val="006C150B"/>
    <w:rsid w:val="006C29FD"/>
    <w:rsid w:val="006C78A5"/>
    <w:rsid w:val="006E2EDB"/>
    <w:rsid w:val="00710ABB"/>
    <w:rsid w:val="00712BE3"/>
    <w:rsid w:val="00721AA7"/>
    <w:rsid w:val="00761BB5"/>
    <w:rsid w:val="007769AB"/>
    <w:rsid w:val="00777ADD"/>
    <w:rsid w:val="00795AB2"/>
    <w:rsid w:val="007C7D83"/>
    <w:rsid w:val="007F3152"/>
    <w:rsid w:val="00805844"/>
    <w:rsid w:val="00860C50"/>
    <w:rsid w:val="008A2E72"/>
    <w:rsid w:val="008D649D"/>
    <w:rsid w:val="008F2B97"/>
    <w:rsid w:val="009007A2"/>
    <w:rsid w:val="009175B4"/>
    <w:rsid w:val="00924CB9"/>
    <w:rsid w:val="00925AD8"/>
    <w:rsid w:val="0095153A"/>
    <w:rsid w:val="0096040A"/>
    <w:rsid w:val="00965F8C"/>
    <w:rsid w:val="00970340"/>
    <w:rsid w:val="00981D23"/>
    <w:rsid w:val="00984734"/>
    <w:rsid w:val="0099316A"/>
    <w:rsid w:val="009931A3"/>
    <w:rsid w:val="00994203"/>
    <w:rsid w:val="009B611C"/>
    <w:rsid w:val="009C6D4A"/>
    <w:rsid w:val="009D4BD8"/>
    <w:rsid w:val="00A16CB0"/>
    <w:rsid w:val="00A4286B"/>
    <w:rsid w:val="00A61C4B"/>
    <w:rsid w:val="00A620CE"/>
    <w:rsid w:val="00A76D68"/>
    <w:rsid w:val="00A8398F"/>
    <w:rsid w:val="00A851B2"/>
    <w:rsid w:val="00A90FFC"/>
    <w:rsid w:val="00AF2B00"/>
    <w:rsid w:val="00B01579"/>
    <w:rsid w:val="00B231F0"/>
    <w:rsid w:val="00B51823"/>
    <w:rsid w:val="00B6704D"/>
    <w:rsid w:val="00B869D4"/>
    <w:rsid w:val="00BA2DCE"/>
    <w:rsid w:val="00BA7809"/>
    <w:rsid w:val="00BB1DB4"/>
    <w:rsid w:val="00BD691B"/>
    <w:rsid w:val="00BD73B2"/>
    <w:rsid w:val="00BF1717"/>
    <w:rsid w:val="00C04D09"/>
    <w:rsid w:val="00C226D4"/>
    <w:rsid w:val="00C24847"/>
    <w:rsid w:val="00C66B5C"/>
    <w:rsid w:val="00C81B6F"/>
    <w:rsid w:val="00CB19D9"/>
    <w:rsid w:val="00CC7442"/>
    <w:rsid w:val="00CC7B60"/>
    <w:rsid w:val="00CD4225"/>
    <w:rsid w:val="00CF51DD"/>
    <w:rsid w:val="00CF642D"/>
    <w:rsid w:val="00D42E44"/>
    <w:rsid w:val="00D4374D"/>
    <w:rsid w:val="00D65715"/>
    <w:rsid w:val="00D7278A"/>
    <w:rsid w:val="00D761F1"/>
    <w:rsid w:val="00D876DF"/>
    <w:rsid w:val="00DC737B"/>
    <w:rsid w:val="00DE3A75"/>
    <w:rsid w:val="00DE5079"/>
    <w:rsid w:val="00DE7643"/>
    <w:rsid w:val="00DF4825"/>
    <w:rsid w:val="00E11E39"/>
    <w:rsid w:val="00E12A5F"/>
    <w:rsid w:val="00E17D4F"/>
    <w:rsid w:val="00E17D90"/>
    <w:rsid w:val="00E501E0"/>
    <w:rsid w:val="00E7502C"/>
    <w:rsid w:val="00E7652D"/>
    <w:rsid w:val="00E77319"/>
    <w:rsid w:val="00EF0523"/>
    <w:rsid w:val="00EF4007"/>
    <w:rsid w:val="00F22C39"/>
    <w:rsid w:val="00F25F28"/>
    <w:rsid w:val="00F354BB"/>
    <w:rsid w:val="00F53BE0"/>
    <w:rsid w:val="00FA0BF1"/>
    <w:rsid w:val="00FB4107"/>
    <w:rsid w:val="00FD2756"/>
    <w:rsid w:val="00FD3B2C"/>
    <w:rsid w:val="00FF2E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6A4BC"/>
  <w15:chartTrackingRefBased/>
  <w15:docId w15:val="{4D102F3A-A0BD-CA4B-9372-878C4BED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39"/>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9"/>
    <w:qFormat/>
    <w:rsid w:val="00F22C39"/>
    <w:pPr>
      <w:ind w:left="237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C39"/>
    <w:rPr>
      <w:rFonts w:ascii="Calibri" w:eastAsia="Calibri" w:hAnsi="Calibri" w:cs="Calibri"/>
      <w:b/>
      <w:bCs/>
      <w:sz w:val="28"/>
      <w:szCs w:val="28"/>
      <w:lang w:val="en-US"/>
    </w:rPr>
  </w:style>
  <w:style w:type="paragraph" w:styleId="BodyText">
    <w:name w:val="Body Text"/>
    <w:basedOn w:val="Normal"/>
    <w:link w:val="BodyTextChar"/>
    <w:uiPriority w:val="1"/>
    <w:qFormat/>
    <w:rsid w:val="00F22C39"/>
    <w:pPr>
      <w:ind w:left="102"/>
      <w:jc w:val="both"/>
    </w:pPr>
    <w:rPr>
      <w:sz w:val="28"/>
      <w:szCs w:val="28"/>
    </w:rPr>
  </w:style>
  <w:style w:type="character" w:customStyle="1" w:styleId="BodyTextChar">
    <w:name w:val="Body Text Char"/>
    <w:basedOn w:val="DefaultParagraphFont"/>
    <w:link w:val="BodyText"/>
    <w:uiPriority w:val="1"/>
    <w:rsid w:val="00F22C39"/>
    <w:rPr>
      <w:rFonts w:ascii="Calibri" w:eastAsia="Calibri" w:hAnsi="Calibri" w:cs="Calibri"/>
      <w:sz w:val="28"/>
      <w:szCs w:val="28"/>
      <w:lang w:val="en-US"/>
    </w:rPr>
  </w:style>
  <w:style w:type="paragraph" w:customStyle="1" w:styleId="Default">
    <w:name w:val="Default"/>
    <w:rsid w:val="00F22C39"/>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3836F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836FE"/>
  </w:style>
  <w:style w:type="paragraph" w:styleId="Header">
    <w:name w:val="header"/>
    <w:basedOn w:val="Normal"/>
    <w:link w:val="HeaderChar"/>
    <w:uiPriority w:val="99"/>
    <w:unhideWhenUsed/>
    <w:rsid w:val="00795AB2"/>
    <w:pPr>
      <w:tabs>
        <w:tab w:val="center" w:pos="4513"/>
        <w:tab w:val="right" w:pos="9026"/>
      </w:tabs>
    </w:pPr>
  </w:style>
  <w:style w:type="character" w:customStyle="1" w:styleId="HeaderChar">
    <w:name w:val="Header Char"/>
    <w:basedOn w:val="DefaultParagraphFont"/>
    <w:link w:val="Header"/>
    <w:uiPriority w:val="99"/>
    <w:rsid w:val="00795AB2"/>
    <w:rPr>
      <w:rFonts w:ascii="Calibri" w:eastAsia="Calibri" w:hAnsi="Calibri" w:cs="Calibri"/>
      <w:sz w:val="22"/>
      <w:szCs w:val="22"/>
      <w:lang w:val="en-US"/>
    </w:rPr>
  </w:style>
  <w:style w:type="paragraph" w:styleId="Footer">
    <w:name w:val="footer"/>
    <w:basedOn w:val="Normal"/>
    <w:link w:val="FooterChar"/>
    <w:uiPriority w:val="99"/>
    <w:unhideWhenUsed/>
    <w:rsid w:val="00795AB2"/>
    <w:pPr>
      <w:tabs>
        <w:tab w:val="center" w:pos="4513"/>
        <w:tab w:val="right" w:pos="9026"/>
      </w:tabs>
    </w:pPr>
  </w:style>
  <w:style w:type="character" w:customStyle="1" w:styleId="FooterChar">
    <w:name w:val="Footer Char"/>
    <w:basedOn w:val="DefaultParagraphFont"/>
    <w:link w:val="Footer"/>
    <w:uiPriority w:val="99"/>
    <w:rsid w:val="00795AB2"/>
    <w:rPr>
      <w:rFonts w:ascii="Calibri" w:eastAsia="Calibri" w:hAnsi="Calibri" w:cs="Calibri"/>
      <w:sz w:val="22"/>
      <w:szCs w:val="22"/>
      <w:lang w:val="en-US"/>
    </w:rPr>
  </w:style>
  <w:style w:type="character" w:styleId="Hyperlink">
    <w:name w:val="Hyperlink"/>
    <w:basedOn w:val="DefaultParagraphFont"/>
    <w:uiPriority w:val="99"/>
    <w:unhideWhenUsed/>
    <w:rsid w:val="00A851B2"/>
    <w:rPr>
      <w:rFonts w:ascii="Times New Roman" w:hAnsi="Times New Roman" w:cs="Times New Roman" w:hint="default"/>
      <w:color w:val="000000"/>
      <w:u w:val="single"/>
    </w:rPr>
  </w:style>
  <w:style w:type="paragraph" w:customStyle="1" w:styleId="Docnumber">
    <w:name w:val="Docnumber"/>
    <w:basedOn w:val="Normal"/>
    <w:link w:val="DocnumberChar"/>
    <w:qFormat/>
    <w:rsid w:val="00A851B2"/>
    <w:pPr>
      <w:widowControl/>
      <w:tabs>
        <w:tab w:val="left" w:pos="794"/>
        <w:tab w:val="left" w:pos="1191"/>
        <w:tab w:val="left" w:pos="1588"/>
        <w:tab w:val="left" w:pos="1985"/>
      </w:tabs>
      <w:overflowPunct w:val="0"/>
      <w:adjustRightInd w:val="0"/>
      <w:spacing w:before="120"/>
      <w:jc w:val="right"/>
      <w:textAlignment w:val="baseline"/>
    </w:pPr>
    <w:rPr>
      <w:rFonts w:ascii="Times New Roman" w:eastAsia="Times New Roman" w:hAnsi="Times New Roman" w:cs="Times New Roman"/>
      <w:b/>
      <w:bCs/>
      <w:sz w:val="40"/>
      <w:szCs w:val="20"/>
      <w:lang w:val="en-GB"/>
    </w:rPr>
  </w:style>
  <w:style w:type="character" w:customStyle="1" w:styleId="DocnumberChar">
    <w:name w:val="Docnumber Char"/>
    <w:basedOn w:val="DefaultParagraphFont"/>
    <w:link w:val="Docnumber"/>
    <w:rsid w:val="00A851B2"/>
    <w:rPr>
      <w:rFonts w:ascii="Times New Roman" w:eastAsia="Times New Roman" w:hAnsi="Times New Roman" w:cs="Times New Roman"/>
      <w:b/>
      <w:bCs/>
      <w:sz w:val="40"/>
      <w:szCs w:val="20"/>
    </w:rPr>
  </w:style>
  <w:style w:type="paragraph" w:customStyle="1" w:styleId="TSBHeaderQuestion">
    <w:name w:val="TSBHeaderQuestion"/>
    <w:basedOn w:val="Normal"/>
    <w:qFormat/>
    <w:rsid w:val="00A851B2"/>
    <w:pPr>
      <w:widowControl/>
      <w:tabs>
        <w:tab w:val="left" w:pos="794"/>
        <w:tab w:val="left" w:pos="1191"/>
        <w:tab w:val="left" w:pos="1588"/>
        <w:tab w:val="left" w:pos="1985"/>
      </w:tabs>
      <w:overflowPunct w:val="0"/>
      <w:adjustRightInd w:val="0"/>
      <w:spacing w:before="120"/>
      <w:textAlignment w:val="baseline"/>
    </w:pPr>
    <w:rPr>
      <w:rFonts w:ascii="Times New Roman" w:eastAsia="Times New Roman" w:hAnsi="Times New Roman" w:cs="Times New Roman"/>
      <w:sz w:val="24"/>
      <w:szCs w:val="24"/>
      <w:lang w:val="en-GB"/>
    </w:rPr>
  </w:style>
  <w:style w:type="paragraph" w:customStyle="1" w:styleId="TSBHeaderSource">
    <w:name w:val="TSBHeaderSource"/>
    <w:basedOn w:val="Normal"/>
    <w:qFormat/>
    <w:rsid w:val="00A851B2"/>
    <w:pPr>
      <w:widowControl/>
      <w:tabs>
        <w:tab w:val="left" w:pos="794"/>
        <w:tab w:val="left" w:pos="1191"/>
        <w:tab w:val="left" w:pos="1588"/>
        <w:tab w:val="left" w:pos="1985"/>
      </w:tabs>
      <w:overflowPunct w:val="0"/>
      <w:adjustRightInd w:val="0"/>
      <w:spacing w:before="120"/>
      <w:textAlignment w:val="baseline"/>
    </w:pPr>
    <w:rPr>
      <w:rFonts w:ascii="Times New Roman" w:eastAsia="Times New Roman" w:hAnsi="Times New Roman" w:cs="Times New Roman"/>
      <w:sz w:val="24"/>
      <w:szCs w:val="24"/>
      <w:lang w:val="en-GB"/>
    </w:rPr>
  </w:style>
  <w:style w:type="paragraph" w:customStyle="1" w:styleId="TSBHeaderTitle">
    <w:name w:val="TSBHeaderTitle"/>
    <w:basedOn w:val="Normal"/>
    <w:qFormat/>
    <w:rsid w:val="00A851B2"/>
    <w:pPr>
      <w:widowControl/>
      <w:tabs>
        <w:tab w:val="left" w:pos="794"/>
        <w:tab w:val="left" w:pos="1191"/>
        <w:tab w:val="left" w:pos="1588"/>
        <w:tab w:val="left" w:pos="1985"/>
      </w:tabs>
      <w:overflowPunct w:val="0"/>
      <w:adjustRightInd w:val="0"/>
      <w:spacing w:before="120"/>
      <w:textAlignment w:val="baseline"/>
    </w:pPr>
    <w:rPr>
      <w:rFonts w:ascii="Times New Roman" w:eastAsia="Times New Roman" w:hAnsi="Times New Roman" w:cs="Times New Roman"/>
      <w:sz w:val="24"/>
      <w:szCs w:val="24"/>
      <w:lang w:val="en-GB"/>
    </w:rPr>
  </w:style>
  <w:style w:type="paragraph" w:customStyle="1" w:styleId="TSBHeaderRight14">
    <w:name w:val="TSBHeaderRight14"/>
    <w:basedOn w:val="Normal"/>
    <w:qFormat/>
    <w:rsid w:val="00A851B2"/>
    <w:pPr>
      <w:widowControl/>
      <w:tabs>
        <w:tab w:val="left" w:pos="794"/>
        <w:tab w:val="left" w:pos="1191"/>
        <w:tab w:val="left" w:pos="1588"/>
        <w:tab w:val="left" w:pos="1985"/>
      </w:tabs>
      <w:overflowPunct w:val="0"/>
      <w:adjustRightInd w:val="0"/>
      <w:spacing w:before="120"/>
      <w:jc w:val="right"/>
      <w:textAlignment w:val="baseline"/>
    </w:pPr>
    <w:rPr>
      <w:rFonts w:ascii="Times New Roman" w:eastAsia="Times New Roman" w:hAnsi="Times New Roman" w:cs="Times New Roman"/>
      <w:b/>
      <w:bCs/>
      <w:sz w:val="28"/>
      <w:szCs w:val="28"/>
      <w:lang w:val="en-GB"/>
    </w:rPr>
  </w:style>
  <w:style w:type="paragraph" w:customStyle="1" w:styleId="VenueDate">
    <w:name w:val="VenueDate"/>
    <w:basedOn w:val="Normal"/>
    <w:qFormat/>
    <w:rsid w:val="00A851B2"/>
    <w:pPr>
      <w:widowControl/>
      <w:tabs>
        <w:tab w:val="left" w:pos="794"/>
        <w:tab w:val="left" w:pos="1191"/>
        <w:tab w:val="left" w:pos="1588"/>
        <w:tab w:val="left" w:pos="1985"/>
      </w:tabs>
      <w:overflowPunct w:val="0"/>
      <w:adjustRightInd w:val="0"/>
      <w:spacing w:before="120"/>
      <w:jc w:val="right"/>
      <w:textAlignment w:val="baseline"/>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34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334">
      <w:bodyDiv w:val="1"/>
      <w:marLeft w:val="0"/>
      <w:marRight w:val="0"/>
      <w:marTop w:val="0"/>
      <w:marBottom w:val="0"/>
      <w:divBdr>
        <w:top w:val="none" w:sz="0" w:space="0" w:color="auto"/>
        <w:left w:val="none" w:sz="0" w:space="0" w:color="auto"/>
        <w:bottom w:val="none" w:sz="0" w:space="0" w:color="auto"/>
        <w:right w:val="none" w:sz="0" w:space="0" w:color="auto"/>
      </w:divBdr>
    </w:div>
    <w:div w:id="609707179">
      <w:bodyDiv w:val="1"/>
      <w:marLeft w:val="0"/>
      <w:marRight w:val="0"/>
      <w:marTop w:val="0"/>
      <w:marBottom w:val="0"/>
      <w:divBdr>
        <w:top w:val="none" w:sz="0" w:space="0" w:color="auto"/>
        <w:left w:val="none" w:sz="0" w:space="0" w:color="auto"/>
        <w:bottom w:val="none" w:sz="0" w:space="0" w:color="auto"/>
        <w:right w:val="none" w:sz="0" w:space="0" w:color="auto"/>
      </w:divBdr>
    </w:div>
    <w:div w:id="17725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tsag@itu.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Tomimura, Diana</dc:creator>
  <cp:keywords/>
  <dc:description/>
  <cp:lastModifiedBy>Al-Mnini, Lara</cp:lastModifiedBy>
  <cp:revision>5</cp:revision>
  <cp:lastPrinted>2024-01-22T07:58:00Z</cp:lastPrinted>
  <dcterms:created xsi:type="dcterms:W3CDTF">2024-01-23T11:20:00Z</dcterms:created>
  <dcterms:modified xsi:type="dcterms:W3CDTF">2024-01-23T12:32:00Z</dcterms:modified>
</cp:coreProperties>
</file>