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4"/>
        <w:gridCol w:w="441"/>
        <w:gridCol w:w="660"/>
        <w:gridCol w:w="2301"/>
        <w:gridCol w:w="935"/>
        <w:gridCol w:w="4168"/>
      </w:tblGrid>
      <w:tr w:rsidR="00EA3673" w:rsidRPr="00EA3673" w14:paraId="51AB770D" w14:textId="77777777" w:rsidTr="009A5B84">
        <w:trPr>
          <w:cantSplit/>
        </w:trPr>
        <w:tc>
          <w:tcPr>
            <w:tcW w:w="1134" w:type="dxa"/>
            <w:vMerge w:val="restart"/>
            <w:vAlign w:val="center"/>
          </w:tcPr>
          <w:p w14:paraId="55A66A74" w14:textId="77777777" w:rsidR="00EA3673" w:rsidRPr="00EA3673" w:rsidRDefault="00EA3673" w:rsidP="00EA3673">
            <w:pPr>
              <w:jc w:val="center"/>
              <w:rPr>
                <w:sz w:val="20"/>
                <w:szCs w:val="20"/>
              </w:rPr>
            </w:pPr>
            <w:bookmarkStart w:id="0" w:name="dnum" w:colFirst="2" w:colLast="2"/>
            <w:bookmarkStart w:id="1" w:name="dtableau"/>
            <w:r w:rsidRPr="00EA3673">
              <w:rPr>
                <w:noProof/>
                <w:lang w:val="en-US" w:eastAsia="zh-CN"/>
              </w:rPr>
              <w:drawing>
                <wp:inline distT="0" distB="0" distL="0" distR="0" wp14:anchorId="4021F877" wp14:editId="7245C4D2">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7" w:type="dxa"/>
            <w:gridSpan w:val="4"/>
            <w:vMerge w:val="restart"/>
          </w:tcPr>
          <w:p w14:paraId="6C4ED49B" w14:textId="77777777" w:rsidR="00EA3673" w:rsidRPr="00EA3673" w:rsidRDefault="00EA3673" w:rsidP="00EA3673">
            <w:pPr>
              <w:rPr>
                <w:sz w:val="16"/>
                <w:szCs w:val="16"/>
              </w:rPr>
            </w:pPr>
            <w:r w:rsidRPr="00EA3673">
              <w:rPr>
                <w:sz w:val="16"/>
                <w:szCs w:val="16"/>
              </w:rPr>
              <w:t>INTERNATIONAL TELECOMMUNICATION UNION</w:t>
            </w:r>
          </w:p>
          <w:p w14:paraId="273F30CD" w14:textId="77777777" w:rsidR="00EA3673" w:rsidRPr="00EA3673" w:rsidRDefault="00EA3673" w:rsidP="00EA3673">
            <w:pPr>
              <w:rPr>
                <w:b/>
                <w:bCs/>
                <w:sz w:val="26"/>
                <w:szCs w:val="26"/>
              </w:rPr>
            </w:pPr>
            <w:r w:rsidRPr="00EA3673">
              <w:rPr>
                <w:b/>
                <w:bCs/>
                <w:sz w:val="26"/>
                <w:szCs w:val="26"/>
              </w:rPr>
              <w:t>TELECOMMUNICATION</w:t>
            </w:r>
            <w:r w:rsidRPr="00EA3673">
              <w:rPr>
                <w:b/>
                <w:bCs/>
                <w:sz w:val="26"/>
                <w:szCs w:val="26"/>
              </w:rPr>
              <w:br/>
              <w:t>STANDARDIZATION SECTOR</w:t>
            </w:r>
          </w:p>
          <w:p w14:paraId="3E3FF0EE" w14:textId="77777777" w:rsidR="00EA3673" w:rsidRPr="00EA3673" w:rsidRDefault="00EA3673" w:rsidP="00EA3673">
            <w:pPr>
              <w:rPr>
                <w:sz w:val="20"/>
                <w:szCs w:val="20"/>
              </w:rPr>
            </w:pPr>
            <w:r w:rsidRPr="00EA3673">
              <w:rPr>
                <w:sz w:val="20"/>
                <w:szCs w:val="20"/>
              </w:rPr>
              <w:t xml:space="preserve">STUDY PERIOD </w:t>
            </w:r>
            <w:bookmarkStart w:id="2" w:name="dstudyperiod"/>
            <w:r w:rsidRPr="00EA3673">
              <w:rPr>
                <w:sz w:val="20"/>
              </w:rPr>
              <w:t>2022</w:t>
            </w:r>
            <w:r w:rsidRPr="00EA3673">
              <w:rPr>
                <w:sz w:val="20"/>
                <w:szCs w:val="20"/>
              </w:rPr>
              <w:t>-</w:t>
            </w:r>
            <w:r w:rsidRPr="00EA3673">
              <w:rPr>
                <w:sz w:val="20"/>
              </w:rPr>
              <w:t>2024</w:t>
            </w:r>
            <w:bookmarkEnd w:id="2"/>
          </w:p>
        </w:tc>
        <w:tc>
          <w:tcPr>
            <w:tcW w:w="4168" w:type="dxa"/>
            <w:vAlign w:val="center"/>
          </w:tcPr>
          <w:p w14:paraId="360AA6BD" w14:textId="22895FF8" w:rsidR="00EA3673" w:rsidRPr="00EA3673" w:rsidRDefault="009A5B84" w:rsidP="006B73DB">
            <w:pPr>
              <w:pStyle w:val="Docnumber"/>
            </w:pPr>
            <w:r>
              <w:t>TSAG-TD</w:t>
            </w:r>
            <w:r w:rsidR="00385554">
              <w:t>291</w:t>
            </w:r>
          </w:p>
        </w:tc>
      </w:tr>
      <w:tr w:rsidR="00EA3673" w:rsidRPr="00EA3673" w14:paraId="2AB61E3A" w14:textId="77777777" w:rsidTr="009A5B84">
        <w:trPr>
          <w:cantSplit/>
        </w:trPr>
        <w:tc>
          <w:tcPr>
            <w:tcW w:w="1134" w:type="dxa"/>
            <w:vMerge/>
          </w:tcPr>
          <w:p w14:paraId="3A03181F" w14:textId="77777777" w:rsidR="00EA3673" w:rsidRPr="00EA3673" w:rsidRDefault="00EA3673" w:rsidP="00EA3673">
            <w:pPr>
              <w:rPr>
                <w:smallCaps/>
                <w:sz w:val="20"/>
              </w:rPr>
            </w:pPr>
            <w:bookmarkStart w:id="3" w:name="dsg" w:colFirst="2" w:colLast="2"/>
            <w:bookmarkEnd w:id="0"/>
          </w:p>
        </w:tc>
        <w:tc>
          <w:tcPr>
            <w:tcW w:w="4337" w:type="dxa"/>
            <w:gridSpan w:val="4"/>
            <w:vMerge/>
          </w:tcPr>
          <w:p w14:paraId="23C13468" w14:textId="77777777" w:rsidR="00EA3673" w:rsidRPr="00EA3673" w:rsidRDefault="00EA3673" w:rsidP="00EA3673">
            <w:pPr>
              <w:rPr>
                <w:smallCaps/>
                <w:sz w:val="20"/>
              </w:rPr>
            </w:pPr>
          </w:p>
        </w:tc>
        <w:tc>
          <w:tcPr>
            <w:tcW w:w="4168" w:type="dxa"/>
          </w:tcPr>
          <w:p w14:paraId="460436C6" w14:textId="03DC2A70" w:rsidR="00EA3673" w:rsidRPr="00EA3673" w:rsidRDefault="00EA3673" w:rsidP="00EA3673">
            <w:pPr>
              <w:jc w:val="right"/>
              <w:rPr>
                <w:b/>
                <w:bCs/>
                <w:smallCaps/>
                <w:sz w:val="28"/>
                <w:szCs w:val="28"/>
              </w:rPr>
            </w:pPr>
            <w:r>
              <w:rPr>
                <w:b/>
                <w:bCs/>
                <w:smallCaps/>
                <w:sz w:val="28"/>
                <w:szCs w:val="28"/>
              </w:rPr>
              <w:t>T</w:t>
            </w:r>
            <w:r w:rsidR="009A5B84">
              <w:rPr>
                <w:b/>
                <w:bCs/>
                <w:smallCaps/>
                <w:sz w:val="28"/>
                <w:szCs w:val="28"/>
              </w:rPr>
              <w:t>SAG</w:t>
            </w:r>
          </w:p>
        </w:tc>
      </w:tr>
      <w:bookmarkEnd w:id="3"/>
      <w:tr w:rsidR="00EA3673" w:rsidRPr="00EA3673" w14:paraId="300D8460" w14:textId="77777777" w:rsidTr="009A5B84">
        <w:trPr>
          <w:cantSplit/>
        </w:trPr>
        <w:tc>
          <w:tcPr>
            <w:tcW w:w="1134" w:type="dxa"/>
            <w:vMerge/>
            <w:tcBorders>
              <w:bottom w:val="single" w:sz="12" w:space="0" w:color="auto"/>
            </w:tcBorders>
          </w:tcPr>
          <w:p w14:paraId="27B257CF" w14:textId="77777777" w:rsidR="00EA3673" w:rsidRPr="00EA3673" w:rsidRDefault="00EA3673" w:rsidP="00EA3673">
            <w:pPr>
              <w:rPr>
                <w:b/>
                <w:bCs/>
                <w:sz w:val="26"/>
              </w:rPr>
            </w:pPr>
          </w:p>
        </w:tc>
        <w:tc>
          <w:tcPr>
            <w:tcW w:w="4337" w:type="dxa"/>
            <w:gridSpan w:val="4"/>
            <w:vMerge/>
            <w:tcBorders>
              <w:bottom w:val="single" w:sz="12" w:space="0" w:color="auto"/>
            </w:tcBorders>
          </w:tcPr>
          <w:p w14:paraId="7FDF77A3" w14:textId="77777777" w:rsidR="00EA3673" w:rsidRPr="00EA3673" w:rsidRDefault="00EA3673" w:rsidP="00EA3673">
            <w:pPr>
              <w:rPr>
                <w:b/>
                <w:bCs/>
                <w:sz w:val="26"/>
              </w:rPr>
            </w:pPr>
          </w:p>
        </w:tc>
        <w:tc>
          <w:tcPr>
            <w:tcW w:w="4168" w:type="dxa"/>
            <w:tcBorders>
              <w:bottom w:val="single" w:sz="12" w:space="0" w:color="auto"/>
            </w:tcBorders>
            <w:vAlign w:val="center"/>
          </w:tcPr>
          <w:p w14:paraId="3AFDA772" w14:textId="77777777" w:rsidR="00EA3673" w:rsidRPr="00EA3673" w:rsidRDefault="00EA3673" w:rsidP="00EA3673">
            <w:pPr>
              <w:jc w:val="right"/>
              <w:rPr>
                <w:b/>
                <w:bCs/>
                <w:sz w:val="28"/>
                <w:szCs w:val="28"/>
              </w:rPr>
            </w:pPr>
            <w:r w:rsidRPr="00EA3673">
              <w:rPr>
                <w:b/>
                <w:bCs/>
                <w:sz w:val="28"/>
                <w:szCs w:val="28"/>
              </w:rPr>
              <w:t>Original: English</w:t>
            </w:r>
          </w:p>
        </w:tc>
      </w:tr>
      <w:tr w:rsidR="00EA3673" w:rsidRPr="00290E61" w14:paraId="45A9BD04" w14:textId="77777777" w:rsidTr="009A5B84">
        <w:trPr>
          <w:cantSplit/>
        </w:trPr>
        <w:tc>
          <w:tcPr>
            <w:tcW w:w="1575" w:type="dxa"/>
            <w:gridSpan w:val="2"/>
          </w:tcPr>
          <w:p w14:paraId="119C270D" w14:textId="77777777" w:rsidR="00EA3673" w:rsidRPr="00290E61" w:rsidRDefault="00EA3673" w:rsidP="00EA3673">
            <w:pPr>
              <w:rPr>
                <w:rFonts w:asciiTheme="majorBidi" w:hAnsiTheme="majorBidi" w:cstheme="majorBidi"/>
                <w:b/>
                <w:bCs/>
              </w:rPr>
            </w:pPr>
            <w:bookmarkStart w:id="4" w:name="dbluepink" w:colFirst="1" w:colLast="1"/>
            <w:bookmarkStart w:id="5" w:name="dmeeting" w:colFirst="2" w:colLast="2"/>
            <w:r w:rsidRPr="00290E61">
              <w:rPr>
                <w:rFonts w:asciiTheme="majorBidi" w:hAnsiTheme="majorBidi" w:cstheme="majorBidi"/>
                <w:b/>
                <w:bCs/>
              </w:rPr>
              <w:t>Question(s):</w:t>
            </w:r>
          </w:p>
        </w:tc>
        <w:tc>
          <w:tcPr>
            <w:tcW w:w="3896" w:type="dxa"/>
            <w:gridSpan w:val="3"/>
          </w:tcPr>
          <w:p w14:paraId="2E92DED6" w14:textId="017B1F34" w:rsidR="00EA3673" w:rsidRPr="00290E61" w:rsidRDefault="009A5B84" w:rsidP="00EA3673">
            <w:pPr>
              <w:rPr>
                <w:rFonts w:asciiTheme="majorBidi" w:hAnsiTheme="majorBidi" w:cstheme="majorBidi"/>
              </w:rPr>
            </w:pPr>
            <w:r w:rsidRPr="00290E61">
              <w:rPr>
                <w:rFonts w:asciiTheme="majorBidi" w:hAnsiTheme="majorBidi" w:cstheme="majorBidi"/>
              </w:rPr>
              <w:t>N/A</w:t>
            </w:r>
          </w:p>
        </w:tc>
        <w:tc>
          <w:tcPr>
            <w:tcW w:w="4168" w:type="dxa"/>
          </w:tcPr>
          <w:p w14:paraId="537B8BA9" w14:textId="60807709" w:rsidR="00EA3673" w:rsidRPr="00290E61" w:rsidRDefault="009A5B84" w:rsidP="00EA3673">
            <w:pPr>
              <w:jc w:val="right"/>
              <w:rPr>
                <w:rFonts w:asciiTheme="majorBidi" w:hAnsiTheme="majorBidi" w:cstheme="majorBidi"/>
              </w:rPr>
            </w:pPr>
            <w:r w:rsidRPr="00290E61">
              <w:rPr>
                <w:rFonts w:asciiTheme="majorBidi" w:hAnsiTheme="majorBidi" w:cstheme="majorBidi"/>
              </w:rPr>
              <w:t xml:space="preserve">Geneva, </w:t>
            </w:r>
            <w:r w:rsidR="004258D7" w:rsidRPr="00290E61">
              <w:rPr>
                <w:rFonts w:asciiTheme="majorBidi" w:hAnsiTheme="majorBidi" w:cstheme="majorBidi"/>
              </w:rPr>
              <w:t>30 May-2 June 2023</w:t>
            </w:r>
          </w:p>
        </w:tc>
      </w:tr>
      <w:tr w:rsidR="00EA3673" w:rsidRPr="00290E61" w14:paraId="7695BB7D" w14:textId="77777777" w:rsidTr="00EA3673">
        <w:trPr>
          <w:cantSplit/>
        </w:trPr>
        <w:tc>
          <w:tcPr>
            <w:tcW w:w="9639" w:type="dxa"/>
            <w:gridSpan w:val="6"/>
          </w:tcPr>
          <w:p w14:paraId="1BC52E81" w14:textId="1C74C78A" w:rsidR="00EA3673" w:rsidRPr="00290E61" w:rsidRDefault="00EA3673" w:rsidP="00EA3673">
            <w:pPr>
              <w:jc w:val="center"/>
              <w:rPr>
                <w:rFonts w:asciiTheme="majorBidi" w:hAnsiTheme="majorBidi" w:cstheme="majorBidi"/>
                <w:b/>
                <w:bCs/>
              </w:rPr>
            </w:pPr>
            <w:bookmarkStart w:id="6" w:name="ddoctype"/>
            <w:bookmarkEnd w:id="4"/>
            <w:bookmarkEnd w:id="5"/>
          </w:p>
        </w:tc>
      </w:tr>
      <w:tr w:rsidR="00EA3673" w:rsidRPr="00290E61" w14:paraId="1C2F0399" w14:textId="77777777" w:rsidTr="009A5B84">
        <w:trPr>
          <w:cantSplit/>
        </w:trPr>
        <w:tc>
          <w:tcPr>
            <w:tcW w:w="1575" w:type="dxa"/>
            <w:gridSpan w:val="2"/>
          </w:tcPr>
          <w:p w14:paraId="6946A631" w14:textId="77777777" w:rsidR="00EA3673" w:rsidRPr="00290E61" w:rsidRDefault="00EA3673" w:rsidP="00EA3673">
            <w:pPr>
              <w:rPr>
                <w:rFonts w:asciiTheme="majorBidi" w:hAnsiTheme="majorBidi" w:cstheme="majorBidi"/>
                <w:b/>
                <w:bCs/>
              </w:rPr>
            </w:pPr>
            <w:bookmarkStart w:id="7" w:name="dsource" w:colFirst="1" w:colLast="1"/>
            <w:bookmarkEnd w:id="6"/>
            <w:r w:rsidRPr="00290E61">
              <w:rPr>
                <w:rFonts w:asciiTheme="majorBidi" w:hAnsiTheme="majorBidi" w:cstheme="majorBidi"/>
                <w:b/>
                <w:bCs/>
              </w:rPr>
              <w:t>Source:</w:t>
            </w:r>
          </w:p>
        </w:tc>
        <w:tc>
          <w:tcPr>
            <w:tcW w:w="8064" w:type="dxa"/>
            <w:gridSpan w:val="4"/>
          </w:tcPr>
          <w:p w14:paraId="56628256" w14:textId="102743C9" w:rsidR="00EA3673" w:rsidRPr="00290E61" w:rsidRDefault="002C7384" w:rsidP="00EA3673">
            <w:pPr>
              <w:rPr>
                <w:rFonts w:asciiTheme="majorBidi" w:hAnsiTheme="majorBidi" w:cstheme="majorBidi"/>
              </w:rPr>
            </w:pPr>
            <w:r w:rsidRPr="00290E61">
              <w:rPr>
                <w:rFonts w:asciiTheme="majorBidi" w:hAnsiTheme="majorBidi" w:cstheme="majorBidi"/>
              </w:rPr>
              <w:t>Chairman, WP</w:t>
            </w:r>
            <w:r w:rsidR="004258D7" w:rsidRPr="00290E61">
              <w:rPr>
                <w:rFonts w:asciiTheme="majorBidi" w:hAnsiTheme="majorBidi" w:cstheme="majorBidi"/>
              </w:rPr>
              <w:t>1</w:t>
            </w:r>
            <w:r w:rsidRPr="00290E61">
              <w:rPr>
                <w:rFonts w:asciiTheme="majorBidi" w:hAnsiTheme="majorBidi" w:cstheme="majorBidi"/>
              </w:rPr>
              <w:t>/TSAG</w:t>
            </w:r>
          </w:p>
        </w:tc>
      </w:tr>
      <w:tr w:rsidR="00EA3673" w:rsidRPr="00290E61" w14:paraId="5D37C8DF" w14:textId="77777777" w:rsidTr="009A5B84">
        <w:trPr>
          <w:cantSplit/>
        </w:trPr>
        <w:tc>
          <w:tcPr>
            <w:tcW w:w="1575" w:type="dxa"/>
            <w:gridSpan w:val="2"/>
            <w:tcBorders>
              <w:bottom w:val="single" w:sz="8" w:space="0" w:color="auto"/>
            </w:tcBorders>
          </w:tcPr>
          <w:p w14:paraId="52A9BCB4" w14:textId="77777777" w:rsidR="00EA3673" w:rsidRPr="00290E61" w:rsidRDefault="00EA3673" w:rsidP="00EA3673">
            <w:pPr>
              <w:rPr>
                <w:rFonts w:asciiTheme="majorBidi" w:hAnsiTheme="majorBidi" w:cstheme="majorBidi"/>
                <w:b/>
                <w:bCs/>
              </w:rPr>
            </w:pPr>
            <w:bookmarkStart w:id="8" w:name="dtitle1" w:colFirst="1" w:colLast="1"/>
            <w:bookmarkEnd w:id="7"/>
            <w:r w:rsidRPr="00290E61">
              <w:rPr>
                <w:rFonts w:asciiTheme="majorBidi" w:hAnsiTheme="majorBidi" w:cstheme="majorBidi"/>
                <w:b/>
                <w:bCs/>
              </w:rPr>
              <w:t>Title:</w:t>
            </w:r>
          </w:p>
        </w:tc>
        <w:tc>
          <w:tcPr>
            <w:tcW w:w="8064" w:type="dxa"/>
            <w:gridSpan w:val="4"/>
            <w:tcBorders>
              <w:bottom w:val="single" w:sz="8" w:space="0" w:color="auto"/>
            </w:tcBorders>
          </w:tcPr>
          <w:p w14:paraId="54B9211A" w14:textId="08F09FC8" w:rsidR="00EA3673" w:rsidRPr="00290E61" w:rsidRDefault="00EA3673" w:rsidP="00AC7F62">
            <w:pPr>
              <w:rPr>
                <w:rFonts w:asciiTheme="majorBidi" w:hAnsiTheme="majorBidi" w:cstheme="majorBidi"/>
              </w:rPr>
            </w:pPr>
            <w:r w:rsidRPr="00290E61">
              <w:rPr>
                <w:rFonts w:asciiTheme="majorBidi" w:hAnsiTheme="majorBidi" w:cstheme="majorBidi"/>
              </w:rPr>
              <w:t>LS</w:t>
            </w:r>
            <w:r w:rsidR="001D2C2E" w:rsidRPr="00290E61">
              <w:rPr>
                <w:rFonts w:asciiTheme="majorBidi" w:hAnsiTheme="majorBidi" w:cstheme="majorBidi"/>
              </w:rPr>
              <w:t>/o</w:t>
            </w:r>
            <w:r w:rsidRPr="00290E61">
              <w:rPr>
                <w:rFonts w:asciiTheme="majorBidi" w:hAnsiTheme="majorBidi" w:cstheme="majorBidi"/>
              </w:rPr>
              <w:t xml:space="preserve"> </w:t>
            </w:r>
            <w:r w:rsidR="009A5B84" w:rsidRPr="00290E61">
              <w:rPr>
                <w:rFonts w:asciiTheme="majorBidi" w:hAnsiTheme="majorBidi" w:cstheme="majorBidi"/>
              </w:rPr>
              <w:t xml:space="preserve">on </w:t>
            </w:r>
            <w:r w:rsidR="006B73DB" w:rsidRPr="00290E61">
              <w:rPr>
                <w:rFonts w:asciiTheme="majorBidi" w:hAnsiTheme="majorBidi" w:cstheme="majorBidi"/>
              </w:rPr>
              <w:t xml:space="preserve">further cooperation and mutual interest between ITU-T and UPU under </w:t>
            </w:r>
            <w:r w:rsidR="00385554" w:rsidRPr="00290E61">
              <w:rPr>
                <w:rFonts w:asciiTheme="majorBidi" w:hAnsiTheme="majorBidi" w:cstheme="majorBidi"/>
              </w:rPr>
              <w:t xml:space="preserve">WTSA </w:t>
            </w:r>
            <w:r w:rsidR="006B73DB" w:rsidRPr="00290E61">
              <w:rPr>
                <w:rFonts w:asciiTheme="majorBidi" w:hAnsiTheme="majorBidi" w:cstheme="majorBidi"/>
              </w:rPr>
              <w:t xml:space="preserve">Resolution 11 </w:t>
            </w:r>
          </w:p>
        </w:tc>
      </w:tr>
      <w:bookmarkEnd w:id="1"/>
      <w:bookmarkEnd w:id="8"/>
      <w:tr w:rsidR="00EA3673" w:rsidRPr="00290E61" w14:paraId="7087BFDC" w14:textId="77777777" w:rsidTr="00EA3673">
        <w:trPr>
          <w:cantSplit/>
          <w:trHeight w:val="357"/>
        </w:trPr>
        <w:tc>
          <w:tcPr>
            <w:tcW w:w="9639" w:type="dxa"/>
            <w:gridSpan w:val="6"/>
            <w:tcBorders>
              <w:top w:val="single" w:sz="12" w:space="0" w:color="auto"/>
            </w:tcBorders>
          </w:tcPr>
          <w:p w14:paraId="49703400" w14:textId="77777777" w:rsidR="00EA3673" w:rsidRPr="00290E61" w:rsidRDefault="00EA3673" w:rsidP="00ED322C">
            <w:pPr>
              <w:jc w:val="center"/>
              <w:rPr>
                <w:rFonts w:asciiTheme="majorBidi" w:hAnsiTheme="majorBidi" w:cstheme="majorBidi"/>
                <w:b/>
              </w:rPr>
            </w:pPr>
            <w:r w:rsidRPr="00290E61">
              <w:rPr>
                <w:rFonts w:asciiTheme="majorBidi" w:hAnsiTheme="majorBidi" w:cstheme="majorBidi"/>
                <w:b/>
              </w:rPr>
              <w:t>LIAISON STATEMENT</w:t>
            </w:r>
          </w:p>
        </w:tc>
      </w:tr>
      <w:tr w:rsidR="00EA3673" w:rsidRPr="00290E61" w14:paraId="7A683E24" w14:textId="77777777" w:rsidTr="009A5B84">
        <w:trPr>
          <w:cantSplit/>
          <w:trHeight w:val="357"/>
        </w:trPr>
        <w:tc>
          <w:tcPr>
            <w:tcW w:w="2235" w:type="dxa"/>
            <w:gridSpan w:val="3"/>
          </w:tcPr>
          <w:p w14:paraId="22D84F4A" w14:textId="77777777" w:rsidR="00EA3673" w:rsidRPr="00290E61" w:rsidRDefault="00EA3673" w:rsidP="00ED322C">
            <w:pPr>
              <w:rPr>
                <w:rFonts w:asciiTheme="majorBidi" w:hAnsiTheme="majorBidi" w:cstheme="majorBidi"/>
                <w:b/>
                <w:bCs/>
              </w:rPr>
            </w:pPr>
            <w:r w:rsidRPr="00290E61">
              <w:rPr>
                <w:rFonts w:asciiTheme="majorBidi" w:hAnsiTheme="majorBidi" w:cstheme="majorBidi"/>
                <w:b/>
                <w:bCs/>
              </w:rPr>
              <w:t>For action to:</w:t>
            </w:r>
          </w:p>
        </w:tc>
        <w:tc>
          <w:tcPr>
            <w:tcW w:w="7404" w:type="dxa"/>
            <w:gridSpan w:val="3"/>
          </w:tcPr>
          <w:p w14:paraId="5F6680CE" w14:textId="7D4227FF" w:rsidR="00EA3673" w:rsidRPr="00290E61" w:rsidRDefault="006B73DB" w:rsidP="00ED322C">
            <w:pPr>
              <w:pStyle w:val="LSForAction"/>
              <w:rPr>
                <w:rFonts w:asciiTheme="majorBidi" w:hAnsiTheme="majorBidi" w:cstheme="majorBidi"/>
                <w:szCs w:val="24"/>
              </w:rPr>
            </w:pPr>
            <w:r w:rsidRPr="00290E61">
              <w:rPr>
                <w:rFonts w:asciiTheme="majorBidi" w:hAnsiTheme="majorBidi" w:cstheme="majorBidi"/>
                <w:szCs w:val="24"/>
              </w:rPr>
              <w:t>UPU</w:t>
            </w:r>
          </w:p>
        </w:tc>
      </w:tr>
      <w:tr w:rsidR="00EA3673" w:rsidRPr="00290E61" w14:paraId="69DA3DA6" w14:textId="77777777" w:rsidTr="009A5B84">
        <w:trPr>
          <w:cantSplit/>
          <w:trHeight w:val="357"/>
        </w:trPr>
        <w:tc>
          <w:tcPr>
            <w:tcW w:w="2235" w:type="dxa"/>
            <w:gridSpan w:val="3"/>
          </w:tcPr>
          <w:p w14:paraId="0C24ED15" w14:textId="77777777" w:rsidR="00EA3673" w:rsidRPr="00290E61" w:rsidRDefault="00EA3673" w:rsidP="00ED322C">
            <w:pPr>
              <w:rPr>
                <w:rFonts w:asciiTheme="majorBidi" w:hAnsiTheme="majorBidi" w:cstheme="majorBidi"/>
                <w:b/>
                <w:bCs/>
              </w:rPr>
            </w:pPr>
            <w:r w:rsidRPr="00290E61">
              <w:rPr>
                <w:rFonts w:asciiTheme="majorBidi" w:hAnsiTheme="majorBidi" w:cstheme="majorBidi"/>
                <w:b/>
                <w:bCs/>
              </w:rPr>
              <w:t>For information to:</w:t>
            </w:r>
          </w:p>
        </w:tc>
        <w:tc>
          <w:tcPr>
            <w:tcW w:w="7404" w:type="dxa"/>
            <w:gridSpan w:val="3"/>
          </w:tcPr>
          <w:p w14:paraId="7FA7F7CC" w14:textId="25CD5569" w:rsidR="00EA3673" w:rsidRPr="00290E61" w:rsidRDefault="00EA3673" w:rsidP="00ED322C">
            <w:pPr>
              <w:pStyle w:val="LSForInfo"/>
              <w:rPr>
                <w:rFonts w:asciiTheme="majorBidi" w:hAnsiTheme="majorBidi" w:cstheme="majorBidi"/>
              </w:rPr>
            </w:pPr>
          </w:p>
        </w:tc>
      </w:tr>
      <w:tr w:rsidR="00EA3673" w:rsidRPr="00290E61" w14:paraId="180697B8" w14:textId="77777777" w:rsidTr="009A5B84">
        <w:trPr>
          <w:cantSplit/>
          <w:trHeight w:val="357"/>
        </w:trPr>
        <w:tc>
          <w:tcPr>
            <w:tcW w:w="2235" w:type="dxa"/>
            <w:gridSpan w:val="3"/>
          </w:tcPr>
          <w:p w14:paraId="747C02E9" w14:textId="77777777" w:rsidR="00EA3673" w:rsidRPr="00290E61" w:rsidRDefault="00EA3673" w:rsidP="00ED322C">
            <w:pPr>
              <w:rPr>
                <w:rFonts w:asciiTheme="majorBidi" w:hAnsiTheme="majorBidi" w:cstheme="majorBidi"/>
                <w:b/>
                <w:bCs/>
              </w:rPr>
            </w:pPr>
            <w:r w:rsidRPr="00290E61">
              <w:rPr>
                <w:rFonts w:asciiTheme="majorBidi" w:hAnsiTheme="majorBidi" w:cstheme="majorBidi"/>
                <w:b/>
                <w:bCs/>
              </w:rPr>
              <w:t>Approval:</w:t>
            </w:r>
          </w:p>
        </w:tc>
        <w:tc>
          <w:tcPr>
            <w:tcW w:w="7404" w:type="dxa"/>
            <w:gridSpan w:val="3"/>
          </w:tcPr>
          <w:p w14:paraId="54889D47" w14:textId="27901413" w:rsidR="00EA3673" w:rsidRPr="00290E61" w:rsidRDefault="009A5B84" w:rsidP="00ED322C">
            <w:pPr>
              <w:pStyle w:val="LSApproval"/>
              <w:rPr>
                <w:rFonts w:asciiTheme="majorBidi" w:hAnsiTheme="majorBidi" w:cstheme="majorBidi"/>
                <w:b w:val="0"/>
                <w:bCs w:val="0"/>
              </w:rPr>
            </w:pPr>
            <w:r w:rsidRPr="00290E61">
              <w:rPr>
                <w:rFonts w:asciiTheme="majorBidi" w:hAnsiTheme="majorBidi" w:cstheme="majorBidi"/>
                <w:b w:val="0"/>
                <w:bCs w:val="0"/>
              </w:rPr>
              <w:t>TSAG</w:t>
            </w:r>
            <w:r w:rsidR="00EA3673" w:rsidRPr="00290E61">
              <w:rPr>
                <w:rFonts w:asciiTheme="majorBidi" w:hAnsiTheme="majorBidi" w:cstheme="majorBidi"/>
                <w:b w:val="0"/>
                <w:bCs w:val="0"/>
              </w:rPr>
              <w:t xml:space="preserve"> meeting (</w:t>
            </w:r>
            <w:r w:rsidRPr="00290E61">
              <w:rPr>
                <w:rFonts w:asciiTheme="majorBidi" w:hAnsiTheme="majorBidi" w:cstheme="majorBidi"/>
                <w:b w:val="0"/>
                <w:bCs w:val="0"/>
              </w:rPr>
              <w:t xml:space="preserve">Geneva, </w:t>
            </w:r>
            <w:r w:rsidR="004258D7" w:rsidRPr="00290E61">
              <w:rPr>
                <w:rFonts w:asciiTheme="majorBidi" w:hAnsiTheme="majorBidi" w:cstheme="majorBidi"/>
                <w:b w:val="0"/>
                <w:bCs w:val="0"/>
              </w:rPr>
              <w:t>2 June 2023</w:t>
            </w:r>
            <w:r w:rsidR="00EA3673" w:rsidRPr="00290E61">
              <w:rPr>
                <w:rFonts w:asciiTheme="majorBidi" w:hAnsiTheme="majorBidi" w:cstheme="majorBidi"/>
                <w:b w:val="0"/>
                <w:bCs w:val="0"/>
              </w:rPr>
              <w:t>)</w:t>
            </w:r>
          </w:p>
        </w:tc>
      </w:tr>
      <w:tr w:rsidR="00EA3673" w:rsidRPr="00290E61" w14:paraId="66F9DAFE" w14:textId="77777777" w:rsidTr="009A5B84">
        <w:trPr>
          <w:cantSplit/>
          <w:trHeight w:val="357"/>
        </w:trPr>
        <w:tc>
          <w:tcPr>
            <w:tcW w:w="2235" w:type="dxa"/>
            <w:gridSpan w:val="3"/>
            <w:tcBorders>
              <w:bottom w:val="single" w:sz="12" w:space="0" w:color="auto"/>
            </w:tcBorders>
          </w:tcPr>
          <w:p w14:paraId="4FF72909" w14:textId="77777777" w:rsidR="00EA3673" w:rsidRPr="00290E61" w:rsidRDefault="00EA3673" w:rsidP="00ED322C">
            <w:pPr>
              <w:rPr>
                <w:rFonts w:asciiTheme="majorBidi" w:hAnsiTheme="majorBidi" w:cstheme="majorBidi"/>
                <w:b/>
                <w:bCs/>
              </w:rPr>
            </w:pPr>
            <w:r w:rsidRPr="00290E61">
              <w:rPr>
                <w:rFonts w:asciiTheme="majorBidi" w:hAnsiTheme="majorBidi" w:cstheme="majorBidi"/>
                <w:b/>
                <w:bCs/>
              </w:rPr>
              <w:t>Deadline:</w:t>
            </w:r>
          </w:p>
        </w:tc>
        <w:tc>
          <w:tcPr>
            <w:tcW w:w="7404" w:type="dxa"/>
            <w:gridSpan w:val="3"/>
            <w:tcBorders>
              <w:bottom w:val="single" w:sz="12" w:space="0" w:color="auto"/>
            </w:tcBorders>
          </w:tcPr>
          <w:p w14:paraId="57EE2B24" w14:textId="6A58728C" w:rsidR="00EA3673" w:rsidRPr="00290E61" w:rsidRDefault="007178A6" w:rsidP="00ED322C">
            <w:pPr>
              <w:pStyle w:val="LSDeadline"/>
              <w:rPr>
                <w:rFonts w:asciiTheme="majorBidi" w:hAnsiTheme="majorBidi" w:cstheme="majorBidi"/>
              </w:rPr>
            </w:pPr>
            <w:r w:rsidRPr="00290E61">
              <w:rPr>
                <w:rFonts w:asciiTheme="majorBidi" w:hAnsiTheme="majorBidi" w:cstheme="majorBidi"/>
              </w:rPr>
              <w:t>-</w:t>
            </w:r>
          </w:p>
        </w:tc>
      </w:tr>
      <w:tr w:rsidR="004258D7" w:rsidRPr="00290E61" w14:paraId="2D25732C" w14:textId="77777777" w:rsidTr="00FF06CD">
        <w:trPr>
          <w:cantSplit/>
        </w:trPr>
        <w:tc>
          <w:tcPr>
            <w:tcW w:w="1575" w:type="dxa"/>
            <w:gridSpan w:val="2"/>
            <w:tcBorders>
              <w:top w:val="single" w:sz="8" w:space="0" w:color="auto"/>
              <w:bottom w:val="single" w:sz="8" w:space="0" w:color="auto"/>
            </w:tcBorders>
          </w:tcPr>
          <w:p w14:paraId="5287740F" w14:textId="1307066D" w:rsidR="004258D7" w:rsidRPr="00290E61" w:rsidRDefault="004258D7" w:rsidP="004258D7">
            <w:pPr>
              <w:rPr>
                <w:rFonts w:asciiTheme="majorBidi" w:hAnsiTheme="majorBidi" w:cstheme="majorBidi"/>
                <w:b/>
                <w:bCs/>
              </w:rPr>
            </w:pPr>
            <w:r w:rsidRPr="00290E61">
              <w:rPr>
                <w:rFonts w:asciiTheme="majorBidi" w:hAnsiTheme="majorBidi" w:cstheme="majorBidi"/>
                <w:b/>
                <w:bCs/>
              </w:rPr>
              <w:t>Contact:</w:t>
            </w:r>
          </w:p>
        </w:tc>
        <w:tc>
          <w:tcPr>
            <w:tcW w:w="2961" w:type="dxa"/>
            <w:gridSpan w:val="2"/>
            <w:tcBorders>
              <w:top w:val="single" w:sz="8" w:space="0" w:color="auto"/>
              <w:left w:val="nil"/>
              <w:bottom w:val="single" w:sz="8" w:space="0" w:color="auto"/>
              <w:right w:val="nil"/>
            </w:tcBorders>
          </w:tcPr>
          <w:p w14:paraId="317C4A2D" w14:textId="68882F18" w:rsidR="004258D7" w:rsidRPr="00290E61" w:rsidRDefault="004258D7" w:rsidP="004258D7">
            <w:pPr>
              <w:spacing w:line="0" w:lineRule="atLeast"/>
              <w:rPr>
                <w:rFonts w:asciiTheme="majorBidi" w:hAnsiTheme="majorBidi" w:cstheme="majorBidi"/>
              </w:rPr>
            </w:pPr>
            <w:r w:rsidRPr="00290E61">
              <w:rPr>
                <w:rFonts w:asciiTheme="majorBidi" w:hAnsiTheme="majorBidi" w:cstheme="majorBidi"/>
                <w:lang w:val="en-US"/>
              </w:rPr>
              <w:t>Mr Tobias KAUFMANN</w:t>
            </w:r>
            <w:r w:rsidRPr="00290E61">
              <w:rPr>
                <w:rFonts w:asciiTheme="majorBidi" w:hAnsiTheme="majorBidi" w:cstheme="majorBidi"/>
                <w:lang w:val="en-US"/>
              </w:rPr>
              <w:br/>
              <w:t>Germany, WP1 chairman</w:t>
            </w:r>
          </w:p>
        </w:tc>
        <w:tc>
          <w:tcPr>
            <w:tcW w:w="5103" w:type="dxa"/>
            <w:gridSpan w:val="2"/>
            <w:tcBorders>
              <w:top w:val="single" w:sz="8" w:space="0" w:color="auto"/>
              <w:left w:val="nil"/>
              <w:bottom w:val="single" w:sz="8" w:space="0" w:color="auto"/>
              <w:right w:val="nil"/>
            </w:tcBorders>
          </w:tcPr>
          <w:p w14:paraId="08367B50" w14:textId="11485DDF" w:rsidR="004258D7" w:rsidRPr="00290E61" w:rsidRDefault="004258D7" w:rsidP="004258D7">
            <w:pPr>
              <w:tabs>
                <w:tab w:val="left" w:pos="794"/>
              </w:tabs>
              <w:rPr>
                <w:rFonts w:asciiTheme="majorBidi" w:hAnsiTheme="majorBidi" w:cstheme="majorBidi"/>
                <w:lang w:val="de-DE"/>
              </w:rPr>
            </w:pPr>
            <w:r w:rsidRPr="00290E61">
              <w:rPr>
                <w:rFonts w:asciiTheme="majorBidi" w:hAnsiTheme="majorBidi" w:cstheme="majorBidi"/>
                <w:lang w:val="de-DE"/>
              </w:rPr>
              <w:t>Tel: +49 6131 18 4263</w:t>
            </w:r>
            <w:r w:rsidRPr="00290E61">
              <w:rPr>
                <w:rFonts w:asciiTheme="majorBidi" w:hAnsiTheme="majorBidi" w:cstheme="majorBidi"/>
                <w:lang w:val="de-DE"/>
              </w:rPr>
              <w:br/>
              <w:t>E-mail:</w:t>
            </w:r>
            <w:r w:rsidRPr="00290E61">
              <w:rPr>
                <w:rFonts w:asciiTheme="majorBidi" w:hAnsiTheme="majorBidi" w:cstheme="majorBidi"/>
                <w:lang w:val="de-DE"/>
              </w:rPr>
              <w:tab/>
            </w:r>
            <w:hyperlink r:id="rId11" w:history="1">
              <w:r w:rsidRPr="00290E61">
                <w:rPr>
                  <w:rStyle w:val="Hyperlink"/>
                  <w:rFonts w:asciiTheme="majorBidi" w:hAnsiTheme="majorBidi" w:cstheme="majorBidi"/>
                  <w:lang w:val="de-DE"/>
                </w:rPr>
                <w:t>tobias.kaufmann@bnetza.de</w:t>
              </w:r>
            </w:hyperlink>
          </w:p>
        </w:tc>
      </w:tr>
      <w:tr w:rsidR="004258D7" w:rsidRPr="00290E61" w14:paraId="72FB3929" w14:textId="77777777" w:rsidTr="00F871BF">
        <w:trPr>
          <w:cantSplit/>
        </w:trPr>
        <w:tc>
          <w:tcPr>
            <w:tcW w:w="1575" w:type="dxa"/>
            <w:gridSpan w:val="2"/>
            <w:tcBorders>
              <w:top w:val="single" w:sz="8" w:space="0" w:color="auto"/>
              <w:bottom w:val="single" w:sz="8" w:space="0" w:color="auto"/>
            </w:tcBorders>
          </w:tcPr>
          <w:p w14:paraId="1A533717" w14:textId="77777777" w:rsidR="004258D7" w:rsidRPr="00290E61" w:rsidRDefault="004258D7" w:rsidP="004258D7">
            <w:pPr>
              <w:rPr>
                <w:rFonts w:asciiTheme="majorBidi" w:hAnsiTheme="majorBidi" w:cstheme="majorBidi"/>
                <w:b/>
                <w:bCs/>
              </w:rPr>
            </w:pPr>
            <w:r w:rsidRPr="00290E61">
              <w:rPr>
                <w:rFonts w:asciiTheme="majorBidi" w:hAnsiTheme="majorBidi" w:cstheme="majorBidi"/>
                <w:b/>
                <w:bCs/>
              </w:rPr>
              <w:t>Contact:</w:t>
            </w:r>
          </w:p>
        </w:tc>
        <w:tc>
          <w:tcPr>
            <w:tcW w:w="2961" w:type="dxa"/>
            <w:gridSpan w:val="2"/>
            <w:tcBorders>
              <w:top w:val="single" w:sz="6" w:space="0" w:color="auto"/>
              <w:left w:val="nil"/>
              <w:bottom w:val="single" w:sz="6" w:space="0" w:color="auto"/>
              <w:right w:val="nil"/>
            </w:tcBorders>
          </w:tcPr>
          <w:p w14:paraId="40E8593D" w14:textId="77777777" w:rsidR="004258D7" w:rsidRPr="00290E61" w:rsidRDefault="004258D7" w:rsidP="004258D7">
            <w:pPr>
              <w:spacing w:line="256" w:lineRule="auto"/>
              <w:rPr>
                <w:rFonts w:asciiTheme="majorBidi" w:hAnsiTheme="majorBidi" w:cstheme="majorBidi"/>
                <w:bCs/>
                <w:lang w:val="fr-FR"/>
              </w:rPr>
            </w:pPr>
            <w:r w:rsidRPr="00290E61">
              <w:rPr>
                <w:rFonts w:asciiTheme="majorBidi" w:hAnsiTheme="majorBidi" w:cstheme="majorBidi"/>
                <w:bCs/>
                <w:lang w:val="fr-FR"/>
              </w:rPr>
              <w:t>Fang LI</w:t>
            </w:r>
          </w:p>
          <w:p w14:paraId="057527A7" w14:textId="429B0FE2" w:rsidR="004258D7" w:rsidRPr="00290E61" w:rsidRDefault="004258D7" w:rsidP="00290E61">
            <w:pPr>
              <w:spacing w:before="0" w:line="0" w:lineRule="atLeast"/>
              <w:rPr>
                <w:rFonts w:asciiTheme="majorBidi" w:hAnsiTheme="majorBidi" w:cstheme="majorBidi"/>
                <w:highlight w:val="yellow"/>
                <w:lang w:val="fr-FR"/>
              </w:rPr>
            </w:pPr>
            <w:r w:rsidRPr="00290E61">
              <w:rPr>
                <w:rFonts w:asciiTheme="majorBidi" w:hAnsiTheme="majorBidi" w:cstheme="majorBidi"/>
                <w:bCs/>
                <w:lang w:val="fr-FR"/>
              </w:rPr>
              <w:t>CAICT, MIIT, China Rapporteur, TSAG RG-WTSA</w:t>
            </w:r>
          </w:p>
        </w:tc>
        <w:tc>
          <w:tcPr>
            <w:tcW w:w="5103" w:type="dxa"/>
            <w:gridSpan w:val="2"/>
            <w:tcBorders>
              <w:top w:val="single" w:sz="6" w:space="0" w:color="auto"/>
              <w:left w:val="nil"/>
              <w:bottom w:val="single" w:sz="6" w:space="0" w:color="auto"/>
              <w:right w:val="nil"/>
            </w:tcBorders>
          </w:tcPr>
          <w:p w14:paraId="4252D4ED" w14:textId="77777777" w:rsidR="004258D7" w:rsidRPr="00290E61" w:rsidRDefault="004258D7" w:rsidP="004258D7">
            <w:pPr>
              <w:spacing w:line="256" w:lineRule="auto"/>
              <w:rPr>
                <w:rFonts w:asciiTheme="majorBidi" w:hAnsiTheme="majorBidi" w:cstheme="majorBidi"/>
                <w:bCs/>
                <w:lang w:val="de-DE"/>
              </w:rPr>
            </w:pPr>
            <w:r w:rsidRPr="00290E61">
              <w:rPr>
                <w:rFonts w:asciiTheme="majorBidi" w:hAnsiTheme="majorBidi" w:cstheme="majorBidi"/>
                <w:bCs/>
                <w:lang w:val="de-DE"/>
              </w:rPr>
              <w:t>Tel: +86-10-62300104</w:t>
            </w:r>
          </w:p>
          <w:p w14:paraId="7A7EF147" w14:textId="7EBF6A07" w:rsidR="004258D7" w:rsidRPr="00290E61" w:rsidRDefault="004258D7" w:rsidP="00290E61">
            <w:pPr>
              <w:tabs>
                <w:tab w:val="left" w:pos="794"/>
              </w:tabs>
              <w:spacing w:before="0" w:line="0" w:lineRule="atLeast"/>
              <w:rPr>
                <w:rFonts w:asciiTheme="majorBidi" w:hAnsiTheme="majorBidi" w:cstheme="majorBidi"/>
                <w:lang w:val="de-DE"/>
              </w:rPr>
            </w:pPr>
            <w:r w:rsidRPr="00290E61">
              <w:rPr>
                <w:rFonts w:asciiTheme="majorBidi" w:hAnsiTheme="majorBidi" w:cstheme="majorBidi"/>
                <w:bCs/>
                <w:lang w:val="de-DE"/>
              </w:rPr>
              <w:t xml:space="preserve">E-mail: </w:t>
            </w:r>
            <w:hyperlink r:id="rId12" w:history="1">
              <w:r w:rsidRPr="00290E61">
                <w:rPr>
                  <w:rStyle w:val="Hyperlink"/>
                  <w:rFonts w:asciiTheme="majorBidi" w:hAnsiTheme="majorBidi" w:cstheme="majorBidi"/>
                  <w:lang w:val="de-DE"/>
                </w:rPr>
                <w:t>lifang@caict.ac.cn</w:t>
              </w:r>
            </w:hyperlink>
            <w:r w:rsidRPr="00290E61">
              <w:rPr>
                <w:rStyle w:val="Hyperlink"/>
                <w:rFonts w:asciiTheme="majorBidi" w:hAnsiTheme="majorBidi" w:cstheme="majorBidi"/>
                <w:bCs/>
                <w:lang w:val="de-DE"/>
              </w:rPr>
              <w:t xml:space="preserve"> </w:t>
            </w:r>
          </w:p>
        </w:tc>
      </w:tr>
      <w:tr w:rsidR="005846DF" w:rsidRPr="00290E61" w14:paraId="60DD1062" w14:textId="77777777" w:rsidTr="00F871BF">
        <w:trPr>
          <w:cantSplit/>
        </w:trPr>
        <w:tc>
          <w:tcPr>
            <w:tcW w:w="1575" w:type="dxa"/>
            <w:gridSpan w:val="2"/>
            <w:tcBorders>
              <w:top w:val="single" w:sz="8" w:space="0" w:color="auto"/>
              <w:bottom w:val="single" w:sz="8" w:space="0" w:color="auto"/>
            </w:tcBorders>
          </w:tcPr>
          <w:p w14:paraId="2CE56E11" w14:textId="439F9484" w:rsidR="005846DF" w:rsidRPr="00290E61" w:rsidRDefault="005846DF" w:rsidP="005846DF">
            <w:pPr>
              <w:rPr>
                <w:rFonts w:asciiTheme="majorBidi" w:hAnsiTheme="majorBidi" w:cstheme="majorBidi"/>
                <w:b/>
                <w:bCs/>
              </w:rPr>
            </w:pPr>
            <w:r w:rsidRPr="00290E61">
              <w:rPr>
                <w:rFonts w:asciiTheme="majorBidi" w:hAnsiTheme="majorBidi" w:cstheme="majorBidi"/>
                <w:b/>
                <w:bCs/>
              </w:rPr>
              <w:t>Contact:</w:t>
            </w:r>
          </w:p>
        </w:tc>
        <w:tc>
          <w:tcPr>
            <w:tcW w:w="2961" w:type="dxa"/>
            <w:gridSpan w:val="2"/>
            <w:tcBorders>
              <w:top w:val="single" w:sz="6" w:space="0" w:color="auto"/>
              <w:left w:val="nil"/>
              <w:bottom w:val="single" w:sz="6" w:space="0" w:color="auto"/>
              <w:right w:val="nil"/>
            </w:tcBorders>
          </w:tcPr>
          <w:p w14:paraId="7FC08D6B" w14:textId="77777777" w:rsidR="005846DF" w:rsidRPr="00290E61" w:rsidRDefault="005846DF" w:rsidP="005846DF">
            <w:pPr>
              <w:tabs>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rPr>
            </w:pPr>
            <w:r w:rsidRPr="00290E61">
              <w:rPr>
                <w:rFonts w:asciiTheme="majorBidi" w:hAnsiTheme="majorBidi" w:cstheme="majorBidi"/>
              </w:rPr>
              <w:t>Vijay Mauree</w:t>
            </w:r>
          </w:p>
          <w:p w14:paraId="78BC5A70" w14:textId="4446C597" w:rsidR="005846DF" w:rsidRPr="00290E61" w:rsidRDefault="005846DF" w:rsidP="00290E61">
            <w:pPr>
              <w:tabs>
                <w:tab w:val="left" w:pos="567"/>
                <w:tab w:val="left" w:pos="1134"/>
                <w:tab w:val="left" w:pos="1701"/>
                <w:tab w:val="left" w:pos="2268"/>
                <w:tab w:val="left" w:pos="2835"/>
              </w:tabs>
              <w:spacing w:before="0" w:line="0" w:lineRule="atLeast"/>
              <w:rPr>
                <w:rFonts w:asciiTheme="majorBidi" w:hAnsiTheme="majorBidi" w:cstheme="majorBidi"/>
                <w:bCs/>
              </w:rPr>
            </w:pPr>
            <w:r w:rsidRPr="00290E61">
              <w:rPr>
                <w:rFonts w:asciiTheme="majorBidi" w:hAnsiTheme="majorBidi" w:cstheme="majorBidi"/>
              </w:rPr>
              <w:t>Programme Coordinator</w:t>
            </w:r>
            <w:r w:rsidRPr="00290E61">
              <w:rPr>
                <w:rFonts w:asciiTheme="majorBidi" w:hAnsiTheme="majorBidi" w:cstheme="majorBidi"/>
              </w:rPr>
              <w:br/>
              <w:t>TSB</w:t>
            </w:r>
          </w:p>
        </w:tc>
        <w:tc>
          <w:tcPr>
            <w:tcW w:w="5103" w:type="dxa"/>
            <w:gridSpan w:val="2"/>
            <w:tcBorders>
              <w:top w:val="single" w:sz="6" w:space="0" w:color="auto"/>
              <w:left w:val="nil"/>
              <w:bottom w:val="single" w:sz="6" w:space="0" w:color="auto"/>
              <w:right w:val="nil"/>
            </w:tcBorders>
          </w:tcPr>
          <w:p w14:paraId="6CE679D7" w14:textId="1CC8407D" w:rsidR="005846DF" w:rsidRPr="00290E61" w:rsidRDefault="005846DF" w:rsidP="005846DF">
            <w:pPr>
              <w:spacing w:line="256" w:lineRule="auto"/>
              <w:rPr>
                <w:rFonts w:asciiTheme="majorBidi" w:hAnsiTheme="majorBidi" w:cstheme="majorBidi"/>
                <w:bCs/>
                <w:lang w:val="de-DE"/>
              </w:rPr>
            </w:pPr>
            <w:r w:rsidRPr="00290E61">
              <w:rPr>
                <w:rFonts w:asciiTheme="majorBidi" w:hAnsiTheme="majorBidi" w:cstheme="majorBidi"/>
                <w:lang w:val="de-DE"/>
              </w:rPr>
              <w:t xml:space="preserve">E-mail: </w:t>
            </w:r>
            <w:hyperlink r:id="rId13" w:history="1">
              <w:r w:rsidRPr="00290E61">
                <w:rPr>
                  <w:rStyle w:val="Hyperlink"/>
                  <w:rFonts w:asciiTheme="majorBidi" w:hAnsiTheme="majorBidi" w:cstheme="majorBidi"/>
                  <w:lang w:val="de-DE"/>
                </w:rPr>
                <w:t>vijay.mauree@itu.int</w:t>
              </w:r>
            </w:hyperlink>
            <w:r w:rsidRPr="00290E61">
              <w:rPr>
                <w:rFonts w:asciiTheme="majorBidi" w:hAnsiTheme="majorBidi" w:cstheme="majorBidi"/>
                <w:lang w:val="de-DE"/>
              </w:rPr>
              <w:t xml:space="preserve"> </w:t>
            </w:r>
          </w:p>
        </w:tc>
      </w:tr>
    </w:tbl>
    <w:p w14:paraId="2B5829E7" w14:textId="4882A3F4" w:rsidR="00694F91" w:rsidRPr="00290E61" w:rsidRDefault="00694F91" w:rsidP="00694F91">
      <w:pPr>
        <w:rPr>
          <w:rFonts w:asciiTheme="majorBidi" w:hAnsiTheme="majorBidi" w:cstheme="majorBidi"/>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7B5F3F" w:rsidRPr="00290E61" w14:paraId="0C5B6051" w14:textId="77777777" w:rsidTr="00646079">
        <w:trPr>
          <w:cantSplit/>
        </w:trPr>
        <w:tc>
          <w:tcPr>
            <w:tcW w:w="1613" w:type="dxa"/>
          </w:tcPr>
          <w:p w14:paraId="017707C8" w14:textId="77777777" w:rsidR="007B5F3F" w:rsidRPr="00290E61" w:rsidRDefault="007B5F3F" w:rsidP="00646079">
            <w:pPr>
              <w:spacing w:after="60"/>
              <w:rPr>
                <w:rFonts w:asciiTheme="majorBidi" w:hAnsiTheme="majorBidi" w:cstheme="majorBidi"/>
                <w:b/>
              </w:rPr>
            </w:pPr>
            <w:r w:rsidRPr="00290E61">
              <w:rPr>
                <w:rFonts w:asciiTheme="majorBidi" w:hAnsiTheme="majorBidi" w:cstheme="majorBidi"/>
                <w:b/>
              </w:rPr>
              <w:t>Abstract:</w:t>
            </w:r>
          </w:p>
        </w:tc>
        <w:tc>
          <w:tcPr>
            <w:tcW w:w="8026" w:type="dxa"/>
          </w:tcPr>
          <w:p w14:paraId="4E722752" w14:textId="1120CF00" w:rsidR="007B5F3F" w:rsidRPr="00290E61" w:rsidRDefault="005846DF" w:rsidP="005846DF">
            <w:pPr>
              <w:pStyle w:val="TSBHeaderSummary"/>
              <w:rPr>
                <w:rFonts w:asciiTheme="majorBidi" w:hAnsiTheme="majorBidi" w:cstheme="majorBidi"/>
              </w:rPr>
            </w:pPr>
            <w:r w:rsidRPr="00290E61">
              <w:rPr>
                <w:rFonts w:asciiTheme="majorBidi" w:hAnsiTheme="majorBidi" w:cstheme="majorBidi"/>
              </w:rPr>
              <w:t>This liaison invites the UPU to consider further ways of cooperation and mutual interest between ITU-T and UPU and the necessity maintenance of WTSA Resolution 11.</w:t>
            </w:r>
          </w:p>
        </w:tc>
      </w:tr>
    </w:tbl>
    <w:p w14:paraId="28F75DD4" w14:textId="6ED15CC4" w:rsidR="00632104" w:rsidRPr="00290E61" w:rsidRDefault="00385554" w:rsidP="005846DF">
      <w:pPr>
        <w:rPr>
          <w:rFonts w:asciiTheme="majorBidi" w:hAnsiTheme="majorBidi" w:cstheme="majorBidi"/>
          <w:lang w:val="en-US"/>
        </w:rPr>
      </w:pPr>
      <w:r w:rsidRPr="00290E61">
        <w:rPr>
          <w:rFonts w:asciiTheme="majorBidi" w:hAnsiTheme="majorBidi" w:cstheme="majorBidi"/>
        </w:rPr>
        <w:t>In preparation for World Telecommunication Standardization Assembly 2024 (WTSA-24), t</w:t>
      </w:r>
      <w:r w:rsidR="00632104" w:rsidRPr="00290E61">
        <w:rPr>
          <w:rFonts w:asciiTheme="majorBidi" w:hAnsiTheme="majorBidi" w:cstheme="majorBidi"/>
        </w:rPr>
        <w:t xml:space="preserve">he ITU Telecommunication Standardization Advisory Group (ITU-T TSAG), at its 30 May-2 June 2023 meeting, considered the issue of actual collaboration between ITU-T and </w:t>
      </w:r>
      <w:r w:rsidRPr="00290E61">
        <w:rPr>
          <w:rFonts w:asciiTheme="majorBidi" w:hAnsiTheme="majorBidi" w:cstheme="majorBidi"/>
        </w:rPr>
        <w:t xml:space="preserve">the </w:t>
      </w:r>
      <w:r w:rsidR="00632104" w:rsidRPr="00290E61">
        <w:rPr>
          <w:rFonts w:asciiTheme="majorBidi" w:hAnsiTheme="majorBidi" w:cstheme="majorBidi"/>
        </w:rPr>
        <w:t xml:space="preserve">Universal Postal Union (UPU) and its relation to provisions of </w:t>
      </w:r>
      <w:r w:rsidRPr="00290E61">
        <w:rPr>
          <w:rFonts w:asciiTheme="majorBidi" w:hAnsiTheme="majorBidi" w:cstheme="majorBidi"/>
        </w:rPr>
        <w:t xml:space="preserve">WTSA </w:t>
      </w:r>
      <w:hyperlink r:id="rId14" w:history="1">
        <w:r w:rsidR="00632104" w:rsidRPr="00290E61">
          <w:rPr>
            <w:rStyle w:val="Hyperlink"/>
            <w:rFonts w:asciiTheme="majorBidi" w:hAnsiTheme="majorBidi" w:cstheme="majorBidi"/>
            <w:lang w:val="en-US"/>
          </w:rPr>
          <w:t>Resolution 11 (Rev. Hammamet, 2016)</w:t>
        </w:r>
      </w:hyperlink>
      <w:r w:rsidR="00632104" w:rsidRPr="00290E61">
        <w:rPr>
          <w:rFonts w:asciiTheme="majorBidi" w:hAnsiTheme="majorBidi" w:cstheme="majorBidi"/>
          <w:lang w:val="en-US"/>
        </w:rPr>
        <w:t xml:space="preserve"> </w:t>
      </w:r>
      <w:r w:rsidR="00632104" w:rsidRPr="00290E61">
        <w:rPr>
          <w:rFonts w:asciiTheme="majorBidi" w:hAnsiTheme="majorBidi" w:cstheme="majorBidi"/>
        </w:rPr>
        <w:t xml:space="preserve">“Collaboration with the Postal Operations Council (POC) of the Universal Postal Union in the study of services concerning both the postal and the telecommunication sectors” </w:t>
      </w:r>
      <w:r w:rsidRPr="00290E61">
        <w:rPr>
          <w:rFonts w:asciiTheme="majorBidi" w:hAnsiTheme="majorBidi" w:cstheme="majorBidi"/>
        </w:rPr>
        <w:t>in</w:t>
      </w:r>
      <w:r w:rsidR="00632104" w:rsidRPr="00290E61">
        <w:rPr>
          <w:rFonts w:asciiTheme="majorBidi" w:hAnsiTheme="majorBidi" w:cstheme="majorBidi"/>
        </w:rPr>
        <w:t xml:space="preserve"> the undergoing process of WTSA Resolution revisions.</w:t>
      </w:r>
    </w:p>
    <w:p w14:paraId="0A8B7650" w14:textId="7A3BAE49" w:rsidR="00A43E89" w:rsidRPr="00290E61" w:rsidRDefault="00A43E89" w:rsidP="00A43E89">
      <w:pPr>
        <w:rPr>
          <w:rFonts w:asciiTheme="majorBidi" w:hAnsiTheme="majorBidi" w:cstheme="majorBidi"/>
        </w:rPr>
      </w:pPr>
      <w:r w:rsidRPr="00290E61">
        <w:rPr>
          <w:rFonts w:asciiTheme="majorBidi" w:hAnsiTheme="majorBidi" w:cstheme="majorBidi"/>
        </w:rPr>
        <w:t xml:space="preserve">It was noted that instruction of WTSA-16 </w:t>
      </w:r>
      <w:hyperlink r:id="rId15" w:history="1">
        <w:r w:rsidRPr="00290E61">
          <w:rPr>
            <w:rStyle w:val="Hyperlink"/>
            <w:rFonts w:asciiTheme="majorBidi" w:hAnsiTheme="majorBidi" w:cstheme="majorBidi"/>
            <w:lang w:val="en-US"/>
          </w:rPr>
          <w:t>Resolution 11</w:t>
        </w:r>
      </w:hyperlink>
      <w:r w:rsidRPr="00290E61">
        <w:rPr>
          <w:rFonts w:asciiTheme="majorBidi" w:hAnsiTheme="majorBidi" w:cstheme="majorBidi"/>
        </w:rPr>
        <w:t xml:space="preserve"> to establish a joint working group on digital financial services composed of the POC with ITU Secretariat </w:t>
      </w:r>
      <w:r w:rsidR="005420C8" w:rsidRPr="00290E61">
        <w:rPr>
          <w:rFonts w:asciiTheme="majorBidi" w:hAnsiTheme="majorBidi" w:cstheme="majorBidi"/>
        </w:rPr>
        <w:t>was discussed during a meeting in 2017 between ITU and UPU Secretariat and was found to be</w:t>
      </w:r>
      <w:r w:rsidRPr="00290E61">
        <w:rPr>
          <w:rFonts w:asciiTheme="majorBidi" w:hAnsiTheme="majorBidi" w:cstheme="majorBidi"/>
        </w:rPr>
        <w:t xml:space="preserve"> not feasible</w:t>
      </w:r>
      <w:r w:rsidR="005420C8" w:rsidRPr="00290E61">
        <w:rPr>
          <w:rFonts w:asciiTheme="majorBidi" w:hAnsiTheme="majorBidi" w:cstheme="majorBidi"/>
        </w:rPr>
        <w:t xml:space="preserve">. At that meeting it was decided that ITU and UPU Secretariat would hold regular joint meetings to coordinate on activities </w:t>
      </w:r>
      <w:r w:rsidR="006712EE" w:rsidRPr="00290E61">
        <w:rPr>
          <w:rFonts w:asciiTheme="majorBidi" w:hAnsiTheme="majorBidi" w:cstheme="majorBidi"/>
        </w:rPr>
        <w:t>related to digital financial services</w:t>
      </w:r>
      <w:r w:rsidR="00791F2C" w:rsidRPr="00290E61">
        <w:rPr>
          <w:rFonts w:asciiTheme="majorBidi" w:hAnsiTheme="majorBidi" w:cstheme="majorBidi"/>
        </w:rPr>
        <w:t xml:space="preserve"> and financial inclusion</w:t>
      </w:r>
      <w:r w:rsidR="006712EE" w:rsidRPr="00290E61">
        <w:rPr>
          <w:rFonts w:asciiTheme="majorBidi" w:hAnsiTheme="majorBidi" w:cstheme="majorBidi"/>
        </w:rPr>
        <w:t>.</w:t>
      </w:r>
    </w:p>
    <w:p w14:paraId="3D72520D" w14:textId="388EB088" w:rsidR="006500B1" w:rsidRPr="00290E61" w:rsidRDefault="006500B1" w:rsidP="005846DF">
      <w:pPr>
        <w:rPr>
          <w:rFonts w:asciiTheme="majorBidi" w:hAnsiTheme="majorBidi" w:cstheme="majorBidi"/>
        </w:rPr>
      </w:pPr>
      <w:r w:rsidRPr="00290E61">
        <w:rPr>
          <w:rFonts w:asciiTheme="majorBidi" w:hAnsiTheme="majorBidi" w:cstheme="majorBidi"/>
          <w:lang w:val="en-US"/>
        </w:rPr>
        <w:t xml:space="preserve">It was </w:t>
      </w:r>
      <w:r w:rsidR="00A43E89" w:rsidRPr="00290E61">
        <w:rPr>
          <w:rFonts w:asciiTheme="majorBidi" w:hAnsiTheme="majorBidi" w:cstheme="majorBidi"/>
        </w:rPr>
        <w:t xml:space="preserve">also </w:t>
      </w:r>
      <w:r w:rsidRPr="00290E61">
        <w:rPr>
          <w:rFonts w:asciiTheme="majorBidi" w:hAnsiTheme="majorBidi" w:cstheme="majorBidi"/>
          <w:lang w:val="en-US"/>
        </w:rPr>
        <w:t xml:space="preserve">noted that latest </w:t>
      </w:r>
      <w:r w:rsidR="00CC0F44" w:rsidRPr="00290E61">
        <w:rPr>
          <w:rFonts w:asciiTheme="majorBidi" w:hAnsiTheme="majorBidi" w:cstheme="majorBidi"/>
          <w:lang w:val="en-US"/>
        </w:rPr>
        <w:t xml:space="preserve">collaborative activity from </w:t>
      </w:r>
      <w:r w:rsidRPr="00290E61">
        <w:rPr>
          <w:rFonts w:asciiTheme="majorBidi" w:hAnsiTheme="majorBidi" w:cstheme="majorBidi"/>
          <w:lang w:val="en-US"/>
        </w:rPr>
        <w:t>UPU (adopting D</w:t>
      </w:r>
      <w:r w:rsidR="00CC0F44" w:rsidRPr="00290E61">
        <w:rPr>
          <w:rFonts w:asciiTheme="majorBidi" w:hAnsiTheme="majorBidi" w:cstheme="majorBidi"/>
          <w:lang w:val="en-US"/>
        </w:rPr>
        <w:t xml:space="preserve">igital </w:t>
      </w:r>
      <w:r w:rsidRPr="00290E61">
        <w:rPr>
          <w:rFonts w:asciiTheme="majorBidi" w:hAnsiTheme="majorBidi" w:cstheme="majorBidi"/>
          <w:lang w:val="en-US"/>
        </w:rPr>
        <w:t>F</w:t>
      </w:r>
      <w:r w:rsidR="00CC0F44" w:rsidRPr="00290E61">
        <w:rPr>
          <w:rFonts w:asciiTheme="majorBidi" w:hAnsiTheme="majorBidi" w:cstheme="majorBidi"/>
          <w:lang w:val="en-US"/>
        </w:rPr>
        <w:t xml:space="preserve">inancial </w:t>
      </w:r>
      <w:r w:rsidRPr="00290E61">
        <w:rPr>
          <w:rFonts w:asciiTheme="majorBidi" w:hAnsiTheme="majorBidi" w:cstheme="majorBidi"/>
          <w:lang w:val="en-US"/>
        </w:rPr>
        <w:t>S</w:t>
      </w:r>
      <w:r w:rsidR="00CC0F44" w:rsidRPr="00290E61">
        <w:rPr>
          <w:rFonts w:asciiTheme="majorBidi" w:hAnsiTheme="majorBidi" w:cstheme="majorBidi"/>
          <w:lang w:val="en-US"/>
        </w:rPr>
        <w:t>ervice</w:t>
      </w:r>
      <w:r w:rsidRPr="00290E61">
        <w:rPr>
          <w:rFonts w:asciiTheme="majorBidi" w:hAnsiTheme="majorBidi" w:cstheme="majorBidi"/>
          <w:lang w:val="en-US"/>
        </w:rPr>
        <w:t xml:space="preserve"> Glossary</w:t>
      </w:r>
      <w:r w:rsidR="00CC0F44" w:rsidRPr="00290E61">
        <w:rPr>
          <w:rFonts w:asciiTheme="majorBidi" w:hAnsiTheme="majorBidi" w:cstheme="majorBidi"/>
          <w:lang w:val="en-US"/>
        </w:rPr>
        <w:t xml:space="preserve"> developed by ITU</w:t>
      </w:r>
      <w:r w:rsidR="005420C8" w:rsidRPr="00290E61">
        <w:rPr>
          <w:rFonts w:asciiTheme="majorBidi" w:hAnsiTheme="majorBidi" w:cstheme="majorBidi"/>
          <w:lang w:val="en-US"/>
        </w:rPr>
        <w:t>-T Focus Group Digital Financial Services</w:t>
      </w:r>
      <w:r w:rsidRPr="00290E61">
        <w:rPr>
          <w:rFonts w:asciiTheme="majorBidi" w:hAnsiTheme="majorBidi" w:cstheme="majorBidi"/>
          <w:lang w:val="en-US"/>
        </w:rPr>
        <w:t xml:space="preserve">, </w:t>
      </w:r>
      <w:r w:rsidR="00CC0F44" w:rsidRPr="00290E61">
        <w:rPr>
          <w:rFonts w:asciiTheme="majorBidi" w:hAnsiTheme="majorBidi" w:cstheme="majorBidi"/>
          <w:lang w:val="en-US"/>
        </w:rPr>
        <w:t>participat</w:t>
      </w:r>
      <w:r w:rsidR="005420C8" w:rsidRPr="00290E61">
        <w:rPr>
          <w:rFonts w:asciiTheme="majorBidi" w:hAnsiTheme="majorBidi" w:cstheme="majorBidi"/>
          <w:lang w:val="en-US"/>
        </w:rPr>
        <w:t>ion</w:t>
      </w:r>
      <w:r w:rsidR="00CC0F44" w:rsidRPr="00290E61">
        <w:rPr>
          <w:rFonts w:asciiTheme="majorBidi" w:hAnsiTheme="majorBidi" w:cstheme="majorBidi"/>
          <w:lang w:val="en-US"/>
        </w:rPr>
        <w:t xml:space="preserve"> in</w:t>
      </w:r>
      <w:r w:rsidR="00FA58EB" w:rsidRPr="00290E61">
        <w:rPr>
          <w:rFonts w:asciiTheme="majorBidi" w:hAnsiTheme="majorBidi" w:cstheme="majorBidi"/>
          <w:lang w:val="en-US"/>
        </w:rPr>
        <w:t xml:space="preserve">  the working groups </w:t>
      </w:r>
      <w:r w:rsidR="00791F2C" w:rsidRPr="00290E61">
        <w:rPr>
          <w:rFonts w:asciiTheme="majorBidi" w:hAnsiTheme="majorBidi" w:cstheme="majorBidi"/>
          <w:lang w:val="en-US"/>
        </w:rPr>
        <w:t xml:space="preserve">and symposia </w:t>
      </w:r>
      <w:r w:rsidR="00FA58EB" w:rsidRPr="00290E61">
        <w:rPr>
          <w:rFonts w:asciiTheme="majorBidi" w:hAnsiTheme="majorBidi" w:cstheme="majorBidi"/>
          <w:lang w:val="en-US"/>
        </w:rPr>
        <w:t>of the</w:t>
      </w:r>
      <w:r w:rsidR="00CC0F44" w:rsidRPr="00290E61">
        <w:rPr>
          <w:rFonts w:asciiTheme="majorBidi" w:hAnsiTheme="majorBidi" w:cstheme="majorBidi"/>
          <w:lang w:val="en-US"/>
        </w:rPr>
        <w:t xml:space="preserve"> </w:t>
      </w:r>
      <w:r w:rsidRPr="00290E61">
        <w:rPr>
          <w:rFonts w:asciiTheme="majorBidi" w:hAnsiTheme="majorBidi" w:cstheme="majorBidi"/>
        </w:rPr>
        <w:t>Financial Inclusion Global Initiative</w:t>
      </w:r>
      <w:r w:rsidR="00CC0F44" w:rsidRPr="00290E61">
        <w:rPr>
          <w:rFonts w:asciiTheme="majorBidi" w:hAnsiTheme="majorBidi" w:cstheme="majorBidi"/>
        </w:rPr>
        <w:t xml:space="preserve"> (FIGI)</w:t>
      </w:r>
      <w:r w:rsidR="005420C8" w:rsidRPr="00290E61">
        <w:rPr>
          <w:rFonts w:asciiTheme="majorBidi" w:hAnsiTheme="majorBidi" w:cstheme="majorBidi"/>
        </w:rPr>
        <w:t xml:space="preserve"> </w:t>
      </w:r>
      <w:r w:rsidR="00FA58EB" w:rsidRPr="00290E61">
        <w:rPr>
          <w:rFonts w:asciiTheme="majorBidi" w:hAnsiTheme="majorBidi" w:cstheme="majorBidi"/>
        </w:rPr>
        <w:t xml:space="preserve">which was a joint </w:t>
      </w:r>
      <w:r w:rsidR="00FA58EB" w:rsidRPr="00290E61">
        <w:rPr>
          <w:rFonts w:asciiTheme="majorBidi" w:hAnsiTheme="majorBidi" w:cstheme="majorBidi"/>
        </w:rPr>
        <w:lastRenderedPageBreak/>
        <w:t>programme of ITU, World Bank and Committee of Payments and Market Infrastructures of Bank for International Settlements</w:t>
      </w:r>
      <w:r w:rsidRPr="00290E61">
        <w:rPr>
          <w:rFonts w:asciiTheme="majorBidi" w:hAnsiTheme="majorBidi" w:cstheme="majorBidi"/>
        </w:rPr>
        <w:t xml:space="preserve"> </w:t>
      </w:r>
      <w:r w:rsidR="00CC0F44" w:rsidRPr="00290E61">
        <w:rPr>
          <w:rFonts w:asciiTheme="majorBidi" w:hAnsiTheme="majorBidi" w:cstheme="majorBidi"/>
        </w:rPr>
        <w:t>and</w:t>
      </w:r>
      <w:r w:rsidRPr="00290E61">
        <w:rPr>
          <w:rFonts w:asciiTheme="majorBidi" w:hAnsiTheme="majorBidi" w:cstheme="majorBidi"/>
        </w:rPr>
        <w:t xml:space="preserve">  ITU-T Focus Group on Digital Currency etc) </w:t>
      </w:r>
      <w:r w:rsidR="005420C8" w:rsidRPr="00290E61">
        <w:rPr>
          <w:rFonts w:asciiTheme="majorBidi" w:hAnsiTheme="majorBidi" w:cstheme="majorBidi"/>
        </w:rPr>
        <w:t>were under the</w:t>
      </w:r>
      <w:r w:rsidRPr="00290E61">
        <w:rPr>
          <w:rFonts w:asciiTheme="majorBidi" w:hAnsiTheme="majorBidi" w:cstheme="majorBidi"/>
        </w:rPr>
        <w:t xml:space="preserve"> previous study period until WTSA-20.</w:t>
      </w:r>
      <w:r w:rsidR="006712EE" w:rsidRPr="00290E61">
        <w:rPr>
          <w:rFonts w:asciiTheme="majorBidi" w:hAnsiTheme="majorBidi" w:cstheme="majorBidi"/>
        </w:rPr>
        <w:t xml:space="preserve"> These collaboration activities were facilitated by the exchanges held during the quarterly meetings of the ITU and UPU Secretariat on digital financial services.</w:t>
      </w:r>
    </w:p>
    <w:p w14:paraId="2EBD269B" w14:textId="7FBA3A27" w:rsidR="008E61E0" w:rsidRPr="00290E61" w:rsidRDefault="00791F2C" w:rsidP="008E61E0">
      <w:pPr>
        <w:rPr>
          <w:rFonts w:asciiTheme="majorBidi" w:hAnsiTheme="majorBidi" w:cstheme="majorBidi"/>
        </w:rPr>
      </w:pPr>
      <w:r w:rsidRPr="00290E61">
        <w:rPr>
          <w:rFonts w:asciiTheme="majorBidi" w:hAnsiTheme="majorBidi" w:cstheme="majorBidi"/>
        </w:rPr>
        <w:t xml:space="preserve">Some </w:t>
      </w:r>
      <w:r w:rsidR="008E61E0" w:rsidRPr="00290E61">
        <w:rPr>
          <w:rFonts w:asciiTheme="majorBidi" w:hAnsiTheme="majorBidi" w:cstheme="majorBidi"/>
        </w:rPr>
        <w:t>ITU-T Member states and Regional Telecommunication Organizations had propos</w:t>
      </w:r>
      <w:r w:rsidR="00CC0F44" w:rsidRPr="00290E61">
        <w:rPr>
          <w:rFonts w:asciiTheme="majorBidi" w:hAnsiTheme="majorBidi" w:cstheme="majorBidi"/>
        </w:rPr>
        <w:t>ed</w:t>
      </w:r>
      <w:r w:rsidR="008E61E0" w:rsidRPr="00290E61">
        <w:rPr>
          <w:rFonts w:asciiTheme="majorBidi" w:hAnsiTheme="majorBidi" w:cstheme="majorBidi"/>
        </w:rPr>
        <w:t xml:space="preserve"> to </w:t>
      </w:r>
      <w:r w:rsidR="00385554" w:rsidRPr="00290E61">
        <w:rPr>
          <w:rFonts w:asciiTheme="majorBidi" w:hAnsiTheme="majorBidi" w:cstheme="majorBidi"/>
        </w:rPr>
        <w:t xml:space="preserve">suppress </w:t>
      </w:r>
      <w:r w:rsidR="008E61E0" w:rsidRPr="00290E61">
        <w:rPr>
          <w:rFonts w:asciiTheme="majorBidi" w:hAnsiTheme="majorBidi" w:cstheme="majorBidi"/>
        </w:rPr>
        <w:t xml:space="preserve">Resolution 11 as already fulfilled its purpose. WTSA-20 decided </w:t>
      </w:r>
      <w:r w:rsidR="00CC0F44" w:rsidRPr="00290E61">
        <w:rPr>
          <w:rFonts w:asciiTheme="majorBidi" w:hAnsiTheme="majorBidi" w:cstheme="majorBidi"/>
        </w:rPr>
        <w:t xml:space="preserve">in March 2022 </w:t>
      </w:r>
      <w:r w:rsidR="008E61E0" w:rsidRPr="00290E61">
        <w:rPr>
          <w:rFonts w:asciiTheme="majorBidi" w:hAnsiTheme="majorBidi" w:cstheme="majorBidi"/>
        </w:rPr>
        <w:t xml:space="preserve">to maintain this Resolution to have a chance to </w:t>
      </w:r>
      <w:r w:rsidR="00CC0F44" w:rsidRPr="00290E61">
        <w:rPr>
          <w:rFonts w:asciiTheme="majorBidi" w:hAnsiTheme="majorBidi" w:cstheme="majorBidi"/>
        </w:rPr>
        <w:t xml:space="preserve">review </w:t>
      </w:r>
      <w:r w:rsidR="008E61E0" w:rsidRPr="00290E61">
        <w:rPr>
          <w:rFonts w:asciiTheme="majorBidi" w:hAnsiTheme="majorBidi" w:cstheme="majorBidi"/>
        </w:rPr>
        <w:t xml:space="preserve">the status of collaboration and mutual interest between ITU-T and UPU, </w:t>
      </w:r>
      <w:r w:rsidR="00CC0F44" w:rsidRPr="00290E61">
        <w:rPr>
          <w:rFonts w:asciiTheme="majorBidi" w:hAnsiTheme="majorBidi" w:cstheme="majorBidi"/>
        </w:rPr>
        <w:t xml:space="preserve">for </w:t>
      </w:r>
      <w:r w:rsidR="00A43E89" w:rsidRPr="00290E61">
        <w:rPr>
          <w:rFonts w:asciiTheme="majorBidi" w:hAnsiTheme="majorBidi" w:cstheme="majorBidi"/>
        </w:rPr>
        <w:t xml:space="preserve">further </w:t>
      </w:r>
      <w:r w:rsidR="00CC0F44" w:rsidRPr="00290E61">
        <w:rPr>
          <w:rFonts w:asciiTheme="majorBidi" w:hAnsiTheme="majorBidi" w:cstheme="majorBidi"/>
        </w:rPr>
        <w:t>consideration</w:t>
      </w:r>
      <w:r w:rsidR="008E61E0" w:rsidRPr="00290E61">
        <w:rPr>
          <w:rFonts w:asciiTheme="majorBidi" w:hAnsiTheme="majorBidi" w:cstheme="majorBidi"/>
        </w:rPr>
        <w:t xml:space="preserve"> of ITU-T members.</w:t>
      </w:r>
    </w:p>
    <w:p w14:paraId="75883CE0" w14:textId="332A93DD" w:rsidR="00932B30" w:rsidRPr="00290E61" w:rsidRDefault="00932B30" w:rsidP="00932B30">
      <w:pPr>
        <w:rPr>
          <w:rFonts w:asciiTheme="majorBidi" w:hAnsiTheme="majorBidi" w:cstheme="majorBidi"/>
        </w:rPr>
      </w:pPr>
      <w:r w:rsidRPr="00290E61">
        <w:rPr>
          <w:rFonts w:asciiTheme="majorBidi" w:hAnsiTheme="majorBidi" w:cstheme="majorBidi"/>
        </w:rPr>
        <w:t xml:space="preserve">TSAG was informed </w:t>
      </w:r>
      <w:r w:rsidR="00A43E89" w:rsidRPr="00290E61">
        <w:rPr>
          <w:rFonts w:asciiTheme="majorBidi" w:hAnsiTheme="majorBidi" w:cstheme="majorBidi"/>
        </w:rPr>
        <w:t xml:space="preserve">there are </w:t>
      </w:r>
      <w:r w:rsidR="005551D0" w:rsidRPr="00290E61">
        <w:rPr>
          <w:rFonts w:asciiTheme="majorBidi" w:hAnsiTheme="majorBidi" w:cstheme="majorBidi"/>
        </w:rPr>
        <w:t xml:space="preserve">ongoing </w:t>
      </w:r>
      <w:r w:rsidR="00A43E89" w:rsidRPr="00290E61">
        <w:rPr>
          <w:rFonts w:asciiTheme="majorBidi" w:hAnsiTheme="majorBidi" w:cstheme="majorBidi"/>
        </w:rPr>
        <w:t xml:space="preserve">quarterly meetings </w:t>
      </w:r>
      <w:r w:rsidRPr="00290E61">
        <w:rPr>
          <w:rFonts w:asciiTheme="majorBidi" w:hAnsiTheme="majorBidi" w:cstheme="majorBidi"/>
        </w:rPr>
        <w:t xml:space="preserve">between the secretariat of ITU and UPU </w:t>
      </w:r>
      <w:r w:rsidR="006712EE" w:rsidRPr="00290E61">
        <w:rPr>
          <w:rFonts w:asciiTheme="majorBidi" w:hAnsiTheme="majorBidi" w:cstheme="majorBidi"/>
        </w:rPr>
        <w:t xml:space="preserve">to discuss areas of collaboration in digital financial services. At the recent meeting of ITU and UPU Secretariats in April 2023, the topic of adoption of the security best practices for digital financial services applications by postal authorities and </w:t>
      </w:r>
      <w:r w:rsidRPr="00290E61">
        <w:rPr>
          <w:rFonts w:asciiTheme="majorBidi" w:hAnsiTheme="majorBidi" w:cstheme="majorBidi"/>
        </w:rPr>
        <w:t xml:space="preserve">the organization of security clinics </w:t>
      </w:r>
      <w:r w:rsidR="006712EE" w:rsidRPr="00290E61">
        <w:rPr>
          <w:rFonts w:asciiTheme="majorBidi" w:hAnsiTheme="majorBidi" w:cstheme="majorBidi"/>
        </w:rPr>
        <w:t>in this regard among others were discussed</w:t>
      </w:r>
      <w:r w:rsidRPr="00290E61">
        <w:rPr>
          <w:rFonts w:asciiTheme="majorBidi" w:hAnsiTheme="majorBidi" w:cstheme="majorBidi"/>
        </w:rPr>
        <w:t>.</w:t>
      </w:r>
    </w:p>
    <w:p w14:paraId="3595BF88" w14:textId="60CED8E8" w:rsidR="00932B30" w:rsidRPr="00290E61" w:rsidRDefault="005551D0" w:rsidP="00932B30">
      <w:pPr>
        <w:rPr>
          <w:rFonts w:asciiTheme="majorBidi" w:hAnsiTheme="majorBidi" w:cstheme="majorBidi"/>
          <w:lang w:val="en-US"/>
        </w:rPr>
      </w:pPr>
      <w:r w:rsidRPr="00290E61">
        <w:rPr>
          <w:rFonts w:asciiTheme="majorBidi" w:hAnsiTheme="majorBidi" w:cstheme="majorBidi"/>
        </w:rPr>
        <w:t xml:space="preserve">In preparation for </w:t>
      </w:r>
      <w:r w:rsidR="00932B30" w:rsidRPr="00290E61">
        <w:rPr>
          <w:rFonts w:asciiTheme="majorBidi" w:hAnsiTheme="majorBidi" w:cstheme="majorBidi"/>
        </w:rPr>
        <w:t>next WTSA</w:t>
      </w:r>
      <w:r w:rsidRPr="00290E61">
        <w:rPr>
          <w:rFonts w:asciiTheme="majorBidi" w:hAnsiTheme="majorBidi" w:cstheme="majorBidi"/>
        </w:rPr>
        <w:t>-24</w:t>
      </w:r>
      <w:r w:rsidR="00932B30" w:rsidRPr="00290E61">
        <w:rPr>
          <w:rFonts w:asciiTheme="majorBidi" w:hAnsiTheme="majorBidi" w:cstheme="majorBidi"/>
        </w:rPr>
        <w:t xml:space="preserve">, ITU-T would like to ask UPU for </w:t>
      </w:r>
      <w:r w:rsidRPr="00290E61">
        <w:rPr>
          <w:rFonts w:asciiTheme="majorBidi" w:hAnsiTheme="majorBidi" w:cstheme="majorBidi"/>
        </w:rPr>
        <w:t xml:space="preserve">your </w:t>
      </w:r>
      <w:r w:rsidR="00932B30" w:rsidRPr="00290E61">
        <w:rPr>
          <w:rFonts w:asciiTheme="majorBidi" w:hAnsiTheme="majorBidi" w:cstheme="majorBidi"/>
        </w:rPr>
        <w:t>vision on further cooperation between ITU-T and UPU</w:t>
      </w:r>
      <w:r w:rsidR="00E147BF" w:rsidRPr="00290E61">
        <w:rPr>
          <w:rFonts w:asciiTheme="majorBidi" w:hAnsiTheme="majorBidi" w:cstheme="majorBidi"/>
        </w:rPr>
        <w:t xml:space="preserve">, </w:t>
      </w:r>
      <w:r w:rsidR="00E147BF" w:rsidRPr="00290E61">
        <w:rPr>
          <w:rFonts w:asciiTheme="majorBidi" w:hAnsiTheme="majorBidi" w:cstheme="majorBidi"/>
          <w:lang w:eastAsia="en-US"/>
        </w:rPr>
        <w:t>your views on the perspective for collaboration between UPU POC and ITU-T study groups by identifying which technical areas, domains are of possible interest for collaboration in scope of ITU-T study groups and the mechanism for UPU POC to engage with ITU-T Study Groups</w:t>
      </w:r>
      <w:r w:rsidR="00AC7F62" w:rsidRPr="00290E61">
        <w:rPr>
          <w:rFonts w:asciiTheme="majorBidi" w:hAnsiTheme="majorBidi" w:cstheme="majorBidi"/>
          <w:lang w:eastAsia="en-US"/>
        </w:rPr>
        <w:t xml:space="preserve"> are invited</w:t>
      </w:r>
      <w:r w:rsidRPr="00290E61">
        <w:rPr>
          <w:rFonts w:asciiTheme="majorBidi" w:hAnsiTheme="majorBidi" w:cstheme="majorBidi"/>
        </w:rPr>
        <w:t>,</w:t>
      </w:r>
      <w:r w:rsidR="00932B30" w:rsidRPr="00290E61">
        <w:rPr>
          <w:rFonts w:asciiTheme="majorBidi" w:hAnsiTheme="majorBidi" w:cstheme="majorBidi"/>
        </w:rPr>
        <w:t xml:space="preserve"> </w:t>
      </w:r>
      <w:r w:rsidR="00E147BF" w:rsidRPr="00290E61">
        <w:rPr>
          <w:rFonts w:asciiTheme="majorBidi" w:hAnsiTheme="majorBidi" w:cstheme="majorBidi"/>
        </w:rPr>
        <w:t xml:space="preserve">and </w:t>
      </w:r>
      <w:r w:rsidRPr="00290E61">
        <w:rPr>
          <w:rFonts w:asciiTheme="majorBidi" w:hAnsiTheme="majorBidi" w:cstheme="majorBidi"/>
        </w:rPr>
        <w:t xml:space="preserve">your proposal </w:t>
      </w:r>
      <w:r w:rsidR="00932B30" w:rsidRPr="00290E61">
        <w:rPr>
          <w:rFonts w:asciiTheme="majorBidi" w:hAnsiTheme="majorBidi" w:cstheme="majorBidi"/>
        </w:rPr>
        <w:t>on possible amendments to Resolution 11</w:t>
      </w:r>
      <w:r w:rsidR="00AC7F62" w:rsidRPr="00290E61">
        <w:rPr>
          <w:rFonts w:asciiTheme="majorBidi" w:hAnsiTheme="majorBidi" w:cstheme="majorBidi"/>
        </w:rPr>
        <w:t xml:space="preserve"> </w:t>
      </w:r>
      <w:r w:rsidR="00955E9F" w:rsidRPr="00290E61">
        <w:rPr>
          <w:rFonts w:asciiTheme="majorBidi" w:hAnsiTheme="majorBidi" w:cstheme="majorBidi"/>
        </w:rPr>
        <w:t>would</w:t>
      </w:r>
      <w:r w:rsidR="00AC7F62" w:rsidRPr="00290E61">
        <w:rPr>
          <w:rFonts w:asciiTheme="majorBidi" w:hAnsiTheme="majorBidi" w:cstheme="majorBidi"/>
        </w:rPr>
        <w:t xml:space="preserve"> also </w:t>
      </w:r>
      <w:r w:rsidR="00955E9F" w:rsidRPr="00290E61">
        <w:rPr>
          <w:rFonts w:asciiTheme="majorBidi" w:hAnsiTheme="majorBidi" w:cstheme="majorBidi"/>
        </w:rPr>
        <w:t xml:space="preserve">be </w:t>
      </w:r>
      <w:r w:rsidR="00AC7F62" w:rsidRPr="00290E61">
        <w:rPr>
          <w:rFonts w:asciiTheme="majorBidi" w:hAnsiTheme="majorBidi" w:cstheme="majorBidi"/>
        </w:rPr>
        <w:t>appreciated</w:t>
      </w:r>
      <w:r w:rsidR="00932B30" w:rsidRPr="00290E61">
        <w:rPr>
          <w:rFonts w:asciiTheme="majorBidi" w:hAnsiTheme="majorBidi" w:cstheme="majorBidi"/>
        </w:rPr>
        <w:t>.</w:t>
      </w:r>
    </w:p>
    <w:p w14:paraId="269839DD" w14:textId="20D1BAC8" w:rsidR="00BF1C1D" w:rsidRPr="00290E61" w:rsidRDefault="00BF1C1D" w:rsidP="00CC4D05">
      <w:pPr>
        <w:spacing w:after="60"/>
        <w:jc w:val="center"/>
        <w:rPr>
          <w:rFonts w:asciiTheme="majorBidi" w:hAnsiTheme="majorBidi" w:cstheme="majorBidi"/>
          <w:lang w:val="en-US"/>
        </w:rPr>
      </w:pPr>
    </w:p>
    <w:p w14:paraId="22DD1571" w14:textId="30042050" w:rsidR="00414C38" w:rsidRPr="00290E61" w:rsidRDefault="00414C38" w:rsidP="00CC4D05">
      <w:pPr>
        <w:spacing w:after="60"/>
        <w:jc w:val="center"/>
        <w:rPr>
          <w:rFonts w:asciiTheme="majorBidi" w:hAnsiTheme="majorBidi" w:cstheme="majorBidi"/>
          <w:lang w:val="en-US"/>
        </w:rPr>
      </w:pPr>
      <w:r w:rsidRPr="00290E61">
        <w:rPr>
          <w:rFonts w:asciiTheme="majorBidi" w:hAnsiTheme="majorBidi" w:cstheme="majorBidi"/>
          <w:lang w:val="en-US"/>
        </w:rPr>
        <w:t>__________________</w:t>
      </w:r>
    </w:p>
    <w:sectPr w:rsidR="00414C38" w:rsidRPr="00290E61" w:rsidSect="00EA3673">
      <w:headerReference w:type="default" r:id="rId16"/>
      <w:pgSz w:w="11907" w:h="16840" w:code="9"/>
      <w:pgMar w:top="1417"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6932" w14:textId="77777777" w:rsidR="00C04827" w:rsidRDefault="00C04827" w:rsidP="00C42125">
      <w:pPr>
        <w:spacing w:before="0"/>
      </w:pPr>
      <w:r>
        <w:separator/>
      </w:r>
    </w:p>
  </w:endnote>
  <w:endnote w:type="continuationSeparator" w:id="0">
    <w:p w14:paraId="680CD514" w14:textId="77777777" w:rsidR="00C04827" w:rsidRDefault="00C0482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7311" w14:textId="77777777" w:rsidR="00C04827" w:rsidRDefault="00C04827" w:rsidP="00C42125">
      <w:pPr>
        <w:spacing w:before="0"/>
      </w:pPr>
      <w:r>
        <w:separator/>
      </w:r>
    </w:p>
  </w:footnote>
  <w:footnote w:type="continuationSeparator" w:id="0">
    <w:p w14:paraId="11FCBAC3" w14:textId="77777777" w:rsidR="00C04827" w:rsidRDefault="00C0482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F00D" w14:textId="71822FDB" w:rsidR="007A7EB7" w:rsidRPr="00EA3673" w:rsidRDefault="00EA3673" w:rsidP="00EA3673">
    <w:pPr>
      <w:pStyle w:val="Header"/>
    </w:pPr>
    <w:r w:rsidRPr="00EA3673">
      <w:t xml:space="preserve">- </w:t>
    </w:r>
    <w:r w:rsidRPr="00EA3673">
      <w:fldChar w:fldCharType="begin"/>
    </w:r>
    <w:r w:rsidRPr="00EA3673">
      <w:instrText xml:space="preserve"> PAGE  \* MERGEFORMAT </w:instrText>
    </w:r>
    <w:r w:rsidRPr="00EA3673">
      <w:fldChar w:fldCharType="separate"/>
    </w:r>
    <w:r w:rsidR="00AC7F62">
      <w:rPr>
        <w:noProof/>
      </w:rPr>
      <w:t>2</w:t>
    </w:r>
    <w:r w:rsidRPr="00EA3673">
      <w:fldChar w:fldCharType="end"/>
    </w:r>
    <w:r w:rsidRPr="00EA3673">
      <w:t xml:space="preserve"> -</w:t>
    </w:r>
  </w:p>
  <w:p w14:paraId="1504D2B2" w14:textId="6C83C16B" w:rsidR="00EA3673" w:rsidRPr="00EA3673" w:rsidRDefault="00EA3673" w:rsidP="00EA3673">
    <w:pPr>
      <w:pStyle w:val="Header"/>
      <w:spacing w:after="240"/>
    </w:pPr>
    <w:r w:rsidRPr="00EA3673">
      <w:fldChar w:fldCharType="begin"/>
    </w:r>
    <w:r w:rsidRPr="00EA3673">
      <w:instrText xml:space="preserve"> STYLEREF  Docnumber  </w:instrText>
    </w:r>
    <w:r w:rsidRPr="00EA3673">
      <w:fldChar w:fldCharType="separate"/>
    </w:r>
    <w:r w:rsidR="00290E61">
      <w:rPr>
        <w:noProof/>
      </w:rPr>
      <w:t>TSAG-TD291</w:t>
    </w:r>
    <w:r w:rsidRPr="00EA367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F540B2"/>
    <w:multiLevelType w:val="hybridMultilevel"/>
    <w:tmpl w:val="52E69EAE"/>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83EBF"/>
    <w:multiLevelType w:val="hybridMultilevel"/>
    <w:tmpl w:val="CFB28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54C14AE0"/>
    <w:multiLevelType w:val="hybridMultilevel"/>
    <w:tmpl w:val="20BAC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AC3B00"/>
    <w:multiLevelType w:val="hybridMultilevel"/>
    <w:tmpl w:val="3C6A1C40"/>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519457">
    <w:abstractNumId w:val="9"/>
  </w:num>
  <w:num w:numId="2" w16cid:durableId="527989065">
    <w:abstractNumId w:val="7"/>
  </w:num>
  <w:num w:numId="3" w16cid:durableId="1932885308">
    <w:abstractNumId w:val="6"/>
  </w:num>
  <w:num w:numId="4" w16cid:durableId="2004384446">
    <w:abstractNumId w:val="5"/>
  </w:num>
  <w:num w:numId="5" w16cid:durableId="1804537746">
    <w:abstractNumId w:val="4"/>
  </w:num>
  <w:num w:numId="6" w16cid:durableId="807628929">
    <w:abstractNumId w:val="8"/>
  </w:num>
  <w:num w:numId="7" w16cid:durableId="107164577">
    <w:abstractNumId w:val="3"/>
  </w:num>
  <w:num w:numId="8" w16cid:durableId="1419205481">
    <w:abstractNumId w:val="2"/>
  </w:num>
  <w:num w:numId="9" w16cid:durableId="926882148">
    <w:abstractNumId w:val="1"/>
  </w:num>
  <w:num w:numId="10" w16cid:durableId="1823230548">
    <w:abstractNumId w:val="0"/>
  </w:num>
  <w:num w:numId="11" w16cid:durableId="1552769250">
    <w:abstractNumId w:val="10"/>
  </w:num>
  <w:num w:numId="12" w16cid:durableId="1189565024">
    <w:abstractNumId w:val="12"/>
  </w:num>
  <w:num w:numId="13" w16cid:durableId="44645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9451683">
    <w:abstractNumId w:val="11"/>
  </w:num>
  <w:num w:numId="15" w16cid:durableId="1462921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14F69"/>
    <w:rsid w:val="000171DB"/>
    <w:rsid w:val="00023D9A"/>
    <w:rsid w:val="0003582E"/>
    <w:rsid w:val="00042E92"/>
    <w:rsid w:val="00043B5D"/>
    <w:rsid w:val="00043D75"/>
    <w:rsid w:val="00057000"/>
    <w:rsid w:val="00061268"/>
    <w:rsid w:val="000640E0"/>
    <w:rsid w:val="00082998"/>
    <w:rsid w:val="000920CE"/>
    <w:rsid w:val="000966A8"/>
    <w:rsid w:val="000A5CA2"/>
    <w:rsid w:val="000B739D"/>
    <w:rsid w:val="000C2290"/>
    <w:rsid w:val="000C397B"/>
    <w:rsid w:val="000E6125"/>
    <w:rsid w:val="00113DBE"/>
    <w:rsid w:val="00114C70"/>
    <w:rsid w:val="001200A6"/>
    <w:rsid w:val="00124A40"/>
    <w:rsid w:val="001251DA"/>
    <w:rsid w:val="00125432"/>
    <w:rsid w:val="0013026D"/>
    <w:rsid w:val="00136DDD"/>
    <w:rsid w:val="00137F40"/>
    <w:rsid w:val="001410FD"/>
    <w:rsid w:val="00144BDF"/>
    <w:rsid w:val="00153583"/>
    <w:rsid w:val="00154F3C"/>
    <w:rsid w:val="00155DDC"/>
    <w:rsid w:val="00161830"/>
    <w:rsid w:val="00166DC9"/>
    <w:rsid w:val="001871EC"/>
    <w:rsid w:val="00197B2C"/>
    <w:rsid w:val="001A20C3"/>
    <w:rsid w:val="001A670F"/>
    <w:rsid w:val="001B6A45"/>
    <w:rsid w:val="001C62B8"/>
    <w:rsid w:val="001D22D8"/>
    <w:rsid w:val="001D2C2E"/>
    <w:rsid w:val="001D4296"/>
    <w:rsid w:val="001E7B0E"/>
    <w:rsid w:val="001F141D"/>
    <w:rsid w:val="00200A06"/>
    <w:rsid w:val="00200A98"/>
    <w:rsid w:val="00201AFA"/>
    <w:rsid w:val="00215F89"/>
    <w:rsid w:val="00221F82"/>
    <w:rsid w:val="002229F1"/>
    <w:rsid w:val="00233F75"/>
    <w:rsid w:val="00245E42"/>
    <w:rsid w:val="00253DBE"/>
    <w:rsid w:val="00253DC6"/>
    <w:rsid w:val="0025489C"/>
    <w:rsid w:val="002565AF"/>
    <w:rsid w:val="002622FA"/>
    <w:rsid w:val="00263518"/>
    <w:rsid w:val="00263B33"/>
    <w:rsid w:val="00270912"/>
    <w:rsid w:val="00271EE1"/>
    <w:rsid w:val="002759E7"/>
    <w:rsid w:val="00277326"/>
    <w:rsid w:val="00277A89"/>
    <w:rsid w:val="00290E61"/>
    <w:rsid w:val="002A11C4"/>
    <w:rsid w:val="002A399B"/>
    <w:rsid w:val="002C26C0"/>
    <w:rsid w:val="002C2BC5"/>
    <w:rsid w:val="002C502A"/>
    <w:rsid w:val="002C6C0F"/>
    <w:rsid w:val="002C7384"/>
    <w:rsid w:val="002D6447"/>
    <w:rsid w:val="002E0407"/>
    <w:rsid w:val="002E3C52"/>
    <w:rsid w:val="002E79CB"/>
    <w:rsid w:val="002F5070"/>
    <w:rsid w:val="002F7F55"/>
    <w:rsid w:val="0030745F"/>
    <w:rsid w:val="00314630"/>
    <w:rsid w:val="0032090A"/>
    <w:rsid w:val="00321CDE"/>
    <w:rsid w:val="00333E15"/>
    <w:rsid w:val="003449F4"/>
    <w:rsid w:val="00344A86"/>
    <w:rsid w:val="0035453A"/>
    <w:rsid w:val="003571BC"/>
    <w:rsid w:val="0036090C"/>
    <w:rsid w:val="00361116"/>
    <w:rsid w:val="00361279"/>
    <w:rsid w:val="00362562"/>
    <w:rsid w:val="00365707"/>
    <w:rsid w:val="00382AE3"/>
    <w:rsid w:val="00385554"/>
    <w:rsid w:val="00385FB5"/>
    <w:rsid w:val="0038715D"/>
    <w:rsid w:val="00394DBF"/>
    <w:rsid w:val="003957A6"/>
    <w:rsid w:val="003A43EF"/>
    <w:rsid w:val="003B4CF8"/>
    <w:rsid w:val="003C7445"/>
    <w:rsid w:val="003D0336"/>
    <w:rsid w:val="003E1F8C"/>
    <w:rsid w:val="003E39A2"/>
    <w:rsid w:val="003E57AB"/>
    <w:rsid w:val="003E7207"/>
    <w:rsid w:val="003F2BED"/>
    <w:rsid w:val="00400B49"/>
    <w:rsid w:val="00414C38"/>
    <w:rsid w:val="00421187"/>
    <w:rsid w:val="004258D7"/>
    <w:rsid w:val="004315C7"/>
    <w:rsid w:val="00443878"/>
    <w:rsid w:val="0044631B"/>
    <w:rsid w:val="004539A8"/>
    <w:rsid w:val="004712CA"/>
    <w:rsid w:val="00473782"/>
    <w:rsid w:val="0047422E"/>
    <w:rsid w:val="0049090D"/>
    <w:rsid w:val="0049674B"/>
    <w:rsid w:val="004C0673"/>
    <w:rsid w:val="004C4E4E"/>
    <w:rsid w:val="004F23BA"/>
    <w:rsid w:val="004F3816"/>
    <w:rsid w:val="0050586A"/>
    <w:rsid w:val="00520DBF"/>
    <w:rsid w:val="0053731C"/>
    <w:rsid w:val="005420C8"/>
    <w:rsid w:val="00543D41"/>
    <w:rsid w:val="00544465"/>
    <w:rsid w:val="00547C49"/>
    <w:rsid w:val="005551D0"/>
    <w:rsid w:val="00556A5B"/>
    <w:rsid w:val="00566EDA"/>
    <w:rsid w:val="0057081A"/>
    <w:rsid w:val="00572654"/>
    <w:rsid w:val="005846DF"/>
    <w:rsid w:val="005976A1"/>
    <w:rsid w:val="005A257D"/>
    <w:rsid w:val="005A3B39"/>
    <w:rsid w:val="005B5336"/>
    <w:rsid w:val="005B5629"/>
    <w:rsid w:val="005B6B78"/>
    <w:rsid w:val="005C0300"/>
    <w:rsid w:val="005C08FA"/>
    <w:rsid w:val="005C27A2"/>
    <w:rsid w:val="005D4FEB"/>
    <w:rsid w:val="005E7EB8"/>
    <w:rsid w:val="005F4B6A"/>
    <w:rsid w:val="005F6018"/>
    <w:rsid w:val="006010F3"/>
    <w:rsid w:val="00603779"/>
    <w:rsid w:val="00606DB6"/>
    <w:rsid w:val="00615A0A"/>
    <w:rsid w:val="00626673"/>
    <w:rsid w:val="0063036F"/>
    <w:rsid w:val="00632104"/>
    <w:rsid w:val="006333D4"/>
    <w:rsid w:val="006369B2"/>
    <w:rsid w:val="0063718D"/>
    <w:rsid w:val="00641C75"/>
    <w:rsid w:val="00647525"/>
    <w:rsid w:val="00647A71"/>
    <w:rsid w:val="006500B1"/>
    <w:rsid w:val="00652D9F"/>
    <w:rsid w:val="006570B0"/>
    <w:rsid w:val="0066022F"/>
    <w:rsid w:val="0066444C"/>
    <w:rsid w:val="006712EE"/>
    <w:rsid w:val="006813BC"/>
    <w:rsid w:val="006823F3"/>
    <w:rsid w:val="0069210B"/>
    <w:rsid w:val="00692AB1"/>
    <w:rsid w:val="00694F91"/>
    <w:rsid w:val="006953F3"/>
    <w:rsid w:val="00695DD7"/>
    <w:rsid w:val="00695FC2"/>
    <w:rsid w:val="006A4055"/>
    <w:rsid w:val="006A6DA0"/>
    <w:rsid w:val="006A7C27"/>
    <w:rsid w:val="006A7CFE"/>
    <w:rsid w:val="006B2FE4"/>
    <w:rsid w:val="006B37B0"/>
    <w:rsid w:val="006B73DB"/>
    <w:rsid w:val="006B748E"/>
    <w:rsid w:val="006C5641"/>
    <w:rsid w:val="006C775B"/>
    <w:rsid w:val="006D1089"/>
    <w:rsid w:val="006D1B86"/>
    <w:rsid w:val="006D7355"/>
    <w:rsid w:val="006E005A"/>
    <w:rsid w:val="006E17C4"/>
    <w:rsid w:val="006F3E65"/>
    <w:rsid w:val="006F7DEE"/>
    <w:rsid w:val="00715551"/>
    <w:rsid w:val="00715CA6"/>
    <w:rsid w:val="007178A6"/>
    <w:rsid w:val="00731135"/>
    <w:rsid w:val="007324AF"/>
    <w:rsid w:val="00740128"/>
    <w:rsid w:val="007409B4"/>
    <w:rsid w:val="00741974"/>
    <w:rsid w:val="007462FD"/>
    <w:rsid w:val="00754192"/>
    <w:rsid w:val="00754B87"/>
    <w:rsid w:val="0075525E"/>
    <w:rsid w:val="00756D3D"/>
    <w:rsid w:val="007806C2"/>
    <w:rsid w:val="00781FEE"/>
    <w:rsid w:val="007903F8"/>
    <w:rsid w:val="00791F2C"/>
    <w:rsid w:val="00794F4F"/>
    <w:rsid w:val="007974BE"/>
    <w:rsid w:val="007A0916"/>
    <w:rsid w:val="007A0DFD"/>
    <w:rsid w:val="007A7EB7"/>
    <w:rsid w:val="007B2BC6"/>
    <w:rsid w:val="007B311A"/>
    <w:rsid w:val="007B5F3F"/>
    <w:rsid w:val="007C7122"/>
    <w:rsid w:val="007D3F11"/>
    <w:rsid w:val="007D66E2"/>
    <w:rsid w:val="007E2777"/>
    <w:rsid w:val="007E2C69"/>
    <w:rsid w:val="007E53E4"/>
    <w:rsid w:val="007E656A"/>
    <w:rsid w:val="007F3CAA"/>
    <w:rsid w:val="007F664D"/>
    <w:rsid w:val="007F7245"/>
    <w:rsid w:val="00812E67"/>
    <w:rsid w:val="0082572F"/>
    <w:rsid w:val="0083629F"/>
    <w:rsid w:val="00837203"/>
    <w:rsid w:val="00842137"/>
    <w:rsid w:val="00853F5F"/>
    <w:rsid w:val="008623ED"/>
    <w:rsid w:val="00864B5A"/>
    <w:rsid w:val="00872559"/>
    <w:rsid w:val="00874AA3"/>
    <w:rsid w:val="00875AA6"/>
    <w:rsid w:val="00880944"/>
    <w:rsid w:val="0089088E"/>
    <w:rsid w:val="008916E8"/>
    <w:rsid w:val="00892297"/>
    <w:rsid w:val="008964D6"/>
    <w:rsid w:val="008B5123"/>
    <w:rsid w:val="008E0172"/>
    <w:rsid w:val="008E61E0"/>
    <w:rsid w:val="00900EF1"/>
    <w:rsid w:val="00906CD2"/>
    <w:rsid w:val="009302DE"/>
    <w:rsid w:val="00932B30"/>
    <w:rsid w:val="00936852"/>
    <w:rsid w:val="0094045D"/>
    <w:rsid w:val="009406B5"/>
    <w:rsid w:val="00946166"/>
    <w:rsid w:val="009507EC"/>
    <w:rsid w:val="00955E9F"/>
    <w:rsid w:val="00964A1B"/>
    <w:rsid w:val="009656C0"/>
    <w:rsid w:val="009769A2"/>
    <w:rsid w:val="00983164"/>
    <w:rsid w:val="009972EF"/>
    <w:rsid w:val="009A43AC"/>
    <w:rsid w:val="009A5B84"/>
    <w:rsid w:val="009B5035"/>
    <w:rsid w:val="009C3160"/>
    <w:rsid w:val="009C7EF1"/>
    <w:rsid w:val="009D6B26"/>
    <w:rsid w:val="009E766E"/>
    <w:rsid w:val="009F1960"/>
    <w:rsid w:val="009F2C64"/>
    <w:rsid w:val="009F715E"/>
    <w:rsid w:val="00A10DBB"/>
    <w:rsid w:val="00A11720"/>
    <w:rsid w:val="00A21247"/>
    <w:rsid w:val="00A31D47"/>
    <w:rsid w:val="00A4013E"/>
    <w:rsid w:val="00A4045F"/>
    <w:rsid w:val="00A427CD"/>
    <w:rsid w:val="00A43E89"/>
    <w:rsid w:val="00A45FEE"/>
    <w:rsid w:val="00A4600B"/>
    <w:rsid w:val="00A50506"/>
    <w:rsid w:val="00A51EF0"/>
    <w:rsid w:val="00A54BBA"/>
    <w:rsid w:val="00A67A81"/>
    <w:rsid w:val="00A730A6"/>
    <w:rsid w:val="00A84724"/>
    <w:rsid w:val="00A971A0"/>
    <w:rsid w:val="00AA1F22"/>
    <w:rsid w:val="00AA6D69"/>
    <w:rsid w:val="00AA74B8"/>
    <w:rsid w:val="00AC1E66"/>
    <w:rsid w:val="00AC7F62"/>
    <w:rsid w:val="00AF5A57"/>
    <w:rsid w:val="00AF735D"/>
    <w:rsid w:val="00B024D7"/>
    <w:rsid w:val="00B05821"/>
    <w:rsid w:val="00B100D6"/>
    <w:rsid w:val="00B164C9"/>
    <w:rsid w:val="00B21E53"/>
    <w:rsid w:val="00B26C28"/>
    <w:rsid w:val="00B30F21"/>
    <w:rsid w:val="00B31CE6"/>
    <w:rsid w:val="00B35850"/>
    <w:rsid w:val="00B376D2"/>
    <w:rsid w:val="00B4174C"/>
    <w:rsid w:val="00B453F5"/>
    <w:rsid w:val="00B518D0"/>
    <w:rsid w:val="00B532CE"/>
    <w:rsid w:val="00B61624"/>
    <w:rsid w:val="00B66481"/>
    <w:rsid w:val="00B66B96"/>
    <w:rsid w:val="00B7189C"/>
    <w:rsid w:val="00B718A5"/>
    <w:rsid w:val="00B80339"/>
    <w:rsid w:val="00B90AD6"/>
    <w:rsid w:val="00B94D80"/>
    <w:rsid w:val="00BA2D31"/>
    <w:rsid w:val="00BA788A"/>
    <w:rsid w:val="00BB4983"/>
    <w:rsid w:val="00BB7597"/>
    <w:rsid w:val="00BC2AAB"/>
    <w:rsid w:val="00BC62E2"/>
    <w:rsid w:val="00BF02DC"/>
    <w:rsid w:val="00BF1C1D"/>
    <w:rsid w:val="00BF6526"/>
    <w:rsid w:val="00C01ADF"/>
    <w:rsid w:val="00C04827"/>
    <w:rsid w:val="00C12550"/>
    <w:rsid w:val="00C32BEB"/>
    <w:rsid w:val="00C370A0"/>
    <w:rsid w:val="00C37820"/>
    <w:rsid w:val="00C42125"/>
    <w:rsid w:val="00C442EC"/>
    <w:rsid w:val="00C50217"/>
    <w:rsid w:val="00C62814"/>
    <w:rsid w:val="00C62BE6"/>
    <w:rsid w:val="00C67B25"/>
    <w:rsid w:val="00C71909"/>
    <w:rsid w:val="00C748F7"/>
    <w:rsid w:val="00C74937"/>
    <w:rsid w:val="00C84EEE"/>
    <w:rsid w:val="00C9195E"/>
    <w:rsid w:val="00CA116E"/>
    <w:rsid w:val="00CA6409"/>
    <w:rsid w:val="00CB2599"/>
    <w:rsid w:val="00CC0F44"/>
    <w:rsid w:val="00CC4D05"/>
    <w:rsid w:val="00CD2139"/>
    <w:rsid w:val="00CD2497"/>
    <w:rsid w:val="00CD6848"/>
    <w:rsid w:val="00CE1E6E"/>
    <w:rsid w:val="00CE4F57"/>
    <w:rsid w:val="00CE5986"/>
    <w:rsid w:val="00CF34C4"/>
    <w:rsid w:val="00D05720"/>
    <w:rsid w:val="00D11885"/>
    <w:rsid w:val="00D35690"/>
    <w:rsid w:val="00D50EAD"/>
    <w:rsid w:val="00D647EF"/>
    <w:rsid w:val="00D73137"/>
    <w:rsid w:val="00D745B2"/>
    <w:rsid w:val="00D939C9"/>
    <w:rsid w:val="00D949F2"/>
    <w:rsid w:val="00D977A2"/>
    <w:rsid w:val="00DA1D47"/>
    <w:rsid w:val="00DA2616"/>
    <w:rsid w:val="00DC00D9"/>
    <w:rsid w:val="00DC774A"/>
    <w:rsid w:val="00DD50DE"/>
    <w:rsid w:val="00DE3062"/>
    <w:rsid w:val="00DE72D5"/>
    <w:rsid w:val="00E0581D"/>
    <w:rsid w:val="00E147BF"/>
    <w:rsid w:val="00E204DD"/>
    <w:rsid w:val="00E26A19"/>
    <w:rsid w:val="00E353EC"/>
    <w:rsid w:val="00E447F5"/>
    <w:rsid w:val="00E51F61"/>
    <w:rsid w:val="00E53C24"/>
    <w:rsid w:val="00E56E77"/>
    <w:rsid w:val="00E71046"/>
    <w:rsid w:val="00E72E36"/>
    <w:rsid w:val="00E74C30"/>
    <w:rsid w:val="00E87795"/>
    <w:rsid w:val="00EA3673"/>
    <w:rsid w:val="00EB444D"/>
    <w:rsid w:val="00ED3010"/>
    <w:rsid w:val="00ED5B66"/>
    <w:rsid w:val="00EE5C0D"/>
    <w:rsid w:val="00EF4792"/>
    <w:rsid w:val="00F02294"/>
    <w:rsid w:val="00F156F4"/>
    <w:rsid w:val="00F30DE7"/>
    <w:rsid w:val="00F35F57"/>
    <w:rsid w:val="00F44D3D"/>
    <w:rsid w:val="00F50467"/>
    <w:rsid w:val="00F50A5E"/>
    <w:rsid w:val="00F56258"/>
    <w:rsid w:val="00F562A0"/>
    <w:rsid w:val="00F57FA4"/>
    <w:rsid w:val="00FA02CB"/>
    <w:rsid w:val="00FA1BC3"/>
    <w:rsid w:val="00FA2177"/>
    <w:rsid w:val="00FA58EB"/>
    <w:rsid w:val="00FB0783"/>
    <w:rsid w:val="00FB7A8B"/>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740128"/>
    <w:rPr>
      <w:color w:val="605E5C"/>
      <w:shd w:val="clear" w:color="auto" w:fill="E1DFDD"/>
    </w:rPr>
  </w:style>
  <w:style w:type="character" w:customStyle="1" w:styleId="Mention1">
    <w:name w:val="Mention1"/>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customStyle="1" w:styleId="Hashtag1">
    <w:name w:val="Hashtag1"/>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12E67"/>
    <w:rPr>
      <w:u w:val="dotted"/>
    </w:rPr>
  </w:style>
  <w:style w:type="character" w:customStyle="1" w:styleId="SmartLink1">
    <w:name w:val="SmartLink1"/>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rsid w:val="00900EF1"/>
  </w:style>
  <w:style w:type="paragraph" w:customStyle="1" w:styleId="TSBHeaderSource">
    <w:name w:val="TSBHeaderSource"/>
    <w:basedOn w:val="Normal"/>
    <w:rsid w:val="00900EF1"/>
  </w:style>
  <w:style w:type="paragraph" w:customStyle="1" w:styleId="TSBHeaderTitle">
    <w:name w:val="TSBHeaderTitle"/>
    <w:basedOn w:val="Normal"/>
    <w:rsid w:val="00900EF1"/>
  </w:style>
  <w:style w:type="paragraph" w:customStyle="1" w:styleId="TSBHeaderSummary">
    <w:name w:val="TSBHeaderSummary"/>
    <w:basedOn w:val="Normal"/>
    <w:rsid w:val="00900EF1"/>
  </w:style>
  <w:style w:type="paragraph" w:customStyle="1" w:styleId="LSApproval">
    <w:name w:val="LSApproval"/>
    <w:basedOn w:val="Normal"/>
    <w:rsid w:val="00695FC2"/>
    <w:rPr>
      <w:b/>
      <w:bCs/>
    </w:rPr>
  </w:style>
  <w:style w:type="character" w:customStyle="1" w:styleId="-">
    <w:name w:val="Интернет-ссылка"/>
    <w:basedOn w:val="DefaultParagraphFont"/>
    <w:uiPriority w:val="99"/>
    <w:rsid w:val="000C2290"/>
    <w:rPr>
      <w:rFonts w:asciiTheme="majorBidi" w:hAnsiTheme="majorBidi"/>
      <w:color w:val="0000FF"/>
      <w:u w:val="single"/>
    </w:rPr>
  </w:style>
  <w:style w:type="paragraph" w:customStyle="1" w:styleId="AnnexNo">
    <w:name w:val="Annex_No"/>
    <w:basedOn w:val="Normal"/>
    <w:next w:val="Normal"/>
    <w:rsid w:val="00641C75"/>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641C75"/>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ListParagraphChar">
    <w:name w:val="List Paragraph Char"/>
    <w:link w:val="ListParagraph"/>
    <w:uiPriority w:val="34"/>
    <w:rsid w:val="007462FD"/>
    <w:rPr>
      <w:rFonts w:ascii="Times New Roman" w:hAnsi="Times New Roman" w:cs="Times New Roman"/>
      <w:sz w:val="24"/>
      <w:szCs w:val="24"/>
      <w:lang w:val="en-GB" w:eastAsia="ja-JP"/>
    </w:rPr>
  </w:style>
  <w:style w:type="character" w:customStyle="1" w:styleId="UnresolvedMention2">
    <w:name w:val="Unresolved Mention2"/>
    <w:basedOn w:val="DefaultParagraphFont"/>
    <w:uiPriority w:val="99"/>
    <w:semiHidden/>
    <w:unhideWhenUsed/>
    <w:rsid w:val="00A4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792">
      <w:bodyDiv w:val="1"/>
      <w:marLeft w:val="0"/>
      <w:marRight w:val="0"/>
      <w:marTop w:val="0"/>
      <w:marBottom w:val="0"/>
      <w:divBdr>
        <w:top w:val="none" w:sz="0" w:space="0" w:color="auto"/>
        <w:left w:val="none" w:sz="0" w:space="0" w:color="auto"/>
        <w:bottom w:val="none" w:sz="0" w:space="0" w:color="auto"/>
        <w:right w:val="none" w:sz="0" w:space="0" w:color="auto"/>
      </w:divBdr>
    </w:div>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1277563912">
      <w:bodyDiv w:val="1"/>
      <w:marLeft w:val="0"/>
      <w:marRight w:val="0"/>
      <w:marTop w:val="0"/>
      <w:marBottom w:val="0"/>
      <w:divBdr>
        <w:top w:val="none" w:sz="0" w:space="0" w:color="auto"/>
        <w:left w:val="none" w:sz="0" w:space="0" w:color="auto"/>
        <w:bottom w:val="none" w:sz="0" w:space="0" w:color="auto"/>
        <w:right w:val="none" w:sz="0" w:space="0" w:color="auto"/>
      </w:divBdr>
    </w:div>
    <w:div w:id="1281377502">
      <w:bodyDiv w:val="1"/>
      <w:marLeft w:val="0"/>
      <w:marRight w:val="0"/>
      <w:marTop w:val="0"/>
      <w:marBottom w:val="0"/>
      <w:divBdr>
        <w:top w:val="none" w:sz="0" w:space="0" w:color="auto"/>
        <w:left w:val="none" w:sz="0" w:space="0" w:color="auto"/>
        <w:bottom w:val="none" w:sz="0" w:space="0" w:color="auto"/>
        <w:right w:val="none" w:sz="0" w:space="0" w:color="auto"/>
      </w:divBdr>
    </w:div>
    <w:div w:id="13364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jay.mauree@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fang@caict.ac.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bias.kaufmann@bnetza.de" TargetMode="External"/><Relationship Id="rId5" Type="http://schemas.openxmlformats.org/officeDocument/2006/relationships/styles" Target="styles.xml"/><Relationship Id="rId15" Type="http://schemas.openxmlformats.org/officeDocument/2006/relationships/hyperlink" Target="https://www.itu.int/dms_pub/itu-t/opb/res/T-RES-T.11-2022-PDF-E.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dms_pub/itu-t/opb/res/T-RES-T.11-2022-PD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A02A634D-8C1C-48E0-8DF5-C16C9F28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Basic_Liaison_Statement.dotx</Template>
  <TotalTime>2</TotalTime>
  <Pages>2</Pages>
  <Words>627</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 on further cooperation and mutual interest between ITU-T and UPU under Resolution 11 WTSA  </vt:lpstr>
      <vt:lpstr>LS/r on updates on new Joint Coordination Activity on Machine Learning (JCA-ML) [to ITU-T SG13]</vt:lpstr>
    </vt:vector>
  </TitlesOfParts>
  <Manager>ITU-T</Manager>
  <Company>International Telecommunication Union (ITU)</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further cooperation and mutual interest between ITU-T and UPU under Resolution 11 WTSA</dc:title>
  <dc:subject/>
  <dc:creator>Evgeny Tonkikh</dc:creator>
  <cp:keywords/>
  <dc:description>SG2-LS2  For: Virtual, 10-20 May 2022_x000d_Document date: _x000d_Saved by ITU51014924 at 10:28:52 on 21.05.2022</dc:description>
  <cp:lastModifiedBy>Al-Mnini, Lara</cp:lastModifiedBy>
  <cp:revision>3</cp:revision>
  <cp:lastPrinted>2016-12-23T12:52:00Z</cp:lastPrinted>
  <dcterms:created xsi:type="dcterms:W3CDTF">2023-06-02T06:13:00Z</dcterms:created>
  <dcterms:modified xsi:type="dcterms:W3CDTF">2023-06-02T06:15:00Z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SG2-LS2</vt:lpwstr>
  </property>
  <property fmtid="{D5CDD505-2E9C-101B-9397-08002B2CF9AE}" pid="4" name="Docdate">
    <vt:lpwstr/>
  </property>
  <property fmtid="{D5CDD505-2E9C-101B-9397-08002B2CF9AE}" pid="5" name="Docorlang">
    <vt:lpwstr/>
  </property>
  <property fmtid="{D5CDD505-2E9C-101B-9397-08002B2CF9AE}" pid="6" name="Docbluepink">
    <vt:lpwstr>1/17</vt:lpwstr>
  </property>
  <property fmtid="{D5CDD505-2E9C-101B-9397-08002B2CF9AE}" pid="7" name="Docdest">
    <vt:lpwstr>Virtual, 10-20 May 2022</vt:lpwstr>
  </property>
  <property fmtid="{D5CDD505-2E9C-101B-9397-08002B2CF9AE}" pid="8" name="Docauthor">
    <vt:lpwstr>ITU-T Study Group 17</vt:lpwstr>
  </property>
</Properties>
</file>