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55"/>
        <w:gridCol w:w="4026"/>
        <w:gridCol w:w="4026"/>
      </w:tblGrid>
      <w:tr w:rsidR="00C2158D" w:rsidRPr="00C2158D" w14:paraId="15A1E6C3" w14:textId="77777777" w:rsidTr="00C2158D">
        <w:trPr>
          <w:cantSplit/>
        </w:trPr>
        <w:tc>
          <w:tcPr>
            <w:tcW w:w="1132" w:type="dxa"/>
            <w:vMerge w:val="restart"/>
            <w:vAlign w:val="center"/>
          </w:tcPr>
          <w:p w14:paraId="0600D1ED" w14:textId="77777777" w:rsidR="00C2158D" w:rsidRPr="00C2158D" w:rsidRDefault="00C2158D" w:rsidP="00C2158D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C2158D">
              <w:rPr>
                <w:noProof/>
              </w:rPr>
              <w:drawing>
                <wp:inline distT="0" distB="0" distL="0" distR="0" wp14:anchorId="78381393" wp14:editId="1A53DAD4">
                  <wp:extent cx="647700" cy="705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2"/>
            <w:vMerge w:val="restart"/>
          </w:tcPr>
          <w:p w14:paraId="688231FC" w14:textId="77777777" w:rsidR="00C2158D" w:rsidRPr="00C2158D" w:rsidRDefault="00C2158D" w:rsidP="00C2158D">
            <w:pPr>
              <w:rPr>
                <w:sz w:val="16"/>
                <w:szCs w:val="16"/>
              </w:rPr>
            </w:pPr>
            <w:r w:rsidRPr="00C2158D">
              <w:rPr>
                <w:sz w:val="16"/>
                <w:szCs w:val="16"/>
              </w:rPr>
              <w:t>INTERNATIONAL TELECOMMUNICATION UNION</w:t>
            </w:r>
          </w:p>
          <w:p w14:paraId="65C475EC" w14:textId="77777777" w:rsidR="00C2158D" w:rsidRPr="00C2158D" w:rsidRDefault="00C2158D" w:rsidP="00C2158D">
            <w:pPr>
              <w:rPr>
                <w:b/>
                <w:bCs/>
                <w:sz w:val="26"/>
                <w:szCs w:val="26"/>
              </w:rPr>
            </w:pPr>
            <w:r w:rsidRPr="00C2158D">
              <w:rPr>
                <w:b/>
                <w:bCs/>
                <w:sz w:val="26"/>
                <w:szCs w:val="26"/>
              </w:rPr>
              <w:t>TELECOMMUNICATION</w:t>
            </w:r>
            <w:r w:rsidRPr="00C2158D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3CECD5B9" w14:textId="77777777" w:rsidR="00C2158D" w:rsidRPr="00C2158D" w:rsidRDefault="00C2158D" w:rsidP="00C2158D">
            <w:pPr>
              <w:rPr>
                <w:sz w:val="20"/>
                <w:szCs w:val="20"/>
              </w:rPr>
            </w:pPr>
            <w:r w:rsidRPr="00C2158D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C2158D">
              <w:rPr>
                <w:sz w:val="20"/>
              </w:rPr>
              <w:t>2022</w:t>
            </w:r>
            <w:r w:rsidRPr="00C2158D">
              <w:rPr>
                <w:sz w:val="20"/>
                <w:szCs w:val="20"/>
              </w:rPr>
              <w:t>-</w:t>
            </w:r>
            <w:r w:rsidRPr="00C2158D">
              <w:rPr>
                <w:sz w:val="20"/>
              </w:rPr>
              <w:t>2024</w:t>
            </w:r>
            <w:bookmarkEnd w:id="2"/>
          </w:p>
        </w:tc>
        <w:tc>
          <w:tcPr>
            <w:tcW w:w="4026" w:type="dxa"/>
            <w:vAlign w:val="center"/>
          </w:tcPr>
          <w:p w14:paraId="64CFDEC4" w14:textId="3328980B" w:rsidR="00C2158D" w:rsidRPr="00C2158D" w:rsidRDefault="00C2158D" w:rsidP="00C2158D">
            <w:pPr>
              <w:pStyle w:val="Docnumber"/>
            </w:pPr>
            <w:r>
              <w:t>TSAG-TD277</w:t>
            </w:r>
          </w:p>
        </w:tc>
      </w:tr>
      <w:tr w:rsidR="00C2158D" w:rsidRPr="00C2158D" w14:paraId="03CF7AB0" w14:textId="77777777" w:rsidTr="00C2158D">
        <w:trPr>
          <w:cantSplit/>
        </w:trPr>
        <w:tc>
          <w:tcPr>
            <w:tcW w:w="1132" w:type="dxa"/>
            <w:vMerge/>
          </w:tcPr>
          <w:p w14:paraId="7F1E8D58" w14:textId="77777777" w:rsidR="00C2158D" w:rsidRPr="00C2158D" w:rsidRDefault="00C2158D" w:rsidP="00C2158D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481" w:type="dxa"/>
            <w:gridSpan w:val="2"/>
            <w:vMerge/>
          </w:tcPr>
          <w:p w14:paraId="52216640" w14:textId="77777777" w:rsidR="00C2158D" w:rsidRPr="00C2158D" w:rsidRDefault="00C2158D" w:rsidP="00C2158D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665C73B3" w14:textId="4E732A3F" w:rsidR="00C2158D" w:rsidRPr="00C2158D" w:rsidRDefault="00C2158D" w:rsidP="00C2158D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3"/>
      <w:tr w:rsidR="00C2158D" w:rsidRPr="00C2158D" w14:paraId="4A3CC798" w14:textId="77777777" w:rsidTr="00C2158D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49A2718D" w14:textId="77777777" w:rsidR="00C2158D" w:rsidRPr="00C2158D" w:rsidRDefault="00C2158D" w:rsidP="00C2158D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2"/>
            <w:vMerge/>
            <w:tcBorders>
              <w:bottom w:val="single" w:sz="12" w:space="0" w:color="auto"/>
            </w:tcBorders>
          </w:tcPr>
          <w:p w14:paraId="77EB103A" w14:textId="77777777" w:rsidR="00C2158D" w:rsidRPr="00C2158D" w:rsidRDefault="00C2158D" w:rsidP="00C2158D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0FDA7164" w14:textId="77777777" w:rsidR="00C2158D" w:rsidRPr="00C2158D" w:rsidRDefault="00C2158D" w:rsidP="00C2158D">
            <w:pPr>
              <w:pStyle w:val="TSBHeaderRight14"/>
            </w:pPr>
            <w:r w:rsidRPr="00C2158D">
              <w:t>Original: English</w:t>
            </w:r>
          </w:p>
        </w:tc>
      </w:tr>
      <w:tr w:rsidR="00C2158D" w:rsidRPr="00C2158D" w14:paraId="371A7A04" w14:textId="77777777" w:rsidTr="00C2158D">
        <w:trPr>
          <w:cantSplit/>
        </w:trPr>
        <w:tc>
          <w:tcPr>
            <w:tcW w:w="1587" w:type="dxa"/>
            <w:gridSpan w:val="2"/>
          </w:tcPr>
          <w:p w14:paraId="18C1E9E3" w14:textId="77777777" w:rsidR="00C2158D" w:rsidRPr="00C2158D" w:rsidRDefault="00C2158D" w:rsidP="00C2158D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C2158D">
              <w:rPr>
                <w:b/>
                <w:bCs/>
              </w:rPr>
              <w:t>Question(s):</w:t>
            </w:r>
          </w:p>
        </w:tc>
        <w:tc>
          <w:tcPr>
            <w:tcW w:w="4026" w:type="dxa"/>
          </w:tcPr>
          <w:p w14:paraId="623670DF" w14:textId="375D99B7" w:rsidR="00C2158D" w:rsidRPr="00C2158D" w:rsidRDefault="00C2158D" w:rsidP="00C2158D">
            <w:pPr>
              <w:pStyle w:val="TSBHeaderQuestion"/>
            </w:pPr>
            <w:r w:rsidRPr="00C2158D">
              <w:t>RG-WPR</w:t>
            </w:r>
          </w:p>
        </w:tc>
        <w:tc>
          <w:tcPr>
            <w:tcW w:w="4026" w:type="dxa"/>
          </w:tcPr>
          <w:p w14:paraId="5D94F8D2" w14:textId="1CDED268" w:rsidR="00C2158D" w:rsidRPr="00C2158D" w:rsidRDefault="00C2158D" w:rsidP="00C2158D">
            <w:pPr>
              <w:pStyle w:val="VenueDate"/>
            </w:pPr>
            <w:r w:rsidRPr="00C2158D">
              <w:t>Geneva, 30 May - 2 June 2023</w:t>
            </w:r>
          </w:p>
        </w:tc>
      </w:tr>
      <w:tr w:rsidR="00C2158D" w:rsidRPr="00C2158D" w14:paraId="3FDAEE9B" w14:textId="77777777" w:rsidTr="005F7827">
        <w:trPr>
          <w:cantSplit/>
        </w:trPr>
        <w:tc>
          <w:tcPr>
            <w:tcW w:w="9639" w:type="dxa"/>
            <w:gridSpan w:val="4"/>
          </w:tcPr>
          <w:p w14:paraId="0DC7AA3F" w14:textId="15FC4C13" w:rsidR="00C2158D" w:rsidRPr="00C2158D" w:rsidRDefault="00C2158D" w:rsidP="00C2158D">
            <w:pPr>
              <w:jc w:val="center"/>
              <w:rPr>
                <w:b/>
                <w:bCs/>
              </w:rPr>
            </w:pPr>
            <w:bookmarkStart w:id="6" w:name="ddoctype"/>
            <w:bookmarkEnd w:id="4"/>
            <w:bookmarkEnd w:id="5"/>
            <w:r w:rsidRPr="00C2158D">
              <w:rPr>
                <w:b/>
                <w:bCs/>
              </w:rPr>
              <w:t>TD</w:t>
            </w:r>
          </w:p>
        </w:tc>
      </w:tr>
      <w:tr w:rsidR="00C2158D" w:rsidRPr="00C2158D" w14:paraId="3EDDD9B9" w14:textId="77777777" w:rsidTr="00C2158D">
        <w:trPr>
          <w:cantSplit/>
        </w:trPr>
        <w:tc>
          <w:tcPr>
            <w:tcW w:w="1587" w:type="dxa"/>
            <w:gridSpan w:val="2"/>
          </w:tcPr>
          <w:p w14:paraId="4D00813B" w14:textId="77777777" w:rsidR="00C2158D" w:rsidRPr="00C2158D" w:rsidRDefault="00C2158D" w:rsidP="00C2158D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C2158D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2"/>
          </w:tcPr>
          <w:p w14:paraId="276A94DE" w14:textId="2B3A99DA" w:rsidR="00C2158D" w:rsidRPr="00C2158D" w:rsidRDefault="00C2158D" w:rsidP="00C2158D">
            <w:pPr>
              <w:pStyle w:val="TSBHeaderSource"/>
            </w:pPr>
            <w:r w:rsidRPr="00C2158D">
              <w:t>Chairman, WP2/TSAG</w:t>
            </w:r>
          </w:p>
        </w:tc>
      </w:tr>
      <w:tr w:rsidR="00C2158D" w:rsidRPr="00C2158D" w14:paraId="709AA851" w14:textId="77777777" w:rsidTr="00C2158D">
        <w:trPr>
          <w:cantSplit/>
        </w:trPr>
        <w:tc>
          <w:tcPr>
            <w:tcW w:w="1587" w:type="dxa"/>
            <w:gridSpan w:val="2"/>
            <w:tcBorders>
              <w:bottom w:val="single" w:sz="8" w:space="0" w:color="auto"/>
            </w:tcBorders>
          </w:tcPr>
          <w:p w14:paraId="5FF65636" w14:textId="77777777" w:rsidR="00C2158D" w:rsidRPr="00C2158D" w:rsidRDefault="00C2158D" w:rsidP="00C2158D">
            <w:pPr>
              <w:rPr>
                <w:b/>
                <w:bCs/>
              </w:rPr>
            </w:pPr>
            <w:bookmarkStart w:id="8" w:name="dtitle1" w:colFirst="1" w:colLast="1"/>
            <w:bookmarkEnd w:id="7"/>
            <w:r w:rsidRPr="00C2158D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2"/>
            <w:tcBorders>
              <w:bottom w:val="single" w:sz="8" w:space="0" w:color="auto"/>
            </w:tcBorders>
          </w:tcPr>
          <w:p w14:paraId="085644D1" w14:textId="022D1146" w:rsidR="00C2158D" w:rsidRPr="00C2158D" w:rsidRDefault="00C2158D" w:rsidP="00C2158D">
            <w:pPr>
              <w:pStyle w:val="TSBHeaderTitle"/>
            </w:pPr>
            <w:r w:rsidRPr="00C2158D">
              <w:t>Updated matrix of work areas across the ITU-T study groups</w:t>
            </w:r>
          </w:p>
        </w:tc>
      </w:tr>
      <w:tr w:rsidR="00632AA5" w:rsidRPr="00C2158D" w14:paraId="24DB2768" w14:textId="77777777" w:rsidTr="00627B14">
        <w:trPr>
          <w:cantSplit/>
        </w:trPr>
        <w:tc>
          <w:tcPr>
            <w:tcW w:w="15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D0AB8E6" w14:textId="77777777" w:rsidR="00632AA5" w:rsidRPr="00136DDD" w:rsidRDefault="00632AA5" w:rsidP="00632AA5">
            <w:pPr>
              <w:rPr>
                <w:b/>
                <w:bCs/>
              </w:rPr>
            </w:pPr>
            <w:bookmarkStart w:id="9" w:name="dcontact"/>
            <w:bookmarkEnd w:id="1"/>
            <w:bookmarkEnd w:id="8"/>
            <w:r w:rsidRPr="2149A48D">
              <w:rPr>
                <w:b/>
                <w:bCs/>
              </w:rPr>
              <w:t>Contact:</w:t>
            </w:r>
          </w:p>
        </w:tc>
        <w:tc>
          <w:tcPr>
            <w:tcW w:w="4026" w:type="dxa"/>
            <w:tcBorders>
              <w:top w:val="single" w:sz="8" w:space="0" w:color="auto"/>
              <w:bottom w:val="single" w:sz="8" w:space="0" w:color="auto"/>
            </w:tcBorders>
          </w:tcPr>
          <w:p w14:paraId="7F644138" w14:textId="751F0B46" w:rsidR="00632AA5" w:rsidRPr="00801B42" w:rsidRDefault="00632AA5" w:rsidP="00632AA5">
            <w:proofErr w:type="spellStart"/>
            <w:r>
              <w:rPr>
                <w:color w:val="000000"/>
              </w:rPr>
              <w:t>Gaëlle</w:t>
            </w:r>
            <w:proofErr w:type="spellEnd"/>
            <w:r>
              <w:rPr>
                <w:color w:val="000000"/>
              </w:rPr>
              <w:t xml:space="preserve"> Martin-</w:t>
            </w:r>
            <w:proofErr w:type="spellStart"/>
            <w:r>
              <w:rPr>
                <w:color w:val="000000"/>
              </w:rPr>
              <w:t>Cocher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InterDigital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 xml:space="preserve">Canada </w:t>
            </w:r>
          </w:p>
        </w:tc>
        <w:tc>
          <w:tcPr>
            <w:tcW w:w="4026" w:type="dxa"/>
            <w:tcBorders>
              <w:top w:val="single" w:sz="8" w:space="0" w:color="auto"/>
              <w:bottom w:val="single" w:sz="8" w:space="0" w:color="auto"/>
            </w:tcBorders>
          </w:tcPr>
          <w:p w14:paraId="4426F03D" w14:textId="024780CC" w:rsidR="00632AA5" w:rsidRPr="00C2158D" w:rsidRDefault="00632AA5" w:rsidP="00632AA5">
            <w:pPr>
              <w:tabs>
                <w:tab w:val="left" w:pos="794"/>
              </w:tabs>
              <w:rPr>
                <w:lang w:val="de-DE"/>
              </w:rPr>
            </w:pPr>
            <w:r>
              <w:rPr>
                <w:color w:val="000000"/>
                <w:lang w:val="de-DE"/>
              </w:rPr>
              <w:t xml:space="preserve">E-mail: </w:t>
            </w:r>
            <w:r>
              <w:fldChar w:fldCharType="begin"/>
            </w:r>
            <w:r w:rsidRPr="00C2158D">
              <w:rPr>
                <w:lang w:val="de-DE"/>
              </w:rPr>
              <w:instrText>HYPERLINK "mailto:Gaelle.Martin-Cocher@InterDigital.com"</w:instrText>
            </w:r>
            <w:r>
              <w:fldChar w:fldCharType="separate"/>
            </w:r>
            <w:r>
              <w:rPr>
                <w:rStyle w:val="Hyperlink"/>
                <w:lang w:val="de-DE"/>
              </w:rPr>
              <w:t>Gaelle.Martin-Cocher@InterDigital.com</w:t>
            </w:r>
            <w:r>
              <w:rPr>
                <w:rStyle w:val="Hyperlink"/>
                <w:lang w:val="de-DE"/>
              </w:rPr>
              <w:fldChar w:fldCharType="end"/>
            </w:r>
            <w:r>
              <w:rPr>
                <w:color w:val="000000"/>
                <w:lang w:val="de-DE"/>
              </w:rPr>
              <w:t xml:space="preserve"> </w:t>
            </w:r>
          </w:p>
        </w:tc>
      </w:tr>
      <w:tr w:rsidR="00632AA5" w:rsidRPr="00C2158D" w14:paraId="5F7CD43A" w14:textId="77777777" w:rsidTr="00627B14">
        <w:trPr>
          <w:cantSplit/>
        </w:trPr>
        <w:tc>
          <w:tcPr>
            <w:tcW w:w="15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683930E" w14:textId="77777777" w:rsidR="00632AA5" w:rsidRPr="00136DDD" w:rsidRDefault="00632AA5" w:rsidP="00632AA5">
            <w:pPr>
              <w:rPr>
                <w:b/>
                <w:bCs/>
              </w:rPr>
            </w:pPr>
            <w:bookmarkStart w:id="10" w:name="dcontact1"/>
            <w:bookmarkStart w:id="11" w:name="dcontent" w:colFirst="1" w:colLast="1"/>
            <w:bookmarkEnd w:id="9"/>
            <w:r w:rsidRPr="2149A48D">
              <w:rPr>
                <w:b/>
                <w:bCs/>
              </w:rPr>
              <w:t>Contact:</w:t>
            </w:r>
          </w:p>
        </w:tc>
        <w:tc>
          <w:tcPr>
            <w:tcW w:w="4026" w:type="dxa"/>
            <w:tcBorders>
              <w:top w:val="single" w:sz="8" w:space="0" w:color="auto"/>
              <w:bottom w:val="single" w:sz="8" w:space="0" w:color="auto"/>
            </w:tcBorders>
          </w:tcPr>
          <w:p w14:paraId="00AD4480" w14:textId="775E5873" w:rsidR="00632AA5" w:rsidRPr="00801B42" w:rsidRDefault="00632AA5" w:rsidP="00632AA5">
            <w:r>
              <w:t>Miho Naganuma</w:t>
            </w:r>
            <w:r>
              <w:br/>
              <w:t>NEC Corporation</w:t>
            </w:r>
            <w:r>
              <w:br/>
              <w:t>Japan</w:t>
            </w:r>
          </w:p>
        </w:tc>
        <w:tc>
          <w:tcPr>
            <w:tcW w:w="4026" w:type="dxa"/>
            <w:tcBorders>
              <w:top w:val="single" w:sz="8" w:space="0" w:color="auto"/>
              <w:bottom w:val="single" w:sz="8" w:space="0" w:color="auto"/>
            </w:tcBorders>
          </w:tcPr>
          <w:p w14:paraId="12298FC3" w14:textId="7B70491A" w:rsidR="00632AA5" w:rsidRPr="00C2158D" w:rsidRDefault="00632AA5" w:rsidP="00632AA5">
            <w:pPr>
              <w:tabs>
                <w:tab w:val="left" w:pos="794"/>
              </w:tabs>
              <w:rPr>
                <w:lang w:val="de-DE"/>
              </w:rPr>
            </w:pPr>
            <w:r>
              <w:rPr>
                <w:lang w:val="de-DE"/>
              </w:rPr>
              <w:t>Tel: +81 70 1000 7370</w:t>
            </w:r>
            <w:r>
              <w:rPr>
                <w:lang w:val="de-DE"/>
              </w:rPr>
              <w:br/>
              <w:t xml:space="preserve">E-mail: </w:t>
            </w:r>
            <w:r>
              <w:fldChar w:fldCharType="begin"/>
            </w:r>
            <w:r w:rsidRPr="00C2158D">
              <w:rPr>
                <w:lang w:val="de-DE"/>
              </w:rPr>
              <w:instrText>HYPERLINK "mailto:m_naganuma@nec.com"</w:instrText>
            </w:r>
            <w:r>
              <w:fldChar w:fldCharType="separate"/>
            </w:r>
            <w:r>
              <w:rPr>
                <w:rStyle w:val="Hyperlink"/>
                <w:lang w:val="de-DE"/>
              </w:rPr>
              <w:t>m_naganuma@nec.com</w:t>
            </w:r>
            <w:r>
              <w:rPr>
                <w:rStyle w:val="Hyperlink"/>
                <w:lang w:val="de-DE"/>
              </w:rPr>
              <w:fldChar w:fldCharType="end"/>
            </w:r>
            <w:r>
              <w:rPr>
                <w:lang w:val="de-DE"/>
              </w:rPr>
              <w:t xml:space="preserve"> </w:t>
            </w:r>
          </w:p>
        </w:tc>
      </w:tr>
      <w:bookmarkEnd w:id="10"/>
      <w:bookmarkEnd w:id="11"/>
    </w:tbl>
    <w:p w14:paraId="2320258D" w14:textId="77777777" w:rsidR="00BF2487" w:rsidRPr="00C2158D" w:rsidRDefault="00BF2487" w:rsidP="0089088E">
      <w:pPr>
        <w:rPr>
          <w:lang w:val="de-DE"/>
        </w:rPr>
      </w:pPr>
    </w:p>
    <w:tbl>
      <w:tblPr>
        <w:tblW w:w="963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89088E" w:rsidRPr="0037415F" w14:paraId="7D0F8B1C" w14:textId="77777777" w:rsidTr="00B53D1B">
        <w:trPr>
          <w:cantSplit/>
          <w:jc w:val="center"/>
        </w:trPr>
        <w:tc>
          <w:tcPr>
            <w:tcW w:w="1418" w:type="dxa"/>
          </w:tcPr>
          <w:p w14:paraId="72CA09B8" w14:textId="77777777" w:rsidR="0089088E" w:rsidRPr="008F7104" w:rsidRDefault="0089088E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tc>
          <w:tcPr>
            <w:tcW w:w="8221" w:type="dxa"/>
          </w:tcPr>
          <w:p w14:paraId="4BE3CBD5" w14:textId="50974E15" w:rsidR="0089088E" w:rsidRDefault="00C2158D" w:rsidP="001B5FB0">
            <w:pPr>
              <w:pStyle w:val="TSBHeaderSummary"/>
            </w:pPr>
            <w:sdt>
              <w:sdtPr>
                <w:alias w:val="Abstract"/>
                <w:tag w:val="Abstract"/>
                <w:id w:val="-939903723"/>
                <w:placeholder>
                  <w:docPart w:val="AC14B36049EE4F7F9B8ACAEB3B0ACAED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    <w:text w:multiLine="1"/>
              </w:sdtPr>
              <w:sdtEndPr/>
              <w:sdtContent>
                <w:r w:rsidR="00FB2725">
                  <w:t xml:space="preserve">This document presents a revised matrix of work areas across the ITU-T study groups that reflects input received </w:t>
                </w:r>
                <w:r w:rsidR="006F2E82">
                  <w:t>through</w:t>
                </w:r>
                <w:r w:rsidR="00FB2725">
                  <w:t xml:space="preserve"> </w:t>
                </w:r>
                <w:r w:rsidR="006F2E82">
                  <w:t>31</w:t>
                </w:r>
                <w:r w:rsidR="00FB2725">
                  <w:t xml:space="preserve"> May 2023.</w:t>
                </w:r>
              </w:sdtContent>
            </w:sdt>
          </w:p>
        </w:tc>
      </w:tr>
    </w:tbl>
    <w:p w14:paraId="58589E1E" w14:textId="77777777" w:rsidR="0089088E" w:rsidRDefault="0089088E" w:rsidP="0089088E"/>
    <w:p w14:paraId="18201B31" w14:textId="77777777" w:rsidR="00E01896" w:rsidRDefault="00E01896" w:rsidP="00E01896">
      <w:pPr>
        <w:rPr>
          <w:b/>
          <w:bCs/>
        </w:rPr>
      </w:pPr>
      <w:bookmarkStart w:id="12" w:name="_Hlk98415917"/>
      <w:r>
        <w:rPr>
          <w:b/>
          <w:bCs/>
        </w:rPr>
        <w:t>Introduction</w:t>
      </w:r>
    </w:p>
    <w:p w14:paraId="1019F661" w14:textId="2860A9DF" w:rsidR="00C330E3" w:rsidRDefault="00C330E3" w:rsidP="00E01896">
      <w:pPr>
        <w:jc w:val="both"/>
      </w:pPr>
      <w:r>
        <w:t xml:space="preserve">At its 15 March 2023 virtual meeting, TSAG RG-WPR considered </w:t>
      </w:r>
      <w:r w:rsidR="00D02E3B">
        <w:t>a m</w:t>
      </w:r>
      <w:r w:rsidR="00D02E3B" w:rsidRPr="00D02E3B">
        <w:t>atrix of work areas across the ITU-T study groups</w:t>
      </w:r>
      <w:r w:rsidR="00D02E3B">
        <w:t xml:space="preserve"> </w:t>
      </w:r>
      <w:r>
        <w:t>to assist</w:t>
      </w:r>
      <w:r w:rsidRPr="002D6C79">
        <w:t xml:space="preserve"> </w:t>
      </w:r>
      <w:r>
        <w:t>with the analysis of possible alternative structures for ITU-T</w:t>
      </w:r>
      <w:r w:rsidR="00D02E3B">
        <w:t>. Following that meeting, t</w:t>
      </w:r>
      <w:r>
        <w:t xml:space="preserve">he assistance of the study group chairpersons </w:t>
      </w:r>
      <w:r w:rsidR="00D02E3B">
        <w:t>wa</w:t>
      </w:r>
      <w:r>
        <w:t xml:space="preserve">s sought </w:t>
      </w:r>
      <w:r w:rsidR="00D02E3B">
        <w:t xml:space="preserve">through correspondence </w:t>
      </w:r>
      <w:r>
        <w:t>to review</w:t>
      </w:r>
      <w:r w:rsidRPr="000163BA">
        <w:t xml:space="preserve"> </w:t>
      </w:r>
      <w:r w:rsidRPr="00CD68FC">
        <w:t xml:space="preserve">and, if necessary, </w:t>
      </w:r>
      <w:r>
        <w:t xml:space="preserve">to </w:t>
      </w:r>
      <w:r w:rsidRPr="00CD68FC">
        <w:t>revis</w:t>
      </w:r>
      <w:r>
        <w:t xml:space="preserve">e </w:t>
      </w:r>
      <w:r w:rsidR="00D02E3B">
        <w:t>that matrix</w:t>
      </w:r>
      <w:r>
        <w:t>.</w:t>
      </w:r>
      <w:r w:rsidR="00D02E3B">
        <w:t xml:space="preserve">  The present document presents a revised matrix that reflects the responses received </w:t>
      </w:r>
      <w:r w:rsidR="006F2E82">
        <w:t>through 31</w:t>
      </w:r>
      <w:r w:rsidR="00D02E3B">
        <w:t xml:space="preserve"> May 2023.</w:t>
      </w:r>
    </w:p>
    <w:p w14:paraId="3692B70B" w14:textId="77777777" w:rsidR="00E01896" w:rsidRDefault="00E01896" w:rsidP="00E01896"/>
    <w:p w14:paraId="3584E1BC" w14:textId="77777777" w:rsidR="00E01896" w:rsidRDefault="00E01896" w:rsidP="00E01896">
      <w:pPr>
        <w:rPr>
          <w:b/>
          <w:bCs/>
        </w:rPr>
      </w:pPr>
      <w:r>
        <w:rPr>
          <w:b/>
          <w:bCs/>
        </w:rPr>
        <w:t>Discussion</w:t>
      </w:r>
    </w:p>
    <w:p w14:paraId="0DF2EB87" w14:textId="308B6397" w:rsidR="00E01896" w:rsidRDefault="0001614D" w:rsidP="003F32FB">
      <w:pPr>
        <w:jc w:val="both"/>
      </w:pPr>
      <w:r>
        <w:t xml:space="preserve">The attachment to this document </w:t>
      </w:r>
      <w:r w:rsidR="00684BE4">
        <w:t>shows the revised</w:t>
      </w:r>
      <w:r w:rsidR="006626E9">
        <w:t xml:space="preserve"> </w:t>
      </w:r>
      <w:r w:rsidR="00D352B6">
        <w:t xml:space="preserve">table.  This revision reflects the responses received from </w:t>
      </w:r>
      <w:r w:rsidR="009A1595">
        <w:t xml:space="preserve">the management teams of </w:t>
      </w:r>
      <w:r w:rsidR="006F2E82">
        <w:t xml:space="preserve">all </w:t>
      </w:r>
      <w:r w:rsidR="00D352B6">
        <w:t>ITU-T S</w:t>
      </w:r>
      <w:r w:rsidR="009A1595">
        <w:t>tudy Groups</w:t>
      </w:r>
      <w:r w:rsidR="003F32FB">
        <w:t>.</w:t>
      </w:r>
    </w:p>
    <w:p w14:paraId="748EC912" w14:textId="77777777" w:rsidR="004F6296" w:rsidRPr="004F6296" w:rsidRDefault="004F6296" w:rsidP="00E01896"/>
    <w:p w14:paraId="3B425DDB" w14:textId="737BEF0D" w:rsidR="00E01896" w:rsidRDefault="00E01896" w:rsidP="00E01896">
      <w:pPr>
        <w:rPr>
          <w:b/>
          <w:bCs/>
        </w:rPr>
      </w:pPr>
      <w:r>
        <w:rPr>
          <w:b/>
          <w:bCs/>
        </w:rPr>
        <w:t>Summary</w:t>
      </w:r>
    </w:p>
    <w:p w14:paraId="7C175CCB" w14:textId="0806F2A0" w:rsidR="00E01896" w:rsidRDefault="006E356E" w:rsidP="009C61FB">
      <w:pPr>
        <w:jc w:val="both"/>
      </w:pPr>
      <w:r>
        <w:t>The revised m</w:t>
      </w:r>
      <w:r w:rsidRPr="00D02E3B">
        <w:t>atrix of work areas across the ITU-T study groups</w:t>
      </w:r>
      <w:r>
        <w:t xml:space="preserve"> can be used in the further </w:t>
      </w:r>
      <w:r w:rsidR="00C845AE">
        <w:t>studies within RG-WPR</w:t>
      </w:r>
      <w:r w:rsidR="00AC52CF">
        <w:t>.</w:t>
      </w:r>
    </w:p>
    <w:bookmarkEnd w:id="12"/>
    <w:p w14:paraId="157E6C22" w14:textId="42CD6A40" w:rsidR="00886A80" w:rsidRDefault="00886A80" w:rsidP="005B562F">
      <w:pPr>
        <w:spacing w:before="0" w:after="160" w:line="256" w:lineRule="auto"/>
        <w:jc w:val="center"/>
        <w:sectPr w:rsidR="00886A80" w:rsidSect="00C2158D">
          <w:headerReference w:type="default" r:id="rId12"/>
          <w:pgSz w:w="11907" w:h="16840" w:code="9"/>
          <w:pgMar w:top="1134" w:right="1134" w:bottom="1134" w:left="1134" w:header="720" w:footer="720" w:gutter="0"/>
          <w:cols w:space="720"/>
          <w:titlePg/>
          <w:docGrid w:linePitch="360"/>
        </w:sectPr>
      </w:pPr>
    </w:p>
    <w:p w14:paraId="43634D47" w14:textId="77777777" w:rsidR="005B562F" w:rsidRPr="005B562F" w:rsidRDefault="005B562F" w:rsidP="005B562F">
      <w:pPr>
        <w:jc w:val="center"/>
        <w:rPr>
          <w:b/>
          <w:bCs/>
        </w:rPr>
      </w:pPr>
      <w:r w:rsidRPr="005B562F">
        <w:rPr>
          <w:b/>
          <w:bCs/>
        </w:rPr>
        <w:lastRenderedPageBreak/>
        <w:t>Attachment</w:t>
      </w:r>
    </w:p>
    <w:p w14:paraId="248EF545" w14:textId="5398633A" w:rsidR="005B562F" w:rsidRPr="005B562F" w:rsidRDefault="005B562F" w:rsidP="005B562F">
      <w:pPr>
        <w:spacing w:after="120"/>
        <w:jc w:val="center"/>
        <w:rPr>
          <w:b/>
          <w:bCs/>
        </w:rPr>
      </w:pPr>
      <w:r w:rsidRPr="005B562F">
        <w:rPr>
          <w:rFonts w:eastAsia="Times New Roman"/>
          <w:b/>
          <w:bCs/>
          <w:lang w:val="en-US" w:eastAsia="en-US"/>
        </w:rPr>
        <w:t>Revised matrix of work areas across the ITU-T study groups</w:t>
      </w:r>
    </w:p>
    <w:tbl>
      <w:tblPr>
        <w:tblW w:w="14105" w:type="dxa"/>
        <w:tblInd w:w="-10" w:type="dxa"/>
        <w:tblLook w:val="04A0" w:firstRow="1" w:lastRow="0" w:firstColumn="1" w:lastColumn="0" w:noHBand="0" w:noVBand="1"/>
      </w:tblPr>
      <w:tblGrid>
        <w:gridCol w:w="3067"/>
        <w:gridCol w:w="1005"/>
        <w:gridCol w:w="1003"/>
        <w:gridCol w:w="1007"/>
        <w:gridCol w:w="1004"/>
        <w:gridCol w:w="1004"/>
        <w:gridCol w:w="1000"/>
        <w:gridCol w:w="1006"/>
        <w:gridCol w:w="997"/>
        <w:gridCol w:w="1006"/>
        <w:gridCol w:w="1004"/>
        <w:gridCol w:w="1002"/>
      </w:tblGrid>
      <w:tr w:rsidR="00A42561" w:rsidRPr="00886A80" w14:paraId="3C592F8C" w14:textId="77777777" w:rsidTr="00E2273E">
        <w:trPr>
          <w:cantSplit/>
          <w:trHeight w:val="576"/>
          <w:tblHeader/>
        </w:trPr>
        <w:tc>
          <w:tcPr>
            <w:tcW w:w="30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3689DE3" w14:textId="77777777" w:rsidR="006C6DE5" w:rsidRPr="00886A80" w:rsidRDefault="006C6DE5" w:rsidP="00886A80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Work Areas</w:t>
            </w:r>
          </w:p>
        </w:tc>
        <w:tc>
          <w:tcPr>
            <w:tcW w:w="100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1E7CA8D" w14:textId="77777777" w:rsidR="006C6DE5" w:rsidRPr="00886A80" w:rsidRDefault="006C6DE5" w:rsidP="00886A80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SG2 </w:t>
            </w:r>
          </w:p>
        </w:tc>
        <w:tc>
          <w:tcPr>
            <w:tcW w:w="100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6452848C" w14:textId="77777777" w:rsidR="006C6DE5" w:rsidRPr="00886A80" w:rsidRDefault="006C6DE5" w:rsidP="00886A80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SG3</w:t>
            </w:r>
          </w:p>
        </w:tc>
        <w:tc>
          <w:tcPr>
            <w:tcW w:w="100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CB3DC7B" w14:textId="77777777" w:rsidR="006C6DE5" w:rsidRPr="00886A80" w:rsidRDefault="006C6DE5" w:rsidP="00886A80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SG5</w:t>
            </w:r>
          </w:p>
        </w:tc>
        <w:tc>
          <w:tcPr>
            <w:tcW w:w="100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2B1E2A8F" w14:textId="77777777" w:rsidR="006C6DE5" w:rsidRPr="00886A80" w:rsidRDefault="006C6DE5" w:rsidP="00886A80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SG9</w:t>
            </w:r>
          </w:p>
        </w:tc>
        <w:tc>
          <w:tcPr>
            <w:tcW w:w="100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3F537B8D" w14:textId="77777777" w:rsidR="006C6DE5" w:rsidRPr="00886A80" w:rsidRDefault="006C6DE5" w:rsidP="00886A80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SG11</w:t>
            </w:r>
          </w:p>
        </w:tc>
        <w:tc>
          <w:tcPr>
            <w:tcW w:w="100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00B7B4A1" w14:textId="77777777" w:rsidR="006C6DE5" w:rsidRPr="00886A80" w:rsidRDefault="006C6DE5" w:rsidP="00886A80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SG12</w:t>
            </w:r>
          </w:p>
        </w:tc>
        <w:tc>
          <w:tcPr>
            <w:tcW w:w="100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22994740" w14:textId="77777777" w:rsidR="006C6DE5" w:rsidRPr="00886A80" w:rsidRDefault="006C6DE5" w:rsidP="00886A80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SG13</w:t>
            </w:r>
          </w:p>
        </w:tc>
        <w:tc>
          <w:tcPr>
            <w:tcW w:w="99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D4F3605" w14:textId="77777777" w:rsidR="006C6DE5" w:rsidRPr="00886A80" w:rsidRDefault="006C6DE5" w:rsidP="00886A80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SG15</w:t>
            </w:r>
          </w:p>
        </w:tc>
        <w:tc>
          <w:tcPr>
            <w:tcW w:w="100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2D84602" w14:textId="77777777" w:rsidR="006C6DE5" w:rsidRPr="00886A80" w:rsidRDefault="006C6DE5" w:rsidP="00886A80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SG16</w:t>
            </w:r>
          </w:p>
        </w:tc>
        <w:tc>
          <w:tcPr>
            <w:tcW w:w="100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E02710E" w14:textId="77777777" w:rsidR="006C6DE5" w:rsidRPr="00886A80" w:rsidRDefault="006C6DE5" w:rsidP="00886A80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SG17</w:t>
            </w:r>
          </w:p>
        </w:tc>
        <w:tc>
          <w:tcPr>
            <w:tcW w:w="100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0EB7CDA7" w14:textId="77777777" w:rsidR="006C6DE5" w:rsidRPr="00886A80" w:rsidRDefault="006C6DE5" w:rsidP="00886A80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SG20</w:t>
            </w:r>
          </w:p>
        </w:tc>
      </w:tr>
      <w:tr w:rsidR="00A42561" w:rsidRPr="00886A80" w14:paraId="2134B71D" w14:textId="77777777" w:rsidTr="001677F5">
        <w:trPr>
          <w:trHeight w:val="288"/>
        </w:trPr>
        <w:tc>
          <w:tcPr>
            <w:tcW w:w="3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1EA52" w14:textId="104D75AA" w:rsidR="006C6DE5" w:rsidRPr="00886A80" w:rsidRDefault="006C6DE5" w:rsidP="00886A80">
            <w:pPr>
              <w:spacing w:before="0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Numbering/addressing/Identif</w:t>
            </w:r>
            <w:r w:rsidR="00543E0D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i</w:t>
            </w:r>
            <w:r w:rsidRPr="00886A80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cation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01996" w14:textId="77777777" w:rsidR="006C6DE5" w:rsidRPr="00886A80" w:rsidRDefault="006C6DE5" w:rsidP="005B562F">
            <w:pPr>
              <w:spacing w:before="0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color w:val="FF0000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9131" w14:textId="259C142F" w:rsidR="006C6DE5" w:rsidRPr="00886A80" w:rsidRDefault="006C6DE5" w:rsidP="005B562F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8EED3" w14:textId="6FBF0432" w:rsidR="006C6DE5" w:rsidRPr="00886A80" w:rsidRDefault="006C6DE5" w:rsidP="005B562F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EEF65" w14:textId="0E10EA0D" w:rsidR="006C6DE5" w:rsidRPr="00886A80" w:rsidRDefault="006C6DE5" w:rsidP="005B562F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2A7E5" w14:textId="77777777" w:rsidR="006C6DE5" w:rsidRPr="00886A80" w:rsidRDefault="006C6DE5" w:rsidP="005B562F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(Q2/11)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FCA7E" w14:textId="39EFC02D" w:rsidR="006C6DE5" w:rsidRPr="00886A80" w:rsidRDefault="006C6DE5" w:rsidP="005B562F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8167F" w14:textId="3DAC54D1" w:rsidR="006C6DE5" w:rsidRPr="00886A80" w:rsidRDefault="006C6DE5" w:rsidP="005B562F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3CDFF" w14:textId="173EA0EF" w:rsidR="006C6DE5" w:rsidRPr="00886A80" w:rsidRDefault="006C6DE5" w:rsidP="005B562F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26A87" w14:textId="58B09D7B" w:rsidR="006C6DE5" w:rsidRPr="00886A80" w:rsidRDefault="006C6DE5" w:rsidP="005B562F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DB467" w14:textId="7F9244C2" w:rsidR="006C6DE5" w:rsidRPr="00844D11" w:rsidRDefault="00844D11" w:rsidP="005B562F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44D1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(Q11/17)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EBAE4" w14:textId="453DC248" w:rsidR="006C6DE5" w:rsidRPr="00886A80" w:rsidRDefault="006C6DE5" w:rsidP="005B562F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(Q6/20)</w:t>
            </w:r>
          </w:p>
        </w:tc>
      </w:tr>
      <w:tr w:rsidR="00A42561" w:rsidRPr="00886A80" w14:paraId="2726BE41" w14:textId="77777777" w:rsidTr="0063591E">
        <w:trPr>
          <w:trHeight w:val="340"/>
        </w:trPr>
        <w:tc>
          <w:tcPr>
            <w:tcW w:w="3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97CB" w14:textId="67C2FC89" w:rsidR="003418A7" w:rsidRPr="00886A80" w:rsidRDefault="003418A7" w:rsidP="003418A7">
            <w:pPr>
              <w:spacing w:before="0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Operation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al aspects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E6CE3" w14:textId="77777777" w:rsidR="003418A7" w:rsidRPr="00886A80" w:rsidRDefault="003418A7" w:rsidP="003418A7">
            <w:pPr>
              <w:spacing w:before="0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color w:val="FF0000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423D2" w14:textId="6D5316A6" w:rsidR="003418A7" w:rsidRPr="00886A80" w:rsidRDefault="003418A7" w:rsidP="003418A7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6F0F0C" w14:textId="71A9ADE9" w:rsidR="003418A7" w:rsidRPr="003418A7" w:rsidRDefault="003418A7" w:rsidP="003418A7">
            <w:pPr>
              <w:spacing w:before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 w:eastAsia="en-US"/>
              </w:rPr>
            </w:pPr>
            <w:r w:rsidRPr="003418A7">
              <w:rPr>
                <w:rFonts w:eastAsia="Times New Roman"/>
                <w:b/>
                <w:bCs/>
                <w:sz w:val="18"/>
                <w:szCs w:val="18"/>
                <w:lang w:val="en-US" w:eastAsia="en-US"/>
              </w:rPr>
              <w:t>(Q6,</w:t>
            </w:r>
            <w:r w:rsidR="00564863">
              <w:rPr>
                <w:rFonts w:eastAsia="Times New Roman"/>
                <w:b/>
                <w:bCs/>
                <w:sz w:val="18"/>
                <w:szCs w:val="18"/>
                <w:lang w:val="en-US" w:eastAsia="en-US"/>
              </w:rPr>
              <w:t xml:space="preserve"> </w:t>
            </w:r>
            <w:r w:rsidRPr="003418A7">
              <w:rPr>
                <w:rFonts w:eastAsia="Times New Roman"/>
                <w:b/>
                <w:bCs/>
                <w:sz w:val="18"/>
                <w:szCs w:val="18"/>
                <w:lang w:val="en-US" w:eastAsia="en-US"/>
              </w:rPr>
              <w:t>12/5)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11E71" w14:textId="2E88D3CE" w:rsidR="003418A7" w:rsidRPr="00886A80" w:rsidRDefault="003418A7" w:rsidP="003418A7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9C225" w14:textId="523255B5" w:rsidR="003418A7" w:rsidRPr="00886A80" w:rsidRDefault="003418A7" w:rsidP="003418A7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9F144" w14:textId="5873E1C0" w:rsidR="003418A7" w:rsidRPr="00886A80" w:rsidRDefault="003418A7" w:rsidP="003418A7">
            <w:pPr>
              <w:spacing w:before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sz w:val="18"/>
                <w:szCs w:val="18"/>
                <w:lang w:val="en-US" w:eastAsia="en-US"/>
              </w:rPr>
              <w:t>X</w:t>
            </w:r>
            <w:r>
              <w:rPr>
                <w:rStyle w:val="FootnoteReference"/>
                <w:rFonts w:eastAsia="Times New Roman"/>
                <w:b/>
                <w:bCs/>
                <w:sz w:val="18"/>
                <w:szCs w:val="18"/>
                <w:lang w:val="en-US" w:eastAsia="en-US"/>
              </w:rPr>
              <w:footnoteReference w:id="1"/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97FDE" w14:textId="700EF2B8" w:rsidR="003418A7" w:rsidRPr="00886A80" w:rsidRDefault="003418A7" w:rsidP="003418A7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B2A09" w14:textId="08826140" w:rsidR="003418A7" w:rsidRPr="00886A80" w:rsidRDefault="003418A7" w:rsidP="003418A7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87290" w14:textId="0CD99704" w:rsidR="003418A7" w:rsidRPr="00886A80" w:rsidRDefault="003418A7" w:rsidP="003418A7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FC93D" w14:textId="128321DD" w:rsidR="003418A7" w:rsidRPr="00844D11" w:rsidRDefault="003418A7" w:rsidP="003418A7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81B94" w14:textId="4BB6D19C" w:rsidR="003418A7" w:rsidRPr="00886A80" w:rsidRDefault="003418A7" w:rsidP="003418A7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A42561" w:rsidRPr="00886A80" w14:paraId="700615E2" w14:textId="77777777" w:rsidTr="0063591E">
        <w:trPr>
          <w:trHeight w:val="300"/>
        </w:trPr>
        <w:tc>
          <w:tcPr>
            <w:tcW w:w="3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D9404" w14:textId="77777777" w:rsidR="003418A7" w:rsidRPr="00886A80" w:rsidRDefault="003418A7" w:rsidP="003418A7">
            <w:pPr>
              <w:spacing w:before="0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Policy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7B2BA" w14:textId="62AD1E23" w:rsidR="003418A7" w:rsidRPr="00886A80" w:rsidRDefault="003418A7" w:rsidP="003418A7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07550" w14:textId="77777777" w:rsidR="003418A7" w:rsidRPr="00886A80" w:rsidRDefault="003418A7" w:rsidP="003418A7">
            <w:pPr>
              <w:spacing w:before="0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color w:val="FF0000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7185E8" w14:textId="2FF392D3" w:rsidR="003418A7" w:rsidRPr="003418A7" w:rsidRDefault="003418A7" w:rsidP="003418A7">
            <w:pPr>
              <w:spacing w:before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AFB42" w14:textId="5E23B3DB" w:rsidR="003418A7" w:rsidRPr="00886A80" w:rsidRDefault="003418A7" w:rsidP="003418A7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5F50E" w14:textId="1CE26D3C" w:rsidR="003418A7" w:rsidRPr="00886A80" w:rsidRDefault="003418A7" w:rsidP="003418A7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7115F" w14:textId="23C44802" w:rsidR="003418A7" w:rsidRPr="00886A80" w:rsidRDefault="003418A7" w:rsidP="003418A7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249F1" w14:textId="61E5B306" w:rsidR="003418A7" w:rsidRPr="00886A80" w:rsidRDefault="003418A7" w:rsidP="003418A7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B99FC" w14:textId="530DD8F0" w:rsidR="003418A7" w:rsidRPr="00886A80" w:rsidRDefault="003418A7" w:rsidP="003418A7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F4712" w14:textId="55484CC6" w:rsidR="003418A7" w:rsidRPr="00886A80" w:rsidRDefault="003418A7" w:rsidP="003418A7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62DF1" w14:textId="51B61CBF" w:rsidR="003418A7" w:rsidRPr="00844D11" w:rsidRDefault="003418A7" w:rsidP="003418A7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D5D6D" w14:textId="5279BCE7" w:rsidR="003418A7" w:rsidRPr="00886A80" w:rsidRDefault="003418A7" w:rsidP="003418A7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A42561" w:rsidRPr="00886A80" w14:paraId="594B4E26" w14:textId="77777777" w:rsidTr="001677F5">
        <w:trPr>
          <w:trHeight w:val="288"/>
        </w:trPr>
        <w:tc>
          <w:tcPr>
            <w:tcW w:w="3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25F89" w14:textId="77777777" w:rsidR="003418A7" w:rsidRPr="00886A80" w:rsidRDefault="003418A7" w:rsidP="003418A7">
            <w:pPr>
              <w:spacing w:before="0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ICT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C9558" w14:textId="4091793F" w:rsidR="003418A7" w:rsidRPr="003436BC" w:rsidRDefault="003418A7" w:rsidP="003418A7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vertAlign w:val="superscript"/>
                <w:lang w:val="en-US" w:eastAsia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  <w:t>X</w:t>
            </w:r>
            <w:r w:rsidR="00FE5B92">
              <w:rPr>
                <w:rStyle w:val="FootnoteReference"/>
                <w:rFonts w:eastAsia="Times New Roman"/>
                <w:color w:val="000000"/>
                <w:sz w:val="18"/>
                <w:szCs w:val="18"/>
                <w:lang w:val="en-US" w:eastAsia="en-US"/>
              </w:rPr>
              <w:footnoteReference w:id="2"/>
            </w:r>
            <w:r w:rsidR="008F07D3" w:rsidRPr="00755F71">
              <w:rPr>
                <w:rFonts w:eastAsia="Times New Roman"/>
                <w:color w:val="000000"/>
                <w:sz w:val="18"/>
                <w:szCs w:val="18"/>
                <w:vertAlign w:val="superscript"/>
                <w:lang w:val="en-US" w:eastAsia="en-US"/>
              </w:rPr>
              <w:t>,</w:t>
            </w:r>
            <w:r w:rsidR="00755F71" w:rsidRPr="00755F71">
              <w:rPr>
                <w:rFonts w:eastAsia="Times New Roman"/>
                <w:color w:val="000000"/>
                <w:sz w:val="18"/>
                <w:szCs w:val="18"/>
                <w:vertAlign w:val="superscript"/>
                <w:lang w:val="en-US" w:eastAsia="en-US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A3C0A" w14:textId="77777777" w:rsidR="003418A7" w:rsidRPr="00886A80" w:rsidRDefault="003418A7" w:rsidP="003418A7">
            <w:pPr>
              <w:spacing w:before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sz w:val="18"/>
                <w:szCs w:val="18"/>
                <w:lang w:val="en-US" w:eastAsia="en-US"/>
              </w:rPr>
              <w:t>(Q3/3)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E3B20" w14:textId="7CE1B64D" w:rsidR="003418A7" w:rsidRPr="003418A7" w:rsidRDefault="003418A7" w:rsidP="000533A6">
            <w:pPr>
              <w:spacing w:before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 w:eastAsia="en-US"/>
              </w:rPr>
            </w:pPr>
            <w:r w:rsidRPr="003418A7">
              <w:rPr>
                <w:rFonts w:eastAsia="Times New Roman"/>
                <w:b/>
                <w:bCs/>
                <w:sz w:val="18"/>
                <w:szCs w:val="18"/>
                <w:lang w:val="en-US" w:eastAsia="en-US"/>
              </w:rPr>
              <w:t>(Q7/5</w:t>
            </w:r>
            <w:r w:rsidR="00755F71" w:rsidRPr="00755F71">
              <w:rPr>
                <w:rFonts w:eastAsia="Times New Roman"/>
                <w:b/>
                <w:bCs/>
                <w:sz w:val="18"/>
                <w:szCs w:val="18"/>
                <w:vertAlign w:val="superscript"/>
                <w:lang w:val="en-US" w:eastAsia="en-US"/>
              </w:rPr>
              <w:t>4</w:t>
            </w:r>
            <w:r w:rsidRPr="003418A7">
              <w:rPr>
                <w:rFonts w:eastAsia="Times New Roman"/>
                <w:b/>
                <w:bCs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F1F41" w14:textId="0C36F3A3" w:rsidR="003418A7" w:rsidRPr="00886A80" w:rsidRDefault="003418A7" w:rsidP="003418A7">
            <w:pPr>
              <w:spacing w:before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sz w:val="18"/>
                <w:szCs w:val="18"/>
                <w:lang w:val="en-US" w:eastAsia="en-US"/>
              </w:rPr>
              <w:t>(Q6/9)</w:t>
            </w:r>
            <w:r w:rsidR="00996905">
              <w:rPr>
                <w:rStyle w:val="FootnoteReference"/>
                <w:rFonts w:eastAsia="Times New Roman"/>
                <w:b/>
                <w:bCs/>
                <w:sz w:val="18"/>
                <w:szCs w:val="18"/>
                <w:lang w:val="en-US" w:eastAsia="en-US"/>
              </w:rPr>
              <w:footnoteReference w:id="3"/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ED848" w14:textId="28BCDFF0" w:rsidR="003418A7" w:rsidRPr="00886A80" w:rsidRDefault="003418A7" w:rsidP="003418A7">
            <w:pPr>
              <w:spacing w:before="0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color w:val="FF0000"/>
                <w:sz w:val="18"/>
                <w:szCs w:val="18"/>
                <w:lang w:val="en-US" w:eastAsia="en-US"/>
              </w:rPr>
              <w:t>X</w:t>
            </w:r>
            <w:r>
              <w:rPr>
                <w:rStyle w:val="FootnoteReference"/>
                <w:rFonts w:eastAsia="Times New Roman"/>
                <w:b/>
                <w:bCs/>
                <w:color w:val="FF0000"/>
                <w:sz w:val="18"/>
                <w:szCs w:val="18"/>
                <w:lang w:val="en-US" w:eastAsia="en-US"/>
              </w:rPr>
              <w:footnoteReference w:id="4"/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C0990" w14:textId="74A3C5CE" w:rsidR="003418A7" w:rsidRPr="00886A80" w:rsidRDefault="003418A7" w:rsidP="003418A7">
            <w:pPr>
              <w:spacing w:before="0"/>
              <w:jc w:val="center"/>
              <w:rPr>
                <w:rFonts w:eastAsia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7B720" w14:textId="49E861A7" w:rsidR="003418A7" w:rsidRPr="00886A80" w:rsidRDefault="003418A7" w:rsidP="003418A7">
            <w:pPr>
              <w:spacing w:before="0"/>
              <w:jc w:val="center"/>
              <w:rPr>
                <w:rFonts w:eastAsia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909FC" w14:textId="72F71A35" w:rsidR="003418A7" w:rsidRPr="00886A80" w:rsidRDefault="003418A7" w:rsidP="003418A7">
            <w:pPr>
              <w:spacing w:before="0"/>
              <w:jc w:val="center"/>
              <w:rPr>
                <w:rFonts w:eastAsia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0EDB3" w14:textId="0CB55B98" w:rsidR="003418A7" w:rsidRPr="00886A80" w:rsidRDefault="003418A7" w:rsidP="003418A7">
            <w:pPr>
              <w:spacing w:before="0"/>
              <w:jc w:val="center"/>
              <w:rPr>
                <w:rFonts w:eastAsia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BCE1D" w14:textId="3C61ADB5" w:rsidR="003418A7" w:rsidRPr="00844D11" w:rsidRDefault="007B4CEA" w:rsidP="003418A7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(Q6/17)</w:t>
            </w:r>
            <w:r w:rsidRPr="007B4CEA">
              <w:rPr>
                <w:rFonts w:eastAsia="Times New Roman"/>
                <w:b/>
                <w:bCs/>
                <w:color w:val="000000"/>
                <w:sz w:val="18"/>
                <w:szCs w:val="18"/>
                <w:vertAlign w:val="superscript"/>
                <w:lang w:val="en-US" w:eastAsia="en-US"/>
              </w:rPr>
              <w:t>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ED919" w14:textId="7082BF3E" w:rsidR="003418A7" w:rsidRPr="00886A80" w:rsidRDefault="003418A7" w:rsidP="003418A7">
            <w:pPr>
              <w:spacing w:before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 w:eastAsia="en-US"/>
              </w:rPr>
            </w:pPr>
          </w:p>
        </w:tc>
      </w:tr>
      <w:tr w:rsidR="00A42561" w:rsidRPr="00886A80" w14:paraId="57C60A4E" w14:textId="77777777" w:rsidTr="0063591E">
        <w:trPr>
          <w:trHeight w:val="300"/>
        </w:trPr>
        <w:tc>
          <w:tcPr>
            <w:tcW w:w="3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1FF3E" w14:textId="77777777" w:rsidR="006C6DE5" w:rsidRPr="00886A80" w:rsidRDefault="006C6DE5" w:rsidP="00886A80">
            <w:pPr>
              <w:spacing w:before="0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EMF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5EB3D" w14:textId="7D1C55F5" w:rsidR="006C6DE5" w:rsidRPr="00886A80" w:rsidRDefault="006C6DE5" w:rsidP="005B562F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E4BEB" w14:textId="431A8360" w:rsidR="006C6DE5" w:rsidRPr="00886A80" w:rsidRDefault="006C6DE5" w:rsidP="005B562F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33829" w14:textId="77777777" w:rsidR="006C6DE5" w:rsidRPr="00886A80" w:rsidRDefault="006C6DE5" w:rsidP="005B562F">
            <w:pPr>
              <w:spacing w:before="0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color w:val="FF0000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E42CD" w14:textId="6B2EDEF3" w:rsidR="006C6DE5" w:rsidRPr="00886A80" w:rsidRDefault="006C6DE5" w:rsidP="005B562F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59E5E" w14:textId="002C11C2" w:rsidR="006C6DE5" w:rsidRPr="00886A80" w:rsidRDefault="006C6DE5" w:rsidP="005B562F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96B91" w14:textId="35B1EE28" w:rsidR="006C6DE5" w:rsidRPr="00886A80" w:rsidRDefault="006C6DE5" w:rsidP="005B562F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07756" w14:textId="060A5498" w:rsidR="006C6DE5" w:rsidRPr="00886A80" w:rsidRDefault="006C6DE5" w:rsidP="005B562F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EFA08" w14:textId="555C07D6" w:rsidR="006C6DE5" w:rsidRPr="00886A80" w:rsidRDefault="006C6DE5" w:rsidP="005B562F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ACBF0" w14:textId="46A5748F" w:rsidR="006C6DE5" w:rsidRPr="00886A80" w:rsidRDefault="006C6DE5" w:rsidP="005B562F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E9785" w14:textId="5475674B" w:rsidR="006C6DE5" w:rsidRPr="00844D11" w:rsidRDefault="006C6DE5" w:rsidP="005B562F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7A15B" w14:textId="37087DD1" w:rsidR="006C6DE5" w:rsidRPr="00886A80" w:rsidRDefault="006C6DE5" w:rsidP="005B562F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A42561" w:rsidRPr="00886A80" w14:paraId="63F91C01" w14:textId="77777777" w:rsidTr="0063591E">
        <w:trPr>
          <w:trHeight w:val="590"/>
        </w:trPr>
        <w:tc>
          <w:tcPr>
            <w:tcW w:w="3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6420D" w14:textId="77777777" w:rsidR="006C6DE5" w:rsidRPr="00886A80" w:rsidRDefault="006C6DE5" w:rsidP="00886A80">
            <w:pPr>
              <w:spacing w:before="0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Environment/Climate Change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E3D48" w14:textId="5BCF7F09" w:rsidR="006C6DE5" w:rsidRPr="00886A80" w:rsidRDefault="006C6DE5" w:rsidP="005B562F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1BBAF" w14:textId="42495A61" w:rsidR="006C6DE5" w:rsidRPr="00886A80" w:rsidRDefault="006C6DE5" w:rsidP="005B562F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A222F" w14:textId="77777777" w:rsidR="006C6DE5" w:rsidRPr="00886A80" w:rsidRDefault="006C6DE5" w:rsidP="005B562F">
            <w:pPr>
              <w:spacing w:before="0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color w:val="FF0000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E3759" w14:textId="131D1A7A" w:rsidR="006C6DE5" w:rsidRPr="00886A80" w:rsidRDefault="006C6DE5" w:rsidP="005B562F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E15BF" w14:textId="5E8D68A0" w:rsidR="006C6DE5" w:rsidRPr="00886A80" w:rsidRDefault="006C6DE5" w:rsidP="005B562F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4EDA4" w14:textId="71F3A5B4" w:rsidR="006C6DE5" w:rsidRPr="00886A80" w:rsidRDefault="006C6DE5" w:rsidP="005B562F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DA1B1" w14:textId="2B28D397" w:rsidR="006C6DE5" w:rsidRPr="00886A80" w:rsidRDefault="006C6DE5" w:rsidP="005B562F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0D977" w14:textId="584A2298" w:rsidR="006C6DE5" w:rsidRPr="00886A80" w:rsidRDefault="006C6DE5" w:rsidP="005B562F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3A617" w14:textId="2F1DF9C9" w:rsidR="006C6DE5" w:rsidRPr="00886A80" w:rsidRDefault="006C6DE5" w:rsidP="005B562F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77D80" w14:textId="2C046252" w:rsidR="006C6DE5" w:rsidRPr="00844D11" w:rsidRDefault="006C6DE5" w:rsidP="005B562F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6535E" w14:textId="3F3CB683" w:rsidR="006C6DE5" w:rsidRPr="00886A80" w:rsidRDefault="006C6DE5" w:rsidP="005B562F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A42561" w:rsidRPr="00886A80" w14:paraId="064ED968" w14:textId="77777777" w:rsidTr="0063591E">
        <w:trPr>
          <w:trHeight w:val="300"/>
        </w:trPr>
        <w:tc>
          <w:tcPr>
            <w:tcW w:w="3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450EA" w14:textId="77777777" w:rsidR="00EB59EE" w:rsidRPr="00886A80" w:rsidRDefault="00EB59EE" w:rsidP="00EB59EE">
            <w:pPr>
              <w:spacing w:before="0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Broadband cable and TV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05421" w14:textId="17328773" w:rsidR="00EB59EE" w:rsidRPr="00886A80" w:rsidRDefault="00EB59EE" w:rsidP="00EB59EE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83BF9" w14:textId="088301AD" w:rsidR="00EB59EE" w:rsidRPr="00886A80" w:rsidRDefault="00EB59EE" w:rsidP="00EB59EE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18BF6" w14:textId="4C40938C" w:rsidR="00EB59EE" w:rsidRPr="00EB59EE" w:rsidRDefault="00EB59EE" w:rsidP="00EB59EE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B59EE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(Q6,</w:t>
            </w:r>
            <w:r w:rsidR="00490B97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EB59EE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9/5)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3214E" w14:textId="77777777" w:rsidR="00EB59EE" w:rsidRPr="00886A80" w:rsidRDefault="00EB59EE" w:rsidP="00EB59EE">
            <w:pPr>
              <w:spacing w:before="0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color w:val="FF0000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16503" w14:textId="5826FA15" w:rsidR="00EB59EE" w:rsidRPr="00886A80" w:rsidRDefault="00EB59EE" w:rsidP="00EB59EE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CD5FD" w14:textId="6A54EAF1" w:rsidR="00EB59EE" w:rsidRPr="00886A80" w:rsidRDefault="00EB59EE" w:rsidP="00EB59EE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A4A10" w14:textId="56C60E4B" w:rsidR="00EB59EE" w:rsidRPr="00886A80" w:rsidRDefault="00EB59EE" w:rsidP="00EB59EE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82B18" w14:textId="071F3EEC" w:rsidR="00EB59EE" w:rsidRPr="00886A80" w:rsidRDefault="00EB59EE" w:rsidP="00EB59EE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A050B" w14:textId="1A100C05" w:rsidR="00EB59EE" w:rsidRPr="00886A80" w:rsidRDefault="00EB59EE" w:rsidP="00EB59EE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(Q13,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886A80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11/16)</w:t>
            </w:r>
            <w:r w:rsidR="00996905">
              <w:rPr>
                <w:rStyle w:val="FootnoteReference"/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footnoteReference w:id="5"/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06239" w14:textId="00C275AE" w:rsidR="00EB59EE" w:rsidRPr="00844D11" w:rsidRDefault="00844D11" w:rsidP="00EB59EE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44D1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(Q11/17)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4D57C" w14:textId="0878A321" w:rsidR="00EB59EE" w:rsidRPr="00886A80" w:rsidRDefault="00EB59EE" w:rsidP="00EB59EE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A42561" w:rsidRPr="00886A80" w14:paraId="2490449B" w14:textId="77777777" w:rsidTr="0063591E">
        <w:trPr>
          <w:trHeight w:val="300"/>
        </w:trPr>
        <w:tc>
          <w:tcPr>
            <w:tcW w:w="3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718B7" w14:textId="77777777" w:rsidR="00EB59EE" w:rsidRPr="00886A80" w:rsidRDefault="00EB59EE" w:rsidP="00EB59EE">
            <w:pPr>
              <w:spacing w:before="0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Testing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56CC9" w14:textId="68D25117" w:rsidR="00EB59EE" w:rsidRPr="0032382B" w:rsidRDefault="00EB59EE" w:rsidP="00EB59EE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2382B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 (Q7/2)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B33E2" w14:textId="6334317A" w:rsidR="00EB59EE" w:rsidRPr="00886A80" w:rsidRDefault="00EB59EE" w:rsidP="00EB59EE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24F46" w14:textId="32D3C2D5" w:rsidR="00EB59EE" w:rsidRPr="00886A80" w:rsidRDefault="00EB59EE" w:rsidP="00EB59EE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B59EE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(Q2,</w:t>
            </w:r>
            <w:r w:rsidR="00490B97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EB59EE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6,</w:t>
            </w:r>
            <w:r w:rsidR="00490B97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EB59EE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7/5)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8191B" w14:textId="1438F428" w:rsidR="00EB59EE" w:rsidRPr="00886A80" w:rsidRDefault="00EB59EE" w:rsidP="00EB59EE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7F135" w14:textId="77777777" w:rsidR="00EB59EE" w:rsidRPr="00886A80" w:rsidRDefault="00EB59EE" w:rsidP="00EB59EE">
            <w:pPr>
              <w:spacing w:before="0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color w:val="FF0000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D5446" w14:textId="1AAC9CC4" w:rsidR="00EB59EE" w:rsidRPr="00886A80" w:rsidRDefault="00EB59EE" w:rsidP="00EB59EE">
            <w:pPr>
              <w:spacing w:before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sz w:val="18"/>
                <w:szCs w:val="18"/>
                <w:lang w:val="en-US" w:eastAsia="en-US"/>
              </w:rPr>
              <w:t>X</w:t>
            </w:r>
            <w:r>
              <w:rPr>
                <w:rStyle w:val="FootnoteReference"/>
                <w:rFonts w:eastAsia="Times New Roman"/>
                <w:b/>
                <w:bCs/>
                <w:sz w:val="18"/>
                <w:szCs w:val="18"/>
                <w:lang w:val="en-US" w:eastAsia="en-US"/>
              </w:rPr>
              <w:footnoteReference w:id="6"/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6C8FD" w14:textId="67FB6DE8" w:rsidR="00EB59EE" w:rsidRPr="00886A80" w:rsidRDefault="00EB59EE" w:rsidP="00EB59EE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9574A" w14:textId="33B45325" w:rsidR="00EB59EE" w:rsidRPr="00886A80" w:rsidRDefault="00EB59EE" w:rsidP="00EB59EE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6B9BB" w14:textId="27E68191" w:rsidR="00EB59EE" w:rsidRPr="00886A80" w:rsidRDefault="00EB59EE" w:rsidP="00EB59EE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FFA8C" w14:textId="17F1DCD3" w:rsidR="00EB59EE" w:rsidRPr="00886A80" w:rsidRDefault="00844D11" w:rsidP="00EB59EE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44D1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(Q2, 11/17)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BAEDE" w14:textId="51056A52" w:rsidR="00EB59EE" w:rsidRPr="00886A80" w:rsidRDefault="00EB59EE" w:rsidP="00EB59EE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A42561" w:rsidRPr="00886A80" w14:paraId="3645533F" w14:textId="77777777" w:rsidTr="0063591E">
        <w:trPr>
          <w:trHeight w:val="300"/>
        </w:trPr>
        <w:tc>
          <w:tcPr>
            <w:tcW w:w="3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4AC80" w14:textId="77777777" w:rsidR="0032382B" w:rsidRPr="00886A80" w:rsidRDefault="0032382B" w:rsidP="0032382B">
            <w:pPr>
              <w:spacing w:before="0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Signalling/Protocols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51F0F" w14:textId="677DCEB2" w:rsidR="0032382B" w:rsidRPr="0032382B" w:rsidRDefault="0032382B" w:rsidP="0032382B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2382B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 (WP1/2)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53986" w14:textId="62FD6C02" w:rsidR="0032382B" w:rsidRPr="00886A80" w:rsidRDefault="0032382B" w:rsidP="0032382B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C908F" w14:textId="2F257FB7" w:rsidR="0032382B" w:rsidRPr="00886A80" w:rsidRDefault="0032382B" w:rsidP="0032382B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2B7B6" w14:textId="77777777" w:rsidR="0032382B" w:rsidRPr="00886A80" w:rsidRDefault="0032382B" w:rsidP="0032382B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E7AF5" w14:textId="77777777" w:rsidR="0032382B" w:rsidRPr="00886A80" w:rsidRDefault="0032382B" w:rsidP="0032382B">
            <w:pPr>
              <w:spacing w:before="0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color w:val="FF0000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011E7" w14:textId="4CA1540A" w:rsidR="0032382B" w:rsidRPr="00886A80" w:rsidRDefault="0032382B" w:rsidP="0032382B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B78FF" w14:textId="6421E530" w:rsidR="0032382B" w:rsidRPr="00886A80" w:rsidRDefault="0032382B" w:rsidP="0032382B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DC3AC" w14:textId="03624F50" w:rsidR="0032382B" w:rsidRPr="00886A80" w:rsidRDefault="0032382B" w:rsidP="0032382B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8930D" w14:textId="77777777" w:rsidR="0032382B" w:rsidRPr="00886A80" w:rsidRDefault="0032382B" w:rsidP="0032382B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E0CFA" w14:textId="6D89609D" w:rsidR="0032382B" w:rsidRPr="00886A80" w:rsidRDefault="0032382B" w:rsidP="0032382B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48F96" w14:textId="4A4C5BD9" w:rsidR="0032382B" w:rsidRPr="00886A80" w:rsidRDefault="0032382B" w:rsidP="0032382B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A42561" w:rsidRPr="00886A80" w14:paraId="6734C38C" w14:textId="77777777" w:rsidTr="0063591E">
        <w:trPr>
          <w:trHeight w:val="530"/>
        </w:trPr>
        <w:tc>
          <w:tcPr>
            <w:tcW w:w="3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764FE" w14:textId="77777777" w:rsidR="0032382B" w:rsidRPr="00886A80" w:rsidRDefault="0032382B" w:rsidP="0032382B">
            <w:pPr>
              <w:spacing w:before="0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886A80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QoE</w:t>
            </w:r>
            <w:proofErr w:type="spellEnd"/>
            <w:r w:rsidRPr="00886A80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/QoS/Performance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6D880" w14:textId="606F7FB8" w:rsidR="0032382B" w:rsidRPr="0032382B" w:rsidRDefault="0032382B" w:rsidP="0032382B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2382B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(Q1/2)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C81D6" w14:textId="51C0A542" w:rsidR="0032382B" w:rsidRPr="00886A80" w:rsidRDefault="0032382B" w:rsidP="0032382B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DD8B2" w14:textId="6690B302" w:rsidR="0032382B" w:rsidRPr="00886A80" w:rsidRDefault="0032382B" w:rsidP="0032382B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ED225" w14:textId="5830525B" w:rsidR="0032382B" w:rsidRPr="00886A80" w:rsidRDefault="0032382B" w:rsidP="0032382B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0B919" w14:textId="77777777" w:rsidR="0032382B" w:rsidRPr="00886A80" w:rsidRDefault="0032382B" w:rsidP="0032382B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(Q6, 16/11)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9BE0A" w14:textId="77777777" w:rsidR="0032382B" w:rsidRPr="00886A80" w:rsidRDefault="0032382B" w:rsidP="0032382B">
            <w:pPr>
              <w:spacing w:before="0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color w:val="FF0000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C43D2" w14:textId="50D445D9" w:rsidR="0032382B" w:rsidRPr="00886A80" w:rsidRDefault="0032382B" w:rsidP="0032382B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(Q6/13)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2C65A" w14:textId="7A887909" w:rsidR="0032382B" w:rsidRPr="00886A80" w:rsidRDefault="0032382B" w:rsidP="0032382B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03639" w14:textId="60983AFD" w:rsidR="0032382B" w:rsidRPr="00886A80" w:rsidRDefault="0032382B" w:rsidP="0032382B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(Q11/16)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D0625" w14:textId="4B1BEB54" w:rsidR="0032382B" w:rsidRPr="00886A80" w:rsidRDefault="0032382B" w:rsidP="0032382B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18054" w14:textId="091FD32E" w:rsidR="0032382B" w:rsidRPr="00886A80" w:rsidRDefault="0032382B" w:rsidP="0032382B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(Q3/20)</w:t>
            </w:r>
          </w:p>
        </w:tc>
      </w:tr>
      <w:tr w:rsidR="00A42561" w:rsidRPr="00886A80" w14:paraId="4C673FBB" w14:textId="77777777" w:rsidTr="0063591E">
        <w:trPr>
          <w:trHeight w:val="300"/>
        </w:trPr>
        <w:tc>
          <w:tcPr>
            <w:tcW w:w="3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EB211" w14:textId="77777777" w:rsidR="00BF7CDD" w:rsidRPr="00886A80" w:rsidRDefault="00BF7CDD" w:rsidP="00BF7CDD">
            <w:pPr>
              <w:spacing w:before="0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Big Data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AAC32" w14:textId="24F54123" w:rsidR="00BF7CDD" w:rsidRPr="00886A80" w:rsidRDefault="00BF7CDD" w:rsidP="00BF7CDD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CEF46" w14:textId="77777777" w:rsidR="00BF7CDD" w:rsidRPr="00886A80" w:rsidRDefault="00BF7CDD" w:rsidP="00BF7CDD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(Q11/3)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44CF7" w14:textId="6FD0A2BF" w:rsidR="00BF7CDD" w:rsidRPr="00886A80" w:rsidRDefault="00BF7CDD" w:rsidP="00BF7CDD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94F03" w14:textId="32005AB8" w:rsidR="00BF7CDD" w:rsidRPr="00886A80" w:rsidRDefault="00BF7CDD" w:rsidP="00BF7CDD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8F12C" w14:textId="52A51CE2" w:rsidR="00BF7CDD" w:rsidRPr="00886A80" w:rsidRDefault="00BF7CDD" w:rsidP="00BF7CDD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8D89C" w14:textId="2351F45A" w:rsidR="00BF7CDD" w:rsidRPr="00886A80" w:rsidRDefault="00BF7CDD" w:rsidP="00BF7CDD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AB847" w14:textId="77777777" w:rsidR="00BF7CDD" w:rsidRPr="00886A80" w:rsidRDefault="00BF7CDD" w:rsidP="00BF7CDD">
            <w:pPr>
              <w:spacing w:before="0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color w:val="FF0000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C734D" w14:textId="1A17E9E7" w:rsidR="00BF7CDD" w:rsidRPr="00886A80" w:rsidRDefault="00BF7CDD" w:rsidP="00BF7CDD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0464F" w14:textId="22750827" w:rsidR="00BF7CDD" w:rsidRPr="00886A80" w:rsidRDefault="00BF7CDD" w:rsidP="00BF7CDD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62FEB" w14:textId="281620F1" w:rsidR="00BF7CDD" w:rsidRPr="00886A80" w:rsidRDefault="00BF7CDD" w:rsidP="00BF7CDD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BF7CDD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Q8/17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947E1" w14:textId="77777777" w:rsidR="00BF7CDD" w:rsidRPr="00886A80" w:rsidRDefault="00BF7CDD" w:rsidP="00BF7CDD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X</w:t>
            </w:r>
          </w:p>
        </w:tc>
      </w:tr>
      <w:tr w:rsidR="00A42561" w:rsidRPr="00886A80" w14:paraId="63040682" w14:textId="77777777" w:rsidTr="0063591E">
        <w:trPr>
          <w:trHeight w:val="590"/>
        </w:trPr>
        <w:tc>
          <w:tcPr>
            <w:tcW w:w="3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4BD3B" w14:textId="77777777" w:rsidR="00BF7CDD" w:rsidRPr="00886A80" w:rsidRDefault="00BF7CDD" w:rsidP="00BF7CDD">
            <w:pPr>
              <w:spacing w:before="0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Network/System Architecture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D0C6D" w14:textId="7EC693B6" w:rsidR="00BF7CDD" w:rsidRPr="00886A80" w:rsidRDefault="00BF7CDD" w:rsidP="00BF7CDD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(WP2/2)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28A76" w14:textId="231D9B44" w:rsidR="00BF7CDD" w:rsidRPr="00886A80" w:rsidRDefault="00BF7CDD" w:rsidP="00BF7CDD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6BB0B" w14:textId="7B8D3BDF" w:rsidR="00BF7CDD" w:rsidRPr="00380122" w:rsidRDefault="00BF7CDD" w:rsidP="00BF7CDD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80122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(Q1, 2, 4, 6, 11, 12 /5)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2573C" w14:textId="77777777" w:rsidR="00BF7CDD" w:rsidRPr="00886A80" w:rsidRDefault="00BF7CDD" w:rsidP="00BF7CDD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96227" w14:textId="6B013C59" w:rsidR="00BF7CDD" w:rsidRPr="00886A80" w:rsidRDefault="00BF7CDD" w:rsidP="00BF7CDD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74557" w14:textId="2975011E" w:rsidR="00BF7CDD" w:rsidRPr="00886A80" w:rsidRDefault="00BF7CDD" w:rsidP="00BF7CDD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BE5E8" w14:textId="77777777" w:rsidR="00BF7CDD" w:rsidRPr="00886A80" w:rsidRDefault="00BF7CDD" w:rsidP="00BF7CDD">
            <w:pPr>
              <w:spacing w:before="0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color w:val="FF0000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FE42D" w14:textId="08B8AD33" w:rsidR="00BF7CDD" w:rsidRPr="00886A80" w:rsidRDefault="00BF7CDD" w:rsidP="00BF7CDD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16597" w14:textId="77777777" w:rsidR="00BF7CDD" w:rsidRPr="00886A80" w:rsidRDefault="00BF7CDD" w:rsidP="00BF7CDD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34A7D" w14:textId="73FA73CC" w:rsidR="00BF7CDD" w:rsidRPr="00BF7CDD" w:rsidRDefault="00BF7CDD" w:rsidP="00BF7CDD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BF7CDD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(Q2/17)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D8856" w14:textId="3AAF9FBC" w:rsidR="00BF7CDD" w:rsidRPr="00886A80" w:rsidRDefault="00BF7CDD" w:rsidP="00BF7CDD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A42561" w:rsidRPr="00886A80" w14:paraId="0F2D9F4B" w14:textId="77777777" w:rsidTr="0063591E">
        <w:trPr>
          <w:trHeight w:val="590"/>
        </w:trPr>
        <w:tc>
          <w:tcPr>
            <w:tcW w:w="3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A9D11" w14:textId="77777777" w:rsidR="00BF7CDD" w:rsidRPr="00886A80" w:rsidRDefault="00BF7CDD" w:rsidP="00BF7CDD">
            <w:pPr>
              <w:spacing w:before="0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Future Network/emerging telecom networks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98A48" w14:textId="7E8FB92C" w:rsidR="00BF7CDD" w:rsidRPr="00886A80" w:rsidRDefault="00BF7CDD" w:rsidP="00BF7CDD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AC94B" w14:textId="77777777" w:rsidR="00BF7CDD" w:rsidRPr="00886A80" w:rsidRDefault="00BF7CDD" w:rsidP="00BF7CDD">
            <w:pPr>
              <w:spacing w:before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sz w:val="18"/>
                <w:szCs w:val="18"/>
                <w:lang w:val="en-US" w:eastAsia="en-US"/>
              </w:rPr>
              <w:t>(Q3/3)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9139E" w14:textId="59843AB7" w:rsidR="00BF7CDD" w:rsidRPr="00380122" w:rsidRDefault="00BF7CDD" w:rsidP="00BF7CDD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80122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(Q1,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380122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4,</w:t>
            </w:r>
            <w:r w:rsidRPr="00380122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br/>
              <w:t>6,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380122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9,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380122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12/5)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27848" w14:textId="5BBF35B7" w:rsidR="00BF7CDD" w:rsidRPr="00886A80" w:rsidRDefault="00BF7CDD" w:rsidP="00BF7CDD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D1A82" w14:textId="517CA5F7" w:rsidR="00BF7CDD" w:rsidRPr="00886A80" w:rsidRDefault="00BF7CDD" w:rsidP="00BF7CDD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E911E" w14:textId="35F7D191" w:rsidR="00BF7CDD" w:rsidRPr="00886A80" w:rsidRDefault="00BF7CDD" w:rsidP="00BF7CDD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205F6" w14:textId="77777777" w:rsidR="00BF7CDD" w:rsidRPr="00886A80" w:rsidRDefault="00BF7CDD" w:rsidP="00BF7CDD">
            <w:pPr>
              <w:spacing w:before="0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color w:val="FF0000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B94F1" w14:textId="7F2F8389" w:rsidR="00BF7CDD" w:rsidRPr="00886A80" w:rsidRDefault="00BF7CDD" w:rsidP="00BF7CDD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DD505" w14:textId="5CD61322" w:rsidR="00BF7CDD" w:rsidRPr="00886A80" w:rsidRDefault="00BF7CDD" w:rsidP="00BF7CDD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1D0D9" w14:textId="6A39466D" w:rsidR="00BF7CDD" w:rsidRPr="00BF7CDD" w:rsidRDefault="00BF7CDD" w:rsidP="00BF7CDD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BF7CDD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 (Q2/17)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5D8DF" w14:textId="38253886" w:rsidR="00BF7CDD" w:rsidRPr="00886A80" w:rsidRDefault="00BF7CDD" w:rsidP="00BF7CDD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A42561" w:rsidRPr="00886A80" w14:paraId="1ED6FFC9" w14:textId="77777777" w:rsidTr="0063591E">
        <w:trPr>
          <w:trHeight w:val="530"/>
        </w:trPr>
        <w:tc>
          <w:tcPr>
            <w:tcW w:w="3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4CBE2" w14:textId="77777777" w:rsidR="00BF7CDD" w:rsidRPr="00886A80" w:rsidRDefault="00BF7CDD" w:rsidP="00BF7CDD">
            <w:pPr>
              <w:spacing w:before="0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Cloud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0A3E7" w14:textId="2F2E35F5" w:rsidR="00BF7CDD" w:rsidRPr="00886A80" w:rsidRDefault="00BF7CDD" w:rsidP="00BF7CDD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(WP2/2)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CBF8B" w14:textId="31412AE3" w:rsidR="00BF7CDD" w:rsidRPr="00886A80" w:rsidRDefault="00BF7CDD" w:rsidP="00BF7CDD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CFD2E" w14:textId="680A16A4" w:rsidR="00BF7CDD" w:rsidRPr="00380122" w:rsidRDefault="00BF7CDD" w:rsidP="00BF7CDD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80122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(Q6,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380122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9/5)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9A4B4" w14:textId="0ADB0911" w:rsidR="00BF7CDD" w:rsidRPr="00886A80" w:rsidRDefault="00BF7CDD" w:rsidP="00BF7CDD">
            <w:pPr>
              <w:spacing w:before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sz w:val="18"/>
                <w:szCs w:val="18"/>
                <w:lang w:val="en-US" w:eastAsia="en-US"/>
              </w:rPr>
              <w:t>(Q8,9/9)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062D0" w14:textId="0FF79524" w:rsidR="00BF7CDD" w:rsidRPr="00886A80" w:rsidRDefault="00BF7CDD" w:rsidP="00BF7CDD">
            <w:pPr>
              <w:spacing w:before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sz w:val="18"/>
                <w:szCs w:val="18"/>
                <w:lang w:val="en-US" w:eastAsia="en-US"/>
              </w:rPr>
              <w:t>(Q7, 13, 14/11)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B7BBD" w14:textId="28212FE4" w:rsidR="00BF7CDD" w:rsidRPr="00886A80" w:rsidRDefault="00BF7CDD" w:rsidP="00BF7CDD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6C1A6" w14:textId="77777777" w:rsidR="00BF7CDD" w:rsidRPr="00886A80" w:rsidRDefault="00BF7CDD" w:rsidP="00BF7CDD">
            <w:pPr>
              <w:spacing w:before="0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color w:val="FF0000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FDBC9" w14:textId="1C36FEF1" w:rsidR="00BF7CDD" w:rsidRPr="00886A80" w:rsidRDefault="00BF7CDD" w:rsidP="00BF7CDD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FB019" w14:textId="04DF3779" w:rsidR="00BF7CDD" w:rsidRPr="00886A80" w:rsidRDefault="00BF7CDD" w:rsidP="00BF7CDD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36F26" w14:textId="392E601C" w:rsidR="00BF7CDD" w:rsidRPr="00886A80" w:rsidRDefault="00BF7CDD" w:rsidP="00BF7CDD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BF7CDD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(Q8/17)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BC3E5" w14:textId="025FE139" w:rsidR="00BF7CDD" w:rsidRPr="00886A80" w:rsidRDefault="00BF7CDD" w:rsidP="00BF7CDD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A42561" w:rsidRPr="00886A80" w14:paraId="1947FBE1" w14:textId="77777777" w:rsidTr="0063591E">
        <w:trPr>
          <w:trHeight w:val="300"/>
        </w:trPr>
        <w:tc>
          <w:tcPr>
            <w:tcW w:w="3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F8275" w14:textId="77777777" w:rsidR="00380122" w:rsidRPr="00886A80" w:rsidRDefault="00380122" w:rsidP="00380122">
            <w:pPr>
              <w:spacing w:before="0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lastRenderedPageBreak/>
              <w:t>Access/Transport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D1FAD" w14:textId="334FE707" w:rsidR="00380122" w:rsidRPr="00886A80" w:rsidRDefault="00380122" w:rsidP="00380122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4F22A" w14:textId="1B5ECE8A" w:rsidR="00380122" w:rsidRPr="00886A80" w:rsidRDefault="00380122" w:rsidP="00380122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ADF38" w14:textId="66138DBB" w:rsidR="00380122" w:rsidRPr="00380122" w:rsidRDefault="00380122" w:rsidP="00380122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80122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(Q6,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380122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12/5)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23664" w14:textId="77777777" w:rsidR="00380122" w:rsidRPr="00886A80" w:rsidRDefault="00380122" w:rsidP="00380122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(WP1/9)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D8C5F" w14:textId="1AF90D46" w:rsidR="00380122" w:rsidRPr="00886A80" w:rsidRDefault="00380122" w:rsidP="00380122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EDD86" w14:textId="5F7EF73E" w:rsidR="00380122" w:rsidRPr="00886A80" w:rsidRDefault="00380122" w:rsidP="00380122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51C53" w14:textId="24DFE3EF" w:rsidR="00380122" w:rsidRPr="00886A80" w:rsidRDefault="00380122" w:rsidP="00380122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C49EE" w14:textId="77777777" w:rsidR="00380122" w:rsidRPr="00886A80" w:rsidRDefault="00380122" w:rsidP="00380122">
            <w:pPr>
              <w:spacing w:before="0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color w:val="FF0000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D2EFD" w14:textId="3C381C92" w:rsidR="00380122" w:rsidRPr="00886A80" w:rsidRDefault="00380122" w:rsidP="00380122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07FBF" w14:textId="4FACD139" w:rsidR="00380122" w:rsidRPr="00886A80" w:rsidRDefault="00380122" w:rsidP="00380122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18213" w14:textId="33E35CC9" w:rsidR="00380122" w:rsidRPr="00886A80" w:rsidRDefault="00380122" w:rsidP="00380122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A42561" w:rsidRPr="00886A80" w14:paraId="133D85AC" w14:textId="77777777" w:rsidTr="0063591E">
        <w:trPr>
          <w:trHeight w:val="300"/>
        </w:trPr>
        <w:tc>
          <w:tcPr>
            <w:tcW w:w="3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6AC91" w14:textId="77777777" w:rsidR="006C6DE5" w:rsidRPr="00886A80" w:rsidRDefault="006C6DE5" w:rsidP="00886A80">
            <w:pPr>
              <w:spacing w:before="0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Multimedia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A9459" w14:textId="346B6622" w:rsidR="006C6DE5" w:rsidRPr="00886A80" w:rsidRDefault="006C6DE5" w:rsidP="005B562F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9D839" w14:textId="1739FB66" w:rsidR="006C6DE5" w:rsidRPr="001F4F87" w:rsidRDefault="006C6DE5" w:rsidP="005B562F">
            <w:pPr>
              <w:spacing w:before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8DDE5" w14:textId="266E31C0" w:rsidR="006C6DE5" w:rsidRPr="00886A80" w:rsidRDefault="006C6DE5" w:rsidP="005B562F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57635" w14:textId="77777777" w:rsidR="006C6DE5" w:rsidRPr="00886A80" w:rsidRDefault="006C6DE5" w:rsidP="005B562F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X (WP2/9)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484D4" w14:textId="77777777" w:rsidR="006C6DE5" w:rsidRPr="00886A80" w:rsidRDefault="006C6DE5" w:rsidP="005B562F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(Q8/11)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88DFC" w14:textId="77777777" w:rsidR="006C6DE5" w:rsidRPr="00886A80" w:rsidRDefault="006C6DE5" w:rsidP="005B562F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BD5A4" w14:textId="6C776757" w:rsidR="006C6DE5" w:rsidRPr="00886A80" w:rsidRDefault="006C6DE5" w:rsidP="005B562F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FA6EF" w14:textId="3BC47795" w:rsidR="006C6DE5" w:rsidRPr="00886A80" w:rsidRDefault="006C6DE5" w:rsidP="005B562F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3D4B3" w14:textId="33EFB6B8" w:rsidR="006C6DE5" w:rsidRPr="00886A80" w:rsidRDefault="006C6DE5" w:rsidP="005B562F">
            <w:pPr>
              <w:spacing w:before="0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color w:val="FF0000"/>
                <w:sz w:val="18"/>
                <w:szCs w:val="18"/>
                <w:lang w:val="en-US" w:eastAsia="en-US"/>
              </w:rPr>
              <w:t>X</w:t>
            </w:r>
            <w:r w:rsidR="00A718F2">
              <w:rPr>
                <w:rStyle w:val="FootnoteReference"/>
                <w:rFonts w:eastAsia="Times New Roman"/>
                <w:b/>
                <w:bCs/>
                <w:color w:val="FF0000"/>
                <w:sz w:val="18"/>
                <w:szCs w:val="18"/>
                <w:lang w:val="en-US" w:eastAsia="en-US"/>
              </w:rPr>
              <w:footnoteReference w:id="7"/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3A181" w14:textId="7B2C5615" w:rsidR="006C6DE5" w:rsidRPr="00886A80" w:rsidRDefault="006C6DE5" w:rsidP="005B562F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7C0D6" w14:textId="6EEF645A" w:rsidR="006C6DE5" w:rsidRPr="00886A80" w:rsidRDefault="006C6DE5" w:rsidP="005B562F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A42561" w:rsidRPr="00886A80" w14:paraId="7660EFF7" w14:textId="77777777" w:rsidTr="0063591E">
        <w:trPr>
          <w:trHeight w:val="300"/>
        </w:trPr>
        <w:tc>
          <w:tcPr>
            <w:tcW w:w="3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DC63E" w14:textId="77777777" w:rsidR="007E2099" w:rsidRPr="00886A80" w:rsidRDefault="007E2099" w:rsidP="007E2099">
            <w:pPr>
              <w:spacing w:before="0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ITS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676E9" w14:textId="3AE122B6" w:rsidR="007E2099" w:rsidRPr="00886A80" w:rsidRDefault="007E2099" w:rsidP="007E2099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(WP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1</w:t>
            </w:r>
            <w:r w:rsidRPr="00886A80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/2)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CA5C8" w14:textId="555BD529" w:rsidR="007E2099" w:rsidRPr="00886A80" w:rsidRDefault="007E2099" w:rsidP="007E2099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0BB07" w14:textId="3F0D7BE8" w:rsidR="007E2099" w:rsidRPr="00886A80" w:rsidRDefault="007E2099" w:rsidP="007E2099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3DF6D" w14:textId="03575059" w:rsidR="007E2099" w:rsidRPr="00886A80" w:rsidRDefault="007E2099" w:rsidP="007E2099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F10F2" w14:textId="47B20A5F" w:rsidR="007E2099" w:rsidRPr="00886A80" w:rsidRDefault="007E2099" w:rsidP="007E2099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9DE2B" w14:textId="1444C684" w:rsidR="007E2099" w:rsidRPr="00886A80" w:rsidRDefault="007E2099" w:rsidP="007E2099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CF1B0" w14:textId="2D806DED" w:rsidR="007E2099" w:rsidRPr="00886A80" w:rsidRDefault="007E2099" w:rsidP="007E2099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0AD27" w14:textId="3305EAE0" w:rsidR="007E2099" w:rsidRPr="00886A80" w:rsidRDefault="007E2099" w:rsidP="007E2099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F7E32" w14:textId="1964B14C" w:rsidR="007E2099" w:rsidRPr="00886A80" w:rsidRDefault="007E2099" w:rsidP="007E2099">
            <w:pPr>
              <w:spacing w:before="0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color w:val="FF0000"/>
                <w:sz w:val="18"/>
                <w:szCs w:val="18"/>
                <w:lang w:val="en-US" w:eastAsia="en-US"/>
              </w:rPr>
              <w:t>X</w:t>
            </w:r>
            <w:r w:rsidR="00275A09">
              <w:rPr>
                <w:rStyle w:val="FootnoteReference"/>
                <w:rFonts w:eastAsia="Times New Roman"/>
                <w:b/>
                <w:bCs/>
                <w:color w:val="FF0000"/>
                <w:sz w:val="18"/>
                <w:szCs w:val="18"/>
                <w:lang w:val="en-US" w:eastAsia="en-US"/>
              </w:rPr>
              <w:footnoteReference w:id="8"/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91384" w14:textId="206C3E96" w:rsidR="007E2099" w:rsidRPr="00886A80" w:rsidRDefault="007E2099" w:rsidP="007E2099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7E2099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(Q13/17)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E7025" w14:textId="77777777" w:rsidR="007E2099" w:rsidRPr="00886A80" w:rsidRDefault="007E2099" w:rsidP="007E2099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X</w:t>
            </w:r>
          </w:p>
        </w:tc>
      </w:tr>
      <w:tr w:rsidR="00A42561" w:rsidRPr="00886A80" w14:paraId="25AA622A" w14:textId="77777777" w:rsidTr="0063591E">
        <w:trPr>
          <w:trHeight w:val="300"/>
        </w:trPr>
        <w:tc>
          <w:tcPr>
            <w:tcW w:w="3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2BD3B" w14:textId="77777777" w:rsidR="007E2099" w:rsidRPr="00886A80" w:rsidRDefault="007E2099" w:rsidP="007E2099">
            <w:pPr>
              <w:spacing w:before="0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Health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BEC847" w14:textId="05105BAF" w:rsidR="007E2099" w:rsidRPr="00886A80" w:rsidRDefault="007E2099" w:rsidP="007E2099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5FB99" w14:textId="5F9A06EA" w:rsidR="007E2099" w:rsidRPr="00886A80" w:rsidRDefault="007E2099" w:rsidP="007E2099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1F214" w14:textId="5312913B" w:rsidR="007E2099" w:rsidRPr="001F4F87" w:rsidRDefault="007E2099" w:rsidP="007E2099">
            <w:pPr>
              <w:spacing w:before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 w:eastAsia="en-US"/>
              </w:rPr>
            </w:pPr>
            <w:r w:rsidRPr="001F4F87">
              <w:rPr>
                <w:rFonts w:eastAsia="Times New Roman"/>
                <w:b/>
                <w:bCs/>
                <w:sz w:val="18"/>
                <w:szCs w:val="18"/>
                <w:lang w:val="en-US" w:eastAsia="en-US"/>
              </w:rPr>
              <w:t>(Q3,</w:t>
            </w:r>
            <w:r w:rsidR="00E2273E">
              <w:rPr>
                <w:rFonts w:eastAsia="Times New Roman"/>
                <w:b/>
                <w:bCs/>
                <w:sz w:val="18"/>
                <w:szCs w:val="18"/>
                <w:lang w:val="en-US" w:eastAsia="en-US"/>
              </w:rPr>
              <w:t xml:space="preserve"> </w:t>
            </w:r>
            <w:r w:rsidRPr="001F4F87">
              <w:rPr>
                <w:rFonts w:eastAsia="Times New Roman"/>
                <w:b/>
                <w:bCs/>
                <w:sz w:val="18"/>
                <w:szCs w:val="18"/>
                <w:lang w:val="en-US" w:eastAsia="en-US"/>
              </w:rPr>
              <w:t>7/5)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90B1E9" w14:textId="5966063A" w:rsidR="007E2099" w:rsidRPr="00886A80" w:rsidRDefault="007E2099" w:rsidP="007E2099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06022A" w14:textId="3A09BD42" w:rsidR="007E2099" w:rsidRPr="00886A80" w:rsidRDefault="007E2099" w:rsidP="007E2099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8DBE2B" w14:textId="22AE4CD1" w:rsidR="007E2099" w:rsidRPr="00886A80" w:rsidRDefault="007E2099" w:rsidP="007E2099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C53C98" w14:textId="13C5BE7A" w:rsidR="007E2099" w:rsidRPr="00886A80" w:rsidRDefault="007E2099" w:rsidP="007E2099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B27885" w14:textId="24290BEA" w:rsidR="007E2099" w:rsidRPr="00886A80" w:rsidRDefault="007E2099" w:rsidP="007E2099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67655" w14:textId="77777777" w:rsidR="007E2099" w:rsidRPr="00886A80" w:rsidRDefault="007E2099" w:rsidP="007E2099">
            <w:pPr>
              <w:spacing w:before="0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color w:val="FF0000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689FF" w14:textId="2DC527CF" w:rsidR="007E2099" w:rsidRPr="007E2099" w:rsidRDefault="007E2099" w:rsidP="007E2099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7E2099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(Q7, </w:t>
            </w:r>
            <w:r w:rsidR="00A4256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10</w:t>
            </w:r>
            <w:r w:rsidRPr="007E2099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, 11/17)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8E3DD" w14:textId="77777777" w:rsidR="007E2099" w:rsidRPr="00886A80" w:rsidRDefault="007E2099" w:rsidP="007E2099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X</w:t>
            </w:r>
          </w:p>
        </w:tc>
      </w:tr>
      <w:tr w:rsidR="00A42561" w:rsidRPr="00886A80" w14:paraId="581FB494" w14:textId="77777777" w:rsidTr="0063591E">
        <w:trPr>
          <w:trHeight w:val="630"/>
        </w:trPr>
        <w:tc>
          <w:tcPr>
            <w:tcW w:w="3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4A6AC" w14:textId="77777777" w:rsidR="0094713B" w:rsidRPr="00886A80" w:rsidRDefault="0094713B" w:rsidP="0094713B">
            <w:pPr>
              <w:spacing w:before="0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QKD/DLT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03426" w14:textId="2425AE08" w:rsidR="0094713B" w:rsidRPr="0094713B" w:rsidRDefault="0094713B" w:rsidP="0094713B">
            <w:pPr>
              <w:spacing w:before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 w:eastAsia="en-US"/>
              </w:rPr>
            </w:pPr>
            <w:r w:rsidRPr="0094713B">
              <w:rPr>
                <w:rFonts w:eastAsia="Times New Roman"/>
                <w:b/>
                <w:bCs/>
                <w:sz w:val="18"/>
                <w:szCs w:val="18"/>
                <w:lang w:val="en-US" w:eastAsia="en-US"/>
              </w:rPr>
              <w:t> (WP2/2)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D5CFC" w14:textId="5CC3EFF5" w:rsidR="0094713B" w:rsidRPr="00886A80" w:rsidRDefault="0094713B" w:rsidP="0094713B">
            <w:pPr>
              <w:spacing w:before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sz w:val="18"/>
                <w:szCs w:val="18"/>
                <w:lang w:val="en-US" w:eastAsia="en-US"/>
              </w:rPr>
              <w:t>(Q1,7/3)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51ED1" w14:textId="63D96D22" w:rsidR="0094713B" w:rsidRPr="001F4F87" w:rsidRDefault="0094713B" w:rsidP="001F4F87">
            <w:pPr>
              <w:spacing w:before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5C07B9" w14:textId="273C971B" w:rsidR="0094713B" w:rsidRPr="00886A80" w:rsidRDefault="0094713B" w:rsidP="0094713B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12F33" w14:textId="5A7DB3E9" w:rsidR="0094713B" w:rsidRPr="00886A80" w:rsidRDefault="0094713B" w:rsidP="0094713B">
            <w:pPr>
              <w:spacing w:before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sz w:val="18"/>
                <w:szCs w:val="18"/>
                <w:lang w:val="en-US" w:eastAsia="en-US"/>
              </w:rPr>
              <w:t>X</w:t>
            </w:r>
            <w:r>
              <w:rPr>
                <w:rStyle w:val="FootnoteReference"/>
                <w:rFonts w:eastAsia="Times New Roman"/>
                <w:b/>
                <w:bCs/>
                <w:sz w:val="18"/>
                <w:szCs w:val="18"/>
                <w:lang w:val="en-US" w:eastAsia="en-US"/>
              </w:rPr>
              <w:footnoteReference w:id="9"/>
            </w:r>
            <w:r>
              <w:rPr>
                <w:rFonts w:eastAsia="Times New Roman"/>
                <w:b/>
                <w:bCs/>
                <w:sz w:val="18"/>
                <w:szCs w:val="18"/>
                <w:lang w:val="en-US" w:eastAsia="en-US"/>
              </w:rPr>
              <w:br/>
              <w:t>(</w:t>
            </w:r>
            <w:r w:rsidRPr="00886A80">
              <w:rPr>
                <w:rFonts w:eastAsia="Times New Roman"/>
                <w:b/>
                <w:bCs/>
                <w:sz w:val="18"/>
                <w:szCs w:val="18"/>
                <w:lang w:val="en-US" w:eastAsia="en-US"/>
              </w:rPr>
              <w:t>Q1,</w:t>
            </w:r>
            <w:r>
              <w:rPr>
                <w:rFonts w:eastAsia="Times New Roman"/>
                <w:b/>
                <w:bCs/>
                <w:sz w:val="18"/>
                <w:szCs w:val="18"/>
                <w:lang w:val="en-US" w:eastAsia="en-US"/>
              </w:rPr>
              <w:t xml:space="preserve"> </w:t>
            </w:r>
            <w:r w:rsidRPr="00886A80">
              <w:rPr>
                <w:rFonts w:eastAsia="Times New Roman"/>
                <w:b/>
                <w:bCs/>
                <w:sz w:val="18"/>
                <w:szCs w:val="18"/>
                <w:lang w:val="en-US" w:eastAsia="en-US"/>
              </w:rPr>
              <w:t>2/11)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9CC66A" w14:textId="236BC7F7" w:rsidR="0094713B" w:rsidRPr="00886A80" w:rsidRDefault="0094713B" w:rsidP="0094713B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4B955" w14:textId="47753291" w:rsidR="0094713B" w:rsidRPr="00886A80" w:rsidRDefault="0094713B" w:rsidP="0094713B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color w:val="FF0000"/>
                <w:sz w:val="18"/>
                <w:szCs w:val="18"/>
                <w:lang w:val="en-US" w:eastAsia="en-US"/>
              </w:rPr>
              <w:t>X</w:t>
            </w:r>
            <w:r w:rsidR="001677F5">
              <w:rPr>
                <w:rFonts w:eastAsia="Times New Roman"/>
                <w:b/>
                <w:bCs/>
                <w:color w:val="FF0000"/>
                <w:sz w:val="18"/>
                <w:szCs w:val="18"/>
                <w:vertAlign w:val="superscript"/>
                <w:lang w:val="en-US" w:eastAsia="en-US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6D023" w14:textId="39486C5F" w:rsidR="0094713B" w:rsidRPr="00886A80" w:rsidRDefault="0094713B" w:rsidP="0094713B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BBBE2" w14:textId="145E18C9" w:rsidR="0094713B" w:rsidRPr="00886A80" w:rsidRDefault="008F07D3" w:rsidP="0094713B">
            <w:pPr>
              <w:spacing w:before="0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val="en-US" w:eastAsia="en-US"/>
              </w:rPr>
            </w:pPr>
            <w:r w:rsidRPr="008F07D3">
              <w:rPr>
                <w:rFonts w:eastAsia="Times New Roman"/>
                <w:b/>
                <w:bCs/>
                <w:sz w:val="18"/>
                <w:szCs w:val="18"/>
                <w:lang w:val="en-US" w:eastAsia="en-US"/>
              </w:rPr>
              <w:t>(Q22/16)</w:t>
            </w:r>
            <w:r>
              <w:rPr>
                <w:rStyle w:val="FootnoteReference"/>
                <w:rFonts w:eastAsia="Times New Roman"/>
                <w:b/>
                <w:bCs/>
                <w:sz w:val="18"/>
                <w:szCs w:val="18"/>
                <w:lang w:val="en-US" w:eastAsia="en-US"/>
              </w:rPr>
              <w:footnoteReference w:id="10"/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3BFF8" w14:textId="1FD4E8E2" w:rsidR="0094713B" w:rsidRPr="00886A80" w:rsidRDefault="00A42561" w:rsidP="0094713B">
            <w:pPr>
              <w:spacing w:before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 w:eastAsia="en-US"/>
              </w:rPr>
            </w:pPr>
            <w:r w:rsidRPr="00A42561">
              <w:rPr>
                <w:rFonts w:eastAsia="Times New Roman"/>
                <w:b/>
                <w:bCs/>
                <w:sz w:val="18"/>
                <w:szCs w:val="18"/>
                <w:lang w:val="en-US" w:eastAsia="en-US"/>
              </w:rPr>
              <w:t>(Q1</w:t>
            </w:r>
            <w:r>
              <w:rPr>
                <w:rFonts w:eastAsia="Times New Roman"/>
                <w:b/>
                <w:bCs/>
                <w:sz w:val="18"/>
                <w:szCs w:val="18"/>
                <w:lang w:val="en-US" w:eastAsia="en-US"/>
              </w:rPr>
              <w:t>4, 15/</w:t>
            </w:r>
            <w:r w:rsidRPr="00A42561">
              <w:rPr>
                <w:rFonts w:eastAsia="Times New Roman"/>
                <w:b/>
                <w:bCs/>
                <w:sz w:val="18"/>
                <w:szCs w:val="18"/>
                <w:lang w:val="en-US" w:eastAsia="en-US"/>
              </w:rPr>
              <w:t>17)</w:t>
            </w:r>
            <w:r w:rsidR="001677F5">
              <w:rPr>
                <w:rFonts w:eastAsia="Times New Roman"/>
                <w:b/>
                <w:bCs/>
                <w:sz w:val="18"/>
                <w:szCs w:val="18"/>
                <w:vertAlign w:val="superscript"/>
                <w:lang w:val="en-US" w:eastAsia="en-US"/>
              </w:rPr>
              <w:t>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85207" w14:textId="77777777" w:rsidR="0094713B" w:rsidRPr="00886A80" w:rsidRDefault="0094713B" w:rsidP="0094713B">
            <w:pPr>
              <w:spacing w:before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sz w:val="18"/>
                <w:szCs w:val="18"/>
                <w:lang w:val="en-US" w:eastAsia="en-US"/>
              </w:rPr>
              <w:t>(Q3/20)</w:t>
            </w:r>
          </w:p>
        </w:tc>
      </w:tr>
      <w:tr w:rsidR="00A42561" w:rsidRPr="00886A80" w14:paraId="56BD68E4" w14:textId="77777777" w:rsidTr="0063591E">
        <w:trPr>
          <w:trHeight w:val="530"/>
        </w:trPr>
        <w:tc>
          <w:tcPr>
            <w:tcW w:w="3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F6A08" w14:textId="77777777" w:rsidR="00DA03AB" w:rsidRPr="00886A80" w:rsidRDefault="00DA03AB" w:rsidP="00DA03AB">
            <w:pPr>
              <w:spacing w:before="0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Security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FC8E0" w14:textId="0518449D" w:rsidR="00DA03AB" w:rsidRPr="0094713B" w:rsidRDefault="00DA03AB" w:rsidP="00DA03AB">
            <w:pPr>
              <w:spacing w:before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 w:eastAsia="en-US"/>
              </w:rPr>
            </w:pPr>
            <w:r w:rsidRPr="0094713B">
              <w:rPr>
                <w:rFonts w:eastAsia="Times New Roman"/>
                <w:b/>
                <w:bCs/>
                <w:sz w:val="18"/>
                <w:szCs w:val="18"/>
                <w:lang w:val="en-US" w:eastAsia="en-US"/>
              </w:rPr>
              <w:t xml:space="preserve"> (Q3, 6/2)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9D95F" w14:textId="2DA4F1FB" w:rsidR="00DA03AB" w:rsidRPr="00886A80" w:rsidRDefault="00DA03AB" w:rsidP="00DA03AB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4DA7E" w14:textId="0CA23814" w:rsidR="00DA03AB" w:rsidRPr="00AA39F5" w:rsidRDefault="00DA03AB" w:rsidP="00DA03AB">
            <w:pPr>
              <w:spacing w:before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 w:eastAsia="en-US"/>
              </w:rPr>
            </w:pPr>
            <w:r w:rsidRPr="00AA39F5">
              <w:rPr>
                <w:rFonts w:eastAsia="Times New Roman"/>
                <w:b/>
                <w:bCs/>
                <w:sz w:val="18"/>
                <w:szCs w:val="18"/>
                <w:lang w:val="en-US" w:eastAsia="en-US"/>
              </w:rPr>
              <w:t xml:space="preserve"> (Q1/5)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F0178" w14:textId="4B104037" w:rsidR="00DA03AB" w:rsidRPr="00886A80" w:rsidRDefault="00DA03AB" w:rsidP="00DA03AB">
            <w:pPr>
              <w:spacing w:before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sz w:val="18"/>
                <w:szCs w:val="18"/>
                <w:lang w:val="en-US" w:eastAsia="en-US"/>
              </w:rPr>
              <w:t>(Q2/9)</w:t>
            </w:r>
            <w:r w:rsidR="00752BAD">
              <w:rPr>
                <w:rStyle w:val="FootnoteReference"/>
                <w:rFonts w:eastAsia="Times New Roman"/>
                <w:b/>
                <w:bCs/>
                <w:sz w:val="18"/>
                <w:szCs w:val="18"/>
                <w:lang w:val="en-US" w:eastAsia="en-US"/>
              </w:rPr>
              <w:footnoteReference w:id="11"/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82F70" w14:textId="048899E6" w:rsidR="00DA03AB" w:rsidRPr="00886A80" w:rsidRDefault="00DA03AB" w:rsidP="00DA03AB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(Q2/11)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0A32B" w14:textId="0784B133" w:rsidR="00DA03AB" w:rsidRPr="00886A80" w:rsidRDefault="00DA03AB" w:rsidP="00DA03AB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08D67" w14:textId="088E9E30" w:rsidR="00DA03AB" w:rsidRPr="00886A80" w:rsidRDefault="00DA03AB" w:rsidP="00DA03AB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(Q19/13)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5D67A8" w14:textId="06E810BA" w:rsidR="00DA03AB" w:rsidRPr="00886A80" w:rsidRDefault="00DA03AB" w:rsidP="00DA03AB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E7D8F" w14:textId="625754CD" w:rsidR="00DA03AB" w:rsidRPr="00886A80" w:rsidRDefault="00DA03AB" w:rsidP="00DA03AB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(Q11,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886A80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12/16)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3CC83" w14:textId="77777777" w:rsidR="00DA03AB" w:rsidRPr="00886A80" w:rsidRDefault="00DA03AB" w:rsidP="00DA03AB">
            <w:pPr>
              <w:spacing w:before="0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color w:val="FF0000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99748" w14:textId="77777777" w:rsidR="00DA03AB" w:rsidRPr="00886A80" w:rsidRDefault="00DA03AB" w:rsidP="00DA03AB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(Q6/20)</w:t>
            </w:r>
          </w:p>
        </w:tc>
      </w:tr>
      <w:tr w:rsidR="00AE1A42" w:rsidRPr="00886A80" w14:paraId="6C2B9530" w14:textId="77777777" w:rsidTr="0063591E">
        <w:trPr>
          <w:trHeight w:val="300"/>
        </w:trPr>
        <w:tc>
          <w:tcPr>
            <w:tcW w:w="3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DD476" w14:textId="77777777" w:rsidR="00AE1A42" w:rsidRPr="00886A80" w:rsidRDefault="00AE1A42" w:rsidP="00AE1A42">
            <w:pPr>
              <w:spacing w:before="0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IoT/M2M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482C3" w14:textId="0B908ACF" w:rsidR="00AE1A42" w:rsidRPr="0094713B" w:rsidRDefault="00AE1A42" w:rsidP="00AE1A42">
            <w:pPr>
              <w:spacing w:before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 w:eastAsia="en-US"/>
              </w:rPr>
            </w:pPr>
            <w:r w:rsidRPr="0094713B">
              <w:rPr>
                <w:rFonts w:eastAsia="Times New Roman"/>
                <w:b/>
                <w:bCs/>
                <w:sz w:val="18"/>
                <w:szCs w:val="18"/>
                <w:lang w:val="en-US" w:eastAsia="en-US"/>
              </w:rPr>
              <w:t> (Q1, 3/2)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9681A" w14:textId="5966F6CD" w:rsidR="00AE1A42" w:rsidRPr="00886A80" w:rsidRDefault="00AE1A42" w:rsidP="00AE1A42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(Q3,</w:t>
            </w:r>
            <w:r w:rsidR="00E2273E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886A80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7/3)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B918C" w14:textId="28A845D6" w:rsidR="00AE1A42" w:rsidRPr="00AA39F5" w:rsidRDefault="00AE1A42" w:rsidP="00AE1A42">
            <w:pPr>
              <w:spacing w:before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 w:eastAsia="en-US"/>
              </w:rPr>
            </w:pPr>
            <w:r w:rsidRPr="00AA39F5">
              <w:rPr>
                <w:rFonts w:eastAsia="Times New Roman"/>
                <w:b/>
                <w:bCs/>
                <w:sz w:val="18"/>
                <w:szCs w:val="18"/>
                <w:lang w:val="en-US" w:eastAsia="en-US"/>
              </w:rPr>
              <w:t>(Q6,</w:t>
            </w:r>
            <w:r>
              <w:rPr>
                <w:rFonts w:eastAsia="Times New Roman"/>
                <w:b/>
                <w:bCs/>
                <w:sz w:val="18"/>
                <w:szCs w:val="18"/>
                <w:lang w:val="en-US" w:eastAsia="en-US"/>
              </w:rPr>
              <w:t xml:space="preserve"> </w:t>
            </w:r>
            <w:r w:rsidRPr="00AA39F5">
              <w:rPr>
                <w:rFonts w:eastAsia="Times New Roman"/>
                <w:b/>
                <w:bCs/>
                <w:sz w:val="18"/>
                <w:szCs w:val="18"/>
                <w:lang w:val="en-US" w:eastAsia="en-US"/>
              </w:rPr>
              <w:t>7, 9/5)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B9B79" w14:textId="35EBAA72" w:rsidR="00AE1A42" w:rsidRPr="00886A80" w:rsidRDefault="00AE1A42" w:rsidP="00AE1A42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85549" w14:textId="77777777" w:rsidR="00AE1A42" w:rsidRPr="00886A80" w:rsidRDefault="00AE1A42" w:rsidP="00AE1A42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(Q12/11)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CB3AD" w14:textId="2CF6A74A" w:rsidR="00AE1A42" w:rsidRPr="00886A80" w:rsidRDefault="00AE1A42" w:rsidP="00AE1A42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5CBBC" w14:textId="0D7C8D7D" w:rsidR="00AE1A42" w:rsidRPr="00886A80" w:rsidRDefault="00AE1A42" w:rsidP="00AE1A42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5EDF9" w14:textId="7E4CB273" w:rsidR="00AE1A42" w:rsidRPr="00886A80" w:rsidRDefault="00AE1A42" w:rsidP="00AE1A42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73AE7" w14:textId="77777777" w:rsidR="00AE1A42" w:rsidRPr="00886A80" w:rsidRDefault="00AE1A42" w:rsidP="00AE1A42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(Q5/16)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B9AC3" w14:textId="5E062751" w:rsidR="00AE1A42" w:rsidRPr="00886A80" w:rsidRDefault="00AE1A42" w:rsidP="00AE1A42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E1A42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Q6/17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D2BF2" w14:textId="77777777" w:rsidR="00AE1A42" w:rsidRPr="00886A80" w:rsidRDefault="00AE1A42" w:rsidP="00AE1A42">
            <w:pPr>
              <w:spacing w:before="0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color w:val="FF0000"/>
                <w:sz w:val="18"/>
                <w:szCs w:val="18"/>
                <w:lang w:val="en-US" w:eastAsia="en-US"/>
              </w:rPr>
              <w:t>X</w:t>
            </w:r>
          </w:p>
        </w:tc>
      </w:tr>
      <w:tr w:rsidR="00AE1A42" w:rsidRPr="00886A80" w14:paraId="06EEC306" w14:textId="77777777" w:rsidTr="0063591E">
        <w:trPr>
          <w:trHeight w:val="790"/>
        </w:trPr>
        <w:tc>
          <w:tcPr>
            <w:tcW w:w="3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74E11" w14:textId="77777777" w:rsidR="00AE1A42" w:rsidRPr="00886A80" w:rsidRDefault="00AE1A42" w:rsidP="00AE1A42">
            <w:pPr>
              <w:spacing w:before="0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Smart Sustainable Cities and Communities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2080C" w14:textId="5F66CEE6" w:rsidR="00AE1A42" w:rsidRPr="00886A80" w:rsidRDefault="00AE1A42" w:rsidP="00AE1A42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BB037" w14:textId="061C47C4" w:rsidR="00AE1A42" w:rsidRPr="00886A80" w:rsidRDefault="00AE1A42" w:rsidP="00AE1A42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41190" w14:textId="433182D3" w:rsidR="00AE1A42" w:rsidRPr="00AA39F5" w:rsidRDefault="00AE1A42" w:rsidP="00AE1A42">
            <w:pPr>
              <w:spacing w:before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 w:eastAsia="en-US"/>
              </w:rPr>
            </w:pPr>
            <w:r w:rsidRPr="00AA39F5">
              <w:rPr>
                <w:rFonts w:eastAsia="Times New Roman"/>
                <w:b/>
                <w:bCs/>
                <w:sz w:val="18"/>
                <w:szCs w:val="18"/>
                <w:lang w:val="en-US" w:eastAsia="en-US"/>
              </w:rPr>
              <w:t xml:space="preserve"> (Q11,</w:t>
            </w:r>
            <w:r>
              <w:rPr>
                <w:rFonts w:eastAsia="Times New Roman"/>
                <w:b/>
                <w:bCs/>
                <w:sz w:val="18"/>
                <w:szCs w:val="18"/>
                <w:lang w:val="en-US" w:eastAsia="en-US"/>
              </w:rPr>
              <w:t xml:space="preserve"> </w:t>
            </w:r>
            <w:r w:rsidRPr="00AA39F5">
              <w:rPr>
                <w:rFonts w:eastAsia="Times New Roman"/>
                <w:b/>
                <w:bCs/>
                <w:sz w:val="18"/>
                <w:szCs w:val="18"/>
                <w:lang w:val="en-US" w:eastAsia="en-US"/>
              </w:rPr>
              <w:t>12,</w:t>
            </w:r>
            <w:r>
              <w:rPr>
                <w:rFonts w:eastAsia="Times New Roman"/>
                <w:b/>
                <w:bCs/>
                <w:sz w:val="18"/>
                <w:szCs w:val="18"/>
                <w:lang w:val="en-US" w:eastAsia="en-US"/>
              </w:rPr>
              <w:t xml:space="preserve"> </w:t>
            </w:r>
            <w:r w:rsidRPr="00AA39F5">
              <w:rPr>
                <w:rFonts w:eastAsia="Times New Roman"/>
                <w:b/>
                <w:bCs/>
                <w:sz w:val="18"/>
                <w:szCs w:val="18"/>
                <w:lang w:val="en-US" w:eastAsia="en-US"/>
              </w:rPr>
              <w:t>13/5)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28426" w14:textId="5F32BCF1" w:rsidR="00AE1A42" w:rsidRPr="00886A80" w:rsidRDefault="00AE1A42" w:rsidP="00AE1A42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4808B" w14:textId="77777777" w:rsidR="00AE1A42" w:rsidRPr="00886A80" w:rsidRDefault="00AE1A42" w:rsidP="00AE1A42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(Q12/11)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42D10" w14:textId="3887402B" w:rsidR="00AE1A42" w:rsidRPr="00886A80" w:rsidRDefault="00AE1A42" w:rsidP="00AE1A42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18D1D" w14:textId="6D8FA341" w:rsidR="00AE1A42" w:rsidRPr="00886A80" w:rsidRDefault="00AE1A42" w:rsidP="00AE1A42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(Q1/13)</w:t>
            </w:r>
            <w:r w:rsidR="00BD1457">
              <w:rPr>
                <w:rStyle w:val="FootnoteReference"/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footnoteReference w:id="12"/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F6441" w14:textId="37B58A90" w:rsidR="00AE1A42" w:rsidRPr="00886A80" w:rsidRDefault="00AE1A42" w:rsidP="00AE1A42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5FFD6" w14:textId="29B4ECFA" w:rsidR="00AE1A42" w:rsidRPr="00886A80" w:rsidRDefault="00AE1A42" w:rsidP="00AE1A42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(Q28/16)</w:t>
            </w:r>
            <w:r w:rsidR="00BD1457">
              <w:rPr>
                <w:rStyle w:val="FootnoteReference"/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footnoteReference w:id="13"/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46FA3" w14:textId="2D1F427E" w:rsidR="00AE1A42" w:rsidRPr="00AE1A42" w:rsidRDefault="00AE1A42" w:rsidP="00AE1A42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E1A42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 (Q7/17)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B9137" w14:textId="77777777" w:rsidR="00AE1A42" w:rsidRPr="00886A80" w:rsidRDefault="00AE1A42" w:rsidP="00AE1A42">
            <w:pPr>
              <w:spacing w:before="0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color w:val="FF0000"/>
                <w:sz w:val="18"/>
                <w:szCs w:val="18"/>
                <w:lang w:val="en-US" w:eastAsia="en-US"/>
              </w:rPr>
              <w:t>X</w:t>
            </w:r>
          </w:p>
        </w:tc>
      </w:tr>
      <w:tr w:rsidR="00A42561" w:rsidRPr="00886A80" w14:paraId="1C85DC08" w14:textId="77777777" w:rsidTr="0063591E">
        <w:trPr>
          <w:trHeight w:val="820"/>
        </w:trPr>
        <w:tc>
          <w:tcPr>
            <w:tcW w:w="3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12CFC" w14:textId="77777777" w:rsidR="006C6DE5" w:rsidRPr="00886A80" w:rsidRDefault="006C6DE5" w:rsidP="00886A80">
            <w:pPr>
              <w:spacing w:before="0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AI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06403" w14:textId="77777777" w:rsidR="006C6DE5" w:rsidRPr="00886A80" w:rsidRDefault="006C6DE5" w:rsidP="005B562F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97ED6" w14:textId="4F038D99" w:rsidR="006C6DE5" w:rsidRPr="00886A80" w:rsidRDefault="006C6DE5" w:rsidP="005B562F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3B6FB" w14:textId="1045C9DB" w:rsidR="006C6DE5" w:rsidRPr="00AA39F5" w:rsidRDefault="00AA39F5" w:rsidP="005B562F">
            <w:pPr>
              <w:spacing w:before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 w:eastAsia="en-US"/>
              </w:rPr>
            </w:pPr>
            <w:r w:rsidRPr="00AA39F5">
              <w:rPr>
                <w:rFonts w:eastAsia="Times New Roman"/>
                <w:b/>
                <w:bCs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F697E" w14:textId="77777777" w:rsidR="006C6DE5" w:rsidRPr="00886A80" w:rsidRDefault="006C6DE5" w:rsidP="005B562F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(Q3/9)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EC3FD" w14:textId="2340F8A2" w:rsidR="006C6DE5" w:rsidRPr="00886A80" w:rsidRDefault="006C6DE5" w:rsidP="005B562F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(Q2,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886A80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6,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886A80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7,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886A80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8,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886A80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13,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886A80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16/11)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1AA1B" w14:textId="0E8F16AD" w:rsidR="006C6DE5" w:rsidRPr="00886A80" w:rsidRDefault="006C6DE5" w:rsidP="005B562F">
            <w:pPr>
              <w:spacing w:before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sz w:val="18"/>
                <w:szCs w:val="18"/>
                <w:lang w:val="en-US" w:eastAsia="en-US"/>
              </w:rPr>
              <w:t>(Q9, 12,</w:t>
            </w:r>
            <w:r>
              <w:rPr>
                <w:rFonts w:eastAsia="Times New Roman"/>
                <w:b/>
                <w:bCs/>
                <w:sz w:val="18"/>
                <w:szCs w:val="18"/>
                <w:lang w:val="en-US" w:eastAsia="en-US"/>
              </w:rPr>
              <w:t xml:space="preserve"> </w:t>
            </w:r>
            <w:r w:rsidRPr="00886A80">
              <w:rPr>
                <w:rFonts w:eastAsia="Times New Roman"/>
                <w:b/>
                <w:bCs/>
                <w:sz w:val="18"/>
                <w:szCs w:val="18"/>
                <w:lang w:val="en-US" w:eastAsia="en-US"/>
              </w:rPr>
              <w:t>14,</w:t>
            </w:r>
            <w:r>
              <w:rPr>
                <w:rFonts w:eastAsia="Times New Roman"/>
                <w:b/>
                <w:bCs/>
                <w:sz w:val="18"/>
                <w:szCs w:val="18"/>
                <w:lang w:val="en-US" w:eastAsia="en-US"/>
              </w:rPr>
              <w:t xml:space="preserve"> </w:t>
            </w:r>
            <w:r w:rsidRPr="00886A80">
              <w:rPr>
                <w:rFonts w:eastAsia="Times New Roman"/>
                <w:b/>
                <w:bCs/>
                <w:sz w:val="18"/>
                <w:szCs w:val="18"/>
                <w:lang w:val="en-US" w:eastAsia="en-US"/>
              </w:rPr>
              <w:t>15,</w:t>
            </w:r>
            <w:r>
              <w:rPr>
                <w:rFonts w:eastAsia="Times New Roman"/>
                <w:b/>
                <w:bCs/>
                <w:sz w:val="18"/>
                <w:szCs w:val="18"/>
                <w:lang w:val="en-US" w:eastAsia="en-US"/>
              </w:rPr>
              <w:t xml:space="preserve"> </w:t>
            </w:r>
            <w:r w:rsidRPr="00886A80">
              <w:rPr>
                <w:rFonts w:eastAsia="Times New Roman"/>
                <w:b/>
                <w:bCs/>
                <w:sz w:val="18"/>
                <w:szCs w:val="18"/>
                <w:lang w:val="en-US" w:eastAsia="en-US"/>
              </w:rPr>
              <w:t>19/12)</w:t>
            </w:r>
            <w:r w:rsidR="005B562F">
              <w:rPr>
                <w:rStyle w:val="FootnoteReference"/>
                <w:rFonts w:eastAsia="Times New Roman"/>
                <w:b/>
                <w:bCs/>
                <w:sz w:val="18"/>
                <w:szCs w:val="18"/>
                <w:lang w:val="en-US" w:eastAsia="en-US"/>
              </w:rPr>
              <w:footnoteReference w:id="14"/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7CEEA" w14:textId="77777777" w:rsidR="006C6DE5" w:rsidRPr="00886A80" w:rsidRDefault="006C6DE5" w:rsidP="005B562F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99949" w14:textId="2265AAB0" w:rsidR="006C6DE5" w:rsidRPr="00886A80" w:rsidRDefault="006C6DE5" w:rsidP="005B562F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A5ACA" w14:textId="3151F27D" w:rsidR="006C6DE5" w:rsidRPr="00886A80" w:rsidRDefault="006C6DE5" w:rsidP="005B562F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(Q5,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886A80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24/16)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9C5FB" w14:textId="654E2789" w:rsidR="006C6DE5" w:rsidRPr="00886A80" w:rsidRDefault="00AE1A42" w:rsidP="005B562F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E1A42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(Q4/17)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D1CC7" w14:textId="77777777" w:rsidR="006C6DE5" w:rsidRPr="00886A80" w:rsidRDefault="006C6DE5" w:rsidP="005B562F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86A80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X</w:t>
            </w:r>
          </w:p>
        </w:tc>
      </w:tr>
    </w:tbl>
    <w:p w14:paraId="67F4D547" w14:textId="77777777" w:rsidR="00161991" w:rsidRDefault="00161991" w:rsidP="00A33576">
      <w:pPr>
        <w:spacing w:before="0" w:after="160" w:line="256" w:lineRule="auto"/>
      </w:pPr>
    </w:p>
    <w:tbl>
      <w:tblPr>
        <w:tblW w:w="6390" w:type="dxa"/>
        <w:tblLook w:val="04A0" w:firstRow="1" w:lastRow="0" w:firstColumn="1" w:lastColumn="0" w:noHBand="0" w:noVBand="1"/>
      </w:tblPr>
      <w:tblGrid>
        <w:gridCol w:w="6390"/>
      </w:tblGrid>
      <w:tr w:rsidR="0066012F" w:rsidRPr="00A82DC5" w14:paraId="4D36653C" w14:textId="77777777" w:rsidTr="00627B14">
        <w:trPr>
          <w:trHeight w:val="29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72C96" w14:textId="77777777" w:rsidR="0066012F" w:rsidRPr="00A82DC5" w:rsidRDefault="0066012F" w:rsidP="00627B14">
            <w:pPr>
              <w:spacing w:before="0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  <w:r w:rsidRPr="00A82DC5"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  <w:t>KEY:</w:t>
            </w:r>
          </w:p>
        </w:tc>
      </w:tr>
      <w:tr w:rsidR="0066012F" w:rsidRPr="00A82DC5" w14:paraId="55F0C81B" w14:textId="77777777" w:rsidTr="00627B14">
        <w:trPr>
          <w:trHeight w:val="29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69A78" w14:textId="77777777" w:rsidR="0066012F" w:rsidRPr="00A82DC5" w:rsidRDefault="0066012F" w:rsidP="00627B14">
            <w:pPr>
              <w:spacing w:before="0"/>
              <w:rPr>
                <w:rFonts w:eastAsia="Times New Roman"/>
                <w:color w:val="FF0000"/>
                <w:sz w:val="18"/>
                <w:szCs w:val="18"/>
                <w:lang w:val="en-US" w:eastAsia="en-US"/>
              </w:rPr>
            </w:pPr>
            <w:r w:rsidRPr="00A82DC5">
              <w:rPr>
                <w:rFonts w:eastAsia="Times New Roman"/>
                <w:color w:val="FF0000"/>
                <w:sz w:val="18"/>
                <w:szCs w:val="18"/>
                <w:lang w:val="en-US" w:eastAsia="en-US"/>
              </w:rPr>
              <w:t xml:space="preserve">X: </w:t>
            </w:r>
            <w:r w:rsidRPr="00A82DC5"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  <w:t>Red indicates that the topic is the prime responsibility of the study group</w:t>
            </w:r>
          </w:p>
        </w:tc>
      </w:tr>
      <w:tr w:rsidR="0066012F" w:rsidRPr="00A82DC5" w14:paraId="6A68CF0A" w14:textId="77777777" w:rsidTr="00627B14">
        <w:trPr>
          <w:trHeight w:val="29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99DD6" w14:textId="77777777" w:rsidR="0066012F" w:rsidRPr="00A82DC5" w:rsidRDefault="0066012F" w:rsidP="00627B14">
            <w:pPr>
              <w:spacing w:before="0"/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</w:pPr>
            <w:r w:rsidRPr="00A82DC5">
              <w:rPr>
                <w:rFonts w:eastAsia="Times New Roman"/>
                <w:color w:val="000000"/>
                <w:sz w:val="18"/>
                <w:szCs w:val="18"/>
                <w:lang w:val="en-US" w:eastAsia="en-US"/>
              </w:rPr>
              <w:t>X: Black indicates that the topic is also addressed in different working groups</w:t>
            </w:r>
          </w:p>
        </w:tc>
      </w:tr>
    </w:tbl>
    <w:p w14:paraId="3BB54D07" w14:textId="77777777" w:rsidR="0066012F" w:rsidRPr="00A33576" w:rsidRDefault="0066012F" w:rsidP="00A33576">
      <w:pPr>
        <w:spacing w:before="0" w:after="160" w:line="256" w:lineRule="auto"/>
      </w:pPr>
    </w:p>
    <w:p w14:paraId="595BAEDD" w14:textId="14FB7CA6" w:rsidR="007F1869" w:rsidRDefault="00394DBF" w:rsidP="00A33576">
      <w:pPr>
        <w:jc w:val="center"/>
      </w:pPr>
      <w:r>
        <w:t>_______________________</w:t>
      </w:r>
    </w:p>
    <w:sectPr w:rsidR="007F1869" w:rsidSect="00C2158D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A16C1" w14:textId="77777777" w:rsidR="00C6709C" w:rsidRDefault="00C6709C" w:rsidP="00C42125">
      <w:pPr>
        <w:spacing w:before="0"/>
      </w:pPr>
      <w:r>
        <w:separator/>
      </w:r>
    </w:p>
  </w:endnote>
  <w:endnote w:type="continuationSeparator" w:id="0">
    <w:p w14:paraId="036AD7F3" w14:textId="77777777" w:rsidR="00C6709C" w:rsidRDefault="00C6709C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2176D" w14:textId="77777777" w:rsidR="00C6709C" w:rsidRDefault="00C6709C" w:rsidP="00C42125">
      <w:pPr>
        <w:spacing w:before="0"/>
      </w:pPr>
      <w:r>
        <w:separator/>
      </w:r>
    </w:p>
  </w:footnote>
  <w:footnote w:type="continuationSeparator" w:id="0">
    <w:p w14:paraId="329ECF19" w14:textId="77777777" w:rsidR="00C6709C" w:rsidRDefault="00C6709C" w:rsidP="00C42125">
      <w:pPr>
        <w:spacing w:before="0"/>
      </w:pPr>
      <w:r>
        <w:continuationSeparator/>
      </w:r>
    </w:p>
  </w:footnote>
  <w:footnote w:id="1">
    <w:p w14:paraId="70A86594" w14:textId="09628DFB" w:rsidR="003418A7" w:rsidRPr="005B562F" w:rsidRDefault="003418A7" w:rsidP="003418A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161991">
        <w:rPr>
          <w:rFonts w:eastAsia="Times New Roman"/>
          <w:color w:val="000000"/>
          <w:lang w:val="en-US" w:eastAsia="en-US"/>
        </w:rPr>
        <w:t xml:space="preserve">Operational aspects of performance, QoS and </w:t>
      </w:r>
      <w:proofErr w:type="spellStart"/>
      <w:r w:rsidRPr="00161991">
        <w:rPr>
          <w:rFonts w:eastAsia="Times New Roman"/>
          <w:color w:val="000000"/>
          <w:lang w:val="en-US" w:eastAsia="en-US"/>
        </w:rPr>
        <w:t>QoE</w:t>
      </w:r>
      <w:proofErr w:type="spellEnd"/>
      <w:r w:rsidRPr="00161991">
        <w:rPr>
          <w:rFonts w:eastAsia="Times New Roman"/>
          <w:color w:val="000000"/>
          <w:lang w:val="en-US" w:eastAsia="en-US"/>
        </w:rPr>
        <w:t xml:space="preserve"> (WTSA Res.2 Annex A, SG12 mandate). This work area was moved from SG2 (Q4/2) to SG12 (Q12/12) at WTSA-08.</w:t>
      </w:r>
    </w:p>
  </w:footnote>
  <w:footnote w:id="2">
    <w:p w14:paraId="2E6DF7E4" w14:textId="2C4E6C5F" w:rsidR="00FE5B92" w:rsidRPr="00FE5B92" w:rsidRDefault="00FE5B9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Telecommunication/ICT services</w:t>
      </w:r>
    </w:p>
  </w:footnote>
  <w:footnote w:id="3">
    <w:p w14:paraId="332D7507" w14:textId="7C99135C" w:rsidR="00996905" w:rsidRPr="00996905" w:rsidRDefault="0099690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996905">
        <w:rPr>
          <w:rFonts w:eastAsia="Times New Roman"/>
          <w:sz w:val="18"/>
          <w:szCs w:val="18"/>
          <w:lang w:val="en-US" w:eastAsia="en-US"/>
        </w:rPr>
        <w:t>set-top-</w:t>
      </w:r>
      <w:proofErr w:type="gramStart"/>
      <w:r w:rsidRPr="00996905">
        <w:rPr>
          <w:rFonts w:eastAsia="Times New Roman"/>
          <w:sz w:val="18"/>
          <w:szCs w:val="18"/>
          <w:lang w:val="en-US" w:eastAsia="en-US"/>
        </w:rPr>
        <w:t>boxes</w:t>
      </w:r>
      <w:proofErr w:type="gramEnd"/>
    </w:p>
  </w:footnote>
  <w:footnote w:id="4">
    <w:p w14:paraId="70E7CD48" w14:textId="6519BAE4" w:rsidR="003418A7" w:rsidRPr="006C6DE5" w:rsidRDefault="003418A7" w:rsidP="003418A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eastAsia="Times New Roman"/>
          <w:b/>
          <w:bCs/>
          <w:color w:val="FF0000"/>
          <w:sz w:val="18"/>
          <w:szCs w:val="18"/>
          <w:lang w:val="en-US" w:eastAsia="en-US"/>
        </w:rPr>
        <w:t>C</w:t>
      </w:r>
      <w:r w:rsidRPr="00886A80">
        <w:rPr>
          <w:rFonts w:eastAsia="Times New Roman"/>
          <w:b/>
          <w:bCs/>
          <w:color w:val="FF0000"/>
          <w:sz w:val="18"/>
          <w:szCs w:val="18"/>
          <w:lang w:val="en-US" w:eastAsia="en-US"/>
        </w:rPr>
        <w:t>ombating counterfeit and stolen ICT devices</w:t>
      </w:r>
      <w:r>
        <w:rPr>
          <w:rFonts w:eastAsia="Times New Roman"/>
          <w:b/>
          <w:bCs/>
          <w:color w:val="FF0000"/>
          <w:sz w:val="18"/>
          <w:szCs w:val="18"/>
          <w:lang w:val="en-US" w:eastAsia="en-US"/>
        </w:rPr>
        <w:tab/>
      </w:r>
    </w:p>
  </w:footnote>
  <w:footnote w:id="5">
    <w:p w14:paraId="74A9E53E" w14:textId="5597C2CE" w:rsidR="00996905" w:rsidRPr="00996905" w:rsidRDefault="0099690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IPTV</w:t>
      </w:r>
    </w:p>
  </w:footnote>
  <w:footnote w:id="6">
    <w:p w14:paraId="6B06DB26" w14:textId="2F037122" w:rsidR="00EB59EE" w:rsidRPr="005B562F" w:rsidRDefault="00EB59E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161991">
        <w:rPr>
          <w:rFonts w:eastAsia="Times New Roman"/>
          <w:color w:val="000000"/>
          <w:lang w:val="en-US" w:eastAsia="en-US"/>
        </w:rPr>
        <w:t xml:space="preserve">WTSA Res.2 Annex B for SG12: "Development of test specifications for ITU-T Recommendations on performance, QoS and </w:t>
      </w:r>
      <w:proofErr w:type="spellStart"/>
      <w:r w:rsidRPr="00161991">
        <w:rPr>
          <w:rFonts w:eastAsia="Times New Roman"/>
          <w:color w:val="000000"/>
          <w:lang w:val="en-US" w:eastAsia="en-US"/>
        </w:rPr>
        <w:t>QoE</w:t>
      </w:r>
      <w:proofErr w:type="spellEnd"/>
      <w:r w:rsidRPr="00161991">
        <w:rPr>
          <w:rFonts w:eastAsia="Times New Roman"/>
          <w:color w:val="000000"/>
          <w:lang w:val="en-US" w:eastAsia="en-US"/>
        </w:rPr>
        <w:t xml:space="preserve">". Recommendations under the purview of Questions 4, 5, 6, 7, 9, 10, 13, 14, 15, 17, 19, 20/12 address various testing aspects in the context of performance, QoS and </w:t>
      </w:r>
      <w:proofErr w:type="spellStart"/>
      <w:r w:rsidRPr="00161991">
        <w:rPr>
          <w:rFonts w:eastAsia="Times New Roman"/>
          <w:color w:val="000000"/>
          <w:lang w:val="en-US" w:eastAsia="en-US"/>
        </w:rPr>
        <w:t>QoE</w:t>
      </w:r>
      <w:proofErr w:type="spellEnd"/>
    </w:p>
  </w:footnote>
  <w:footnote w:id="7">
    <w:p w14:paraId="0E417675" w14:textId="03C738F3" w:rsidR="00A718F2" w:rsidRPr="00A718F2" w:rsidRDefault="00A718F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546F5E">
        <w:rPr>
          <w:lang w:val="en-US"/>
        </w:rPr>
        <w:t>Including digital culture, XR, accessibility, and human factors</w:t>
      </w:r>
    </w:p>
  </w:footnote>
  <w:footnote w:id="8">
    <w:p w14:paraId="46F27AA3" w14:textId="298D820C" w:rsidR="00275A09" w:rsidRPr="00275A09" w:rsidRDefault="009D7F3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Automo</w:t>
      </w:r>
      <w:r w:rsidR="008F07D3">
        <w:t>tive aspects of ITS</w:t>
      </w:r>
    </w:p>
  </w:footnote>
  <w:footnote w:id="9">
    <w:p w14:paraId="107CEF02" w14:textId="5EB05C6B" w:rsidR="0094713B" w:rsidRPr="005B562F" w:rsidRDefault="0094713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161991">
        <w:rPr>
          <w:rFonts w:eastAsia="Times New Roman"/>
          <w:color w:val="000000"/>
          <w:lang w:val="en-US" w:eastAsia="en-US"/>
        </w:rPr>
        <w:t xml:space="preserve">QKD technology itself is not the study item in ITU. The networking aspect, QKD network, was originated </w:t>
      </w:r>
      <w:r w:rsidR="00752BAD">
        <w:rPr>
          <w:rFonts w:eastAsia="Times New Roman"/>
          <w:color w:val="000000"/>
          <w:lang w:val="en-US" w:eastAsia="en-US"/>
        </w:rPr>
        <w:t>by</w:t>
      </w:r>
      <w:r w:rsidRPr="00161991">
        <w:rPr>
          <w:rFonts w:eastAsia="Times New Roman"/>
          <w:color w:val="000000"/>
          <w:lang w:val="en-US" w:eastAsia="en-US"/>
        </w:rPr>
        <w:t xml:space="preserve"> SG13</w:t>
      </w:r>
      <w:r w:rsidR="00752BAD">
        <w:rPr>
          <w:rFonts w:eastAsia="Times New Roman"/>
          <w:color w:val="000000"/>
          <w:lang w:val="en-US" w:eastAsia="en-US"/>
        </w:rPr>
        <w:t xml:space="preserve"> in</w:t>
      </w:r>
      <w:r w:rsidRPr="00161991">
        <w:rPr>
          <w:rFonts w:eastAsia="Times New Roman"/>
          <w:color w:val="000000"/>
          <w:lang w:val="en-US" w:eastAsia="en-US"/>
        </w:rPr>
        <w:t xml:space="preserve"> 2018. More than 40 documents for QKD network are developed and developing in SG11, 13 &amp; 17 so far.</w:t>
      </w:r>
    </w:p>
  </w:footnote>
  <w:footnote w:id="10">
    <w:p w14:paraId="78E99ECC" w14:textId="449E288B" w:rsidR="008F07D3" w:rsidRPr="008F07D3" w:rsidRDefault="008F07D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DLT only</w:t>
      </w:r>
    </w:p>
  </w:footnote>
  <w:footnote w:id="11">
    <w:p w14:paraId="497C61F0" w14:textId="057B8D4B" w:rsidR="00752BAD" w:rsidRPr="00752BAD" w:rsidRDefault="00752BA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752BAD">
        <w:rPr>
          <w:rFonts w:eastAsia="Times New Roman"/>
          <w:sz w:val="18"/>
          <w:szCs w:val="18"/>
          <w:lang w:val="en-US" w:eastAsia="en-US"/>
        </w:rPr>
        <w:t>CA-DRM</w:t>
      </w:r>
    </w:p>
  </w:footnote>
  <w:footnote w:id="12">
    <w:p w14:paraId="3A76E070" w14:textId="23FBED98" w:rsidR="00BD1457" w:rsidRPr="00BD1457" w:rsidRDefault="00BD145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BD1457">
        <w:rPr>
          <w:rFonts w:eastAsia="Times New Roman"/>
          <w:color w:val="000000"/>
          <w:sz w:val="18"/>
          <w:szCs w:val="18"/>
          <w:lang w:val="en-US" w:eastAsia="en-US"/>
        </w:rPr>
        <w:t>Smart Farming</w:t>
      </w:r>
    </w:p>
  </w:footnote>
  <w:footnote w:id="13">
    <w:p w14:paraId="1CF40000" w14:textId="6E9788BF" w:rsidR="00BD1457" w:rsidRPr="00BD1457" w:rsidRDefault="00BD145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BD1457">
        <w:rPr>
          <w:rFonts w:eastAsia="Times New Roman"/>
          <w:color w:val="000000"/>
          <w:sz w:val="18"/>
          <w:szCs w:val="18"/>
          <w:lang w:val="en-US" w:eastAsia="en-US"/>
        </w:rPr>
        <w:t>Digital Health</w:t>
      </w:r>
    </w:p>
  </w:footnote>
  <w:footnote w:id="14">
    <w:p w14:paraId="3002B0E0" w14:textId="662C1F5A" w:rsidR="005B562F" w:rsidRPr="005B562F" w:rsidRDefault="005B562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161991">
        <w:rPr>
          <w:rFonts w:eastAsia="Times New Roman"/>
          <w:color w:val="000000"/>
          <w:lang w:val="en-US" w:eastAsia="en-US"/>
        </w:rPr>
        <w:t>Many quality assessment models considered by SG12 are trained using some form of machine learning.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415B" w14:textId="43104F2F" w:rsidR="00C42125" w:rsidRPr="00C2158D" w:rsidRDefault="00C2158D" w:rsidP="00C2158D">
    <w:pPr>
      <w:pStyle w:val="Header"/>
    </w:pPr>
    <w:r w:rsidRPr="00C2158D">
      <w:t xml:space="preserve">- </w:t>
    </w:r>
    <w:r w:rsidRPr="00C2158D">
      <w:fldChar w:fldCharType="begin"/>
    </w:r>
    <w:r w:rsidRPr="00C2158D">
      <w:instrText xml:space="preserve"> PAGE  \* MERGEFORMAT </w:instrText>
    </w:r>
    <w:r w:rsidRPr="00C2158D">
      <w:fldChar w:fldCharType="separate"/>
    </w:r>
    <w:r w:rsidRPr="00C2158D">
      <w:rPr>
        <w:noProof/>
      </w:rPr>
      <w:t>1</w:t>
    </w:r>
    <w:r w:rsidRPr="00C2158D">
      <w:fldChar w:fldCharType="end"/>
    </w:r>
    <w:r w:rsidRPr="00C2158D">
      <w:t xml:space="preserve"> -</w:t>
    </w:r>
  </w:p>
  <w:p w14:paraId="0777084A" w14:textId="5EBEFF5C" w:rsidR="00C2158D" w:rsidRPr="00C2158D" w:rsidRDefault="00C2158D" w:rsidP="00C2158D">
    <w:pPr>
      <w:pStyle w:val="Header"/>
      <w:spacing w:after="240"/>
    </w:pPr>
    <w:r>
      <w:t>TSAG-TD277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BED74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9EBAB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22769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2928F2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96B01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5CD7C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EC57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9858F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8E2E3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14CC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EA2064"/>
    <w:multiLevelType w:val="multilevel"/>
    <w:tmpl w:val="C49E9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4B221DC"/>
    <w:multiLevelType w:val="hybridMultilevel"/>
    <w:tmpl w:val="72242956"/>
    <w:lvl w:ilvl="0" w:tplc="FFFFFFFF">
      <w:start w:val="1"/>
      <w:numFmt w:val="decimal"/>
      <w:lvlText w:val="2.%1."/>
      <w:lvlJc w:val="left"/>
      <w:pPr>
        <w:ind w:left="1874" w:hanging="360"/>
      </w:pPr>
      <w:rPr>
        <w:rFonts w:hint="default"/>
      </w:rPr>
    </w:lvl>
    <w:lvl w:ilvl="1" w:tplc="BBC049D4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604471"/>
    <w:multiLevelType w:val="hybridMultilevel"/>
    <w:tmpl w:val="F5D8276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347B09"/>
    <w:multiLevelType w:val="hybridMultilevel"/>
    <w:tmpl w:val="899CB936"/>
    <w:lvl w:ilvl="0" w:tplc="FFFFFFFF">
      <w:start w:val="1"/>
      <w:numFmt w:val="decimal"/>
      <w:lvlText w:val="1.%1."/>
      <w:lvlJc w:val="left"/>
      <w:pPr>
        <w:ind w:left="1874" w:hanging="360"/>
      </w:pPr>
      <w:rPr>
        <w:rFonts w:hint="default"/>
      </w:rPr>
    </w:lvl>
    <w:lvl w:ilvl="1" w:tplc="C47E8F7E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84717"/>
    <w:multiLevelType w:val="hybridMultilevel"/>
    <w:tmpl w:val="29B69068"/>
    <w:lvl w:ilvl="0" w:tplc="FFFFFFFF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2036389C">
      <w:start w:val="1"/>
      <w:numFmt w:val="decimal"/>
      <w:lvlText w:val="5.%3."/>
      <w:lvlJc w:val="lef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4184C"/>
    <w:multiLevelType w:val="multilevel"/>
    <w:tmpl w:val="6E0A1098"/>
    <w:lvl w:ilvl="0">
      <w:start w:val="1"/>
      <w:numFmt w:val="decimal"/>
      <w:lvlText w:val="%1"/>
      <w:lvlJc w:val="left"/>
      <w:pPr>
        <w:ind w:left="1152" w:hanging="792"/>
      </w:pPr>
    </w:lvl>
    <w:lvl w:ilvl="1">
      <w:start w:val="1"/>
      <w:numFmt w:val="decimal"/>
      <w:isLgl/>
      <w:lvlText w:val="%1.%2"/>
      <w:lvlJc w:val="left"/>
      <w:pPr>
        <w:ind w:left="1152" w:hanging="792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152" w:hanging="792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152" w:hanging="792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/>
      </w:rPr>
    </w:lvl>
  </w:abstractNum>
  <w:abstractNum w:abstractNumId="16" w15:restartNumberingAfterBreak="0">
    <w:nsid w:val="52363916"/>
    <w:multiLevelType w:val="hybridMultilevel"/>
    <w:tmpl w:val="689CAF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83611"/>
    <w:multiLevelType w:val="hybridMultilevel"/>
    <w:tmpl w:val="4374121E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E011CC1"/>
    <w:multiLevelType w:val="hybridMultilevel"/>
    <w:tmpl w:val="8F0E9700"/>
    <w:lvl w:ilvl="0" w:tplc="FFFFFFFF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AE02FC3E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decimal"/>
      <w:lvlText w:val="3.%3."/>
      <w:lvlJc w:val="lef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971C89"/>
    <w:multiLevelType w:val="hybridMultilevel"/>
    <w:tmpl w:val="183ADD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42D59B1"/>
    <w:multiLevelType w:val="hybridMultilevel"/>
    <w:tmpl w:val="4C0E3A5A"/>
    <w:lvl w:ilvl="0" w:tplc="C47E8F7E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351883">
    <w:abstractNumId w:val="9"/>
  </w:num>
  <w:num w:numId="2" w16cid:durableId="809174168">
    <w:abstractNumId w:val="7"/>
  </w:num>
  <w:num w:numId="3" w16cid:durableId="375815686">
    <w:abstractNumId w:val="6"/>
  </w:num>
  <w:num w:numId="4" w16cid:durableId="942953009">
    <w:abstractNumId w:val="5"/>
  </w:num>
  <w:num w:numId="5" w16cid:durableId="540479173">
    <w:abstractNumId w:val="4"/>
  </w:num>
  <w:num w:numId="6" w16cid:durableId="307052394">
    <w:abstractNumId w:val="8"/>
  </w:num>
  <w:num w:numId="7" w16cid:durableId="708846191">
    <w:abstractNumId w:val="3"/>
  </w:num>
  <w:num w:numId="8" w16cid:durableId="26761296">
    <w:abstractNumId w:val="2"/>
  </w:num>
  <w:num w:numId="9" w16cid:durableId="550775793">
    <w:abstractNumId w:val="1"/>
  </w:num>
  <w:num w:numId="10" w16cid:durableId="1865702283">
    <w:abstractNumId w:val="0"/>
  </w:num>
  <w:num w:numId="11" w16cid:durableId="22348659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2659045">
    <w:abstractNumId w:val="16"/>
  </w:num>
  <w:num w:numId="13" w16cid:durableId="1892040337">
    <w:abstractNumId w:val="12"/>
  </w:num>
  <w:num w:numId="14" w16cid:durableId="2014601319">
    <w:abstractNumId w:val="19"/>
  </w:num>
  <w:num w:numId="15" w16cid:durableId="661812838">
    <w:abstractNumId w:val="13"/>
  </w:num>
  <w:num w:numId="16" w16cid:durableId="357958">
    <w:abstractNumId w:val="11"/>
  </w:num>
  <w:num w:numId="17" w16cid:durableId="550961536">
    <w:abstractNumId w:val="18"/>
  </w:num>
  <w:num w:numId="18" w16cid:durableId="777874738">
    <w:abstractNumId w:val="14"/>
  </w:num>
  <w:num w:numId="19" w16cid:durableId="1486894224">
    <w:abstractNumId w:val="10"/>
  </w:num>
  <w:num w:numId="20" w16cid:durableId="689381237">
    <w:abstractNumId w:val="17"/>
  </w:num>
  <w:num w:numId="21" w16cid:durableId="20055625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15263"/>
    <w:rsid w:val="0001614D"/>
    <w:rsid w:val="00021355"/>
    <w:rsid w:val="00023D9A"/>
    <w:rsid w:val="00036034"/>
    <w:rsid w:val="000533A6"/>
    <w:rsid w:val="0005439B"/>
    <w:rsid w:val="00057000"/>
    <w:rsid w:val="00060FD6"/>
    <w:rsid w:val="0006157A"/>
    <w:rsid w:val="000640E0"/>
    <w:rsid w:val="0009274D"/>
    <w:rsid w:val="000A3367"/>
    <w:rsid w:val="000A5CA2"/>
    <w:rsid w:val="000C722F"/>
    <w:rsid w:val="000D346C"/>
    <w:rsid w:val="000E08F4"/>
    <w:rsid w:val="000E6A3A"/>
    <w:rsid w:val="000F202D"/>
    <w:rsid w:val="00101257"/>
    <w:rsid w:val="00125432"/>
    <w:rsid w:val="00137F40"/>
    <w:rsid w:val="00160A18"/>
    <w:rsid w:val="00161991"/>
    <w:rsid w:val="00163E64"/>
    <w:rsid w:val="001677F5"/>
    <w:rsid w:val="001715F9"/>
    <w:rsid w:val="00181716"/>
    <w:rsid w:val="001871EC"/>
    <w:rsid w:val="001A670F"/>
    <w:rsid w:val="001B5FB0"/>
    <w:rsid w:val="001C62B8"/>
    <w:rsid w:val="001C6C99"/>
    <w:rsid w:val="001E7B0E"/>
    <w:rsid w:val="001F141D"/>
    <w:rsid w:val="001F4F87"/>
    <w:rsid w:val="00200A06"/>
    <w:rsid w:val="00216B37"/>
    <w:rsid w:val="00244CED"/>
    <w:rsid w:val="00253653"/>
    <w:rsid w:val="002619DB"/>
    <w:rsid w:val="00261CE9"/>
    <w:rsid w:val="002622FA"/>
    <w:rsid w:val="00263518"/>
    <w:rsid w:val="00267287"/>
    <w:rsid w:val="00274CEE"/>
    <w:rsid w:val="00275A09"/>
    <w:rsid w:val="00277326"/>
    <w:rsid w:val="0028513C"/>
    <w:rsid w:val="002A1D43"/>
    <w:rsid w:val="002A401B"/>
    <w:rsid w:val="002A6C2A"/>
    <w:rsid w:val="002B3C3D"/>
    <w:rsid w:val="002C26C0"/>
    <w:rsid w:val="002E2B0F"/>
    <w:rsid w:val="002E79CB"/>
    <w:rsid w:val="002F7879"/>
    <w:rsid w:val="002F7F55"/>
    <w:rsid w:val="0030745F"/>
    <w:rsid w:val="00314630"/>
    <w:rsid w:val="0032090A"/>
    <w:rsid w:val="00321CDE"/>
    <w:rsid w:val="0032382B"/>
    <w:rsid w:val="003239D4"/>
    <w:rsid w:val="00333E15"/>
    <w:rsid w:val="003418A7"/>
    <w:rsid w:val="003436BC"/>
    <w:rsid w:val="003447E2"/>
    <w:rsid w:val="003548BA"/>
    <w:rsid w:val="0036651C"/>
    <w:rsid w:val="00366DB7"/>
    <w:rsid w:val="00380122"/>
    <w:rsid w:val="0038715D"/>
    <w:rsid w:val="00390F67"/>
    <w:rsid w:val="00390FFD"/>
    <w:rsid w:val="00391965"/>
    <w:rsid w:val="00394DBF"/>
    <w:rsid w:val="003A43EF"/>
    <w:rsid w:val="003A73CA"/>
    <w:rsid w:val="003B5151"/>
    <w:rsid w:val="003C370A"/>
    <w:rsid w:val="003D1D83"/>
    <w:rsid w:val="003E0C21"/>
    <w:rsid w:val="003E0E18"/>
    <w:rsid w:val="003E57D1"/>
    <w:rsid w:val="003E7125"/>
    <w:rsid w:val="003F1D04"/>
    <w:rsid w:val="003F2ACC"/>
    <w:rsid w:val="003F2BED"/>
    <w:rsid w:val="003F32FB"/>
    <w:rsid w:val="003F7525"/>
    <w:rsid w:val="0040192B"/>
    <w:rsid w:val="00413E08"/>
    <w:rsid w:val="00415934"/>
    <w:rsid w:val="00443878"/>
    <w:rsid w:val="00452CB7"/>
    <w:rsid w:val="004613FA"/>
    <w:rsid w:val="00467972"/>
    <w:rsid w:val="004712CA"/>
    <w:rsid w:val="0047422E"/>
    <w:rsid w:val="00490B97"/>
    <w:rsid w:val="0049280A"/>
    <w:rsid w:val="004A1A4C"/>
    <w:rsid w:val="004B2BBE"/>
    <w:rsid w:val="004B4E7E"/>
    <w:rsid w:val="004C0673"/>
    <w:rsid w:val="004C18E2"/>
    <w:rsid w:val="004D5A40"/>
    <w:rsid w:val="004F3816"/>
    <w:rsid w:val="004F6296"/>
    <w:rsid w:val="00500B0D"/>
    <w:rsid w:val="00501B98"/>
    <w:rsid w:val="00510920"/>
    <w:rsid w:val="0051199B"/>
    <w:rsid w:val="0052795F"/>
    <w:rsid w:val="005321B7"/>
    <w:rsid w:val="00543E0D"/>
    <w:rsid w:val="00546F5E"/>
    <w:rsid w:val="0055606B"/>
    <w:rsid w:val="0056481F"/>
    <w:rsid w:val="00564863"/>
    <w:rsid w:val="00566EDA"/>
    <w:rsid w:val="00572654"/>
    <w:rsid w:val="0059734F"/>
    <w:rsid w:val="005B1E57"/>
    <w:rsid w:val="005B3F5E"/>
    <w:rsid w:val="005B551E"/>
    <w:rsid w:val="005B5629"/>
    <w:rsid w:val="005B562F"/>
    <w:rsid w:val="005C0300"/>
    <w:rsid w:val="005C30DD"/>
    <w:rsid w:val="005D00E2"/>
    <w:rsid w:val="005E580B"/>
    <w:rsid w:val="005F4B6A"/>
    <w:rsid w:val="00613B03"/>
    <w:rsid w:val="00615A0A"/>
    <w:rsid w:val="00621A25"/>
    <w:rsid w:val="00624BC8"/>
    <w:rsid w:val="00632AA5"/>
    <w:rsid w:val="006333D4"/>
    <w:rsid w:val="00634B97"/>
    <w:rsid w:val="0063591E"/>
    <w:rsid w:val="006369B2"/>
    <w:rsid w:val="00652C03"/>
    <w:rsid w:val="006570B0"/>
    <w:rsid w:val="0066012F"/>
    <w:rsid w:val="006626E9"/>
    <w:rsid w:val="00673C3F"/>
    <w:rsid w:val="00674784"/>
    <w:rsid w:val="00684BE4"/>
    <w:rsid w:val="00691A6D"/>
    <w:rsid w:val="0069210B"/>
    <w:rsid w:val="006A4055"/>
    <w:rsid w:val="006C5641"/>
    <w:rsid w:val="006C6DE5"/>
    <w:rsid w:val="006D1089"/>
    <w:rsid w:val="006D7355"/>
    <w:rsid w:val="006E356E"/>
    <w:rsid w:val="006F2E82"/>
    <w:rsid w:val="00706A7A"/>
    <w:rsid w:val="0071029D"/>
    <w:rsid w:val="00710976"/>
    <w:rsid w:val="00715F54"/>
    <w:rsid w:val="00731135"/>
    <w:rsid w:val="007324AF"/>
    <w:rsid w:val="00740080"/>
    <w:rsid w:val="007409B4"/>
    <w:rsid w:val="00752BAD"/>
    <w:rsid w:val="0075525E"/>
    <w:rsid w:val="00755F71"/>
    <w:rsid w:val="00780C09"/>
    <w:rsid w:val="007903F8"/>
    <w:rsid w:val="00791856"/>
    <w:rsid w:val="00793FEC"/>
    <w:rsid w:val="00794D15"/>
    <w:rsid w:val="00794F4F"/>
    <w:rsid w:val="00796B33"/>
    <w:rsid w:val="007974BE"/>
    <w:rsid w:val="007A0916"/>
    <w:rsid w:val="007A0DFD"/>
    <w:rsid w:val="007B4CEA"/>
    <w:rsid w:val="007B64CD"/>
    <w:rsid w:val="007C1E38"/>
    <w:rsid w:val="007C4F52"/>
    <w:rsid w:val="007C7122"/>
    <w:rsid w:val="007D3453"/>
    <w:rsid w:val="007D3F11"/>
    <w:rsid w:val="007E0371"/>
    <w:rsid w:val="007E2099"/>
    <w:rsid w:val="007F1869"/>
    <w:rsid w:val="007F664D"/>
    <w:rsid w:val="0081367B"/>
    <w:rsid w:val="00817F1B"/>
    <w:rsid w:val="00842137"/>
    <w:rsid w:val="00844D11"/>
    <w:rsid w:val="00862736"/>
    <w:rsid w:val="00886A46"/>
    <w:rsid w:val="00886A80"/>
    <w:rsid w:val="0089088E"/>
    <w:rsid w:val="00892297"/>
    <w:rsid w:val="008C1C00"/>
    <w:rsid w:val="008C2D91"/>
    <w:rsid w:val="008D599B"/>
    <w:rsid w:val="008E0172"/>
    <w:rsid w:val="008F07D3"/>
    <w:rsid w:val="008F5E68"/>
    <w:rsid w:val="00914279"/>
    <w:rsid w:val="00930F6B"/>
    <w:rsid w:val="00931CAA"/>
    <w:rsid w:val="009406B5"/>
    <w:rsid w:val="00946166"/>
    <w:rsid w:val="0094713B"/>
    <w:rsid w:val="00966937"/>
    <w:rsid w:val="00974461"/>
    <w:rsid w:val="00983164"/>
    <w:rsid w:val="0098697D"/>
    <w:rsid w:val="0099371C"/>
    <w:rsid w:val="009938E1"/>
    <w:rsid w:val="009938ED"/>
    <w:rsid w:val="00996905"/>
    <w:rsid w:val="009972EF"/>
    <w:rsid w:val="009A1595"/>
    <w:rsid w:val="009A51B4"/>
    <w:rsid w:val="009B087E"/>
    <w:rsid w:val="009B559E"/>
    <w:rsid w:val="009C61FB"/>
    <w:rsid w:val="009D7F3A"/>
    <w:rsid w:val="009E2C9D"/>
    <w:rsid w:val="009E2E21"/>
    <w:rsid w:val="009E6045"/>
    <w:rsid w:val="009E766E"/>
    <w:rsid w:val="009F715E"/>
    <w:rsid w:val="00A10DBB"/>
    <w:rsid w:val="00A13051"/>
    <w:rsid w:val="00A22C11"/>
    <w:rsid w:val="00A25503"/>
    <w:rsid w:val="00A33576"/>
    <w:rsid w:val="00A4013E"/>
    <w:rsid w:val="00A42561"/>
    <w:rsid w:val="00A427CD"/>
    <w:rsid w:val="00A4600B"/>
    <w:rsid w:val="00A4778B"/>
    <w:rsid w:val="00A5621C"/>
    <w:rsid w:val="00A5714E"/>
    <w:rsid w:val="00A679D3"/>
    <w:rsid w:val="00A67A81"/>
    <w:rsid w:val="00A718F2"/>
    <w:rsid w:val="00A71DE5"/>
    <w:rsid w:val="00A728A3"/>
    <w:rsid w:val="00A730A6"/>
    <w:rsid w:val="00A868E2"/>
    <w:rsid w:val="00A95C07"/>
    <w:rsid w:val="00A971A0"/>
    <w:rsid w:val="00AA1F22"/>
    <w:rsid w:val="00AA39F5"/>
    <w:rsid w:val="00AB78F3"/>
    <w:rsid w:val="00AC52CF"/>
    <w:rsid w:val="00AC7257"/>
    <w:rsid w:val="00AD6CA8"/>
    <w:rsid w:val="00AE05A7"/>
    <w:rsid w:val="00AE1A42"/>
    <w:rsid w:val="00AE443D"/>
    <w:rsid w:val="00AF415D"/>
    <w:rsid w:val="00B05821"/>
    <w:rsid w:val="00B13B74"/>
    <w:rsid w:val="00B26C28"/>
    <w:rsid w:val="00B3222C"/>
    <w:rsid w:val="00B3373A"/>
    <w:rsid w:val="00B405A9"/>
    <w:rsid w:val="00B453F5"/>
    <w:rsid w:val="00B53D1B"/>
    <w:rsid w:val="00B718A5"/>
    <w:rsid w:val="00B83653"/>
    <w:rsid w:val="00B907D8"/>
    <w:rsid w:val="00BA7DE1"/>
    <w:rsid w:val="00BB535A"/>
    <w:rsid w:val="00BD1457"/>
    <w:rsid w:val="00BD7FEC"/>
    <w:rsid w:val="00BF2487"/>
    <w:rsid w:val="00BF4D26"/>
    <w:rsid w:val="00BF7CDD"/>
    <w:rsid w:val="00C17232"/>
    <w:rsid w:val="00C2158D"/>
    <w:rsid w:val="00C330E3"/>
    <w:rsid w:val="00C42125"/>
    <w:rsid w:val="00C53ACF"/>
    <w:rsid w:val="00C540A9"/>
    <w:rsid w:val="00C62814"/>
    <w:rsid w:val="00C6709C"/>
    <w:rsid w:val="00C707AC"/>
    <w:rsid w:val="00C74937"/>
    <w:rsid w:val="00C845AE"/>
    <w:rsid w:val="00C92AEA"/>
    <w:rsid w:val="00C9460E"/>
    <w:rsid w:val="00CE57BD"/>
    <w:rsid w:val="00D01172"/>
    <w:rsid w:val="00D02E3B"/>
    <w:rsid w:val="00D14B21"/>
    <w:rsid w:val="00D352B6"/>
    <w:rsid w:val="00D87B5C"/>
    <w:rsid w:val="00D91134"/>
    <w:rsid w:val="00DA03AB"/>
    <w:rsid w:val="00DA76F2"/>
    <w:rsid w:val="00DC52BF"/>
    <w:rsid w:val="00DC66CA"/>
    <w:rsid w:val="00DD2713"/>
    <w:rsid w:val="00DE3062"/>
    <w:rsid w:val="00DF2962"/>
    <w:rsid w:val="00E01896"/>
    <w:rsid w:val="00E1406C"/>
    <w:rsid w:val="00E204DD"/>
    <w:rsid w:val="00E20F77"/>
    <w:rsid w:val="00E2273E"/>
    <w:rsid w:val="00E23BFF"/>
    <w:rsid w:val="00E53C24"/>
    <w:rsid w:val="00E64400"/>
    <w:rsid w:val="00E741B3"/>
    <w:rsid w:val="00E875C1"/>
    <w:rsid w:val="00EB444D"/>
    <w:rsid w:val="00EB59EE"/>
    <w:rsid w:val="00EC12D1"/>
    <w:rsid w:val="00EC3F8A"/>
    <w:rsid w:val="00ED76D2"/>
    <w:rsid w:val="00EF34F4"/>
    <w:rsid w:val="00EF3BEE"/>
    <w:rsid w:val="00F00EFD"/>
    <w:rsid w:val="00F012EA"/>
    <w:rsid w:val="00F02294"/>
    <w:rsid w:val="00F075D9"/>
    <w:rsid w:val="00F11CD1"/>
    <w:rsid w:val="00F16A3B"/>
    <w:rsid w:val="00F27F33"/>
    <w:rsid w:val="00F35F57"/>
    <w:rsid w:val="00F50467"/>
    <w:rsid w:val="00F50F62"/>
    <w:rsid w:val="00F5180A"/>
    <w:rsid w:val="00F77D76"/>
    <w:rsid w:val="00F9555E"/>
    <w:rsid w:val="00FA73C7"/>
    <w:rsid w:val="00FB2725"/>
    <w:rsid w:val="00FB7E51"/>
    <w:rsid w:val="00FC1AAA"/>
    <w:rsid w:val="00FC65C7"/>
    <w:rsid w:val="00FE5B92"/>
    <w:rsid w:val="00FF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1092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qFormat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A25503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A25503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A2550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A25503"/>
    <w:pPr>
      <w:outlineLvl w:val="4"/>
    </w:pPr>
  </w:style>
  <w:style w:type="paragraph" w:styleId="Heading6">
    <w:name w:val="heading 6"/>
    <w:basedOn w:val="Heading4"/>
    <w:next w:val="Normal"/>
    <w:link w:val="Heading6Char"/>
    <w:rsid w:val="00A2550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A25503"/>
    <w:pPr>
      <w:outlineLvl w:val="6"/>
    </w:pPr>
  </w:style>
  <w:style w:type="paragraph" w:styleId="Heading8">
    <w:name w:val="heading 8"/>
    <w:basedOn w:val="Heading6"/>
    <w:next w:val="Normal"/>
    <w:link w:val="Heading8Char"/>
    <w:rsid w:val="00A25503"/>
    <w:pPr>
      <w:outlineLvl w:val="7"/>
    </w:pPr>
  </w:style>
  <w:style w:type="paragraph" w:styleId="Heading9">
    <w:name w:val="heading 9"/>
    <w:basedOn w:val="Heading6"/>
    <w:next w:val="Normal"/>
    <w:link w:val="Heading9Char"/>
    <w:rsid w:val="00A2550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5503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A2550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A25503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51092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510920"/>
  </w:style>
  <w:style w:type="paragraph" w:customStyle="1" w:styleId="CorrectionSeparatorBegin">
    <w:name w:val="Correction Separator Begin"/>
    <w:basedOn w:val="Normal"/>
    <w:rsid w:val="00510920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510920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51092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51092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51092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1092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51092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510920"/>
    <w:rPr>
      <w:b/>
      <w:bCs/>
    </w:rPr>
  </w:style>
  <w:style w:type="paragraph" w:customStyle="1" w:styleId="Normalbeforetable">
    <w:name w:val="Normal before table"/>
    <w:basedOn w:val="Normal"/>
    <w:rsid w:val="00510920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51092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51092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510920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510920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51092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51092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51092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510920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510920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51092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510920"/>
    <w:pPr>
      <w:ind w:left="2269"/>
    </w:pPr>
  </w:style>
  <w:style w:type="character" w:styleId="Hyperlink">
    <w:name w:val="Hyperlink"/>
    <w:aliases w:val="超级链接,超?级链,CEO_Hyperlink,Style 58,超????,하이퍼링크2,超链接1,하이퍼링크21,超??级链Ú,fL????,fL?级,超??级链,超?级链Ú,’´?级链,’´????,’´??级链Ú,’´??级"/>
    <w:basedOn w:val="DefaultParagraphFont"/>
    <w:uiPriority w:val="99"/>
    <w:qFormat/>
    <w:rsid w:val="0051092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A2550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510920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510920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00EF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00EF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A25503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A2550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5503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rsid w:val="00A2550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A25503"/>
    <w:pPr>
      <w:ind w:left="1191" w:hanging="397"/>
    </w:pPr>
  </w:style>
  <w:style w:type="paragraph" w:customStyle="1" w:styleId="enumlev3">
    <w:name w:val="enumlev3"/>
    <w:basedOn w:val="enumlev2"/>
    <w:rsid w:val="00A25503"/>
    <w:pPr>
      <w:ind w:left="1588"/>
    </w:pPr>
  </w:style>
  <w:style w:type="paragraph" w:customStyle="1" w:styleId="TSBHeaderRight14">
    <w:name w:val="TSBHeaderRight14"/>
    <w:basedOn w:val="Normal"/>
    <w:qFormat/>
    <w:rsid w:val="007F1869"/>
    <w:pPr>
      <w:jc w:val="right"/>
    </w:pPr>
    <w:rPr>
      <w:b/>
      <w:bCs/>
      <w:sz w:val="28"/>
      <w:szCs w:val="28"/>
    </w:rPr>
  </w:style>
  <w:style w:type="paragraph" w:customStyle="1" w:styleId="VenueDate">
    <w:name w:val="VenueDate"/>
    <w:basedOn w:val="Normal"/>
    <w:qFormat/>
    <w:rsid w:val="007F1869"/>
    <w:pPr>
      <w:jc w:val="right"/>
    </w:pPr>
  </w:style>
  <w:style w:type="paragraph" w:customStyle="1" w:styleId="TSBHeaderQuestion">
    <w:name w:val="TSBHeaderQuestion"/>
    <w:basedOn w:val="Normal"/>
    <w:qFormat/>
    <w:rsid w:val="007F1869"/>
  </w:style>
  <w:style w:type="paragraph" w:customStyle="1" w:styleId="TSBHeaderSource">
    <w:name w:val="TSBHeaderSource"/>
    <w:basedOn w:val="Normal"/>
    <w:qFormat/>
    <w:rsid w:val="007F1869"/>
  </w:style>
  <w:style w:type="paragraph" w:customStyle="1" w:styleId="TSBHeaderTitle">
    <w:name w:val="TSBHeaderTitle"/>
    <w:basedOn w:val="Normal"/>
    <w:qFormat/>
    <w:rsid w:val="007F1869"/>
  </w:style>
  <w:style w:type="paragraph" w:customStyle="1" w:styleId="TSBHeaderSummary">
    <w:name w:val="TSBHeaderSummary"/>
    <w:basedOn w:val="Normal"/>
    <w:rsid w:val="001B5FB0"/>
  </w:style>
  <w:style w:type="character" w:customStyle="1" w:styleId="ReftextArial9pt">
    <w:name w:val="Ref_text Arial 9 pt"/>
    <w:rsid w:val="00510920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51092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51092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0920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0920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51092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92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920"/>
    <w:rPr>
      <w:rFonts w:ascii="Segoe U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510920"/>
  </w:style>
  <w:style w:type="paragraph" w:styleId="BlockText">
    <w:name w:val="Block Text"/>
    <w:basedOn w:val="Normal"/>
    <w:uiPriority w:val="99"/>
    <w:semiHidden/>
    <w:unhideWhenUsed/>
    <w:rsid w:val="00510920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1092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109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1092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10920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1092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1092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10920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1092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1092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10920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510920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10920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5109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9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920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9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920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10920"/>
  </w:style>
  <w:style w:type="character" w:customStyle="1" w:styleId="DateChar">
    <w:name w:val="Date Char"/>
    <w:basedOn w:val="DefaultParagraphFont"/>
    <w:link w:val="Date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10920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10920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10920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51092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10920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10920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510920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510920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10920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510920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510920"/>
  </w:style>
  <w:style w:type="paragraph" w:styleId="HTMLAddress">
    <w:name w:val="HTML Address"/>
    <w:basedOn w:val="Normal"/>
    <w:link w:val="HTMLAddressChar"/>
    <w:uiPriority w:val="99"/>
    <w:semiHidden/>
    <w:unhideWhenUsed/>
    <w:rsid w:val="00510920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10920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51092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10920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1092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10920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10920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10920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51092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10920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10920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10920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10920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10920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10920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10920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10920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10920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10920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10920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1092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510920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51092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0920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510920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510920"/>
  </w:style>
  <w:style w:type="paragraph" w:styleId="List">
    <w:name w:val="List"/>
    <w:basedOn w:val="Normal"/>
    <w:uiPriority w:val="99"/>
    <w:semiHidden/>
    <w:unhideWhenUsed/>
    <w:rsid w:val="0051092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1092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1092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1092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1092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1092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1092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10920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10920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10920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1092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1092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1092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1092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1092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10920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1092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1092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1092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1092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51092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5109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10920"/>
    <w:rPr>
      <w:rFonts w:ascii="Consolas" w:hAnsi="Consolas" w:cs="Times New Roman"/>
      <w:sz w:val="20"/>
      <w:szCs w:val="20"/>
      <w:lang w:val="en-GB" w:eastAsia="ja-JP"/>
    </w:rPr>
  </w:style>
  <w:style w:type="character" w:styleId="Mention">
    <w:name w:val="Mention"/>
    <w:basedOn w:val="DefaultParagraphFont"/>
    <w:uiPriority w:val="99"/>
    <w:semiHidden/>
    <w:unhideWhenUsed/>
    <w:rsid w:val="00510920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109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1092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510920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510920"/>
  </w:style>
  <w:style w:type="paragraph" w:styleId="NormalIndent">
    <w:name w:val="Normal Indent"/>
    <w:basedOn w:val="Normal"/>
    <w:uiPriority w:val="99"/>
    <w:semiHidden/>
    <w:unhideWhenUsed/>
    <w:rsid w:val="0051092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10920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510920"/>
  </w:style>
  <w:style w:type="paragraph" w:styleId="PlainText">
    <w:name w:val="Plain Text"/>
    <w:basedOn w:val="Normal"/>
    <w:link w:val="PlainTextChar"/>
    <w:uiPriority w:val="99"/>
    <w:semiHidden/>
    <w:unhideWhenUsed/>
    <w:rsid w:val="00510920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10920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1092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10920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510920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510920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51092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510920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10920"/>
    <w:rPr>
      <w:color w:val="5A5A5A" w:themeColor="text1" w:themeTint="A5"/>
      <w:spacing w:val="15"/>
      <w:lang w:val="en-GB" w:eastAsia="ja-JP"/>
    </w:rPr>
  </w:style>
  <w:style w:type="character" w:styleId="SubtleEmphasis">
    <w:name w:val="Subtle Emphasis"/>
    <w:basedOn w:val="DefaultParagraphFont"/>
    <w:uiPriority w:val="19"/>
    <w:rsid w:val="0051092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510920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10920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510920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092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510920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10920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10920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10920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10920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10920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10920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51092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51092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qFormat/>
    <w:rsid w:val="00E018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D1D83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6431B1">
          <w:pPr>
            <w:pStyle w:val="AC14B36049EE4F7F9B8ACAEB3B0ACAED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1"/>
    <w:rsid w:val="001878F0"/>
    <w:rsid w:val="0025329C"/>
    <w:rsid w:val="002F17A6"/>
    <w:rsid w:val="00390E6F"/>
    <w:rsid w:val="003E58E5"/>
    <w:rsid w:val="005E55FD"/>
    <w:rsid w:val="006431B1"/>
    <w:rsid w:val="006A75F0"/>
    <w:rsid w:val="007428AF"/>
    <w:rsid w:val="007753DD"/>
    <w:rsid w:val="007F76EA"/>
    <w:rsid w:val="00814947"/>
    <w:rsid w:val="008C0BD2"/>
    <w:rsid w:val="008E6F4D"/>
    <w:rsid w:val="00960CC3"/>
    <w:rsid w:val="00972F95"/>
    <w:rsid w:val="00A5137C"/>
    <w:rsid w:val="00A67AF2"/>
    <w:rsid w:val="00AA38D9"/>
    <w:rsid w:val="00B56DA3"/>
    <w:rsid w:val="00BE619E"/>
    <w:rsid w:val="00C031ED"/>
    <w:rsid w:val="00CC3179"/>
    <w:rsid w:val="00D003C0"/>
    <w:rsid w:val="00D32092"/>
    <w:rsid w:val="00E21DA1"/>
    <w:rsid w:val="00F9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2092"/>
    <w:rPr>
      <w:color w:val="808080"/>
    </w:rPr>
  </w:style>
  <w:style w:type="paragraph" w:customStyle="1" w:styleId="AC14B36049EE4F7F9B8ACAEB3B0ACAED">
    <w:name w:val="AC14B36049EE4F7F9B8ACAEB3B0ACAED"/>
  </w:style>
  <w:style w:type="paragraph" w:customStyle="1" w:styleId="6B986CA546154159B58679EC606340DA">
    <w:name w:val="6B986CA546154159B58679EC606340DA"/>
    <w:rsid w:val="00D32092"/>
    <w:rPr>
      <w:kern w:val="2"/>
      <w:lang w:eastAsia="en-US"/>
      <w14:ligatures w14:val="standardContextual"/>
    </w:rPr>
  </w:style>
  <w:style w:type="paragraph" w:customStyle="1" w:styleId="1417253268DB471EB5A547BFE41BB4AA">
    <w:name w:val="1417253268DB471EB5A547BFE41BB4AA"/>
    <w:rsid w:val="00D32092"/>
    <w:rPr>
      <w:kern w:val="2"/>
      <w:lang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>2023-05-23</When>
    <Meeting xmlns="3f6fad35-1f81-480e-a4e5-6e5474dcfb96">714</Meeting>
    <IsReservedDoc xmlns="3f6fad35-1f81-480e-a4e5-6e5474dcfb96">false</IsReservedDoc>
    <SgText xmlns="3f6fad35-1f81-480e-a4e5-6e5474dcfb96">TSAG</SgText>
    <IsRevision xmlns="3f6fad35-1f81-480e-a4e5-6e5474dcfb96">false</IsRevision>
    <Purpose1 xmlns="3f6fad35-1f81-480e-a4e5-6e5474dcfb96">Discussion</Purpose1>
    <Abstract xmlns="3f6fad35-1f81-480e-a4e5-6e5474dcfb96">This document presents a revised matrix of work areas across the ITU-T study groups that reflects input received through 31 May 2023.</Abstract>
    <SourceRGM xmlns="3f6fad35-1f81-480e-a4e5-6e5474dcfb96">Associate Rapporteur</SourceRGM>
    <DocStatus xmlns="3f6fad35-1f81-480e-a4e5-6e5474dcfb96">accepted</DocStatus>
    <IsAttachment xmlns="3f6fad35-1f81-480e-a4e5-6e5474dcfb96">false</IsAttachment>
    <StudyGroup xmlns="3f6fad35-1f81-480e-a4e5-6e5474dcfb96">6</StudyGroup>
    <DocType xmlns="3f6fad35-1f81-480e-a4e5-6e5474dcfb96">DOC</DocType>
    <QuestionText xmlns="3f6fad35-1f81-480e-a4e5-6e5474dcfb96">RG-WPR</QuestionText>
    <DocTypeText xmlns="3f6fad35-1f81-480e-a4e5-6e5474dcfb96">DOC</DocTypeText>
    <CategoryDescription xmlns="http://schemas.microsoft.com/sharepoint.v3">TSAG RG-WPR e-meeting</CategoryDescription>
    <ShortName xmlns="3f6fad35-1f81-480e-a4e5-6e5474dcfb96">RGWPR-DOCx (230523)</ShortName>
    <Place xmlns="3f6fad35-1f81-480e-a4e5-6e5474dcfb96">E-Meeting</Place>
    <IsTooLateSubmitted xmlns="3f6fad35-1f81-480e-a4e5-6e5474dcfb96">false</IsTooLateSubmitted>
    <Observations xmlns="3f6fad35-1f81-480e-a4e5-6e5474dcfb96" xsi:nil="true"/>
    <DocumentSource xmlns="3f6fad35-1f81-480e-a4e5-6e5474dcfb96">Chairman, WP2/TSAG</DocumentSource>
    <IsUpdated xmlns="3f6fad35-1f81-480e-a4e5-6e5474dcfb96">true</IsUpdated>
    <g7c634529dc642298f3d45250a210339 xmlns="3f6fad35-1f81-480e-a4e5-6e5474dcfb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RGWPR</TermName>
          <TermId xmlns="http://schemas.microsoft.com/office/infopath/2007/PartnerControls">83a107ac-9920-400a-9f31-8e50409f6232</TermId>
        </TermInfo>
      </Terms>
    </g7c634529dc642298f3d45250a210339>
    <kff1d517de484045a83a22a3bdda4134 xmlns="3f6fad35-1f81-480e-a4e5-6e5474dcfb96">
      <Terms xmlns="http://schemas.microsoft.com/office/infopath/2007/PartnerControls"/>
    </kff1d517de484045a83a22a3bdda4134>
    <TaxCatchAll xmlns="3f6fad35-1f81-480e-a4e5-6e5474dcfb96">
      <Value>1210</Value>
    </TaxCatchAll>
    <IsLastVersion xmlns="3f6fad35-1f81-480e-a4e5-6e5474dcfb96">true</IsLastVersion>
    <Area xmlns="3f6fad35-1f81-480e-a4e5-6e5474dcfb96" xsi:nil="true"/>
    <DocStatusText xmlns="3f6fad35-1f81-480e-a4e5-6e5474dcfb9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tgdoc" ma:contentTypeID="0x01010072A901B997EC694AA911983CD90730E7008873E8ECDAD4CF48957C3DE8118B8DBF" ma:contentTypeVersion="0" ma:contentTypeDescription="" ma:contentTypeScope="" ma:versionID="868c22b071edd47bf2849aaf920aab3a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e646c1f7117cf0a88fe59a6721224632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1" minOccurs="0"/>
                <xsd:element ref="ns2:SourceRGM" minOccurs="0"/>
                <xsd:element ref="ns2:Abstract" minOccurs="0"/>
                <xsd:element ref="ns2:Observations" minOccurs="0"/>
                <xsd:element ref="ns2:DocStatus" minOccurs="0"/>
                <xsd:element ref="ns2:IsReservedDoc" minOccurs="0"/>
                <xsd:element ref="ns2:IsRevision" minOccurs="0"/>
                <xsd:element ref="ns2:IsAttachment" minOccurs="0"/>
                <xsd:element ref="ns2:IsTooLateSubmitted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DocumentSource" minOccurs="0"/>
                <xsd:element ref="ns2:IsUpdated" minOccurs="0"/>
                <xsd:element ref="ns2:TaxCatchAllLabel" minOccurs="0"/>
                <xsd:element ref="ns2:kff1d517de484045a83a22a3bdda4134" minOccurs="0"/>
                <xsd:element ref="ns2:TaxCatchAll" minOccurs="0"/>
                <xsd:element ref="ns2:g7c634529dc642298f3d45250a210339" minOccurs="0"/>
                <xsd:element ref="ns2:Area" minOccurs="0"/>
                <xsd:element ref="ns2:IsLastVersion" minOccurs="0"/>
                <xsd:element ref="ns2:DocStatus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WD"/>
          <xsd:enumeration value="DOC"/>
        </xsd:restriction>
      </xsd:simpleType>
    </xsd:element>
    <xsd:element name="Purpose1" ma:index="5" nillable="true" ma:displayName="Purpose" ma:default="Other" ma:format="Dropdown" ma:internalName="Purpose1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Status" ma:index="11" nillable="true" ma:displayName="DocStatus" ma:default="pending" ma:format="Dropdown" ma:internalName="DocStatus">
      <xsd:simpleType>
        <xsd:restriction base="dms:Choice">
          <xsd:enumeration value="pending"/>
          <xsd:enumeration value="accepted"/>
          <xsd:enumeration value="rejected/withdrawn"/>
          <xsd:enumeration value="accepted (late)"/>
          <xsd:enumeration value="accepted (cancel reject)"/>
        </xsd:restriction>
      </xsd:simpleType>
    </xsd:element>
    <xsd:element name="IsReservedDoc" ma:index="12" nillable="true" ma:displayName="IsReservedDoc" ma:default="0" ma:internalName="IsReservedDoc">
      <xsd:simpleType>
        <xsd:restriction base="dms:Boolean"/>
      </xsd:simpleType>
    </xsd:element>
    <xsd:element name="IsRevision" ma:index="13" nillable="true" ma:displayName="IsRevision" ma:default="0" ma:description="Yes if document is a revision" ma:internalName="IsRevision">
      <xsd:simpleType>
        <xsd:restriction base="dms:Boolean"/>
      </xsd:simpleType>
    </xsd:element>
    <xsd:element name="IsAttachment" ma:index="14" nillable="true" ma:displayName="IsAttachment" ma:default="0" ma:internalName="IsAttachment">
      <xsd:simpleType>
        <xsd:restriction base="dms:Boolean"/>
      </xsd:simpleType>
    </xsd:element>
    <xsd:element name="IsTooLateSubmitted" ma:index="15" nillable="true" ma:displayName="IsTooLateSubmitted" ma:default="0" ma:description="Check if the document is submitted after the deadline" ma:internalName="IsTooLateSubmitted">
      <xsd:simpleType>
        <xsd:restriction base="dms:Boolean"/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list="{70e490c0-1ad2-4cb8-b4c9-def1ce209e10}" ma:internalName="Meeting" ma:readOnly="false" ma:showField="Title" ma:web="3f6fad35-1f81-480e-a4e5-6e5474dcfb96">
      <xsd:simpleType>
        <xsd:restriction base="dms:Lookup"/>
      </xsd:simpleType>
    </xsd:element>
    <xsd:element name="StudyGroup" ma:index="23" nillable="true" ma:displayName="StudyGroup" ma:list="{fa5a4d3a-d8de-4096-b3b3-9eafc60d1d26}" ma:internalName="StudyGroup" ma:readOnly="false" ma:showField="Title" ma:web="3f6fad35-1f81-480e-a4e5-6e5474dcfb96">
      <xsd:simpleType>
        <xsd:restriction base="dms:Lookup"/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  <xsd:element name="IsUpdated" ma:index="25" nillable="true" ma:displayName="IsUpdated" ma:default="0" ma:internalName="IsUpdated">
      <xsd:simpleType>
        <xsd:restriction base="dms:Boolean"/>
      </xsd:simpleType>
    </xsd:element>
    <xsd:element name="TaxCatchAllLabel" ma:index="26" nillable="true" ma:displayName="Taxonomy Catch All Column1" ma:hidden="true" ma:list="{b475c849-dbbd-4512-b08f-2375f52fa6e0}" ma:internalName="TaxCatchAllLabel" ma:readOnly="true" ma:showField="CatchAllDataLabel" ma:web="3f6fad35-1f81-480e-a4e5-6e5474dcfb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ff1d517de484045a83a22a3bdda4134" ma:index="32" nillable="true" ma:taxonomy="true" ma:internalName="kff1d517de484045a83a22a3bdda4134" ma:taxonomyFieldName="SourceC" ma:displayName="SourceC" ma:default="" ma:fieldId="{4ff1d517-de48-4045-a83a-22a3bdda4134}" ma:taxonomyMulti="true" ma:sspId="0e3e2f92-aed9-4035-8c11-b5079594457b" ma:termSetId="e852c2e3-88e6-466a-9b47-6abd3869fb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hidden="true" ma:list="{b475c849-dbbd-4512-b08f-2375f52fa6e0}" ma:internalName="TaxCatchAll" ma:showField="CatchAllData" ma:web="3f6fad35-1f81-480e-a4e5-6e5474dcfb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7c634529dc642298f3d45250a210339" ma:index="34" nillable="true" ma:taxonomy="true" ma:internalName="g7c634529dc642298f3d45250a210339" ma:taxonomyFieldName="Questions" ma:displayName="Questions" ma:readOnly="false" ma:default="" ma:fieldId="{07c63452-9dc6-4229-8f3d-45250a210339}" ma:taxonomyMulti="true" ma:sspId="0e3e2f92-aed9-4035-8c11-b5079594457b" ma:termSetId="d62f0bd9-db50-4350-bbd7-b781a5d3ac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rea" ma:index="36" nillable="true" ma:displayName="Area" ma:list="{3184737a-4287-4de0-909f-86544cda3c73}" ma:internalName="Area" ma:showField="Title" ma:web="3f6fad35-1f81-480e-a4e5-6e5474dcfb96">
      <xsd:simpleType>
        <xsd:restriction base="dms:Lookup"/>
      </xsd:simpleType>
    </xsd:element>
    <xsd:element name="IsLastVersion" ma:index="37" nillable="true" ma:displayName="IsLastVersion" ma:default="1" ma:internalName="IsLastVersion">
      <xsd:simpleType>
        <xsd:restriction base="dms:Boolean"/>
      </xsd:simpleType>
    </xsd:element>
    <xsd:element name="DocStatusText" ma:index="38" nillable="true" ma:displayName="DocStatusText" ma:internalName="DocStatus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.v3"/>
    <ds:schemaRef ds:uri="3f6fad35-1f81-480e-a4e5-6e5474dcfb96"/>
  </ds:schemaRefs>
</ds:datastoreItem>
</file>

<file path=customXml/itemProps2.xml><?xml version="1.0" encoding="utf-8"?>
<ds:datastoreItem xmlns:ds="http://schemas.openxmlformats.org/officeDocument/2006/customXml" ds:itemID="{800B85BC-D816-4735-AEE2-7BD5F7A48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EFD5D9-EED6-41BC-B08D-94BC3F5519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442</Words>
  <Characters>2409</Characters>
  <Application>Microsoft Office Word</Application>
  <DocSecurity>4</DocSecurity>
  <Lines>370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RGM template - Formatted (T22)</vt:lpstr>
    </vt:vector>
  </TitlesOfParts>
  <Manager>ITU-T</Manager>
  <Company>International Telecommunication Union (ITU)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matrix of work areas across the ITU-T study groups</dc:title>
  <dc:subject/>
  <dc:creator>Chairman, WP2/TSAG</dc:creator>
  <cp:keywords>N/A</cp:keywords>
  <dc:description>TSAG-TD277  For: Geneva, 30 May - 2 June 2023_x000d_Document date: _x000d_Saved by ITU51014254 at 12:14:58 on 01.06.2023</dc:description>
  <cp:lastModifiedBy>Al-Mnini, Lara</cp:lastModifiedBy>
  <cp:revision>2</cp:revision>
  <dcterms:created xsi:type="dcterms:W3CDTF">2023-06-01T10:16:00Z</dcterms:created>
  <dcterms:modified xsi:type="dcterms:W3CDTF">2023-06-01T10:16:00Z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0x01010072A901B997EC694AA911983CD90730E7008873E8ECDAD4CF48957C3DE8118B8DBF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>1210;#RGWPR|83a107ac-9920-400a-9f31-8e50409f6232</vt:lpwstr>
  </property>
  <property fmtid="{D5CDD505-2E9C-101B-9397-08002B2CF9AE}" pid="10" name="Docnum">
    <vt:lpwstr>TSAG-TD277</vt:lpwstr>
  </property>
  <property fmtid="{D5CDD505-2E9C-101B-9397-08002B2CF9AE}" pid="11" name="Docdate">
    <vt:lpwstr/>
  </property>
  <property fmtid="{D5CDD505-2E9C-101B-9397-08002B2CF9AE}" pid="12" name="Docorlang">
    <vt:lpwstr/>
  </property>
  <property fmtid="{D5CDD505-2E9C-101B-9397-08002B2CF9AE}" pid="13" name="Docbluepink">
    <vt:lpwstr>RG-WPR</vt:lpwstr>
  </property>
  <property fmtid="{D5CDD505-2E9C-101B-9397-08002B2CF9AE}" pid="14" name="Docdest">
    <vt:lpwstr>Geneva, 30 May - 2 June 2023</vt:lpwstr>
  </property>
  <property fmtid="{D5CDD505-2E9C-101B-9397-08002B2CF9AE}" pid="15" name="Docauthor">
    <vt:lpwstr>Chairman, WP2/TSAG</vt:lpwstr>
  </property>
</Properties>
</file>