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247045" w:rsidRPr="00247045" w14:paraId="347C8258" w14:textId="77777777" w:rsidTr="00247045">
        <w:trPr>
          <w:cantSplit/>
        </w:trPr>
        <w:tc>
          <w:tcPr>
            <w:tcW w:w="1132" w:type="dxa"/>
            <w:vMerge w:val="restart"/>
            <w:vAlign w:val="center"/>
          </w:tcPr>
          <w:p w14:paraId="06DCED58" w14:textId="77777777" w:rsidR="00247045" w:rsidRPr="00247045" w:rsidRDefault="00247045" w:rsidP="0024704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247045">
              <w:rPr>
                <w:noProof/>
              </w:rPr>
              <w:drawing>
                <wp:inline distT="0" distB="0" distL="0" distR="0" wp14:anchorId="166DFD79" wp14:editId="14A1C64E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6489F540" w14:textId="77777777" w:rsidR="00247045" w:rsidRPr="00247045" w:rsidRDefault="00247045" w:rsidP="00247045">
            <w:pPr>
              <w:rPr>
                <w:sz w:val="16"/>
                <w:szCs w:val="16"/>
              </w:rPr>
            </w:pPr>
            <w:r w:rsidRPr="00247045">
              <w:rPr>
                <w:sz w:val="16"/>
                <w:szCs w:val="16"/>
              </w:rPr>
              <w:t>INTERNATIONAL TELECOMMUNICATION UNION</w:t>
            </w:r>
          </w:p>
          <w:p w14:paraId="1B927F81" w14:textId="77777777" w:rsidR="00247045" w:rsidRPr="00247045" w:rsidRDefault="00247045" w:rsidP="00247045">
            <w:pPr>
              <w:rPr>
                <w:b/>
                <w:bCs/>
                <w:sz w:val="26"/>
                <w:szCs w:val="26"/>
              </w:rPr>
            </w:pPr>
            <w:r w:rsidRPr="00247045">
              <w:rPr>
                <w:b/>
                <w:bCs/>
                <w:sz w:val="26"/>
                <w:szCs w:val="26"/>
              </w:rPr>
              <w:t>TELECOMMUNICATION</w:t>
            </w:r>
            <w:r w:rsidRPr="0024704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E3236E0" w14:textId="77777777" w:rsidR="00247045" w:rsidRPr="00247045" w:rsidRDefault="00247045" w:rsidP="00247045">
            <w:pPr>
              <w:rPr>
                <w:sz w:val="20"/>
                <w:szCs w:val="20"/>
              </w:rPr>
            </w:pPr>
            <w:r w:rsidRPr="00247045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247045">
              <w:rPr>
                <w:sz w:val="20"/>
              </w:rPr>
              <w:t>2022</w:t>
            </w:r>
            <w:r w:rsidRPr="00247045">
              <w:rPr>
                <w:sz w:val="20"/>
                <w:szCs w:val="20"/>
              </w:rPr>
              <w:t>-</w:t>
            </w:r>
            <w:r w:rsidRPr="00247045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4770265C" w14:textId="57D1FD67" w:rsidR="00247045" w:rsidRPr="00247045" w:rsidRDefault="00247045" w:rsidP="00247045">
            <w:pPr>
              <w:pStyle w:val="Docnumber"/>
            </w:pPr>
            <w:r>
              <w:t>TSAG-TD</w:t>
            </w:r>
            <w:r w:rsidR="0059209F">
              <w:t>203</w:t>
            </w:r>
          </w:p>
        </w:tc>
      </w:tr>
      <w:tr w:rsidR="00247045" w:rsidRPr="00247045" w14:paraId="049E8B88" w14:textId="77777777" w:rsidTr="00247045">
        <w:trPr>
          <w:cantSplit/>
        </w:trPr>
        <w:tc>
          <w:tcPr>
            <w:tcW w:w="1132" w:type="dxa"/>
            <w:vMerge/>
          </w:tcPr>
          <w:p w14:paraId="27A14B87" w14:textId="77777777" w:rsidR="00247045" w:rsidRPr="00247045" w:rsidRDefault="00247045" w:rsidP="00247045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71DB408C" w14:textId="77777777" w:rsidR="00247045" w:rsidRPr="00247045" w:rsidRDefault="00247045" w:rsidP="0024704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03483825" w14:textId="2A2D7A04" w:rsidR="00247045" w:rsidRPr="00247045" w:rsidRDefault="00247045" w:rsidP="00247045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247045" w:rsidRPr="00247045" w14:paraId="508D4CB6" w14:textId="77777777" w:rsidTr="0024704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15B9AB4" w14:textId="77777777" w:rsidR="00247045" w:rsidRPr="00247045" w:rsidRDefault="00247045" w:rsidP="0024704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424AC200" w14:textId="77777777" w:rsidR="00247045" w:rsidRPr="00247045" w:rsidRDefault="00247045" w:rsidP="0024704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490143A7" w14:textId="77777777" w:rsidR="00247045" w:rsidRPr="00247045" w:rsidRDefault="00247045" w:rsidP="00247045">
            <w:pPr>
              <w:pStyle w:val="TSBHeaderRight14"/>
            </w:pPr>
            <w:r w:rsidRPr="00247045">
              <w:t>Original: English</w:t>
            </w:r>
          </w:p>
        </w:tc>
      </w:tr>
      <w:tr w:rsidR="00247045" w:rsidRPr="00247045" w14:paraId="6A020341" w14:textId="77777777" w:rsidTr="00247045">
        <w:trPr>
          <w:cantSplit/>
        </w:trPr>
        <w:tc>
          <w:tcPr>
            <w:tcW w:w="1587" w:type="dxa"/>
            <w:gridSpan w:val="2"/>
          </w:tcPr>
          <w:p w14:paraId="57C4C34C" w14:textId="77777777" w:rsidR="00247045" w:rsidRPr="00247045" w:rsidRDefault="00247045" w:rsidP="0024704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247045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32852B01" w14:textId="460C8D78" w:rsidR="00247045" w:rsidRPr="00247045" w:rsidRDefault="00DD5295" w:rsidP="00247045">
            <w:pPr>
              <w:pStyle w:val="TSBHeaderQuestion"/>
            </w:pPr>
            <w:r>
              <w:t>N/A</w:t>
            </w:r>
          </w:p>
        </w:tc>
        <w:tc>
          <w:tcPr>
            <w:tcW w:w="4026" w:type="dxa"/>
          </w:tcPr>
          <w:p w14:paraId="39CF8A86" w14:textId="7A1CE182" w:rsidR="00247045" w:rsidRPr="00247045" w:rsidRDefault="00247045" w:rsidP="00247045">
            <w:pPr>
              <w:pStyle w:val="VenueDate"/>
            </w:pPr>
            <w:r w:rsidRPr="00247045">
              <w:t xml:space="preserve">Geneva, </w:t>
            </w:r>
            <w:r w:rsidR="0059209F">
              <w:t>30 May – 2 June 2023</w:t>
            </w:r>
          </w:p>
        </w:tc>
      </w:tr>
      <w:tr w:rsidR="00247045" w:rsidRPr="00247045" w14:paraId="45317FA7" w14:textId="77777777" w:rsidTr="005F7827">
        <w:trPr>
          <w:cantSplit/>
        </w:trPr>
        <w:tc>
          <w:tcPr>
            <w:tcW w:w="9639" w:type="dxa"/>
            <w:gridSpan w:val="4"/>
          </w:tcPr>
          <w:p w14:paraId="6A43C6E0" w14:textId="149B32FC" w:rsidR="00247045" w:rsidRPr="00247045" w:rsidRDefault="00247045" w:rsidP="00247045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247045">
              <w:rPr>
                <w:b/>
                <w:bCs/>
              </w:rPr>
              <w:t>TD</w:t>
            </w:r>
          </w:p>
        </w:tc>
      </w:tr>
      <w:tr w:rsidR="00247045" w:rsidRPr="00247045" w14:paraId="7618A9B1" w14:textId="77777777" w:rsidTr="00247045">
        <w:trPr>
          <w:cantSplit/>
        </w:trPr>
        <w:tc>
          <w:tcPr>
            <w:tcW w:w="1587" w:type="dxa"/>
            <w:gridSpan w:val="2"/>
          </w:tcPr>
          <w:p w14:paraId="16FB0250" w14:textId="77777777" w:rsidR="00247045" w:rsidRPr="00247045" w:rsidRDefault="00247045" w:rsidP="00247045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247045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369465F8" w14:textId="2B419031" w:rsidR="00247045" w:rsidRPr="00247045" w:rsidRDefault="00247045" w:rsidP="00247045">
            <w:pPr>
              <w:pStyle w:val="TSBHeaderSource"/>
            </w:pPr>
            <w:r w:rsidRPr="00247045">
              <w:t>Chairman, ITU-T SG12</w:t>
            </w:r>
          </w:p>
        </w:tc>
      </w:tr>
      <w:tr w:rsidR="00247045" w:rsidRPr="00247045" w14:paraId="58497DDA" w14:textId="77777777" w:rsidTr="0024704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B32D9E6" w14:textId="77777777" w:rsidR="00247045" w:rsidRPr="00247045" w:rsidRDefault="00247045" w:rsidP="00247045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247045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58DE03ED" w14:textId="3EC432D2" w:rsidR="00247045" w:rsidRPr="00247045" w:rsidRDefault="00247045" w:rsidP="00247045">
            <w:pPr>
              <w:pStyle w:val="TSBHeaderTitle"/>
            </w:pPr>
            <w:r w:rsidRPr="00247045">
              <w:t>ITU-T SG12 Lead Study Group Report</w:t>
            </w:r>
          </w:p>
        </w:tc>
      </w:tr>
      <w:tr w:rsidR="001C4B91" w:rsidRPr="00247045" w14:paraId="44575018" w14:textId="77777777" w:rsidTr="006F0797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77777777" w:rsidR="001C4B91" w:rsidRPr="00136DDD" w:rsidRDefault="001C4B91">
            <w:pPr>
              <w:rPr>
                <w:b/>
                <w:bCs/>
              </w:rPr>
            </w:pPr>
            <w:bookmarkStart w:id="9" w:name="dcontact"/>
            <w:bookmarkStart w:id="10" w:name="dcontact1"/>
            <w:bookmarkStart w:id="11" w:name="dcontent1" w:colFirst="1" w:colLast="1"/>
            <w:bookmarkStart w:id="12" w:name="_Hlk98768222"/>
            <w:bookmarkEnd w:id="1"/>
            <w:bookmarkEnd w:id="8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631D4A08" w:rsidR="001C4B91" w:rsidRPr="00801B42" w:rsidRDefault="002531F0">
            <w:sdt>
              <w:sdtPr>
                <w:alias w:val="ContactNameOrgCountry"/>
                <w:tag w:val="ContactNameOrgCountry"/>
                <w:id w:val="-130639986"/>
                <w:placeholder>
                  <w:docPart w:val="A62F930091BE46B3B0E2754971D8C08F"/>
                </w:placeholder>
                <w:text w:multiLine="1"/>
              </w:sdtPr>
              <w:sdtEndPr/>
              <w:sdtContent>
                <w:r w:rsidR="00623C5B" w:rsidRPr="00704797">
                  <w:t>Tania Villa Trapala</w:t>
                </w:r>
                <w:r w:rsidR="00623C5B">
                  <w:br/>
                </w:r>
                <w:r w:rsidR="00623C5B" w:rsidRPr="00704797">
                  <w:t>Mexico</w:t>
                </w:r>
              </w:sdtContent>
            </w:sdt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55ECF9BC" w:rsidR="001C4B91" w:rsidRPr="00247045" w:rsidRDefault="00623C5B" w:rsidP="00B86602">
            <w:pPr>
              <w:tabs>
                <w:tab w:val="left" w:pos="794"/>
              </w:tabs>
              <w:rPr>
                <w:lang w:val="de-DE"/>
              </w:rPr>
            </w:pPr>
            <w:r w:rsidRPr="00AF4774">
              <w:rPr>
                <w:lang w:val="pt-BR"/>
              </w:rPr>
              <w:t xml:space="preserve">Tel: </w:t>
            </w:r>
            <w:r>
              <w:rPr>
                <w:lang w:val="pt-BR"/>
              </w:rPr>
              <w:tab/>
            </w:r>
            <w:r w:rsidRPr="00247045">
              <w:rPr>
                <w:lang w:val="de-DE"/>
              </w:rPr>
              <w:t>+52 55 50154146</w:t>
            </w:r>
            <w:r w:rsidRPr="00AF4774">
              <w:rPr>
                <w:lang w:val="pt-BR"/>
              </w:rPr>
              <w:br/>
              <w:t>E-mail:</w:t>
            </w:r>
            <w:r>
              <w:rPr>
                <w:lang w:val="pt-BR"/>
              </w:rPr>
              <w:tab/>
            </w:r>
            <w:hyperlink r:id="rId12" w:history="1">
              <w:r w:rsidRPr="00247045">
                <w:rPr>
                  <w:rStyle w:val="Hyperlink"/>
                  <w:lang w:val="de-DE"/>
                </w:rPr>
                <w:t>tania.villa@ift.org.mx</w:t>
              </w:r>
            </w:hyperlink>
          </w:p>
        </w:tc>
      </w:tr>
      <w:bookmarkEnd w:id="9"/>
      <w:bookmarkEnd w:id="10"/>
      <w:bookmarkEnd w:id="11"/>
    </w:tbl>
    <w:p w14:paraId="001CA3C9" w14:textId="77777777" w:rsidR="00DB0706" w:rsidRPr="00247045" w:rsidRDefault="00DB0706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136DDD" w14:paraId="101F633C" w14:textId="77777777" w:rsidTr="004646F1">
        <w:trPr>
          <w:cantSplit/>
        </w:trPr>
        <w:tc>
          <w:tcPr>
            <w:tcW w:w="1588" w:type="dxa"/>
          </w:tcPr>
          <w:p w14:paraId="65C4144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E4B0C30" w14:textId="327B217D" w:rsidR="0089088E" w:rsidRPr="008249A7" w:rsidRDefault="00623C5B" w:rsidP="00397713">
            <w:pPr>
              <w:pStyle w:val="TSBHeaderSummary"/>
              <w:rPr>
                <w:highlight w:val="yellow"/>
              </w:rPr>
            </w:pPr>
            <w:r w:rsidRPr="00623C5B">
              <w:t>In line with WTSA Resolution 1, this report provides updates about the SG12 lead study group activities.</w:t>
            </w:r>
          </w:p>
        </w:tc>
      </w:tr>
    </w:tbl>
    <w:p w14:paraId="2B3B7914" w14:textId="5C6042A4" w:rsidR="007648B5" w:rsidRDefault="00405E60" w:rsidP="007648B5">
      <w:bookmarkStart w:id="13" w:name="_Hlk98415917"/>
      <w:bookmarkEnd w:id="12"/>
      <w:r>
        <w:t xml:space="preserve">In the reporting period, </w:t>
      </w:r>
      <w:r w:rsidR="00623C5B">
        <w:t xml:space="preserve">SG12 held one study group meeting </w:t>
      </w:r>
      <w:r>
        <w:t>in January 2023</w:t>
      </w:r>
      <w:r w:rsidR="000347E0">
        <w:t xml:space="preserve"> (a</w:t>
      </w:r>
      <w:r w:rsidR="00623C5B">
        <w:t xml:space="preserve">ttended by </w:t>
      </w:r>
      <w:r>
        <w:t>191</w:t>
      </w:r>
      <w:r w:rsidR="00623C5B">
        <w:t xml:space="preserve"> participants from 5</w:t>
      </w:r>
      <w:r>
        <w:t>7</w:t>
      </w:r>
      <w:r w:rsidR="00256F64">
        <w:t xml:space="preserve"> </w:t>
      </w:r>
      <w:r w:rsidR="00623C5B">
        <w:t>countries</w:t>
      </w:r>
      <w:r w:rsidR="000347E0">
        <w:t>)</w:t>
      </w:r>
      <w:r w:rsidR="00043181">
        <w:t xml:space="preserve"> and </w:t>
      </w:r>
      <w:r w:rsidR="000347E0">
        <w:t>one meeting of its Regional Group on QoS for the Africa Region (SG12RG-AFR)</w:t>
      </w:r>
      <w:r w:rsidR="002D2009">
        <w:t xml:space="preserve"> in March 2023</w:t>
      </w:r>
      <w:r w:rsidR="000347E0">
        <w:t xml:space="preserve"> </w:t>
      </w:r>
      <w:r w:rsidR="002D2009">
        <w:t>(</w:t>
      </w:r>
      <w:r w:rsidR="000347E0">
        <w:t>attended by 43 participants from 22 countries</w:t>
      </w:r>
      <w:r w:rsidR="002D2009">
        <w:t>)</w:t>
      </w:r>
      <w:r w:rsidR="00F0167A">
        <w:t xml:space="preserve"> </w:t>
      </w:r>
      <w:r w:rsidR="00043181">
        <w:t>which preceded by</w:t>
      </w:r>
      <w:r w:rsidR="00F0167A">
        <w:t xml:space="preserve"> </w:t>
      </w:r>
      <w:r w:rsidR="002D2009">
        <w:t xml:space="preserve">a </w:t>
      </w:r>
      <w:r w:rsidR="00F0167A" w:rsidRPr="00F0167A">
        <w:t>workshop on “Telecommunication Service Quality”</w:t>
      </w:r>
      <w:r w:rsidR="00623C5B">
        <w:t>.</w:t>
      </w:r>
      <w:r w:rsidR="007648B5">
        <w:t xml:space="preserve"> </w:t>
      </w:r>
    </w:p>
    <w:p w14:paraId="38B7A18B" w14:textId="2D6588BD" w:rsidR="007648B5" w:rsidRPr="003F5830" w:rsidRDefault="007648B5" w:rsidP="007648B5">
      <w:r>
        <w:t>The</w:t>
      </w:r>
      <w:r w:rsidRPr="003F5830">
        <w:t xml:space="preserve"> executive summary of the </w:t>
      </w:r>
      <w:r>
        <w:t xml:space="preserve">January 2023 </w:t>
      </w:r>
      <w:r w:rsidRPr="003F5830">
        <w:t>meeting can be found at</w:t>
      </w:r>
      <w:r>
        <w:t xml:space="preserve"> </w:t>
      </w:r>
      <w:hyperlink r:id="rId13" w:history="1">
        <w:r w:rsidRPr="002709FF">
          <w:rPr>
            <w:rStyle w:val="Hyperlink"/>
          </w:rPr>
          <w:t>https://www.itu.int/en/ITU-T/studygroups/2022-2024/12/Pages/2301-summary.aspx</w:t>
        </w:r>
      </w:hyperlink>
      <w:r>
        <w:t>.</w:t>
      </w:r>
      <w:r w:rsidRPr="003F5830">
        <w:t xml:space="preserve"> </w:t>
      </w:r>
    </w:p>
    <w:p w14:paraId="0786FA52" w14:textId="77777777" w:rsidR="00623C5B" w:rsidRDefault="00623C5B" w:rsidP="00623C5B">
      <w:pPr>
        <w:pStyle w:val="Heading2"/>
      </w:pPr>
      <w:r>
        <w:t>Lead study group on quality of service and quality of experience</w:t>
      </w:r>
    </w:p>
    <w:bookmarkEnd w:id="13"/>
    <w:p w14:paraId="48975A45" w14:textId="6213EC77" w:rsidR="00006217" w:rsidRDefault="00006217" w:rsidP="00006217">
      <w:r>
        <w:t>K</w:t>
      </w:r>
      <w:r w:rsidRPr="00AF47C9">
        <w:t xml:space="preserve">ey </w:t>
      </w:r>
      <w:r>
        <w:t>achievements of the meeting included the adoption of the following Recommendations and other publications</w:t>
      </w:r>
      <w:r w:rsidR="006B1B13">
        <w:t xml:space="preserve"> on</w:t>
      </w:r>
      <w:r>
        <w:t>:</w:t>
      </w:r>
    </w:p>
    <w:p w14:paraId="716EE693" w14:textId="7E6A75F9" w:rsidR="00006217" w:rsidRPr="006B1B13" w:rsidRDefault="00F20517" w:rsidP="00F20517">
      <w:pPr>
        <w:ind w:left="720" w:hanging="720"/>
      </w:pPr>
      <w:r w:rsidRPr="006B1B13">
        <w:t>–</w:t>
      </w:r>
      <w:r w:rsidRPr="006B1B13">
        <w:tab/>
      </w:r>
      <w:r w:rsidR="006B1B13" w:rsidRPr="006B1B13">
        <w:rPr>
          <w:b/>
          <w:bCs/>
        </w:rPr>
        <w:t>N</w:t>
      </w:r>
      <w:r w:rsidR="00006217" w:rsidRPr="006B1B13">
        <w:rPr>
          <w:b/>
          <w:bCs/>
        </w:rPr>
        <w:t>etwork performance evaluation:</w:t>
      </w:r>
      <w:r w:rsidR="00006217" w:rsidRPr="006B1B13">
        <w:t xml:space="preserve"> New Recommendation G.1051 “</w:t>
      </w:r>
      <w:r w:rsidRPr="006B1B13">
        <w:t>Latency measurement and interactivity scoring under real application data traffic patterns</w:t>
      </w:r>
      <w:r w:rsidR="00006217" w:rsidRPr="006B1B13">
        <w:t xml:space="preserve">” and updates on IP-based capacity parameters and measurement methods </w:t>
      </w:r>
      <w:r w:rsidRPr="006B1B13">
        <w:t>in</w:t>
      </w:r>
      <w:r w:rsidR="00006217" w:rsidRPr="006B1B13">
        <w:t xml:space="preserve"> Annex B of Recommendation Y.1540 “</w:t>
      </w:r>
      <w:r w:rsidRPr="006B1B13">
        <w:t>Internet protocol data communication service - IP packet transfer and availability performance parameters</w:t>
      </w:r>
      <w:r w:rsidR="00006217" w:rsidRPr="006B1B13">
        <w:t xml:space="preserve">” </w:t>
      </w:r>
    </w:p>
    <w:p w14:paraId="3431AE1F" w14:textId="5A185818" w:rsidR="00F20517" w:rsidRPr="006B1B13" w:rsidRDefault="00F20517" w:rsidP="00F20517">
      <w:pPr>
        <w:ind w:left="720" w:hanging="720"/>
      </w:pPr>
      <w:r w:rsidRPr="006B1B13">
        <w:t>–</w:t>
      </w:r>
      <w:r w:rsidRPr="006B1B13">
        <w:tab/>
      </w:r>
      <w:r w:rsidR="006B1B13" w:rsidRPr="006B1B13">
        <w:rPr>
          <w:b/>
          <w:bCs/>
        </w:rPr>
        <w:t>A</w:t>
      </w:r>
      <w:r w:rsidRPr="006B1B13">
        <w:rPr>
          <w:b/>
          <w:bCs/>
        </w:rPr>
        <w:t>udio quality assessment of terminals:</w:t>
      </w:r>
      <w:r w:rsidRPr="006B1B13">
        <w:t xml:space="preserve"> Revised Recommendations P.58 “Head and torso simulator for </w:t>
      </w:r>
      <w:proofErr w:type="spellStart"/>
      <w:r w:rsidRPr="006B1B13">
        <w:t>telephonometry</w:t>
      </w:r>
      <w:proofErr w:type="spellEnd"/>
      <w:r w:rsidRPr="006B1B13">
        <w:t>”, P.381 “Technical requirements and test methods for analogue wired headsets/headphones and corresponding universal interface of terminals”, P.382 “Technical requirements and test methods for analogue wired multi-microphone headsets/headphones and corresponding universal interface of terminals” P.383 “Technical requirements and test methods for digital headsets/headphones and corresponding interfaces of terminals”.</w:t>
      </w:r>
    </w:p>
    <w:p w14:paraId="50358467" w14:textId="5E1B0AF9" w:rsidR="00006217" w:rsidRPr="006B1B13" w:rsidRDefault="00F20517" w:rsidP="006B1B13">
      <w:pPr>
        <w:ind w:left="720" w:hanging="720"/>
      </w:pPr>
      <w:r w:rsidRPr="006B1B13">
        <w:t>–</w:t>
      </w:r>
      <w:r w:rsidRPr="006B1B13">
        <w:tab/>
      </w:r>
      <w:r w:rsidR="006B1B13" w:rsidRPr="006B1B13">
        <w:rPr>
          <w:b/>
          <w:bCs/>
        </w:rPr>
        <w:t>S</w:t>
      </w:r>
      <w:r w:rsidR="00006217" w:rsidRPr="006B1B13">
        <w:rPr>
          <w:b/>
          <w:bCs/>
        </w:rPr>
        <w:t>peech</w:t>
      </w:r>
      <w:r w:rsidRPr="006B1B13">
        <w:rPr>
          <w:b/>
          <w:bCs/>
        </w:rPr>
        <w:t xml:space="preserve"> </w:t>
      </w:r>
      <w:r w:rsidR="00006217" w:rsidRPr="006B1B13">
        <w:rPr>
          <w:b/>
          <w:bCs/>
        </w:rPr>
        <w:t>quality assessment</w:t>
      </w:r>
      <w:r w:rsidRPr="006B1B13">
        <w:rPr>
          <w:b/>
          <w:bCs/>
        </w:rPr>
        <w:t>:</w:t>
      </w:r>
      <w:r w:rsidRPr="006B1B13">
        <w:t xml:space="preserve"> </w:t>
      </w:r>
      <w:r w:rsidR="006B1B13" w:rsidRPr="006B1B13">
        <w:t>New Recommendation P.836 “Simulating conversations for the prediction of speech quality”</w:t>
      </w:r>
      <w:r w:rsidR="006B1B13">
        <w:t xml:space="preserve"> and</w:t>
      </w:r>
      <w:r w:rsidR="006B1B13" w:rsidRPr="006B1B13">
        <w:t xml:space="preserve"> </w:t>
      </w:r>
      <w:r w:rsidRPr="006B1B13">
        <w:t xml:space="preserve">Revised Recommendations </w:t>
      </w:r>
      <w:r w:rsidR="00006217" w:rsidRPr="006B1B13">
        <w:t>P.8</w:t>
      </w:r>
      <w:r w:rsidRPr="006B1B13">
        <w:t>10 “Modulated Noise Reference Unit (MNRU)”</w:t>
      </w:r>
      <w:r w:rsidR="006B1B13" w:rsidRPr="006B1B13">
        <w:t xml:space="preserve"> and </w:t>
      </w:r>
      <w:r w:rsidR="00006217" w:rsidRPr="006B1B13">
        <w:t>G.107.2</w:t>
      </w:r>
      <w:r w:rsidR="006B1B13" w:rsidRPr="006B1B13">
        <w:t xml:space="preserve"> “</w:t>
      </w:r>
      <w:proofErr w:type="spellStart"/>
      <w:r w:rsidR="006B1B13" w:rsidRPr="006B1B13">
        <w:t>Fullband</w:t>
      </w:r>
      <w:proofErr w:type="spellEnd"/>
      <w:r w:rsidR="006B1B13" w:rsidRPr="006B1B13">
        <w:t xml:space="preserve"> E-model” </w:t>
      </w:r>
    </w:p>
    <w:p w14:paraId="1307A080" w14:textId="7A29A516" w:rsidR="006B1B13" w:rsidRPr="006B1B13" w:rsidRDefault="006B1B13" w:rsidP="006B1B13">
      <w:pPr>
        <w:ind w:left="720" w:hanging="720"/>
      </w:pPr>
      <w:r w:rsidRPr="006B1B13">
        <w:t>–</w:t>
      </w:r>
      <w:r w:rsidRPr="006B1B13">
        <w:tab/>
      </w:r>
      <w:r w:rsidRPr="006B1B13">
        <w:rPr>
          <w:b/>
          <w:bCs/>
        </w:rPr>
        <w:t>Quality assessment for digital financial services</w:t>
      </w:r>
      <w:r w:rsidRPr="006B1B13">
        <w:t xml:space="preserve"> (in the context of WTSA-22 Res. 89): New Recommendation P.1503 “Extended methodology for cross-country and inter-operator digital financial services testing”</w:t>
      </w:r>
    </w:p>
    <w:p w14:paraId="37792AE5" w14:textId="4535FB57" w:rsidR="00FC0370" w:rsidRPr="00630B21" w:rsidRDefault="00FC0370" w:rsidP="00630B21">
      <w:r w:rsidRPr="00630B21">
        <w:t>SG12 also provided a new release of the ITU-T Software Tool Library (Recommendation ITU-T G.191)</w:t>
      </w:r>
      <w:r w:rsidR="00630B21">
        <w:t xml:space="preserve">, </w:t>
      </w:r>
      <w:hyperlink r:id="rId14" w:history="1">
        <w:r w:rsidR="00630B21" w:rsidRPr="00C22F52">
          <w:rPr>
            <w:rStyle w:val="Hyperlink"/>
          </w:rPr>
          <w:t>STL2023</w:t>
        </w:r>
      </w:hyperlink>
      <w:r w:rsidR="00630B21">
        <w:t>, that incorporates</w:t>
      </w:r>
      <w:r w:rsidR="00630B21" w:rsidRPr="00630B21">
        <w:t xml:space="preserve"> </w:t>
      </w:r>
      <w:r w:rsidR="00630B21">
        <w:t xml:space="preserve">recent </w:t>
      </w:r>
      <w:r w:rsidR="00630B21" w:rsidRPr="00630B21">
        <w:t xml:space="preserve">updates </w:t>
      </w:r>
      <w:r w:rsidR="00630B21">
        <w:t xml:space="preserve">made </w:t>
      </w:r>
      <w:r w:rsidR="00630B21" w:rsidRPr="00630B21">
        <w:t>to</w:t>
      </w:r>
      <w:r w:rsidR="002F2CAC">
        <w:t xml:space="preserve"> Recommendations</w:t>
      </w:r>
      <w:r w:rsidR="00630B21" w:rsidRPr="00630B21">
        <w:t xml:space="preserve"> </w:t>
      </w:r>
      <w:r w:rsidR="00C22F52">
        <w:rPr>
          <w:b/>
          <w:bCs/>
        </w:rPr>
        <w:t>ITU-T</w:t>
      </w:r>
      <w:r w:rsidR="00630B21" w:rsidRPr="00C22F52">
        <w:rPr>
          <w:b/>
          <w:bCs/>
        </w:rPr>
        <w:t xml:space="preserve"> P.50</w:t>
      </w:r>
      <w:r w:rsidR="00630B21" w:rsidRPr="00630B21">
        <w:t xml:space="preserve"> and </w:t>
      </w:r>
      <w:r w:rsidR="00630B21" w:rsidRPr="00C22F52">
        <w:rPr>
          <w:b/>
          <w:bCs/>
        </w:rPr>
        <w:t>P.810</w:t>
      </w:r>
      <w:r w:rsidRPr="00630B21">
        <w:t>.</w:t>
      </w:r>
    </w:p>
    <w:p w14:paraId="51C5F2E2" w14:textId="300A4EE5" w:rsidR="00F20517" w:rsidRDefault="00F20517" w:rsidP="00F20517">
      <w:r w:rsidRPr="00C17874">
        <w:lastRenderedPageBreak/>
        <w:t xml:space="preserve">SG12 continues to produce supplements assisting in the implementation/ application/real life use of Recommendations, e.g., </w:t>
      </w:r>
      <w:r w:rsidRPr="00C17874">
        <w:rPr>
          <w:b/>
          <w:bCs/>
        </w:rPr>
        <w:t xml:space="preserve">ITU-T </w:t>
      </w:r>
      <w:proofErr w:type="gramStart"/>
      <w:r w:rsidR="00C17874" w:rsidRPr="00C17874">
        <w:rPr>
          <w:b/>
          <w:bCs/>
        </w:rPr>
        <w:t>P.S</w:t>
      </w:r>
      <w:r w:rsidR="00AB3CD1">
        <w:rPr>
          <w:b/>
          <w:bCs/>
        </w:rPr>
        <w:t>up</w:t>
      </w:r>
      <w:proofErr w:type="gramEnd"/>
      <w:r w:rsidR="00AB3CD1">
        <w:rPr>
          <w:b/>
          <w:bCs/>
        </w:rPr>
        <w:t>29</w:t>
      </w:r>
      <w:r w:rsidR="004C6BE7" w:rsidRPr="004C6BE7">
        <w:t>, developed in cooperation with 3GPP SA4</w:t>
      </w:r>
      <w:r w:rsidRPr="00C17874">
        <w:t>.</w:t>
      </w:r>
    </w:p>
    <w:p w14:paraId="087151EE" w14:textId="10040EE8" w:rsidR="005A6164" w:rsidRPr="00F0781E" w:rsidRDefault="00AE35C8" w:rsidP="00F0781E">
      <w:pPr>
        <w:jc w:val="both"/>
      </w:pPr>
      <w:r>
        <w:t>T</w:t>
      </w:r>
      <w:r w:rsidR="00F161FC">
        <w:t>he SG12 work programme</w:t>
      </w:r>
      <w:r>
        <w:t xml:space="preserve"> was also updated</w:t>
      </w:r>
      <w:r w:rsidR="00F161FC">
        <w:t xml:space="preserve"> </w:t>
      </w:r>
      <w:r w:rsidR="00F8179E">
        <w:t>with the addition of</w:t>
      </w:r>
      <w:r w:rsidR="00F161FC">
        <w:t xml:space="preserve"> </w:t>
      </w:r>
      <w:r>
        <w:t>twelve</w:t>
      </w:r>
      <w:r w:rsidR="005A6164">
        <w:t xml:space="preserve"> </w:t>
      </w:r>
      <w:r w:rsidR="00F161FC">
        <w:t>new work items</w:t>
      </w:r>
      <w:r>
        <w:t xml:space="preserve">: </w:t>
      </w:r>
      <w:r w:rsidR="005A6164">
        <w:t>3</w:t>
      </w:r>
      <w:r>
        <w:t xml:space="preserve"> draft new</w:t>
      </w:r>
      <w:r w:rsidR="005A6164">
        <w:t xml:space="preserve"> Technical Reports</w:t>
      </w:r>
      <w:r>
        <w:t xml:space="preserve">, </w:t>
      </w:r>
      <w:r w:rsidR="005A6164">
        <w:t xml:space="preserve">5 </w:t>
      </w:r>
      <w:r>
        <w:t xml:space="preserve">draft </w:t>
      </w:r>
      <w:r w:rsidR="005A6164">
        <w:t>new Recommendations</w:t>
      </w:r>
      <w:r>
        <w:t xml:space="preserve"> and</w:t>
      </w:r>
      <w:r w:rsidR="005A6164">
        <w:t xml:space="preserve"> the revision of Recommendations</w:t>
      </w:r>
      <w:r w:rsidR="00F161FC">
        <w:t xml:space="preserve"> </w:t>
      </w:r>
      <w:r w:rsidR="005A6164">
        <w:t>P.340, P.34</w:t>
      </w:r>
      <w:r w:rsidR="00F161FC">
        <w:t>1</w:t>
      </w:r>
      <w:r w:rsidR="005A6164">
        <w:t>, P.</w:t>
      </w:r>
      <w:r w:rsidR="00F161FC">
        <w:t>342 and P.910</w:t>
      </w:r>
      <w:r w:rsidR="00F0781E">
        <w:t xml:space="preserve">. The way forward for </w:t>
      </w:r>
      <w:r w:rsidR="00F8179E">
        <w:t>work items</w:t>
      </w:r>
      <w:r w:rsidR="00F0781E">
        <w:t xml:space="preserve"> that had achieved stale status was also reviewed and 10 stale work items were discontinued. </w:t>
      </w:r>
    </w:p>
    <w:p w14:paraId="7F05B47A" w14:textId="631B0308" w:rsidR="00170F29" w:rsidRDefault="00170F29" w:rsidP="008C5A9A">
      <w:r w:rsidRPr="00170F29">
        <w:t>In its role as lead study group on QoS and QoE, SG12 liaised ITU-internally with</w:t>
      </w:r>
    </w:p>
    <w:p w14:paraId="0AAB3C5C" w14:textId="76D991AB" w:rsidR="00170F29" w:rsidRDefault="00F20517" w:rsidP="003D2420">
      <w:pPr>
        <w:pStyle w:val="enumlev1"/>
      </w:pPr>
      <w:r w:rsidRPr="00ED601E">
        <w:t>–</w:t>
      </w:r>
      <w:r w:rsidRPr="00ED601E">
        <w:tab/>
      </w:r>
      <w:r w:rsidR="00CE6502" w:rsidRPr="00ED601E">
        <w:t xml:space="preserve">ITU-T </w:t>
      </w:r>
      <w:r w:rsidR="00170F29" w:rsidRPr="00ED601E">
        <w:t xml:space="preserve">SG13 – on </w:t>
      </w:r>
      <w:r w:rsidR="00ED601E">
        <w:t xml:space="preserve">general frameworks for the derivation of QoE </w:t>
      </w:r>
      <w:r w:rsidR="00ED601E" w:rsidRPr="00ED601E">
        <w:t>influencing factors</w:t>
      </w:r>
      <w:r w:rsidR="00ED601E">
        <w:t xml:space="preserve"> in relation to QoS</w:t>
      </w:r>
      <w:r w:rsidR="00170F29" w:rsidRPr="00ED601E">
        <w:t>,</w:t>
      </w:r>
    </w:p>
    <w:p w14:paraId="1E50355B" w14:textId="6A989850" w:rsidR="00170F29" w:rsidRPr="00256F64" w:rsidRDefault="003D2420" w:rsidP="003D2420">
      <w:pPr>
        <w:pStyle w:val="enumlev1"/>
        <w:rPr>
          <w:highlight w:val="yellow"/>
        </w:rPr>
      </w:pPr>
      <w:r w:rsidRPr="002F2CAC">
        <w:t>–</w:t>
      </w:r>
      <w:r w:rsidRPr="002F2CAC">
        <w:tab/>
      </w:r>
      <w:r w:rsidR="00CE6502" w:rsidRPr="002F2CAC">
        <w:t xml:space="preserve">ITU-T </w:t>
      </w:r>
      <w:r w:rsidR="00170F29" w:rsidRPr="002F2CAC">
        <w:t>SG16 – on</w:t>
      </w:r>
      <w:r w:rsidR="00995929" w:rsidRPr="002F2CAC">
        <w:t xml:space="preserve"> </w:t>
      </w:r>
      <w:r w:rsidR="002F2CAC" w:rsidRPr="002F2CAC">
        <w:t xml:space="preserve">quality assessment methods </w:t>
      </w:r>
      <w:r w:rsidR="00006217" w:rsidRPr="002F2CAC">
        <w:t xml:space="preserve">for </w:t>
      </w:r>
      <w:r w:rsidR="002F2CAC" w:rsidRPr="002F2CAC">
        <w:t xml:space="preserve">object recognition </w:t>
      </w:r>
      <w:r w:rsidR="00006217" w:rsidRPr="002F2CAC">
        <w:t>surveillance video of</w:t>
      </w:r>
      <w:r w:rsidR="00006217" w:rsidRPr="00006217">
        <w:t xml:space="preserve"> autonomous drivin</w:t>
      </w:r>
      <w:r w:rsidR="002F2CAC">
        <w:t xml:space="preserve">g, </w:t>
      </w:r>
      <w:r w:rsidRPr="00995929">
        <w:t xml:space="preserve">performance requirements for automatic speech recognition (ASR) in vehicles, </w:t>
      </w:r>
      <w:r w:rsidR="00995929" w:rsidRPr="00995929">
        <w:t xml:space="preserve">performance evaluation of </w:t>
      </w:r>
      <w:r w:rsidR="00995929">
        <w:t>intelligent customer service systems</w:t>
      </w:r>
      <w:r w:rsidR="00995929" w:rsidRPr="00995929">
        <w:t xml:space="preserve"> </w:t>
      </w:r>
      <w:r w:rsidR="00995929">
        <w:t xml:space="preserve">and of </w:t>
      </w:r>
      <w:r w:rsidR="00995929" w:rsidRPr="00995929">
        <w:t>voice assistant devices in smart speakers</w:t>
      </w:r>
      <w:r w:rsidR="00995929">
        <w:t xml:space="preserve"> and,</w:t>
      </w:r>
      <w:r w:rsidR="00995929" w:rsidRPr="00995929">
        <w:t xml:space="preserve"> </w:t>
      </w:r>
    </w:p>
    <w:p w14:paraId="19CFAE90" w14:textId="4F097AA4" w:rsidR="003D2420" w:rsidRDefault="003D2420" w:rsidP="003D2420">
      <w:pPr>
        <w:pStyle w:val="enumlev1"/>
      </w:pPr>
      <w:r w:rsidRPr="00053C9F">
        <w:t>–</w:t>
      </w:r>
      <w:r w:rsidRPr="00053C9F">
        <w:tab/>
        <w:t xml:space="preserve">ITU-R SG6 – on </w:t>
      </w:r>
      <w:r w:rsidR="00ED601E">
        <w:t>s</w:t>
      </w:r>
      <w:r w:rsidR="00ED601E" w:rsidRPr="00ED601E">
        <w:t>ubjective video quality assessment methods for multimedia applications</w:t>
      </w:r>
      <w:r w:rsidRPr="00053C9F">
        <w:t>.</w:t>
      </w:r>
    </w:p>
    <w:p w14:paraId="671A3B01" w14:textId="5B5574A5" w:rsidR="00623C5B" w:rsidRDefault="00256F64" w:rsidP="008C5A9A">
      <w:r>
        <w:t>and</w:t>
      </w:r>
      <w:r w:rsidR="003D2420">
        <w:t xml:space="preserve"> externally, including with </w:t>
      </w:r>
      <w:r>
        <w:t>the Broadband Forum, 3GPP, 5GAA, ETSI, IETF</w:t>
      </w:r>
      <w:r w:rsidR="003D2420">
        <w:t>,</w:t>
      </w:r>
      <w:r>
        <w:t xml:space="preserve"> IEC, IEEE, VQEG, WBA</w:t>
      </w:r>
      <w:r w:rsidR="003D2420">
        <w:t>.</w:t>
      </w:r>
      <w:r w:rsidR="004C4AD5">
        <w:t xml:space="preserve"> </w:t>
      </w:r>
    </w:p>
    <w:p w14:paraId="7014F1AC" w14:textId="77777777" w:rsidR="00006217" w:rsidRDefault="00006217" w:rsidP="00006217">
      <w:r>
        <w:t xml:space="preserve">ITU-T Study Groups are encouraged to engage with SG12, at an early stage, on any ongoing or future work discussing QoS and QoE aspects. </w:t>
      </w:r>
    </w:p>
    <w:p w14:paraId="63227470" w14:textId="77777777" w:rsidR="00623C5B" w:rsidRDefault="00623C5B" w:rsidP="00623C5B">
      <w:pPr>
        <w:pStyle w:val="Heading2"/>
      </w:pPr>
      <w:r>
        <w:t>Lead study group on driver distraction and voice aspects of car communications</w:t>
      </w:r>
    </w:p>
    <w:p w14:paraId="3C633B77" w14:textId="11D5A01B" w:rsidR="00165539" w:rsidRDefault="006F7FE2" w:rsidP="00BE51EC">
      <w:r>
        <w:t>W</w:t>
      </w:r>
      <w:r w:rsidR="00030C8B">
        <w:t xml:space="preserve">ork </w:t>
      </w:r>
      <w:r>
        <w:t xml:space="preserve">progressed </w:t>
      </w:r>
      <w:r w:rsidR="00030C8B">
        <w:t>on</w:t>
      </w:r>
      <w:r>
        <w:t xml:space="preserve"> draft new Recommendation ITU-T P.ASR:</w:t>
      </w:r>
      <w:r w:rsidR="00030C8B">
        <w:t xml:space="preserve"> </w:t>
      </w:r>
      <w:r w:rsidR="00030C8B" w:rsidRPr="00030C8B">
        <w:t>Performance requirements for automatic speech recognition (ASR) in vehicles</w:t>
      </w:r>
      <w:r>
        <w:t xml:space="preserve"> whose aim is </w:t>
      </w:r>
      <w:r w:rsidR="00026822">
        <w:t>t</w:t>
      </w:r>
      <w:r w:rsidR="00026822" w:rsidRPr="00026822">
        <w:t xml:space="preserve">o provide a test environment and test setups for performing </w:t>
      </w:r>
      <w:r>
        <w:t>ASR</w:t>
      </w:r>
      <w:r w:rsidR="00026822" w:rsidRPr="00026822">
        <w:t xml:space="preserve"> tests in a laboratory type environment while simulating relevant driving and operating conditions</w:t>
      </w:r>
      <w:r w:rsidR="00026822">
        <w:t>; and (b) t</w:t>
      </w:r>
      <w:r w:rsidR="00026822" w:rsidRPr="00026822">
        <w:t>o provide measurement procedures and performance requirements.</w:t>
      </w:r>
      <w:r w:rsidR="00BE51EC">
        <w:t xml:space="preserve"> </w:t>
      </w:r>
      <w:r w:rsidR="00165539">
        <w:t xml:space="preserve">SG12 informed </w:t>
      </w:r>
      <w:r w:rsidR="00BE51EC">
        <w:t>SG</w:t>
      </w:r>
      <w:r>
        <w:t>16</w:t>
      </w:r>
      <w:r w:rsidR="00165539">
        <w:t xml:space="preserve"> about </w:t>
      </w:r>
      <w:r w:rsidR="00C0066D">
        <w:t>th</w:t>
      </w:r>
      <w:r>
        <w:t>is</w:t>
      </w:r>
      <w:r w:rsidR="00165539">
        <w:t xml:space="preserve"> </w:t>
      </w:r>
      <w:r w:rsidR="00A749BC">
        <w:t>progress.</w:t>
      </w:r>
    </w:p>
    <w:p w14:paraId="5388B9D5" w14:textId="3483CEE9" w:rsidR="00A32517" w:rsidRPr="006D4F08" w:rsidRDefault="0038764A" w:rsidP="00623C5B">
      <w:r>
        <w:t xml:space="preserve">ITU-T Study Groups are encouraged to </w:t>
      </w:r>
      <w:r w:rsidR="004E2231">
        <w:t>engage</w:t>
      </w:r>
      <w:r w:rsidR="004E2231" w:rsidRPr="004E2231">
        <w:t xml:space="preserve"> </w:t>
      </w:r>
      <w:r w:rsidR="004E2231">
        <w:t>with SG12</w:t>
      </w:r>
      <w:r>
        <w:t xml:space="preserve">, at an early stage, on new work items discussing driver distraction and voice aspects of car communications. </w:t>
      </w:r>
    </w:p>
    <w:p w14:paraId="2E3D0839" w14:textId="77777777" w:rsidR="00623C5B" w:rsidRPr="00FA702C" w:rsidRDefault="00623C5B" w:rsidP="00623C5B">
      <w:pPr>
        <w:pStyle w:val="Heading2"/>
      </w:pPr>
      <w:r w:rsidRPr="00FA702C">
        <w:t>Lead study group on quality assessment of video communications and applications</w:t>
      </w:r>
    </w:p>
    <w:p w14:paraId="682A15DE" w14:textId="77777777" w:rsidR="00174D6B" w:rsidRDefault="00F3789A" w:rsidP="00174D6B">
      <w:r>
        <w:t xml:space="preserve">Work continues to progress on </w:t>
      </w:r>
      <w:r w:rsidR="00FC0370">
        <w:t xml:space="preserve">items related to quality assessment of video communications and applications </w:t>
      </w:r>
      <w:r w:rsidR="00174D6B">
        <w:t>mainly related to adaptive video streaming quality (</w:t>
      </w:r>
      <w:r w:rsidR="00174D6B" w:rsidRPr="00174D6B">
        <w:t>P.NATS-ph3</w:t>
      </w:r>
      <w:r w:rsidR="00174D6B">
        <w:t xml:space="preserve">, </w:t>
      </w:r>
      <w:r w:rsidR="00174D6B" w:rsidRPr="00174D6B">
        <w:t>P.MOSQUITO</w:t>
      </w:r>
      <w:r w:rsidR="00174D6B">
        <w:t xml:space="preserve">, </w:t>
      </w:r>
      <w:proofErr w:type="spellStart"/>
      <w:r w:rsidR="00174D6B" w:rsidRPr="00174D6B">
        <w:t>P.DiAQoSE</w:t>
      </w:r>
      <w:proofErr w:type="spellEnd"/>
      <w:r w:rsidR="00174D6B">
        <w:t xml:space="preserve">). </w:t>
      </w:r>
    </w:p>
    <w:p w14:paraId="16DA7F02" w14:textId="0377E406" w:rsidR="00B62093" w:rsidRDefault="00174D6B" w:rsidP="00B62093">
      <w:r>
        <w:t xml:space="preserve">SG12 has adopted a </w:t>
      </w:r>
      <w:r w:rsidR="00B62093">
        <w:t>series</w:t>
      </w:r>
      <w:r>
        <w:t xml:space="preserve"> of foundational Recommendations </w:t>
      </w:r>
      <w:r w:rsidR="00B62093">
        <w:t>related to</w:t>
      </w:r>
      <w:r>
        <w:t xml:space="preserve"> quality </w:t>
      </w:r>
      <w:r w:rsidR="00B62093">
        <w:t>evaluation</w:t>
      </w:r>
      <w:r>
        <w:t xml:space="preserve"> of immersive technologies covering virtual reality (ITU-T G.1035)</w:t>
      </w:r>
      <w:r w:rsidR="00B62093">
        <w:t>;</w:t>
      </w:r>
      <w:r>
        <w:t xml:space="preserve"> augmented reality (ITU-T G.1036)</w:t>
      </w:r>
      <w:r w:rsidR="00B62093">
        <w:t>;</w:t>
      </w:r>
      <w:r>
        <w:t xml:space="preserve"> </w:t>
      </w:r>
      <w:r w:rsidRPr="007E4C4D">
        <w:t xml:space="preserve">360º video </w:t>
      </w:r>
      <w:r>
        <w:t>(ITU-T P.919)</w:t>
      </w:r>
      <w:r w:rsidR="00B62093">
        <w:t>;</w:t>
      </w:r>
      <w:r>
        <w:t xml:space="preserve"> spatial audio (ITU-T </w:t>
      </w:r>
      <w:r w:rsidR="00B62093">
        <w:t>P.1310</w:t>
      </w:r>
      <w:r>
        <w:t>)</w:t>
      </w:r>
      <w:r w:rsidR="00B62093">
        <w:t xml:space="preserve">; </w:t>
      </w:r>
      <w:r>
        <w:t>extended reality meetings</w:t>
      </w:r>
      <w:r w:rsidR="00B62093">
        <w:t xml:space="preserve"> (ITU-T P.1320)</w:t>
      </w:r>
      <w:r>
        <w:t xml:space="preserve">. </w:t>
      </w:r>
      <w:r w:rsidR="00B62093">
        <w:t xml:space="preserve">In the reporting period, </w:t>
      </w:r>
      <w:r w:rsidR="00053C9F">
        <w:t xml:space="preserve">new </w:t>
      </w:r>
      <w:r w:rsidR="00B62093">
        <w:t xml:space="preserve">work </w:t>
      </w:r>
      <w:r w:rsidR="00053C9F">
        <w:t xml:space="preserve">was initiated </w:t>
      </w:r>
      <w:r w:rsidR="00B62093">
        <w:t xml:space="preserve">in this area </w:t>
      </w:r>
      <w:r w:rsidR="00053C9F">
        <w:t xml:space="preserve">on </w:t>
      </w:r>
      <w:r w:rsidR="00B62093" w:rsidRPr="00B62093">
        <w:t>test methods for subjective assessment of extended reality communications</w:t>
      </w:r>
      <w:r w:rsidR="00B62093">
        <w:t xml:space="preserve"> (P.IXC), s</w:t>
      </w:r>
      <w:r w:rsidR="00B62093" w:rsidRPr="00B62093">
        <w:t>ubjective tests for evaluating the user experience for mobile AR applications</w:t>
      </w:r>
      <w:r w:rsidR="00B62093">
        <w:t xml:space="preserve"> (</w:t>
      </w:r>
      <w:r w:rsidR="002F2CAC" w:rsidRPr="002F2CAC">
        <w:t>P.SMAR</w:t>
      </w:r>
      <w:r w:rsidR="00B62093">
        <w:t>) and o</w:t>
      </w:r>
      <w:r w:rsidR="00B62093" w:rsidRPr="00B62093">
        <w:t>bjective quality modelling for XR services</w:t>
      </w:r>
      <w:r w:rsidR="002F2CAC">
        <w:t xml:space="preserve"> (</w:t>
      </w:r>
      <w:r w:rsidR="002F2CAC" w:rsidRPr="002F2CAC">
        <w:t>PSTR-OQMXR</w:t>
      </w:r>
      <w:r w:rsidR="002F2CAC">
        <w:t>)</w:t>
      </w:r>
      <w:r w:rsidR="00B62093">
        <w:t>.</w:t>
      </w:r>
    </w:p>
    <w:p w14:paraId="29736411" w14:textId="3FD5DA47" w:rsidR="00053C9F" w:rsidRDefault="00053C9F" w:rsidP="00053C9F">
      <w:r w:rsidRPr="00174D6B">
        <w:t>ITU-T Study Groups are encouraged to engage with SG12, at an early stage, on new work items discussing quality assessment of video communications and applications</w:t>
      </w:r>
      <w:r>
        <w:t>, including work on immersive media quality assessment</w:t>
      </w:r>
      <w:r w:rsidRPr="00174D6B">
        <w:t>.</w:t>
      </w:r>
      <w:r>
        <w:t xml:space="preserve"> </w:t>
      </w:r>
    </w:p>
    <w:p w14:paraId="7D8E9A17" w14:textId="39D3844F" w:rsidR="00B62093" w:rsidRDefault="00B62093" w:rsidP="00B62093">
      <w:r w:rsidRPr="00B62093">
        <w:t>SG12’s longstanding successful cooperation with the Video Quality Expert Group (VQEG) continues as showcased</w:t>
      </w:r>
      <w:r>
        <w:t xml:space="preserve"> in the planned collaborative </w:t>
      </w:r>
      <w:r w:rsidR="002F2CAC">
        <w:t xml:space="preserve">revision of </w:t>
      </w:r>
      <w:r w:rsidR="002F2CAC" w:rsidRPr="009D325F">
        <w:rPr>
          <w:b/>
          <w:bCs/>
        </w:rPr>
        <w:t>ITU-T P.91</w:t>
      </w:r>
      <w:r w:rsidR="00053C9F" w:rsidRPr="009D325F">
        <w:rPr>
          <w:b/>
          <w:bCs/>
        </w:rPr>
        <w:t>0</w:t>
      </w:r>
      <w:r w:rsidR="002F2CAC">
        <w:t xml:space="preserve"> and on</w:t>
      </w:r>
      <w:r>
        <w:t xml:space="preserve"> new work related to immersive media quality (P.IXC)</w:t>
      </w:r>
      <w:r w:rsidR="002F2CAC">
        <w:t>.</w:t>
      </w:r>
    </w:p>
    <w:p w14:paraId="70E5CD09" w14:textId="77777777" w:rsidR="005604FC" w:rsidRDefault="008C5A9A" w:rsidP="008C5A9A">
      <w:pPr>
        <w:jc w:val="center"/>
      </w:pPr>
      <w:bookmarkStart w:id="14" w:name="_Hlk98856042"/>
      <w:r>
        <w:t>_______________________</w:t>
      </w:r>
      <w:bookmarkEnd w:id="14"/>
    </w:p>
    <w:sectPr w:rsidR="005604FC" w:rsidSect="00247045">
      <w:headerReference w:type="default" r:id="rId15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EB56" w14:textId="77777777" w:rsidR="00F374B0" w:rsidRDefault="00F374B0" w:rsidP="00C42125">
      <w:pPr>
        <w:spacing w:before="0"/>
      </w:pPr>
      <w:r>
        <w:separator/>
      </w:r>
    </w:p>
  </w:endnote>
  <w:endnote w:type="continuationSeparator" w:id="0">
    <w:p w14:paraId="414A488C" w14:textId="77777777" w:rsidR="00F374B0" w:rsidRDefault="00F374B0" w:rsidP="00C42125">
      <w:pPr>
        <w:spacing w:before="0"/>
      </w:pPr>
      <w:r>
        <w:continuationSeparator/>
      </w:r>
    </w:p>
  </w:endnote>
  <w:endnote w:type="continuationNotice" w:id="1">
    <w:p w14:paraId="4DF6F59D" w14:textId="77777777" w:rsidR="00F374B0" w:rsidRDefault="00F374B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F530" w14:textId="77777777" w:rsidR="00F374B0" w:rsidRDefault="00F374B0" w:rsidP="00C42125">
      <w:pPr>
        <w:spacing w:before="0"/>
      </w:pPr>
      <w:r>
        <w:separator/>
      </w:r>
    </w:p>
  </w:footnote>
  <w:footnote w:type="continuationSeparator" w:id="0">
    <w:p w14:paraId="0D07A5E7" w14:textId="77777777" w:rsidR="00F374B0" w:rsidRDefault="00F374B0" w:rsidP="00C42125">
      <w:pPr>
        <w:spacing w:before="0"/>
      </w:pPr>
      <w:r>
        <w:continuationSeparator/>
      </w:r>
    </w:p>
  </w:footnote>
  <w:footnote w:type="continuationNotice" w:id="1">
    <w:p w14:paraId="7BEA70F2" w14:textId="77777777" w:rsidR="00F374B0" w:rsidRDefault="00F374B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9FD5" w14:textId="07F6346E" w:rsidR="005976A1" w:rsidRPr="00247045" w:rsidRDefault="00247045" w:rsidP="00247045">
    <w:pPr>
      <w:pStyle w:val="Header"/>
    </w:pPr>
    <w:r w:rsidRPr="00247045">
      <w:t xml:space="preserve">- </w:t>
    </w:r>
    <w:r w:rsidRPr="00247045">
      <w:fldChar w:fldCharType="begin"/>
    </w:r>
    <w:r w:rsidRPr="00247045">
      <w:instrText xml:space="preserve"> PAGE  \* MERGEFORMAT </w:instrText>
    </w:r>
    <w:r w:rsidRPr="00247045">
      <w:fldChar w:fldCharType="separate"/>
    </w:r>
    <w:r w:rsidRPr="00247045">
      <w:rPr>
        <w:noProof/>
      </w:rPr>
      <w:t>1</w:t>
    </w:r>
    <w:r w:rsidRPr="00247045">
      <w:fldChar w:fldCharType="end"/>
    </w:r>
    <w:r w:rsidRPr="00247045">
      <w:t xml:space="preserve"> -</w:t>
    </w:r>
  </w:p>
  <w:p w14:paraId="0B4604FB" w14:textId="508560F3" w:rsidR="00247045" w:rsidRPr="00247045" w:rsidRDefault="00DD5295" w:rsidP="00247045">
    <w:pPr>
      <w:pStyle w:val="Header"/>
      <w:spacing w:after="240"/>
    </w:pPr>
    <w:r>
      <w:t>TSAG-</w:t>
    </w:r>
    <w:r w:rsidR="00E57B0C">
      <w:t>TD203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0B38"/>
    <w:multiLevelType w:val="hybridMultilevel"/>
    <w:tmpl w:val="249A8FAC"/>
    <w:lvl w:ilvl="0" w:tplc="5EC42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760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45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CE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84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6F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03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C3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4C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507DB2"/>
    <w:multiLevelType w:val="hybridMultilevel"/>
    <w:tmpl w:val="E7C03A56"/>
    <w:lvl w:ilvl="0" w:tplc="7D9A1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E4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46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69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67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C8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6A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6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C0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6358023">
    <w:abstractNumId w:val="9"/>
  </w:num>
  <w:num w:numId="2" w16cid:durableId="1206022941">
    <w:abstractNumId w:val="7"/>
  </w:num>
  <w:num w:numId="3" w16cid:durableId="128977197">
    <w:abstractNumId w:val="6"/>
  </w:num>
  <w:num w:numId="4" w16cid:durableId="1105728381">
    <w:abstractNumId w:val="5"/>
  </w:num>
  <w:num w:numId="5" w16cid:durableId="2080008890">
    <w:abstractNumId w:val="4"/>
  </w:num>
  <w:num w:numId="6" w16cid:durableId="453132278">
    <w:abstractNumId w:val="8"/>
  </w:num>
  <w:num w:numId="7" w16cid:durableId="1152140143">
    <w:abstractNumId w:val="3"/>
  </w:num>
  <w:num w:numId="8" w16cid:durableId="918951605">
    <w:abstractNumId w:val="2"/>
  </w:num>
  <w:num w:numId="9" w16cid:durableId="1528369917">
    <w:abstractNumId w:val="1"/>
  </w:num>
  <w:num w:numId="10" w16cid:durableId="1472094684">
    <w:abstractNumId w:val="0"/>
  </w:num>
  <w:num w:numId="11" w16cid:durableId="1238980856">
    <w:abstractNumId w:val="11"/>
  </w:num>
  <w:num w:numId="12" w16cid:durableId="791902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06217"/>
    <w:rsid w:val="00014F69"/>
    <w:rsid w:val="000171DB"/>
    <w:rsid w:val="00023D9A"/>
    <w:rsid w:val="00026822"/>
    <w:rsid w:val="00030C8B"/>
    <w:rsid w:val="000347E0"/>
    <w:rsid w:val="0003582E"/>
    <w:rsid w:val="00043181"/>
    <w:rsid w:val="00043D75"/>
    <w:rsid w:val="00053C9F"/>
    <w:rsid w:val="00057000"/>
    <w:rsid w:val="000640E0"/>
    <w:rsid w:val="00086D80"/>
    <w:rsid w:val="000937AD"/>
    <w:rsid w:val="000966A8"/>
    <w:rsid w:val="000A0A5C"/>
    <w:rsid w:val="000A3CEC"/>
    <w:rsid w:val="000A5CA2"/>
    <w:rsid w:val="000B5C61"/>
    <w:rsid w:val="000E3C61"/>
    <w:rsid w:val="000E3E55"/>
    <w:rsid w:val="000E6083"/>
    <w:rsid w:val="000E6125"/>
    <w:rsid w:val="000F7452"/>
    <w:rsid w:val="00100B53"/>
    <w:rsid w:val="00100BAF"/>
    <w:rsid w:val="00113DBE"/>
    <w:rsid w:val="001140D8"/>
    <w:rsid w:val="001200A6"/>
    <w:rsid w:val="001251DA"/>
    <w:rsid w:val="00125432"/>
    <w:rsid w:val="00136DDD"/>
    <w:rsid w:val="00137F40"/>
    <w:rsid w:val="00144BDF"/>
    <w:rsid w:val="00153252"/>
    <w:rsid w:val="00155DDC"/>
    <w:rsid w:val="00165539"/>
    <w:rsid w:val="00170F29"/>
    <w:rsid w:val="00174D6B"/>
    <w:rsid w:val="001871EC"/>
    <w:rsid w:val="001A20C3"/>
    <w:rsid w:val="001A670F"/>
    <w:rsid w:val="001B6A45"/>
    <w:rsid w:val="001C1003"/>
    <w:rsid w:val="001C4B91"/>
    <w:rsid w:val="001C62B8"/>
    <w:rsid w:val="001D033C"/>
    <w:rsid w:val="001D22D8"/>
    <w:rsid w:val="001D4296"/>
    <w:rsid w:val="001E7B0E"/>
    <w:rsid w:val="001F141D"/>
    <w:rsid w:val="001F7FB8"/>
    <w:rsid w:val="00200A06"/>
    <w:rsid w:val="00200A98"/>
    <w:rsid w:val="00201AFA"/>
    <w:rsid w:val="002229F1"/>
    <w:rsid w:val="00225A8B"/>
    <w:rsid w:val="00230B96"/>
    <w:rsid w:val="00233F75"/>
    <w:rsid w:val="00247045"/>
    <w:rsid w:val="0025233B"/>
    <w:rsid w:val="002528F9"/>
    <w:rsid w:val="002531F0"/>
    <w:rsid w:val="00253DBE"/>
    <w:rsid w:val="00253DC6"/>
    <w:rsid w:val="0025489C"/>
    <w:rsid w:val="00255389"/>
    <w:rsid w:val="00256F64"/>
    <w:rsid w:val="00257926"/>
    <w:rsid w:val="002622FA"/>
    <w:rsid w:val="00263518"/>
    <w:rsid w:val="00265E68"/>
    <w:rsid w:val="002759E7"/>
    <w:rsid w:val="00276E6B"/>
    <w:rsid w:val="00277326"/>
    <w:rsid w:val="002A11C4"/>
    <w:rsid w:val="002A399B"/>
    <w:rsid w:val="002C26C0"/>
    <w:rsid w:val="002C2BC5"/>
    <w:rsid w:val="002D2009"/>
    <w:rsid w:val="002D4370"/>
    <w:rsid w:val="002E0407"/>
    <w:rsid w:val="002E6474"/>
    <w:rsid w:val="002E79CB"/>
    <w:rsid w:val="002F0471"/>
    <w:rsid w:val="002F1714"/>
    <w:rsid w:val="002F2CAC"/>
    <w:rsid w:val="002F5CA7"/>
    <w:rsid w:val="002F7F55"/>
    <w:rsid w:val="0030745F"/>
    <w:rsid w:val="00311755"/>
    <w:rsid w:val="00314630"/>
    <w:rsid w:val="0032090A"/>
    <w:rsid w:val="00321CDE"/>
    <w:rsid w:val="00333E15"/>
    <w:rsid w:val="003416D3"/>
    <w:rsid w:val="003571BC"/>
    <w:rsid w:val="0036090C"/>
    <w:rsid w:val="00364979"/>
    <w:rsid w:val="00385B9C"/>
    <w:rsid w:val="00385FB5"/>
    <w:rsid w:val="0038715D"/>
    <w:rsid w:val="0038764A"/>
    <w:rsid w:val="00392E84"/>
    <w:rsid w:val="00394DBF"/>
    <w:rsid w:val="003957A6"/>
    <w:rsid w:val="00397713"/>
    <w:rsid w:val="003A43EF"/>
    <w:rsid w:val="003B60A2"/>
    <w:rsid w:val="003C7445"/>
    <w:rsid w:val="003D2420"/>
    <w:rsid w:val="003E39A2"/>
    <w:rsid w:val="003E57AB"/>
    <w:rsid w:val="003F2BED"/>
    <w:rsid w:val="003F5830"/>
    <w:rsid w:val="00400B49"/>
    <w:rsid w:val="0040415B"/>
    <w:rsid w:val="00405E60"/>
    <w:rsid w:val="004139E4"/>
    <w:rsid w:val="00415999"/>
    <w:rsid w:val="00443878"/>
    <w:rsid w:val="004539A8"/>
    <w:rsid w:val="004646F1"/>
    <w:rsid w:val="004712CA"/>
    <w:rsid w:val="0047422E"/>
    <w:rsid w:val="0049674B"/>
    <w:rsid w:val="004A1D1B"/>
    <w:rsid w:val="004C0673"/>
    <w:rsid w:val="004C4AD5"/>
    <w:rsid w:val="004C4E4E"/>
    <w:rsid w:val="004C6BE7"/>
    <w:rsid w:val="004E08F2"/>
    <w:rsid w:val="004E2231"/>
    <w:rsid w:val="004F3816"/>
    <w:rsid w:val="004F500A"/>
    <w:rsid w:val="005126A0"/>
    <w:rsid w:val="005250C1"/>
    <w:rsid w:val="00526E27"/>
    <w:rsid w:val="00537FF0"/>
    <w:rsid w:val="00543D41"/>
    <w:rsid w:val="00545472"/>
    <w:rsid w:val="005571A4"/>
    <w:rsid w:val="005604FC"/>
    <w:rsid w:val="00566EDA"/>
    <w:rsid w:val="0057081A"/>
    <w:rsid w:val="00572654"/>
    <w:rsid w:val="0059209F"/>
    <w:rsid w:val="005976A1"/>
    <w:rsid w:val="005A34E7"/>
    <w:rsid w:val="005A40A4"/>
    <w:rsid w:val="005A6164"/>
    <w:rsid w:val="005A69A3"/>
    <w:rsid w:val="005A752A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23C5B"/>
    <w:rsid w:val="00630B21"/>
    <w:rsid w:val="006333D4"/>
    <w:rsid w:val="006338A8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3139"/>
    <w:rsid w:val="00695DD7"/>
    <w:rsid w:val="006A0F3F"/>
    <w:rsid w:val="006A2A02"/>
    <w:rsid w:val="006A4055"/>
    <w:rsid w:val="006A7C27"/>
    <w:rsid w:val="006B1B13"/>
    <w:rsid w:val="006B2FE4"/>
    <w:rsid w:val="006B37B0"/>
    <w:rsid w:val="006B6BA2"/>
    <w:rsid w:val="006C5641"/>
    <w:rsid w:val="006D1089"/>
    <w:rsid w:val="006D1B86"/>
    <w:rsid w:val="006D7355"/>
    <w:rsid w:val="006E1B65"/>
    <w:rsid w:val="006F0797"/>
    <w:rsid w:val="006F7DEE"/>
    <w:rsid w:val="006F7FE2"/>
    <w:rsid w:val="00702958"/>
    <w:rsid w:val="00706FF2"/>
    <w:rsid w:val="00715CA6"/>
    <w:rsid w:val="00727CA4"/>
    <w:rsid w:val="00731135"/>
    <w:rsid w:val="007324AF"/>
    <w:rsid w:val="007409B4"/>
    <w:rsid w:val="00741974"/>
    <w:rsid w:val="007454B6"/>
    <w:rsid w:val="00753CFA"/>
    <w:rsid w:val="0075525E"/>
    <w:rsid w:val="00756D3D"/>
    <w:rsid w:val="007648B5"/>
    <w:rsid w:val="00770CC4"/>
    <w:rsid w:val="007806C2"/>
    <w:rsid w:val="00781FEE"/>
    <w:rsid w:val="00782DF7"/>
    <w:rsid w:val="007903F8"/>
    <w:rsid w:val="00791D75"/>
    <w:rsid w:val="00794F4F"/>
    <w:rsid w:val="007974BE"/>
    <w:rsid w:val="007A0916"/>
    <w:rsid w:val="007A0DFD"/>
    <w:rsid w:val="007A1570"/>
    <w:rsid w:val="007A6A4A"/>
    <w:rsid w:val="007C5ED4"/>
    <w:rsid w:val="007C7122"/>
    <w:rsid w:val="007D3F11"/>
    <w:rsid w:val="007D7E69"/>
    <w:rsid w:val="007E2C69"/>
    <w:rsid w:val="007E53E4"/>
    <w:rsid w:val="007E656A"/>
    <w:rsid w:val="007F3CAA"/>
    <w:rsid w:val="007F664D"/>
    <w:rsid w:val="00801B42"/>
    <w:rsid w:val="00802B6E"/>
    <w:rsid w:val="008249A7"/>
    <w:rsid w:val="00836C4B"/>
    <w:rsid w:val="00836D45"/>
    <w:rsid w:val="00837203"/>
    <w:rsid w:val="00842137"/>
    <w:rsid w:val="008506EF"/>
    <w:rsid w:val="00851E6C"/>
    <w:rsid w:val="00853F5F"/>
    <w:rsid w:val="00855FEE"/>
    <w:rsid w:val="00856C7A"/>
    <w:rsid w:val="008623ED"/>
    <w:rsid w:val="00875AA6"/>
    <w:rsid w:val="00880944"/>
    <w:rsid w:val="0089088E"/>
    <w:rsid w:val="00892297"/>
    <w:rsid w:val="008930F2"/>
    <w:rsid w:val="0089430B"/>
    <w:rsid w:val="008964D6"/>
    <w:rsid w:val="008B5123"/>
    <w:rsid w:val="008B51AF"/>
    <w:rsid w:val="008C23A9"/>
    <w:rsid w:val="008C5A9A"/>
    <w:rsid w:val="008C6F53"/>
    <w:rsid w:val="008D00E2"/>
    <w:rsid w:val="008D1E1E"/>
    <w:rsid w:val="008E0172"/>
    <w:rsid w:val="008F5B3A"/>
    <w:rsid w:val="00902F6F"/>
    <w:rsid w:val="00936852"/>
    <w:rsid w:val="0094045D"/>
    <w:rsid w:val="009406B5"/>
    <w:rsid w:val="0094244E"/>
    <w:rsid w:val="00946166"/>
    <w:rsid w:val="009556C8"/>
    <w:rsid w:val="00966B5C"/>
    <w:rsid w:val="00981678"/>
    <w:rsid w:val="00983164"/>
    <w:rsid w:val="00984252"/>
    <w:rsid w:val="00995929"/>
    <w:rsid w:val="009972EF"/>
    <w:rsid w:val="009B5035"/>
    <w:rsid w:val="009B7182"/>
    <w:rsid w:val="009C3160"/>
    <w:rsid w:val="009D325F"/>
    <w:rsid w:val="009D399E"/>
    <w:rsid w:val="009D644B"/>
    <w:rsid w:val="009E1F19"/>
    <w:rsid w:val="009E4B6B"/>
    <w:rsid w:val="009E766E"/>
    <w:rsid w:val="009F1960"/>
    <w:rsid w:val="009F4B1A"/>
    <w:rsid w:val="009F715E"/>
    <w:rsid w:val="009F78FE"/>
    <w:rsid w:val="00A032C4"/>
    <w:rsid w:val="00A10DBB"/>
    <w:rsid w:val="00A11720"/>
    <w:rsid w:val="00A21247"/>
    <w:rsid w:val="00A311F0"/>
    <w:rsid w:val="00A31D47"/>
    <w:rsid w:val="00A32517"/>
    <w:rsid w:val="00A37D4F"/>
    <w:rsid w:val="00A4013E"/>
    <w:rsid w:val="00A4045F"/>
    <w:rsid w:val="00A427CD"/>
    <w:rsid w:val="00A45FEE"/>
    <w:rsid w:val="00A4600B"/>
    <w:rsid w:val="00A4667E"/>
    <w:rsid w:val="00A50506"/>
    <w:rsid w:val="00A51EF0"/>
    <w:rsid w:val="00A600CD"/>
    <w:rsid w:val="00A67A81"/>
    <w:rsid w:val="00A730A6"/>
    <w:rsid w:val="00A749BC"/>
    <w:rsid w:val="00A827B0"/>
    <w:rsid w:val="00A96899"/>
    <w:rsid w:val="00A971A0"/>
    <w:rsid w:val="00AA1186"/>
    <w:rsid w:val="00AA1F22"/>
    <w:rsid w:val="00AB37FB"/>
    <w:rsid w:val="00AB3CD1"/>
    <w:rsid w:val="00AC3E73"/>
    <w:rsid w:val="00AC63B0"/>
    <w:rsid w:val="00AE35C8"/>
    <w:rsid w:val="00AF0D98"/>
    <w:rsid w:val="00B05821"/>
    <w:rsid w:val="00B100D6"/>
    <w:rsid w:val="00B164C9"/>
    <w:rsid w:val="00B23067"/>
    <w:rsid w:val="00B2519B"/>
    <w:rsid w:val="00B26C28"/>
    <w:rsid w:val="00B34BD9"/>
    <w:rsid w:val="00B4174C"/>
    <w:rsid w:val="00B4400B"/>
    <w:rsid w:val="00B453F5"/>
    <w:rsid w:val="00B5162E"/>
    <w:rsid w:val="00B61624"/>
    <w:rsid w:val="00B62093"/>
    <w:rsid w:val="00B66481"/>
    <w:rsid w:val="00B67344"/>
    <w:rsid w:val="00B7189C"/>
    <w:rsid w:val="00B718A5"/>
    <w:rsid w:val="00B804AB"/>
    <w:rsid w:val="00B8261E"/>
    <w:rsid w:val="00B86602"/>
    <w:rsid w:val="00BA7411"/>
    <w:rsid w:val="00BA788A"/>
    <w:rsid w:val="00BB4120"/>
    <w:rsid w:val="00BB4983"/>
    <w:rsid w:val="00BB7597"/>
    <w:rsid w:val="00BC62E2"/>
    <w:rsid w:val="00BE4AC3"/>
    <w:rsid w:val="00BE51EC"/>
    <w:rsid w:val="00C0066D"/>
    <w:rsid w:val="00C00A5F"/>
    <w:rsid w:val="00C17874"/>
    <w:rsid w:val="00C22F52"/>
    <w:rsid w:val="00C4100A"/>
    <w:rsid w:val="00C42125"/>
    <w:rsid w:val="00C42D54"/>
    <w:rsid w:val="00C435DA"/>
    <w:rsid w:val="00C47120"/>
    <w:rsid w:val="00C557CE"/>
    <w:rsid w:val="00C62814"/>
    <w:rsid w:val="00C67B25"/>
    <w:rsid w:val="00C748F7"/>
    <w:rsid w:val="00C74937"/>
    <w:rsid w:val="00CB2599"/>
    <w:rsid w:val="00CB2E74"/>
    <w:rsid w:val="00CC386F"/>
    <w:rsid w:val="00CD2139"/>
    <w:rsid w:val="00CE5986"/>
    <w:rsid w:val="00CE6502"/>
    <w:rsid w:val="00D10A47"/>
    <w:rsid w:val="00D26477"/>
    <w:rsid w:val="00D56CC3"/>
    <w:rsid w:val="00D647EF"/>
    <w:rsid w:val="00D73137"/>
    <w:rsid w:val="00D8421A"/>
    <w:rsid w:val="00D977A2"/>
    <w:rsid w:val="00DA1D47"/>
    <w:rsid w:val="00DB0706"/>
    <w:rsid w:val="00DD50DE"/>
    <w:rsid w:val="00DD5295"/>
    <w:rsid w:val="00DE1204"/>
    <w:rsid w:val="00DE3062"/>
    <w:rsid w:val="00E0166F"/>
    <w:rsid w:val="00E0581D"/>
    <w:rsid w:val="00E1590B"/>
    <w:rsid w:val="00E204DD"/>
    <w:rsid w:val="00E228B7"/>
    <w:rsid w:val="00E353EC"/>
    <w:rsid w:val="00E51F61"/>
    <w:rsid w:val="00E53C24"/>
    <w:rsid w:val="00E56E77"/>
    <w:rsid w:val="00E57B0C"/>
    <w:rsid w:val="00E855B7"/>
    <w:rsid w:val="00E85B28"/>
    <w:rsid w:val="00E86B40"/>
    <w:rsid w:val="00E91A70"/>
    <w:rsid w:val="00EA0BE7"/>
    <w:rsid w:val="00EB444D"/>
    <w:rsid w:val="00EB6A93"/>
    <w:rsid w:val="00ED1B45"/>
    <w:rsid w:val="00ED4CD2"/>
    <w:rsid w:val="00ED4F08"/>
    <w:rsid w:val="00ED601E"/>
    <w:rsid w:val="00EE1A06"/>
    <w:rsid w:val="00EE5A23"/>
    <w:rsid w:val="00EE5C0D"/>
    <w:rsid w:val="00EE706B"/>
    <w:rsid w:val="00EF4792"/>
    <w:rsid w:val="00EF76DC"/>
    <w:rsid w:val="00F0167A"/>
    <w:rsid w:val="00F02294"/>
    <w:rsid w:val="00F0781E"/>
    <w:rsid w:val="00F161FC"/>
    <w:rsid w:val="00F20517"/>
    <w:rsid w:val="00F30DE7"/>
    <w:rsid w:val="00F33ACE"/>
    <w:rsid w:val="00F35F57"/>
    <w:rsid w:val="00F364D5"/>
    <w:rsid w:val="00F374B0"/>
    <w:rsid w:val="00F3789A"/>
    <w:rsid w:val="00F50467"/>
    <w:rsid w:val="00F539E8"/>
    <w:rsid w:val="00F562A0"/>
    <w:rsid w:val="00F57FA4"/>
    <w:rsid w:val="00F77EC3"/>
    <w:rsid w:val="00F8179E"/>
    <w:rsid w:val="00F931D8"/>
    <w:rsid w:val="00F9547A"/>
    <w:rsid w:val="00FA02CB"/>
    <w:rsid w:val="00FA2177"/>
    <w:rsid w:val="00FA702C"/>
    <w:rsid w:val="00FB0783"/>
    <w:rsid w:val="00FB7A8B"/>
    <w:rsid w:val="00FC0370"/>
    <w:rsid w:val="00FC2485"/>
    <w:rsid w:val="00FD439E"/>
    <w:rsid w:val="00FD76CB"/>
    <w:rsid w:val="00FE152B"/>
    <w:rsid w:val="00FE239E"/>
    <w:rsid w:val="00FE2528"/>
    <w:rsid w:val="00FE399B"/>
    <w:rsid w:val="00FF1151"/>
    <w:rsid w:val="00FF4546"/>
    <w:rsid w:val="00FF538F"/>
    <w:rsid w:val="16CBFBE6"/>
    <w:rsid w:val="17EECDA5"/>
    <w:rsid w:val="2149A48D"/>
    <w:rsid w:val="217D51D7"/>
    <w:rsid w:val="263A1242"/>
    <w:rsid w:val="3439E286"/>
    <w:rsid w:val="51AD9656"/>
    <w:rsid w:val="52F5040C"/>
    <w:rsid w:val="5708EC07"/>
    <w:rsid w:val="59246EEA"/>
    <w:rsid w:val="59CD832D"/>
    <w:rsid w:val="6A5E9E19"/>
    <w:rsid w:val="71F4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4C25A08F-E4F3-4CF5-8681-C0C9C9DA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764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basedOn w:val="DefaultParagraphFont"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paragraph" w:customStyle="1" w:styleId="Default">
    <w:name w:val="Default"/>
    <w:rsid w:val="006B1B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1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3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studygroups/2022-2024/12/Pages/2301-summary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ia.villa@ift.org.m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thub.com/openitu/ST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2F930091BE46B3B0E2754971D8C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C1E20-08CA-4A42-849D-1195CFDA93B5}"/>
      </w:docPartPr>
      <w:docPartBody>
        <w:p w:rsidR="000570F5" w:rsidRDefault="002E3025" w:rsidP="002E3025">
          <w:pPr>
            <w:pStyle w:val="A62F930091BE46B3B0E2754971D8C08F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25"/>
    <w:rsid w:val="000570F5"/>
    <w:rsid w:val="002E3025"/>
    <w:rsid w:val="003932D3"/>
    <w:rsid w:val="004D6B6B"/>
    <w:rsid w:val="00C1677B"/>
    <w:rsid w:val="00F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3025"/>
    <w:rPr>
      <w:rFonts w:ascii="Times New Roman" w:hAnsi="Times New Roman"/>
      <w:color w:val="808080"/>
    </w:rPr>
  </w:style>
  <w:style w:type="paragraph" w:customStyle="1" w:styleId="A62F930091BE46B3B0E2754971D8C08F">
    <w:name w:val="A62F930091BE46B3B0E2754971D8C08F"/>
    <w:rsid w:val="002E3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0</TotalTime>
  <Pages>2</Pages>
  <Words>919</Words>
  <Characters>5242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SG12 Lead Study Group Report</vt:lpstr>
    </vt:vector>
  </TitlesOfParts>
  <Manager>ITU-T</Manager>
  <Company>International Telecommunication Union (ITU)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SG12 Lead Study Group Report</dc:title>
  <dc:subject/>
  <dc:creator>Chairman, ITU-T SG12</dc:creator>
  <cp:keywords/>
  <dc:description>TSAG-TD203  For: Geneva, 30 May – 2 June 2023Document date: Saved by ITU51014254 at 10:49:32 on 01.12.2022</dc:description>
  <cp:lastModifiedBy>Al-Mnini, Lara</cp:lastModifiedBy>
  <cp:revision>2</cp:revision>
  <cp:lastPrinted>2016-12-23T12:52:00Z</cp:lastPrinted>
  <dcterms:created xsi:type="dcterms:W3CDTF">2023-05-09T07:31:00Z</dcterms:created>
  <dcterms:modified xsi:type="dcterms:W3CDTF">2023-05-09T07:31:00Z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TSAG-TD034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Geneva, 12-16 December 2022</vt:lpwstr>
  </property>
  <property fmtid="{D5CDD505-2E9C-101B-9397-08002B2CF9AE}" pid="8" name="Docauthor">
    <vt:lpwstr>Chairman, ITU-T SG12</vt:lpwstr>
  </property>
</Properties>
</file>