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63B2E" w:rsidRPr="00463B2E" w14:paraId="4F1E40F7" w14:textId="77777777" w:rsidTr="00463B2E">
        <w:trPr>
          <w:cantSplit/>
        </w:trPr>
        <w:tc>
          <w:tcPr>
            <w:tcW w:w="1132" w:type="dxa"/>
            <w:vMerge w:val="restart"/>
            <w:vAlign w:val="center"/>
          </w:tcPr>
          <w:p w14:paraId="62C2A3F0" w14:textId="77777777" w:rsidR="00463B2E" w:rsidRPr="00463B2E" w:rsidRDefault="00463B2E" w:rsidP="00463B2E">
            <w:pPr>
              <w:spacing w:before="0"/>
              <w:jc w:val="center"/>
              <w:rPr>
                <w:sz w:val="20"/>
                <w:szCs w:val="20"/>
              </w:rPr>
            </w:pPr>
            <w:bookmarkStart w:id="0" w:name="dnum" w:colFirst="2" w:colLast="2"/>
            <w:bookmarkStart w:id="1" w:name="dtableau"/>
            <w:r w:rsidRPr="00463B2E">
              <w:rPr>
                <w:noProof/>
              </w:rPr>
              <w:drawing>
                <wp:inline distT="0" distB="0" distL="0" distR="0" wp14:anchorId="4226B539" wp14:editId="620315B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6018204D" w14:textId="77777777" w:rsidR="00463B2E" w:rsidRPr="00463B2E" w:rsidRDefault="00463B2E" w:rsidP="00463B2E">
            <w:pPr>
              <w:rPr>
                <w:sz w:val="16"/>
                <w:szCs w:val="16"/>
              </w:rPr>
            </w:pPr>
            <w:r w:rsidRPr="00463B2E">
              <w:rPr>
                <w:sz w:val="16"/>
                <w:szCs w:val="16"/>
              </w:rPr>
              <w:t>INTERNATIONAL TELECOMMUNICATION UNION</w:t>
            </w:r>
          </w:p>
          <w:p w14:paraId="189C1C51" w14:textId="77777777" w:rsidR="00463B2E" w:rsidRPr="00463B2E" w:rsidRDefault="00463B2E" w:rsidP="00463B2E">
            <w:pPr>
              <w:rPr>
                <w:b/>
                <w:bCs/>
                <w:sz w:val="26"/>
                <w:szCs w:val="26"/>
              </w:rPr>
            </w:pPr>
            <w:r w:rsidRPr="00463B2E">
              <w:rPr>
                <w:b/>
                <w:bCs/>
                <w:sz w:val="26"/>
                <w:szCs w:val="26"/>
              </w:rPr>
              <w:t>TELECOMMUNICATION</w:t>
            </w:r>
            <w:r w:rsidRPr="00463B2E">
              <w:rPr>
                <w:b/>
                <w:bCs/>
                <w:sz w:val="26"/>
                <w:szCs w:val="26"/>
              </w:rPr>
              <w:br/>
              <w:t>STANDARDIZATION SECTOR</w:t>
            </w:r>
          </w:p>
          <w:p w14:paraId="37F709F2" w14:textId="77777777" w:rsidR="00463B2E" w:rsidRPr="00463B2E" w:rsidRDefault="00463B2E" w:rsidP="00463B2E">
            <w:pPr>
              <w:rPr>
                <w:sz w:val="20"/>
                <w:szCs w:val="20"/>
              </w:rPr>
            </w:pPr>
            <w:r w:rsidRPr="00463B2E">
              <w:rPr>
                <w:sz w:val="20"/>
                <w:szCs w:val="20"/>
              </w:rPr>
              <w:t xml:space="preserve">STUDY PERIOD </w:t>
            </w:r>
            <w:bookmarkStart w:id="2" w:name="dstudyperiod"/>
            <w:r w:rsidRPr="00463B2E">
              <w:rPr>
                <w:sz w:val="20"/>
              </w:rPr>
              <w:t>2022</w:t>
            </w:r>
            <w:r w:rsidRPr="00463B2E">
              <w:rPr>
                <w:sz w:val="20"/>
                <w:szCs w:val="20"/>
              </w:rPr>
              <w:t>-</w:t>
            </w:r>
            <w:r w:rsidRPr="00463B2E">
              <w:rPr>
                <w:sz w:val="20"/>
              </w:rPr>
              <w:t>2024</w:t>
            </w:r>
            <w:bookmarkEnd w:id="2"/>
          </w:p>
        </w:tc>
        <w:tc>
          <w:tcPr>
            <w:tcW w:w="4026" w:type="dxa"/>
            <w:vAlign w:val="center"/>
          </w:tcPr>
          <w:p w14:paraId="1B455D70" w14:textId="29189590" w:rsidR="00463B2E" w:rsidRPr="00463B2E" w:rsidRDefault="00463B2E" w:rsidP="00463B2E">
            <w:pPr>
              <w:pStyle w:val="Docnumber"/>
            </w:pPr>
            <w:r>
              <w:t>TSAG-TD201</w:t>
            </w:r>
          </w:p>
        </w:tc>
      </w:tr>
      <w:tr w:rsidR="00463B2E" w:rsidRPr="00463B2E" w14:paraId="1CEF8F53" w14:textId="77777777" w:rsidTr="00463B2E">
        <w:trPr>
          <w:cantSplit/>
        </w:trPr>
        <w:tc>
          <w:tcPr>
            <w:tcW w:w="1132" w:type="dxa"/>
            <w:vMerge/>
          </w:tcPr>
          <w:p w14:paraId="56AF352C" w14:textId="77777777" w:rsidR="00463B2E" w:rsidRPr="00463B2E" w:rsidRDefault="00463B2E" w:rsidP="00463B2E">
            <w:pPr>
              <w:rPr>
                <w:smallCaps/>
                <w:sz w:val="20"/>
              </w:rPr>
            </w:pPr>
            <w:bookmarkStart w:id="3" w:name="dsg" w:colFirst="2" w:colLast="2"/>
            <w:bookmarkEnd w:id="0"/>
          </w:p>
        </w:tc>
        <w:tc>
          <w:tcPr>
            <w:tcW w:w="4481" w:type="dxa"/>
            <w:gridSpan w:val="2"/>
            <w:vMerge/>
          </w:tcPr>
          <w:p w14:paraId="1A97B2FA" w14:textId="77777777" w:rsidR="00463B2E" w:rsidRPr="00463B2E" w:rsidRDefault="00463B2E" w:rsidP="00463B2E">
            <w:pPr>
              <w:rPr>
                <w:smallCaps/>
                <w:sz w:val="20"/>
              </w:rPr>
            </w:pPr>
          </w:p>
        </w:tc>
        <w:tc>
          <w:tcPr>
            <w:tcW w:w="4026" w:type="dxa"/>
          </w:tcPr>
          <w:p w14:paraId="48B9DA11" w14:textId="241A8978" w:rsidR="00463B2E" w:rsidRPr="00463B2E" w:rsidRDefault="00463B2E" w:rsidP="00463B2E">
            <w:pPr>
              <w:pStyle w:val="TSBHeaderRight14"/>
              <w:rPr>
                <w:smallCaps/>
              </w:rPr>
            </w:pPr>
            <w:r>
              <w:rPr>
                <w:smallCaps/>
              </w:rPr>
              <w:t>TSAG</w:t>
            </w:r>
          </w:p>
        </w:tc>
      </w:tr>
      <w:bookmarkEnd w:id="3"/>
      <w:tr w:rsidR="00463B2E" w:rsidRPr="00463B2E" w14:paraId="07B76F2A" w14:textId="77777777" w:rsidTr="00463B2E">
        <w:trPr>
          <w:cantSplit/>
        </w:trPr>
        <w:tc>
          <w:tcPr>
            <w:tcW w:w="1132" w:type="dxa"/>
            <w:vMerge/>
            <w:tcBorders>
              <w:bottom w:val="single" w:sz="12" w:space="0" w:color="auto"/>
            </w:tcBorders>
          </w:tcPr>
          <w:p w14:paraId="2D5A3221" w14:textId="77777777" w:rsidR="00463B2E" w:rsidRPr="00463B2E" w:rsidRDefault="00463B2E" w:rsidP="00463B2E">
            <w:pPr>
              <w:rPr>
                <w:b/>
                <w:bCs/>
                <w:sz w:val="26"/>
              </w:rPr>
            </w:pPr>
          </w:p>
        </w:tc>
        <w:tc>
          <w:tcPr>
            <w:tcW w:w="4481" w:type="dxa"/>
            <w:gridSpan w:val="2"/>
            <w:vMerge/>
            <w:tcBorders>
              <w:bottom w:val="single" w:sz="12" w:space="0" w:color="auto"/>
            </w:tcBorders>
          </w:tcPr>
          <w:p w14:paraId="7841E0B2" w14:textId="77777777" w:rsidR="00463B2E" w:rsidRPr="00463B2E" w:rsidRDefault="00463B2E" w:rsidP="00463B2E">
            <w:pPr>
              <w:rPr>
                <w:b/>
                <w:bCs/>
                <w:sz w:val="26"/>
              </w:rPr>
            </w:pPr>
          </w:p>
        </w:tc>
        <w:tc>
          <w:tcPr>
            <w:tcW w:w="4026" w:type="dxa"/>
            <w:tcBorders>
              <w:bottom w:val="single" w:sz="12" w:space="0" w:color="auto"/>
            </w:tcBorders>
            <w:vAlign w:val="center"/>
          </w:tcPr>
          <w:p w14:paraId="1255FC29" w14:textId="77777777" w:rsidR="00463B2E" w:rsidRPr="00463B2E" w:rsidRDefault="00463B2E" w:rsidP="00463B2E">
            <w:pPr>
              <w:pStyle w:val="TSBHeaderRight14"/>
            </w:pPr>
            <w:r w:rsidRPr="00463B2E">
              <w:t>Original: English</w:t>
            </w:r>
          </w:p>
        </w:tc>
      </w:tr>
      <w:tr w:rsidR="00463B2E" w:rsidRPr="00463B2E" w14:paraId="14489E65" w14:textId="77777777" w:rsidTr="00463B2E">
        <w:trPr>
          <w:cantSplit/>
        </w:trPr>
        <w:tc>
          <w:tcPr>
            <w:tcW w:w="1587" w:type="dxa"/>
            <w:gridSpan w:val="2"/>
          </w:tcPr>
          <w:p w14:paraId="23304F90" w14:textId="77777777" w:rsidR="00463B2E" w:rsidRPr="00463B2E" w:rsidRDefault="00463B2E" w:rsidP="00463B2E">
            <w:pPr>
              <w:rPr>
                <w:b/>
                <w:bCs/>
              </w:rPr>
            </w:pPr>
            <w:bookmarkStart w:id="4" w:name="dbluepink" w:colFirst="1" w:colLast="1"/>
            <w:bookmarkStart w:id="5" w:name="dmeeting" w:colFirst="2" w:colLast="2"/>
            <w:r w:rsidRPr="00463B2E">
              <w:rPr>
                <w:b/>
                <w:bCs/>
              </w:rPr>
              <w:t>Question(s):</w:t>
            </w:r>
          </w:p>
        </w:tc>
        <w:tc>
          <w:tcPr>
            <w:tcW w:w="4026" w:type="dxa"/>
          </w:tcPr>
          <w:p w14:paraId="0F690EB9" w14:textId="04FF9B27" w:rsidR="00463B2E" w:rsidRPr="00463B2E" w:rsidRDefault="00463B2E" w:rsidP="00463B2E">
            <w:pPr>
              <w:pStyle w:val="TSBHeaderQuestion"/>
            </w:pPr>
            <w:r>
              <w:t>N/A</w:t>
            </w:r>
          </w:p>
        </w:tc>
        <w:tc>
          <w:tcPr>
            <w:tcW w:w="4026" w:type="dxa"/>
          </w:tcPr>
          <w:p w14:paraId="4C6686A7" w14:textId="0E4881CD" w:rsidR="00463B2E" w:rsidRPr="00463B2E" w:rsidRDefault="00463B2E" w:rsidP="00463B2E">
            <w:pPr>
              <w:pStyle w:val="VenueDate"/>
            </w:pPr>
            <w:r w:rsidRPr="00463B2E">
              <w:t xml:space="preserve">Geneva, </w:t>
            </w:r>
            <w:r>
              <w:t>30</w:t>
            </w:r>
            <w:r w:rsidRPr="00463B2E">
              <w:t xml:space="preserve"> May – 2 June 2023</w:t>
            </w:r>
          </w:p>
        </w:tc>
      </w:tr>
      <w:tr w:rsidR="00463B2E" w:rsidRPr="00463B2E" w14:paraId="03501BC5" w14:textId="77777777" w:rsidTr="005F7827">
        <w:trPr>
          <w:cantSplit/>
        </w:trPr>
        <w:tc>
          <w:tcPr>
            <w:tcW w:w="9639" w:type="dxa"/>
            <w:gridSpan w:val="4"/>
          </w:tcPr>
          <w:p w14:paraId="40F1477B" w14:textId="52165D55" w:rsidR="00463B2E" w:rsidRPr="00463B2E" w:rsidRDefault="00463B2E" w:rsidP="00463B2E">
            <w:pPr>
              <w:jc w:val="center"/>
              <w:rPr>
                <w:b/>
                <w:bCs/>
              </w:rPr>
            </w:pPr>
            <w:bookmarkStart w:id="6" w:name="ddoctype"/>
            <w:bookmarkEnd w:id="4"/>
            <w:bookmarkEnd w:id="5"/>
            <w:r w:rsidRPr="00463B2E">
              <w:rPr>
                <w:b/>
                <w:bCs/>
              </w:rPr>
              <w:t>TD</w:t>
            </w:r>
          </w:p>
        </w:tc>
      </w:tr>
      <w:tr w:rsidR="00463B2E" w:rsidRPr="00463B2E" w14:paraId="403ADA86" w14:textId="77777777" w:rsidTr="00463B2E">
        <w:trPr>
          <w:cantSplit/>
        </w:trPr>
        <w:tc>
          <w:tcPr>
            <w:tcW w:w="1587" w:type="dxa"/>
            <w:gridSpan w:val="2"/>
          </w:tcPr>
          <w:p w14:paraId="3345FF20" w14:textId="77777777" w:rsidR="00463B2E" w:rsidRPr="00463B2E" w:rsidRDefault="00463B2E" w:rsidP="00463B2E">
            <w:pPr>
              <w:rPr>
                <w:b/>
                <w:bCs/>
              </w:rPr>
            </w:pPr>
            <w:bookmarkStart w:id="7" w:name="dsource" w:colFirst="1" w:colLast="1"/>
            <w:bookmarkEnd w:id="6"/>
            <w:r w:rsidRPr="00463B2E">
              <w:rPr>
                <w:b/>
                <w:bCs/>
              </w:rPr>
              <w:t>Source:</w:t>
            </w:r>
          </w:p>
        </w:tc>
        <w:tc>
          <w:tcPr>
            <w:tcW w:w="8052" w:type="dxa"/>
            <w:gridSpan w:val="2"/>
          </w:tcPr>
          <w:p w14:paraId="1F594F10" w14:textId="2819DE23" w:rsidR="00463B2E" w:rsidRPr="00463B2E" w:rsidRDefault="00463B2E" w:rsidP="00463B2E">
            <w:pPr>
              <w:pStyle w:val="TSBHeaderSource"/>
            </w:pPr>
            <w:r w:rsidRPr="00463B2E">
              <w:t>Chairman, ITU-T Study Group 9</w:t>
            </w:r>
          </w:p>
        </w:tc>
      </w:tr>
      <w:tr w:rsidR="00463B2E" w:rsidRPr="00463B2E" w14:paraId="528E8F92" w14:textId="77777777" w:rsidTr="00463B2E">
        <w:trPr>
          <w:cantSplit/>
        </w:trPr>
        <w:tc>
          <w:tcPr>
            <w:tcW w:w="1587" w:type="dxa"/>
            <w:gridSpan w:val="2"/>
            <w:tcBorders>
              <w:bottom w:val="single" w:sz="8" w:space="0" w:color="auto"/>
            </w:tcBorders>
          </w:tcPr>
          <w:p w14:paraId="2CDE2BFC" w14:textId="77777777" w:rsidR="00463B2E" w:rsidRPr="00463B2E" w:rsidRDefault="00463B2E" w:rsidP="00463B2E">
            <w:pPr>
              <w:rPr>
                <w:b/>
                <w:bCs/>
              </w:rPr>
            </w:pPr>
            <w:bookmarkStart w:id="8" w:name="dtitle1" w:colFirst="1" w:colLast="1"/>
            <w:bookmarkEnd w:id="7"/>
            <w:r w:rsidRPr="00463B2E">
              <w:rPr>
                <w:b/>
                <w:bCs/>
              </w:rPr>
              <w:t>Title:</w:t>
            </w:r>
          </w:p>
        </w:tc>
        <w:tc>
          <w:tcPr>
            <w:tcW w:w="8052" w:type="dxa"/>
            <w:gridSpan w:val="2"/>
            <w:tcBorders>
              <w:bottom w:val="single" w:sz="8" w:space="0" w:color="auto"/>
            </w:tcBorders>
          </w:tcPr>
          <w:p w14:paraId="624A2C33" w14:textId="036B9A98" w:rsidR="00463B2E" w:rsidRPr="00463B2E" w:rsidRDefault="00463B2E" w:rsidP="00463B2E">
            <w:pPr>
              <w:pStyle w:val="TSBHeaderTitle"/>
            </w:pPr>
            <w:r w:rsidRPr="00463B2E">
              <w:t>ITU-T SG9 Lead Study Group report</w:t>
            </w:r>
          </w:p>
        </w:tc>
      </w:tr>
      <w:tr w:rsidR="001C4B91" w:rsidRPr="00463B2E"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2D408A" w:rsidRDefault="001C4B91" w:rsidP="0060045D">
            <w:bookmarkStart w:id="9" w:name="_Hlk98768222"/>
            <w:bookmarkStart w:id="10" w:name="dcontact"/>
            <w:bookmarkStart w:id="11" w:name="dcontact1"/>
            <w:bookmarkStart w:id="12" w:name="dcontent1" w:colFirst="1" w:colLast="1"/>
            <w:bookmarkEnd w:id="1"/>
            <w:bookmarkEnd w:id="8"/>
            <w:r w:rsidRPr="002D408A">
              <w:t>Contact:</w:t>
            </w:r>
          </w:p>
        </w:tc>
        <w:tc>
          <w:tcPr>
            <w:tcW w:w="4026" w:type="dxa"/>
            <w:tcBorders>
              <w:top w:val="single" w:sz="8" w:space="0" w:color="auto"/>
              <w:bottom w:val="single" w:sz="8" w:space="0" w:color="auto"/>
            </w:tcBorders>
          </w:tcPr>
          <w:p w14:paraId="62ADEF8F" w14:textId="66EB3110" w:rsidR="001C4B91" w:rsidRPr="00801B42" w:rsidRDefault="000C18C2" w:rsidP="0060045D">
            <w:r w:rsidRPr="00150C67">
              <w:t>Satoshi Miyaji</w:t>
            </w:r>
            <w:r w:rsidR="001C4B91" w:rsidRPr="00150C67">
              <w:br/>
            </w:r>
            <w:r w:rsidRPr="00150C67">
              <w:t>KDDI Corporation</w:t>
            </w:r>
            <w:r w:rsidR="001C4B91" w:rsidRPr="00150C67">
              <w:br/>
            </w:r>
            <w:r w:rsidRPr="00150C67">
              <w:t>Japan</w:t>
            </w:r>
          </w:p>
        </w:tc>
        <w:tc>
          <w:tcPr>
            <w:tcW w:w="4026" w:type="dxa"/>
            <w:tcBorders>
              <w:top w:val="single" w:sz="8" w:space="0" w:color="auto"/>
              <w:bottom w:val="single" w:sz="8" w:space="0" w:color="auto"/>
            </w:tcBorders>
          </w:tcPr>
          <w:p w14:paraId="45CC2940" w14:textId="58707BEA" w:rsidR="001C4B91" w:rsidRPr="00463B2E" w:rsidRDefault="001C4B91" w:rsidP="00B86602">
            <w:pPr>
              <w:tabs>
                <w:tab w:val="left" w:pos="794"/>
              </w:tabs>
              <w:rPr>
                <w:lang w:val="de-DE"/>
              </w:rPr>
            </w:pPr>
            <w:r w:rsidRPr="00463B2E">
              <w:rPr>
                <w:lang w:val="de-DE"/>
              </w:rPr>
              <w:t>Tel:</w:t>
            </w:r>
            <w:r w:rsidRPr="00463B2E">
              <w:rPr>
                <w:lang w:val="de-DE"/>
              </w:rPr>
              <w:tab/>
              <w:t>+</w:t>
            </w:r>
            <w:r w:rsidR="000C18C2" w:rsidRPr="00463B2E">
              <w:rPr>
                <w:lang w:val="de-DE"/>
              </w:rPr>
              <w:t>81 80 5060 9134</w:t>
            </w:r>
            <w:r w:rsidRPr="00463B2E">
              <w:rPr>
                <w:lang w:val="de-DE"/>
              </w:rPr>
              <w:br/>
              <w:t>E-mail:</w:t>
            </w:r>
            <w:r w:rsidRPr="00463B2E">
              <w:rPr>
                <w:lang w:val="de-DE"/>
              </w:rPr>
              <w:tab/>
            </w:r>
            <w:hyperlink r:id="rId12" w:history="1">
              <w:r w:rsidR="00463B2E" w:rsidRPr="00316E44">
                <w:rPr>
                  <w:rStyle w:val="Hyperlink"/>
                  <w:lang w:val="de-DE"/>
                </w:rPr>
                <w:t>sa-miyaji@kddi.com</w:t>
              </w:r>
            </w:hyperlink>
            <w:r w:rsidR="00463B2E">
              <w:rPr>
                <w:lang w:val="de-DE"/>
              </w:rPr>
              <w:t xml:space="preserve"> </w:t>
            </w:r>
          </w:p>
        </w:tc>
      </w:tr>
      <w:bookmarkEnd w:id="10"/>
      <w:bookmarkEnd w:id="11"/>
      <w:bookmarkEnd w:id="12"/>
    </w:tbl>
    <w:p w14:paraId="001CA3C9" w14:textId="77777777" w:rsidR="00DB0706" w:rsidRPr="00463B2E"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2D408A" w:rsidRDefault="0089088E" w:rsidP="005976A1">
            <w:r w:rsidRPr="002D408A">
              <w:t>Abstract:</w:t>
            </w:r>
          </w:p>
        </w:tc>
        <w:tc>
          <w:tcPr>
            <w:tcW w:w="8051" w:type="dxa"/>
          </w:tcPr>
          <w:p w14:paraId="2E4B0C30" w14:textId="267576E9" w:rsidR="0089088E" w:rsidRPr="008249A7" w:rsidRDefault="00627646" w:rsidP="00397713">
            <w:pPr>
              <w:pStyle w:val="TSBHeaderSummary"/>
              <w:rPr>
                <w:highlight w:val="yellow"/>
              </w:rPr>
            </w:pPr>
            <w:r w:rsidRPr="00722015">
              <w:t xml:space="preserve">This </w:t>
            </w:r>
            <w:r>
              <w:t xml:space="preserve">document provides </w:t>
            </w:r>
            <w:r w:rsidR="00944AD2">
              <w:t>the</w:t>
            </w:r>
            <w:r>
              <w:t xml:space="preserve"> report f</w:t>
            </w:r>
            <w:r w:rsidR="00944AD2">
              <w:t>rom</w:t>
            </w:r>
            <w:r>
              <w:t xml:space="preserve"> SG9 on lead study group activities on integrated broadband cable networks and audiovisual content delivery over cable networks.</w:t>
            </w:r>
          </w:p>
        </w:tc>
      </w:tr>
    </w:tbl>
    <w:bookmarkEnd w:id="9"/>
    <w:p w14:paraId="421B45FF" w14:textId="031ACC90" w:rsidR="00ED3002" w:rsidRPr="00ED3002" w:rsidRDefault="00944AD2" w:rsidP="00ED3002">
      <w:pPr>
        <w:pStyle w:val="Heading1"/>
        <w:numPr>
          <w:ilvl w:val="0"/>
          <w:numId w:val="11"/>
        </w:numPr>
        <w:rPr>
          <w:lang w:eastAsia="ja-JP"/>
        </w:rPr>
      </w:pPr>
      <w:r>
        <w:rPr>
          <w:lang w:eastAsia="ja-JP"/>
        </w:rPr>
        <w:t>F</w:t>
      </w:r>
      <w:r w:rsidR="00ED3002">
        <w:rPr>
          <w:lang w:eastAsia="ja-JP"/>
        </w:rPr>
        <w:t xml:space="preserve">irst </w:t>
      </w:r>
      <w:r>
        <w:rPr>
          <w:lang w:eastAsia="ja-JP"/>
        </w:rPr>
        <w:t xml:space="preserve">SG9 </w:t>
      </w:r>
      <w:r w:rsidR="00ED3002">
        <w:rPr>
          <w:lang w:eastAsia="ja-JP"/>
        </w:rPr>
        <w:t>physical meeting after COVID-19 pandemic</w:t>
      </w:r>
      <w:r>
        <w:rPr>
          <w:lang w:eastAsia="ja-JP"/>
        </w:rPr>
        <w:t xml:space="preserve"> (May 2023, Bangalore, India)</w:t>
      </w:r>
    </w:p>
    <w:p w14:paraId="098004DD" w14:textId="3604EE89" w:rsidR="00944AD2" w:rsidRDefault="00CB0E3F" w:rsidP="002D408A">
      <w:r>
        <w:rPr>
          <w:rFonts w:hint="eastAsia"/>
        </w:rPr>
        <w:t>T</w:t>
      </w:r>
      <w:r>
        <w:t>he</w:t>
      </w:r>
      <w:r w:rsidR="00944AD2">
        <w:t xml:space="preserve"> first SG9 meeting in this study period (</w:t>
      </w:r>
      <w:r w:rsidR="00944AD2" w:rsidRPr="00944AD2">
        <w:t>2022 – 2024</w:t>
      </w:r>
      <w:r w:rsidR="00944AD2">
        <w:t>) took place fully virtual in September 2022, it was covered by the previous Lead SG report from SG9 to TSAG (</w:t>
      </w:r>
      <w:hyperlink r:id="rId13" w:history="1">
        <w:r w:rsidR="00944AD2" w:rsidRPr="00944AD2">
          <w:rPr>
            <w:rStyle w:val="Hyperlink"/>
          </w:rPr>
          <w:t>TSAG-TD32R1</w:t>
        </w:r>
      </w:hyperlink>
      <w:r w:rsidR="00944AD2">
        <w:t>).</w:t>
      </w:r>
      <w:r>
        <w:t xml:space="preserve"> </w:t>
      </w:r>
    </w:p>
    <w:p w14:paraId="238ADA4A" w14:textId="728EDD6D" w:rsidR="00944AD2" w:rsidRDefault="00944AD2" w:rsidP="002D408A">
      <w:r>
        <w:t xml:space="preserve">The </w:t>
      </w:r>
      <w:r w:rsidR="00CB0E3F">
        <w:t>second Study Group 9 meeting in th</w:t>
      </w:r>
      <w:r>
        <w:t>is</w:t>
      </w:r>
      <w:r w:rsidR="00CB0E3F">
        <w:t xml:space="preserve"> study period was held from 9 to 18 May 2023, in Bangalore, India, at the kind invitation </w:t>
      </w:r>
      <w:r>
        <w:t xml:space="preserve">of the </w:t>
      </w:r>
      <w:r w:rsidR="00CB0E3F">
        <w:t>Ministry of Communications, Government of India and co-hosted by Indian Institute of Science.</w:t>
      </w:r>
      <w:r w:rsidR="00CB1FFE">
        <w:t xml:space="preserve"> The SG9 meeting was chaired by Mr Satoshi Miyaji (KDDI, Japan), assisted by Mr Stefano Polidori (TSB Counsellor).</w:t>
      </w:r>
      <w:r w:rsidR="00CB0E3F">
        <w:t xml:space="preserve"> </w:t>
      </w:r>
      <w:r w:rsidR="00A87137">
        <w:t>This was the first physical meeting of SG9 after the COVID-19 pandemic</w:t>
      </w:r>
      <w:r w:rsidR="00CB1FFE">
        <w:t xml:space="preserve">, and </w:t>
      </w:r>
      <w:r>
        <w:t xml:space="preserve">was addressed at the opening Plenary by </w:t>
      </w:r>
      <w:r w:rsidR="0029241C">
        <w:t xml:space="preserve">dignitaries from the host, </w:t>
      </w:r>
      <w:r w:rsidR="00C01B97">
        <w:t>Professor</w:t>
      </w:r>
      <w:r w:rsidR="0029241C">
        <w:t xml:space="preserve"> </w:t>
      </w:r>
      <w:r w:rsidR="009C1705">
        <w:t>Rajesh S</w:t>
      </w:r>
      <w:r w:rsidR="00C01B97">
        <w:t>u</w:t>
      </w:r>
      <w:r w:rsidR="009C1705">
        <w:t>nd</w:t>
      </w:r>
      <w:r w:rsidR="00C01B97">
        <w:t>are</w:t>
      </w:r>
      <w:r w:rsidR="009C1705">
        <w:t>s</w:t>
      </w:r>
      <w:r w:rsidR="00C01B97">
        <w:t>a</w:t>
      </w:r>
      <w:r w:rsidR="009C1705">
        <w:t xml:space="preserve">n, </w:t>
      </w:r>
      <w:r w:rsidR="00C01B97">
        <w:t xml:space="preserve">Dean, </w:t>
      </w:r>
      <w:r w:rsidR="00406DBF">
        <w:t>Electrical, Electronics and Computer Sciences, Indian Institute of Science</w:t>
      </w:r>
      <w:r w:rsidR="000E6FB5">
        <w:t xml:space="preserve"> and Mr Avinash Agarwal, </w:t>
      </w:r>
      <w:r w:rsidR="00EE2B91">
        <w:t>Deputy Director General, Telecommunication Engineering Centre, Ministry of Communications, Government of India</w:t>
      </w:r>
      <w:r w:rsidR="009D0DA8">
        <w:t xml:space="preserve"> (see Figure 1)</w:t>
      </w:r>
      <w:r w:rsidR="000332F1">
        <w:t xml:space="preserve">. </w:t>
      </w:r>
    </w:p>
    <w:p w14:paraId="41BE1D3E" w14:textId="0F3C0379" w:rsidR="00CB0E3F" w:rsidRDefault="000332F1" w:rsidP="002D408A">
      <w:r>
        <w:t xml:space="preserve">The meeting </w:t>
      </w:r>
      <w:r w:rsidR="00CB0E3F">
        <w:t xml:space="preserve">was </w:t>
      </w:r>
      <w:r w:rsidR="00CB0E3F" w:rsidRPr="007836C5">
        <w:t xml:space="preserve">attended by </w:t>
      </w:r>
      <w:r w:rsidR="00C77CEB" w:rsidRPr="007836C5">
        <w:rPr>
          <w:b/>
          <w:bCs/>
        </w:rPr>
        <w:t>6</w:t>
      </w:r>
      <w:r w:rsidR="007836C5" w:rsidRPr="007836C5">
        <w:rPr>
          <w:b/>
          <w:bCs/>
        </w:rPr>
        <w:t>9</w:t>
      </w:r>
      <w:r w:rsidR="00A87137" w:rsidRPr="007836C5">
        <w:t xml:space="preserve"> participants</w:t>
      </w:r>
      <w:r w:rsidR="00A87137">
        <w:t xml:space="preserve"> from </w:t>
      </w:r>
      <w:r w:rsidR="007836C5" w:rsidRPr="007836C5">
        <w:rPr>
          <w:b/>
          <w:bCs/>
        </w:rPr>
        <w:t>18</w:t>
      </w:r>
      <w:r w:rsidR="00A87137">
        <w:t xml:space="preserve"> countries</w:t>
      </w:r>
      <w:r w:rsidR="00CB1FFE">
        <w:t xml:space="preserve"> (including remote participation)</w:t>
      </w:r>
      <w:r>
        <w:t>, and t</w:t>
      </w:r>
      <w:r w:rsidR="003F224E">
        <w:t>he</w:t>
      </w:r>
      <w:r w:rsidR="00944AD2">
        <w:t xml:space="preserve"> meeting considered </w:t>
      </w:r>
      <w:r w:rsidR="00944AD2" w:rsidRPr="007836C5">
        <w:rPr>
          <w:b/>
          <w:bCs/>
        </w:rPr>
        <w:t>38</w:t>
      </w:r>
      <w:r w:rsidR="00944AD2">
        <w:t xml:space="preserve"> members </w:t>
      </w:r>
      <w:r w:rsidR="003F224E">
        <w:t>Contributions</w:t>
      </w:r>
      <w:r w:rsidR="00E60E9D">
        <w:t xml:space="preserve">. These </w:t>
      </w:r>
      <w:r w:rsidR="00944AD2">
        <w:t>numbers</w:t>
      </w:r>
      <w:r w:rsidR="003F224E">
        <w:t xml:space="preserve"> </w:t>
      </w:r>
      <w:r w:rsidR="00E60E9D">
        <w:t>indicate</w:t>
      </w:r>
      <w:r w:rsidR="003F224E">
        <w:t xml:space="preserve"> that the </w:t>
      </w:r>
      <w:r w:rsidR="00E3483E">
        <w:t>SG9</w:t>
      </w:r>
      <w:r w:rsidR="003F224E">
        <w:t xml:space="preserve"> momentum </w:t>
      </w:r>
      <w:r w:rsidR="006F4DB8">
        <w:t>is</w:t>
      </w:r>
      <w:r w:rsidR="003F224E">
        <w:t xml:space="preserve"> maintained after the increase</w:t>
      </w:r>
      <w:r w:rsidR="00944AD2">
        <w:t>d</w:t>
      </w:r>
      <w:r w:rsidR="003F224E">
        <w:t xml:space="preserve"> </w:t>
      </w:r>
      <w:r w:rsidR="00944AD2">
        <w:t xml:space="preserve">level of contributions and participation </w:t>
      </w:r>
      <w:r w:rsidR="00E3483E">
        <w:t>since</w:t>
      </w:r>
      <w:r w:rsidR="003F224E">
        <w:t xml:space="preserve"> the last study period</w:t>
      </w:r>
      <w:r w:rsidR="00A95F74">
        <w:t xml:space="preserve">, see </w:t>
      </w:r>
      <w:r w:rsidR="002D408A">
        <w:fldChar w:fldCharType="begin"/>
      </w:r>
      <w:r w:rsidR="002D408A">
        <w:instrText xml:space="preserve"> REF _Ref135748868 \h </w:instrText>
      </w:r>
      <w:r w:rsidR="002D408A">
        <w:fldChar w:fldCharType="separate"/>
      </w:r>
      <w:r w:rsidR="002A19D7">
        <w:t xml:space="preserve">Figure </w:t>
      </w:r>
      <w:r w:rsidR="002A19D7">
        <w:rPr>
          <w:noProof/>
        </w:rPr>
        <w:t>2</w:t>
      </w:r>
      <w:r w:rsidR="002D408A">
        <w:fldChar w:fldCharType="end"/>
      </w:r>
      <w:r w:rsidR="003F224E">
        <w:t>.</w:t>
      </w:r>
    </w:p>
    <w:p w14:paraId="52C7F6BE" w14:textId="77777777" w:rsidR="00301FCC" w:rsidRDefault="00301FCC" w:rsidP="002D408A"/>
    <w:p w14:paraId="72280482" w14:textId="77777777" w:rsidR="00902765" w:rsidRDefault="00902765" w:rsidP="00902765">
      <w:pPr>
        <w:jc w:val="center"/>
      </w:pPr>
      <w:r>
        <w:rPr>
          <w:noProof/>
        </w:rPr>
        <w:drawing>
          <wp:inline distT="0" distB="0" distL="0" distR="0" wp14:anchorId="70B63ED7" wp14:editId="16808348">
            <wp:extent cx="5144278" cy="219553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152154" cy="2198895"/>
                    </a:xfrm>
                    <a:prstGeom prst="rect">
                      <a:avLst/>
                    </a:prstGeom>
                    <a:ln>
                      <a:noFill/>
                    </a:ln>
                    <a:effectLst>
                      <a:softEdge rad="112500"/>
                    </a:effectLst>
                  </pic:spPr>
                </pic:pic>
              </a:graphicData>
            </a:graphic>
          </wp:inline>
        </w:drawing>
      </w:r>
    </w:p>
    <w:p w14:paraId="1E53065E" w14:textId="3DD86D71" w:rsidR="00902765" w:rsidRDefault="00902765" w:rsidP="00902765">
      <w:pPr>
        <w:pStyle w:val="FigureNotitle"/>
        <w:spacing w:before="120"/>
      </w:pPr>
      <w:r>
        <w:lastRenderedPageBreak/>
        <w:t xml:space="preserve">Figure </w:t>
      </w:r>
      <w:r>
        <w:fldChar w:fldCharType="begin"/>
      </w:r>
      <w:r>
        <w:instrText xml:space="preserve"> SEQ Figure \* ARABIC </w:instrText>
      </w:r>
      <w:r>
        <w:fldChar w:fldCharType="separate"/>
      </w:r>
      <w:r w:rsidR="002A19D7">
        <w:rPr>
          <w:noProof/>
        </w:rPr>
        <w:t>1</w:t>
      </w:r>
      <w:r>
        <w:fldChar w:fldCharType="end"/>
      </w:r>
      <w:r>
        <w:t>: Opening remarks by the dignitaries from India at SG9 opening Plenary</w:t>
      </w:r>
    </w:p>
    <w:p w14:paraId="274E68BE" w14:textId="7E581D76" w:rsidR="00A342DA" w:rsidRDefault="00A342DA" w:rsidP="00A342DA">
      <w:pPr>
        <w:jc w:val="center"/>
      </w:pPr>
    </w:p>
    <w:p w14:paraId="463044B7" w14:textId="69D2772A" w:rsidR="0040564E" w:rsidRDefault="0040564E" w:rsidP="0040564E">
      <w:pPr>
        <w:pStyle w:val="FigureNotitle"/>
        <w:spacing w:beforeLines="50" w:before="120"/>
      </w:pPr>
      <w:bookmarkStart w:id="13" w:name="_Ref135748868"/>
      <w:r>
        <w:rPr>
          <w:noProof/>
        </w:rPr>
        <w:drawing>
          <wp:inline distT="0" distB="0" distL="0" distR="0" wp14:anchorId="4A327BF8" wp14:editId="4C1CC4CC">
            <wp:extent cx="5090893" cy="2708910"/>
            <wp:effectExtent l="0" t="0" r="0" b="0"/>
            <wp:docPr id="71" name="Picture 71" descr="A picture containing text, screenshot, number,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 screenshot, number, plot&#10;&#10;Description automatically generated"/>
                    <pic:cNvPicPr/>
                  </pic:nvPicPr>
                  <pic:blipFill>
                    <a:blip r:embed="rId16"/>
                    <a:stretch>
                      <a:fillRect/>
                    </a:stretch>
                  </pic:blipFill>
                  <pic:spPr>
                    <a:xfrm>
                      <a:off x="0" y="0"/>
                      <a:ext cx="5104635" cy="2716222"/>
                    </a:xfrm>
                    <a:prstGeom prst="rect">
                      <a:avLst/>
                    </a:prstGeom>
                  </pic:spPr>
                </pic:pic>
              </a:graphicData>
            </a:graphic>
          </wp:inline>
        </w:drawing>
      </w:r>
    </w:p>
    <w:p w14:paraId="06151672" w14:textId="2E31C3C6" w:rsidR="00A342DA" w:rsidRDefault="00A342DA" w:rsidP="002A19D7">
      <w:pPr>
        <w:pStyle w:val="FigureNotitle"/>
        <w:spacing w:beforeLines="50" w:before="120"/>
      </w:pPr>
      <w:r>
        <w:t xml:space="preserve">Figure </w:t>
      </w:r>
      <w:r>
        <w:fldChar w:fldCharType="begin"/>
      </w:r>
      <w:r>
        <w:instrText xml:space="preserve"> SEQ Figure \* ARABIC </w:instrText>
      </w:r>
      <w:r>
        <w:fldChar w:fldCharType="separate"/>
      </w:r>
      <w:r w:rsidR="002A19D7">
        <w:rPr>
          <w:noProof/>
        </w:rPr>
        <w:t>2</w:t>
      </w:r>
      <w:r>
        <w:fldChar w:fldCharType="end"/>
      </w:r>
      <w:bookmarkEnd w:id="13"/>
      <w:r>
        <w:t>: Number of participants and contributions</w:t>
      </w:r>
    </w:p>
    <w:p w14:paraId="0ACEF6D1" w14:textId="77777777" w:rsidR="0013260E" w:rsidRDefault="0013260E" w:rsidP="002D408A"/>
    <w:p w14:paraId="07A1FA0D" w14:textId="4AB4212C" w:rsidR="009D0DA8" w:rsidRDefault="00952159" w:rsidP="002D408A">
      <w:r>
        <w:rPr>
          <w:rFonts w:hint="eastAsia"/>
        </w:rPr>
        <w:t>C</w:t>
      </w:r>
      <w:r>
        <w:t>o-located with SG9, ITU hosted a workshop on “</w:t>
      </w:r>
      <w:r w:rsidRPr="00CB30C2">
        <w:rPr>
          <w:i/>
          <w:iCs/>
        </w:rPr>
        <w:t>The future of Television for South Asia, Arab and Africa regions</w:t>
      </w:r>
      <w:r>
        <w:t xml:space="preserve">” </w:t>
      </w:r>
      <w:r w:rsidR="00C877CE">
        <w:t>on 11 May 2023, organized by TSB jointly with BR and BDT</w:t>
      </w:r>
      <w:r w:rsidR="009D0DA8">
        <w:t>, with participation of representatives from ITU-T SG9 and SG16, ITU-R SG6 and ITU-D Q2/1</w:t>
      </w:r>
      <w:r w:rsidR="00C877CE">
        <w:t xml:space="preserve">. </w:t>
      </w:r>
      <w:r w:rsidR="009D0DA8">
        <w:t xml:space="preserve">Mr Seizo </w:t>
      </w:r>
      <w:r w:rsidR="00F1354C">
        <w:t>Onoe, the TSB</w:t>
      </w:r>
      <w:r w:rsidR="009D0DA8" w:rsidRPr="009D0DA8">
        <w:t xml:space="preserve"> </w:t>
      </w:r>
      <w:r w:rsidR="009D0DA8">
        <w:t>Director</w:t>
      </w:r>
      <w:r w:rsidR="00F1354C">
        <w:t xml:space="preserve">, physically attended the workshop and </w:t>
      </w:r>
      <w:r w:rsidR="009D0DA8">
        <w:t>provided a</w:t>
      </w:r>
      <w:r w:rsidR="00F1354C">
        <w:t xml:space="preserve"> </w:t>
      </w:r>
      <w:r w:rsidR="009D0DA8">
        <w:t xml:space="preserve">welcome </w:t>
      </w:r>
      <w:r w:rsidR="00F1354C">
        <w:t xml:space="preserve">address </w:t>
      </w:r>
      <w:r w:rsidR="009D0DA8">
        <w:t xml:space="preserve">from the ITU, joined </w:t>
      </w:r>
      <w:r w:rsidR="00F1354C">
        <w:t>by the dignitaries from the host</w:t>
      </w:r>
      <w:r w:rsidR="005B635E">
        <w:t>s</w:t>
      </w:r>
      <w:r w:rsidR="00F1354C">
        <w:t xml:space="preserve">, </w:t>
      </w:r>
      <w:r w:rsidR="00710B60">
        <w:t xml:space="preserve">Mr Premjit </w:t>
      </w:r>
      <w:r w:rsidR="00997A94">
        <w:t xml:space="preserve">Lal, Deputy Director General, </w:t>
      </w:r>
      <w:r w:rsidR="00EC12F7">
        <w:t xml:space="preserve">Department of Telecommunications, </w:t>
      </w:r>
      <w:r w:rsidR="00F1354C">
        <w:t>Ministry of Communications</w:t>
      </w:r>
      <w:r w:rsidR="00EC12F7">
        <w:t>, Government</w:t>
      </w:r>
      <w:r w:rsidR="00F1354C">
        <w:t xml:space="preserve"> of India and </w:t>
      </w:r>
      <w:r w:rsidR="006F3471">
        <w:t>Professor Rajesh Sundaresan, Dean, Electrical, Electronics and Computer Sciences, Indian Institute of Science</w:t>
      </w:r>
      <w:r w:rsidR="009D0DA8">
        <w:t xml:space="preserve"> as well as Dr Satoshi Miyaji, SG9 Chairman</w:t>
      </w:r>
      <w:r w:rsidR="0003786B">
        <w:t xml:space="preserve"> (See Figure 4)</w:t>
      </w:r>
      <w:r w:rsidR="00F1354C">
        <w:t xml:space="preserve">. </w:t>
      </w:r>
      <w:r w:rsidR="00C877CE">
        <w:t xml:space="preserve">The workshop was attended </w:t>
      </w:r>
      <w:r w:rsidR="009D0DA8">
        <w:t xml:space="preserve">by </w:t>
      </w:r>
      <w:r w:rsidR="00C877CE">
        <w:t xml:space="preserve">more than 200 participants including </w:t>
      </w:r>
      <w:r w:rsidR="00E90808">
        <w:t>approximately</w:t>
      </w:r>
      <w:r w:rsidR="00C877CE">
        <w:t xml:space="preserve"> 140 physical attendees</w:t>
      </w:r>
      <w:r w:rsidR="0003786B">
        <w:t xml:space="preserve"> (see Figure 3)</w:t>
      </w:r>
      <w:r w:rsidR="00C877CE">
        <w:t>.</w:t>
      </w:r>
      <w:r w:rsidR="00F02073">
        <w:t xml:space="preserve"> </w:t>
      </w:r>
    </w:p>
    <w:p w14:paraId="40D22AC4" w14:textId="15A83385" w:rsidR="00C64995" w:rsidRDefault="009D0DA8" w:rsidP="002D408A">
      <w:r>
        <w:t>T</w:t>
      </w:r>
      <w:r w:rsidR="00F02073">
        <w:t xml:space="preserve">he presentations given at the workshop are </w:t>
      </w:r>
      <w:r>
        <w:t xml:space="preserve">made </w:t>
      </w:r>
      <w:r w:rsidR="00F02073">
        <w:t xml:space="preserve">available </w:t>
      </w:r>
      <w:r>
        <w:t xml:space="preserve">from </w:t>
      </w:r>
      <w:r w:rsidR="00F02073">
        <w:t>the programme website at</w:t>
      </w:r>
      <w:r w:rsidR="0003786B">
        <w:t>:</w:t>
      </w:r>
      <w:r w:rsidR="00F02073">
        <w:t xml:space="preserve"> </w:t>
      </w:r>
      <w:hyperlink r:id="rId17" w:history="1">
        <w:r w:rsidR="006914E6" w:rsidRPr="008225B5">
          <w:rPr>
            <w:rStyle w:val="Hyperlink"/>
          </w:rPr>
          <w:t>https://www.itu.int/en/ITU-T/Workshops-and-Seminars/2023/0511/Pages/programme.aspx</w:t>
        </w:r>
      </w:hyperlink>
      <w:r w:rsidR="00F02073">
        <w:t>.</w:t>
      </w:r>
    </w:p>
    <w:p w14:paraId="6A52DFD6" w14:textId="3E0B8A1F" w:rsidR="0006565E" w:rsidRDefault="005622C6" w:rsidP="0006565E">
      <w:pPr>
        <w:jc w:val="center"/>
      </w:pPr>
      <w:r>
        <w:rPr>
          <w:noProof/>
        </w:rPr>
        <w:drawing>
          <wp:inline distT="0" distB="0" distL="0" distR="0" wp14:anchorId="0A25A895" wp14:editId="43617351">
            <wp:extent cx="6115050" cy="30861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086100"/>
                    </a:xfrm>
                    <a:prstGeom prst="rect">
                      <a:avLst/>
                    </a:prstGeom>
                    <a:ln>
                      <a:noFill/>
                    </a:ln>
                    <a:effectLst>
                      <a:softEdge rad="112500"/>
                    </a:effectLst>
                  </pic:spPr>
                </pic:pic>
              </a:graphicData>
            </a:graphic>
          </wp:inline>
        </w:drawing>
      </w:r>
    </w:p>
    <w:p w14:paraId="08E752DB" w14:textId="113CFB0A" w:rsidR="007D525B" w:rsidRDefault="007D525B" w:rsidP="007D525B">
      <w:pPr>
        <w:pStyle w:val="FigureNotitle"/>
        <w:spacing w:before="0" w:after="0"/>
      </w:pPr>
      <w:r>
        <w:t xml:space="preserve">Figure </w:t>
      </w:r>
      <w:r>
        <w:fldChar w:fldCharType="begin"/>
      </w:r>
      <w:r>
        <w:instrText xml:space="preserve"> SEQ Figure \* ARABIC </w:instrText>
      </w:r>
      <w:r>
        <w:fldChar w:fldCharType="separate"/>
      </w:r>
      <w:r w:rsidR="002A19D7">
        <w:rPr>
          <w:noProof/>
        </w:rPr>
        <w:t>3</w:t>
      </w:r>
      <w:r>
        <w:fldChar w:fldCharType="end"/>
      </w:r>
      <w:r>
        <w:t>: Group photo in front of the statue of Tata</w:t>
      </w:r>
    </w:p>
    <w:p w14:paraId="6B6B880F" w14:textId="748E0280" w:rsidR="00ED3002" w:rsidRDefault="000E26CD" w:rsidP="00F1354C">
      <w:pPr>
        <w:jc w:val="center"/>
      </w:pPr>
      <w:r>
        <w:rPr>
          <w:noProof/>
        </w:rPr>
        <w:lastRenderedPageBreak/>
        <w:drawing>
          <wp:inline distT="0" distB="0" distL="0" distR="0" wp14:anchorId="27CDDA39" wp14:editId="40A5DC0D">
            <wp:extent cx="6115050" cy="27717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ln>
                      <a:noFill/>
                    </a:ln>
                    <a:effectLst>
                      <a:softEdge rad="112500"/>
                    </a:effectLst>
                  </pic:spPr>
                </pic:pic>
              </a:graphicData>
            </a:graphic>
          </wp:inline>
        </w:drawing>
      </w:r>
    </w:p>
    <w:p w14:paraId="3B4C6439" w14:textId="0952490B" w:rsidR="00ED3002" w:rsidRDefault="00FC443F" w:rsidP="00B20F2C">
      <w:pPr>
        <w:pStyle w:val="FigureNotitle"/>
        <w:spacing w:before="0"/>
      </w:pPr>
      <w:r>
        <w:t xml:space="preserve">Figure </w:t>
      </w:r>
      <w:r>
        <w:fldChar w:fldCharType="begin"/>
      </w:r>
      <w:r>
        <w:instrText xml:space="preserve"> SEQ Figure \* ARABIC </w:instrText>
      </w:r>
      <w:r>
        <w:fldChar w:fldCharType="separate"/>
      </w:r>
      <w:r w:rsidR="002A19D7">
        <w:rPr>
          <w:noProof/>
        </w:rPr>
        <w:t>4</w:t>
      </w:r>
      <w:r>
        <w:fldChar w:fldCharType="end"/>
      </w:r>
      <w:r>
        <w:t xml:space="preserve">: Opening address by </w:t>
      </w:r>
      <w:r w:rsidR="0003786B">
        <w:t>TSB</w:t>
      </w:r>
      <w:r>
        <w:t xml:space="preserve"> Director</w:t>
      </w:r>
    </w:p>
    <w:p w14:paraId="2D314063" w14:textId="55A31BF6" w:rsidR="00AD581A" w:rsidRPr="00952159" w:rsidRDefault="00AD581A" w:rsidP="00AD581A">
      <w:r>
        <w:t xml:space="preserve">In addition, a </w:t>
      </w:r>
      <w:r w:rsidR="0003786B">
        <w:t xml:space="preserve">virtual </w:t>
      </w:r>
      <w:r>
        <w:t xml:space="preserve">meeting of the Intersector Rapporteur Group on </w:t>
      </w:r>
      <w:r w:rsidR="008B03C0">
        <w:t>Audiovisual</w:t>
      </w:r>
      <w:r>
        <w:t xml:space="preserve"> </w:t>
      </w:r>
      <w:r w:rsidR="008B03C0">
        <w:t>Accessibility</w:t>
      </w:r>
      <w:r>
        <w:t xml:space="preserve"> (IRG-AVA)</w:t>
      </w:r>
      <w:r w:rsidR="0003786B">
        <w:t>, contributed by ITU-T SG9 and SG16, as well as ITU-R SG6,</w:t>
      </w:r>
      <w:r>
        <w:t xml:space="preserve"> was also organized</w:t>
      </w:r>
      <w:r w:rsidR="0003786B">
        <w:t xml:space="preserve"> during the SG9 meeting</w:t>
      </w:r>
      <w:r>
        <w:t xml:space="preserve"> on 10 May and was attended by 21 participants. IRG-AVA serves as a collaborative platform to progress the ongoing draft Recommendations</w:t>
      </w:r>
      <w:r w:rsidR="0003786B">
        <w:t xml:space="preserve"> </w:t>
      </w:r>
      <w:r>
        <w:t xml:space="preserve">and technical documents </w:t>
      </w:r>
      <w:r w:rsidR="0003786B">
        <w:t xml:space="preserve">in the three SGs concerned, and ITU-T SG9 contributes by discussing </w:t>
      </w:r>
      <w:r>
        <w:t>Question 11/9 “Accessibility to cable systems and services”</w:t>
      </w:r>
      <w:r w:rsidR="0003786B">
        <w:t xml:space="preserve"> related issues</w:t>
      </w:r>
      <w:r>
        <w:t>.</w:t>
      </w:r>
    </w:p>
    <w:p w14:paraId="1890B138" w14:textId="639993C8" w:rsidR="003F224E" w:rsidRDefault="002A4861" w:rsidP="003F224E">
      <w:r>
        <w:rPr>
          <w:rFonts w:hint="eastAsia"/>
        </w:rPr>
        <w:t>A</w:t>
      </w:r>
      <w:r>
        <w:t xml:space="preserve">t this meeting, SG9 has agreed </w:t>
      </w:r>
      <w:r w:rsidR="0003786B">
        <w:t xml:space="preserve">on a </w:t>
      </w:r>
      <w:r>
        <w:t xml:space="preserve">new appointment of WP2/9 vice-chair, Mr Yanbin </w:t>
      </w:r>
      <w:r w:rsidR="0003786B">
        <w:t xml:space="preserve">(Evan) </w:t>
      </w:r>
      <w:r>
        <w:t>Sun, Huawei, China, to replace</w:t>
      </w:r>
      <w:r w:rsidR="0003786B">
        <w:t xml:space="preserve"> his colleague,</w:t>
      </w:r>
      <w:r>
        <w:t xml:space="preserve"> Mr Eric Wang</w:t>
      </w:r>
      <w:r w:rsidR="0003786B">
        <w:t>,</w:t>
      </w:r>
      <w:r>
        <w:t xml:space="preserve"> who resigned from this position as found in </w:t>
      </w:r>
      <w:hyperlink r:id="rId20" w:history="1">
        <w:r w:rsidRPr="0003786B">
          <w:rPr>
            <w:rStyle w:val="Hyperlink"/>
          </w:rPr>
          <w:t>SG9-TD200</w:t>
        </w:r>
      </w:hyperlink>
      <w:r>
        <w:t xml:space="preserve">. SG9 also agreed </w:t>
      </w:r>
      <w:r w:rsidR="0003786B">
        <w:t xml:space="preserve">on a </w:t>
      </w:r>
      <w:r>
        <w:t xml:space="preserve">new appointment of Rapporteurs and the list of liaison representatives as found in </w:t>
      </w:r>
      <w:hyperlink r:id="rId21" w:history="1">
        <w:r w:rsidRPr="0003786B">
          <w:rPr>
            <w:rStyle w:val="Hyperlink"/>
          </w:rPr>
          <w:t>SG9-TD202</w:t>
        </w:r>
      </w:hyperlink>
      <w:r>
        <w:t xml:space="preserve"> and </w:t>
      </w:r>
      <w:hyperlink r:id="rId22" w:history="1">
        <w:r w:rsidRPr="0003786B">
          <w:rPr>
            <w:rStyle w:val="Hyperlink"/>
          </w:rPr>
          <w:t>SG9-TD203-R1</w:t>
        </w:r>
      </w:hyperlink>
      <w:r>
        <w:t>, respectively.</w:t>
      </w:r>
    </w:p>
    <w:p w14:paraId="27D9CC9B" w14:textId="7FB87C8C" w:rsidR="007A3A8E" w:rsidRDefault="006F4B0D" w:rsidP="006F4B0D">
      <w:pPr>
        <w:pStyle w:val="Heading1"/>
        <w:ind w:left="0" w:firstLine="0"/>
        <w:rPr>
          <w:lang w:eastAsia="ja-JP"/>
        </w:rPr>
      </w:pPr>
      <w:r>
        <w:rPr>
          <w:lang w:eastAsia="ja-JP"/>
        </w:rPr>
        <w:t>2.</w:t>
      </w:r>
      <w:r>
        <w:rPr>
          <w:lang w:eastAsia="ja-JP"/>
        </w:rPr>
        <w:tab/>
      </w:r>
      <w:r w:rsidR="00ED3002">
        <w:rPr>
          <w:lang w:eastAsia="ja-JP"/>
        </w:rPr>
        <w:t>Summary of activities</w:t>
      </w:r>
    </w:p>
    <w:p w14:paraId="6601E15C" w14:textId="2707C10F" w:rsidR="00ED3002" w:rsidRDefault="00095445" w:rsidP="00095445">
      <w:pPr>
        <w:pStyle w:val="Heading2"/>
        <w:rPr>
          <w:lang w:eastAsia="ja-JP"/>
        </w:rPr>
      </w:pPr>
      <w:r>
        <w:rPr>
          <w:rFonts w:hint="eastAsia"/>
          <w:lang w:eastAsia="ja-JP"/>
        </w:rPr>
        <w:t>2</w:t>
      </w:r>
      <w:r>
        <w:rPr>
          <w:lang w:eastAsia="ja-JP"/>
        </w:rPr>
        <w:t>.1</w:t>
      </w:r>
      <w:r>
        <w:rPr>
          <w:lang w:eastAsia="ja-JP"/>
        </w:rPr>
        <w:tab/>
        <w:t>Overview</w:t>
      </w:r>
    </w:p>
    <w:p w14:paraId="43A1D4A9" w14:textId="2DF0C707" w:rsidR="00095445" w:rsidRPr="00095445" w:rsidRDefault="00AB2ECE" w:rsidP="00095445">
      <w:r>
        <w:rPr>
          <w:rFonts w:hint="eastAsia"/>
        </w:rPr>
        <w:t>T</w:t>
      </w:r>
      <w:r>
        <w:t>he SG9 meeting in</w:t>
      </w:r>
      <w:r w:rsidR="0003786B">
        <w:t xml:space="preserve"> Bangalore,</w:t>
      </w:r>
      <w:r>
        <w:t xml:space="preserve"> May 2023</w:t>
      </w:r>
      <w:r w:rsidR="0003786B">
        <w:t>,</w:t>
      </w:r>
      <w:r>
        <w:t xml:space="preserve"> received thirty-eight (38) contributions, and a total of ten (10) draft Recommendations were finalized for AAP consent and </w:t>
      </w:r>
      <w:r w:rsidR="0003786B">
        <w:t xml:space="preserve">two additional deliverables (one Supplement and one Technical Report) were </w:t>
      </w:r>
      <w:r>
        <w:t>agree</w:t>
      </w:r>
      <w:r w:rsidR="0003786B">
        <w:t>d,</w:t>
      </w:r>
      <w:r>
        <w:t xml:space="preserve"> </w:t>
      </w:r>
      <w:r w:rsidR="00F42657">
        <w:t>as listed in the following tables.</w:t>
      </w:r>
    </w:p>
    <w:p w14:paraId="76485B31" w14:textId="48978413" w:rsidR="00732298" w:rsidRPr="00B56BCB" w:rsidRDefault="00D774C3" w:rsidP="00D774C3">
      <w:pPr>
        <w:pStyle w:val="TableNotitle"/>
      </w:pPr>
      <w:r>
        <w:t xml:space="preserve">Table </w:t>
      </w:r>
      <w:r>
        <w:fldChar w:fldCharType="begin"/>
      </w:r>
      <w:r>
        <w:instrText xml:space="preserve"> SEQ Table \* ARABIC </w:instrText>
      </w:r>
      <w:r>
        <w:fldChar w:fldCharType="separate"/>
      </w:r>
      <w:r w:rsidR="002A19D7">
        <w:rPr>
          <w:noProof/>
        </w:rPr>
        <w:t>1</w:t>
      </w:r>
      <w:r>
        <w:fldChar w:fldCharType="end"/>
      </w:r>
      <w:r>
        <w:t xml:space="preserve">: </w:t>
      </w:r>
      <w:r w:rsidRPr="00D774C3">
        <w:t>Draft Recommendations Consent</w:t>
      </w:r>
      <w:r w:rsidR="00346738">
        <w:t>ed (May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1"/>
        <w:gridCol w:w="1041"/>
        <w:gridCol w:w="1376"/>
        <w:gridCol w:w="821"/>
        <w:gridCol w:w="3730"/>
        <w:gridCol w:w="865"/>
        <w:gridCol w:w="865"/>
      </w:tblGrid>
      <w:tr w:rsidR="00E569BF" w:rsidRPr="00D8241C" w14:paraId="69B1F120" w14:textId="77777777" w:rsidTr="00367155">
        <w:tc>
          <w:tcPr>
            <w:tcW w:w="0" w:type="auto"/>
            <w:shd w:val="clear" w:color="auto" w:fill="DEEAF6" w:themeFill="accent1" w:themeFillTint="33"/>
          </w:tcPr>
          <w:p w14:paraId="46BACC8E"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Question</w:t>
            </w:r>
          </w:p>
        </w:tc>
        <w:tc>
          <w:tcPr>
            <w:tcW w:w="0" w:type="auto"/>
            <w:shd w:val="clear" w:color="auto" w:fill="DEEAF6" w:themeFill="accent1" w:themeFillTint="33"/>
          </w:tcPr>
          <w:p w14:paraId="07462C32"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AAP/TAP</w:t>
            </w:r>
          </w:p>
        </w:tc>
        <w:tc>
          <w:tcPr>
            <w:tcW w:w="1376" w:type="dxa"/>
            <w:shd w:val="clear" w:color="auto" w:fill="DEEAF6" w:themeFill="accent1" w:themeFillTint="33"/>
            <w:hideMark/>
          </w:tcPr>
          <w:p w14:paraId="2A1A397B"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Rec</w:t>
            </w:r>
          </w:p>
        </w:tc>
        <w:tc>
          <w:tcPr>
            <w:tcW w:w="821" w:type="dxa"/>
            <w:shd w:val="clear" w:color="auto" w:fill="DEEAF6" w:themeFill="accent1" w:themeFillTint="33"/>
            <w:hideMark/>
          </w:tcPr>
          <w:p w14:paraId="4B1BE9D1"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Version</w:t>
            </w:r>
          </w:p>
        </w:tc>
        <w:tc>
          <w:tcPr>
            <w:tcW w:w="0" w:type="auto"/>
            <w:shd w:val="clear" w:color="auto" w:fill="DEEAF6" w:themeFill="accent1" w:themeFillTint="33"/>
            <w:hideMark/>
          </w:tcPr>
          <w:p w14:paraId="08E5D15E"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Title</w:t>
            </w:r>
          </w:p>
        </w:tc>
        <w:tc>
          <w:tcPr>
            <w:tcW w:w="0" w:type="auto"/>
            <w:shd w:val="clear" w:color="auto" w:fill="DEEAF6" w:themeFill="accent1" w:themeFillTint="33"/>
            <w:hideMark/>
          </w:tcPr>
          <w:p w14:paraId="739DBFD6"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Latest TD</w:t>
            </w:r>
          </w:p>
        </w:tc>
        <w:tc>
          <w:tcPr>
            <w:tcW w:w="0" w:type="auto"/>
            <w:shd w:val="clear" w:color="auto" w:fill="DEEAF6" w:themeFill="accent1" w:themeFillTint="33"/>
          </w:tcPr>
          <w:p w14:paraId="05D579E5" w14:textId="77777777" w:rsidR="00E569BF" w:rsidRPr="00D8241C" w:rsidRDefault="00E569BF" w:rsidP="00523FF1">
            <w:pPr>
              <w:spacing w:before="0"/>
              <w:ind w:left="57"/>
              <w:jc w:val="center"/>
              <w:rPr>
                <w:rFonts w:eastAsia="Times New Roman"/>
                <w:b/>
                <w:bCs/>
                <w:sz w:val="22"/>
                <w:szCs w:val="22"/>
              </w:rPr>
            </w:pPr>
            <w:r w:rsidRPr="00D8241C">
              <w:rPr>
                <w:b/>
                <w:bCs/>
                <w:sz w:val="22"/>
                <w:szCs w:val="22"/>
              </w:rPr>
              <w:t xml:space="preserve">A.5 </w:t>
            </w:r>
            <w:r w:rsidRPr="00D8241C">
              <w:rPr>
                <w:b/>
                <w:bCs/>
                <w:sz w:val="22"/>
                <w:szCs w:val="22"/>
              </w:rPr>
              <w:br/>
              <w:t>just.</w:t>
            </w:r>
          </w:p>
        </w:tc>
      </w:tr>
      <w:tr w:rsidR="00E569BF" w:rsidRPr="00D8241C" w14:paraId="39B5BC04" w14:textId="77777777" w:rsidTr="00367155">
        <w:tc>
          <w:tcPr>
            <w:tcW w:w="0" w:type="auto"/>
            <w:shd w:val="clear" w:color="auto" w:fill="auto"/>
          </w:tcPr>
          <w:p w14:paraId="6A7C3589"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Q1/9</w:t>
            </w:r>
            <w:r w:rsidRPr="00D8241C">
              <w:rPr>
                <w:rFonts w:eastAsia="Times New Roman"/>
                <w:sz w:val="22"/>
                <w:szCs w:val="22"/>
              </w:rPr>
              <w:br/>
              <w:t>Q7/9</w:t>
            </w:r>
          </w:p>
        </w:tc>
        <w:tc>
          <w:tcPr>
            <w:tcW w:w="0" w:type="auto"/>
            <w:shd w:val="clear" w:color="auto" w:fill="auto"/>
          </w:tcPr>
          <w:p w14:paraId="3A1EAB9A"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45A9FCD3"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ITU-T J.224 (Rev)</w:t>
            </w:r>
          </w:p>
        </w:tc>
        <w:tc>
          <w:tcPr>
            <w:tcW w:w="821" w:type="dxa"/>
            <w:shd w:val="clear" w:color="auto" w:fill="auto"/>
          </w:tcPr>
          <w:p w14:paraId="2555083D"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rPr>
              <w:t>Rev</w:t>
            </w:r>
          </w:p>
        </w:tc>
        <w:tc>
          <w:tcPr>
            <w:tcW w:w="0" w:type="auto"/>
            <w:shd w:val="clear" w:color="auto" w:fill="auto"/>
          </w:tcPr>
          <w:p w14:paraId="4A29E0FB" w14:textId="77777777" w:rsidR="00E569BF" w:rsidRPr="00D8241C" w:rsidRDefault="00E569BF" w:rsidP="00706CD6">
            <w:pPr>
              <w:spacing w:before="0"/>
              <w:ind w:left="57"/>
              <w:rPr>
                <w:sz w:val="22"/>
                <w:szCs w:val="22"/>
              </w:rPr>
            </w:pPr>
            <w:r w:rsidRPr="00D8241C">
              <w:rPr>
                <w:sz w:val="22"/>
                <w:szCs w:val="22"/>
              </w:rPr>
              <w:t>Fifth-generation transmission systems for interactive cable television services - IP cable modems</w:t>
            </w:r>
          </w:p>
        </w:tc>
        <w:tc>
          <w:tcPr>
            <w:tcW w:w="0" w:type="auto"/>
            <w:shd w:val="clear" w:color="auto" w:fill="auto"/>
          </w:tcPr>
          <w:p w14:paraId="43A8C856" w14:textId="32F50053" w:rsidR="00E569BF" w:rsidRPr="00D8241C" w:rsidRDefault="00463B2E" w:rsidP="00706CD6">
            <w:pPr>
              <w:spacing w:before="0"/>
              <w:ind w:left="57"/>
              <w:rPr>
                <w:sz w:val="22"/>
                <w:szCs w:val="22"/>
              </w:rPr>
            </w:pPr>
            <w:hyperlink r:id="rId23" w:history="1">
              <w:r w:rsidR="00E569BF" w:rsidRPr="00D8241C">
                <w:rPr>
                  <w:rStyle w:val="Hyperlink"/>
                  <w:sz w:val="22"/>
                  <w:szCs w:val="22"/>
                </w:rPr>
                <w:t>TD338</w:t>
              </w:r>
            </w:hyperlink>
          </w:p>
        </w:tc>
        <w:tc>
          <w:tcPr>
            <w:tcW w:w="0" w:type="auto"/>
            <w:shd w:val="clear" w:color="auto" w:fill="auto"/>
          </w:tcPr>
          <w:p w14:paraId="3D1A6C33" w14:textId="7C1A4CE9" w:rsidR="00E569BF" w:rsidRPr="00D8241C" w:rsidRDefault="00463B2E" w:rsidP="00706CD6">
            <w:pPr>
              <w:spacing w:before="0"/>
              <w:ind w:left="57"/>
              <w:rPr>
                <w:rFonts w:eastAsia="Times New Roman"/>
                <w:sz w:val="22"/>
                <w:szCs w:val="22"/>
              </w:rPr>
            </w:pPr>
            <w:hyperlink r:id="rId24" w:history="1">
              <w:r w:rsidR="00E569BF" w:rsidRPr="00D8241C">
                <w:rPr>
                  <w:rStyle w:val="Hyperlink"/>
                  <w:rFonts w:eastAsia="Times New Roman"/>
                  <w:sz w:val="22"/>
                  <w:szCs w:val="22"/>
                  <w:lang w:val="en-US"/>
                </w:rPr>
                <w:t>TD368</w:t>
              </w:r>
            </w:hyperlink>
          </w:p>
        </w:tc>
      </w:tr>
      <w:tr w:rsidR="00E569BF" w:rsidRPr="00D8241C" w14:paraId="533E2019" w14:textId="77777777" w:rsidTr="00367155">
        <w:tc>
          <w:tcPr>
            <w:tcW w:w="0" w:type="auto"/>
            <w:shd w:val="clear" w:color="auto" w:fill="auto"/>
          </w:tcPr>
          <w:p w14:paraId="0BFAB6FB"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Q1/9</w:t>
            </w:r>
            <w:r w:rsidRPr="00D8241C">
              <w:rPr>
                <w:rFonts w:eastAsia="Times New Roman"/>
                <w:sz w:val="22"/>
                <w:szCs w:val="22"/>
              </w:rPr>
              <w:br/>
              <w:t>Q7/9</w:t>
            </w:r>
          </w:p>
        </w:tc>
        <w:tc>
          <w:tcPr>
            <w:tcW w:w="0" w:type="auto"/>
            <w:shd w:val="clear" w:color="auto" w:fill="auto"/>
          </w:tcPr>
          <w:p w14:paraId="2C4A6046"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3C5C33E6"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ITU-T J.225 (Rev)</w:t>
            </w:r>
          </w:p>
        </w:tc>
        <w:tc>
          <w:tcPr>
            <w:tcW w:w="821" w:type="dxa"/>
            <w:shd w:val="clear" w:color="auto" w:fill="auto"/>
          </w:tcPr>
          <w:p w14:paraId="383FC98F"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rPr>
              <w:t>Rev</w:t>
            </w:r>
          </w:p>
        </w:tc>
        <w:tc>
          <w:tcPr>
            <w:tcW w:w="0" w:type="auto"/>
            <w:shd w:val="clear" w:color="auto" w:fill="auto"/>
          </w:tcPr>
          <w:p w14:paraId="022445F9" w14:textId="77777777" w:rsidR="00E569BF" w:rsidRPr="00D8241C" w:rsidRDefault="00E569BF" w:rsidP="00706CD6">
            <w:pPr>
              <w:spacing w:before="0"/>
              <w:ind w:left="57"/>
              <w:rPr>
                <w:sz w:val="22"/>
                <w:szCs w:val="22"/>
              </w:rPr>
            </w:pPr>
            <w:r w:rsidRPr="00D8241C">
              <w:rPr>
                <w:sz w:val="22"/>
                <w:szCs w:val="22"/>
              </w:rPr>
              <w:t>Fourth-generation transmission systems for interactive cable television services - IP cable modems</w:t>
            </w:r>
          </w:p>
        </w:tc>
        <w:tc>
          <w:tcPr>
            <w:tcW w:w="0" w:type="auto"/>
            <w:shd w:val="clear" w:color="auto" w:fill="auto"/>
          </w:tcPr>
          <w:p w14:paraId="449D1ED3" w14:textId="49DDB96C" w:rsidR="00E569BF" w:rsidRPr="00D8241C" w:rsidRDefault="00463B2E" w:rsidP="00706CD6">
            <w:pPr>
              <w:spacing w:before="0"/>
              <w:ind w:left="57"/>
              <w:rPr>
                <w:sz w:val="22"/>
                <w:szCs w:val="22"/>
              </w:rPr>
            </w:pPr>
            <w:hyperlink r:id="rId25" w:history="1">
              <w:r w:rsidR="00E569BF" w:rsidRPr="00D8241C">
                <w:rPr>
                  <w:rStyle w:val="Hyperlink"/>
                  <w:sz w:val="22"/>
                  <w:szCs w:val="22"/>
                </w:rPr>
                <w:t>TD339</w:t>
              </w:r>
            </w:hyperlink>
          </w:p>
        </w:tc>
        <w:tc>
          <w:tcPr>
            <w:tcW w:w="0" w:type="auto"/>
            <w:shd w:val="clear" w:color="auto" w:fill="auto"/>
          </w:tcPr>
          <w:p w14:paraId="5AB4556D" w14:textId="180581E8" w:rsidR="00E569BF" w:rsidRPr="00D8241C" w:rsidRDefault="00463B2E" w:rsidP="00706CD6">
            <w:pPr>
              <w:spacing w:before="0"/>
              <w:ind w:left="57"/>
              <w:rPr>
                <w:rFonts w:eastAsia="Times New Roman"/>
                <w:sz w:val="22"/>
                <w:szCs w:val="22"/>
              </w:rPr>
            </w:pPr>
            <w:hyperlink r:id="rId26" w:history="1">
              <w:r w:rsidR="00E569BF" w:rsidRPr="00FD3696">
                <w:rPr>
                  <w:rStyle w:val="Hyperlink"/>
                  <w:rFonts w:eastAsia="Times New Roman"/>
                  <w:sz w:val="22"/>
                  <w:szCs w:val="22"/>
                  <w:lang w:val="en-US"/>
                </w:rPr>
                <w:t>TD369</w:t>
              </w:r>
            </w:hyperlink>
          </w:p>
        </w:tc>
      </w:tr>
      <w:tr w:rsidR="00E569BF" w:rsidRPr="00D8241C" w14:paraId="5AA65E41" w14:textId="77777777" w:rsidTr="00367155">
        <w:tc>
          <w:tcPr>
            <w:tcW w:w="0" w:type="auto"/>
            <w:shd w:val="clear" w:color="auto" w:fill="auto"/>
          </w:tcPr>
          <w:p w14:paraId="11622F5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Q1/9</w:t>
            </w:r>
            <w:r w:rsidRPr="00D8241C">
              <w:rPr>
                <w:rFonts w:eastAsia="Times New Roman"/>
                <w:sz w:val="22"/>
                <w:szCs w:val="22"/>
              </w:rPr>
              <w:br/>
              <w:t>Q4/9</w:t>
            </w:r>
          </w:p>
        </w:tc>
        <w:tc>
          <w:tcPr>
            <w:tcW w:w="0" w:type="auto"/>
            <w:shd w:val="clear" w:color="auto" w:fill="auto"/>
          </w:tcPr>
          <w:p w14:paraId="7EBE97F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70D8882A"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 xml:space="preserve">ITU-T </w:t>
            </w:r>
            <w:r w:rsidRPr="00FD3696">
              <w:rPr>
                <w:bCs/>
                <w:sz w:val="22"/>
                <w:szCs w:val="22"/>
                <w:lang w:val="fr-CH"/>
              </w:rPr>
              <w:t>J.152 (ex</w:t>
            </w:r>
            <w:r w:rsidRPr="00FD3696">
              <w:rPr>
                <w:b/>
                <w:sz w:val="22"/>
                <w:szCs w:val="22"/>
                <w:lang w:val="fr-CH"/>
              </w:rPr>
              <w:t xml:space="preserve"> </w:t>
            </w:r>
            <w:r w:rsidRPr="00D8241C">
              <w:rPr>
                <w:rFonts w:eastAsia="Times New Roman"/>
                <w:sz w:val="22"/>
                <w:szCs w:val="22"/>
                <w:lang w:val="fr-FR"/>
              </w:rPr>
              <w:t>J.cable-5G-</w:t>
            </w:r>
            <w:r w:rsidRPr="00D8241C">
              <w:rPr>
                <w:sz w:val="22"/>
                <w:szCs w:val="22"/>
                <w:lang w:val="fr-FR"/>
              </w:rPr>
              <w:t>req)</w:t>
            </w:r>
          </w:p>
        </w:tc>
        <w:tc>
          <w:tcPr>
            <w:tcW w:w="821" w:type="dxa"/>
            <w:shd w:val="clear" w:color="auto" w:fill="auto"/>
          </w:tcPr>
          <w:p w14:paraId="3DEC9E55"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New</w:t>
            </w:r>
          </w:p>
        </w:tc>
        <w:tc>
          <w:tcPr>
            <w:tcW w:w="0" w:type="auto"/>
            <w:shd w:val="clear" w:color="auto" w:fill="auto"/>
          </w:tcPr>
          <w:p w14:paraId="3982EC16" w14:textId="77777777" w:rsidR="00E569BF" w:rsidRPr="00D8241C" w:rsidRDefault="00E569BF" w:rsidP="00706CD6">
            <w:pPr>
              <w:spacing w:before="0"/>
              <w:ind w:left="57"/>
              <w:rPr>
                <w:rFonts w:eastAsia="Times New Roman"/>
                <w:sz w:val="22"/>
                <w:szCs w:val="22"/>
              </w:rPr>
            </w:pPr>
            <w:r w:rsidRPr="00D8241C">
              <w:rPr>
                <w:sz w:val="22"/>
                <w:szCs w:val="22"/>
              </w:rPr>
              <w:t>Requirements for cable television services to use 5G radio system</w:t>
            </w:r>
          </w:p>
        </w:tc>
        <w:tc>
          <w:tcPr>
            <w:tcW w:w="0" w:type="auto"/>
            <w:shd w:val="clear" w:color="auto" w:fill="auto"/>
          </w:tcPr>
          <w:p w14:paraId="6EA7CD39" w14:textId="26554D1E" w:rsidR="00E569BF" w:rsidRPr="00D8241C" w:rsidRDefault="00463B2E" w:rsidP="00706CD6">
            <w:pPr>
              <w:spacing w:before="0"/>
              <w:ind w:left="57"/>
              <w:rPr>
                <w:sz w:val="22"/>
                <w:szCs w:val="22"/>
              </w:rPr>
            </w:pPr>
            <w:hyperlink r:id="rId27" w:history="1">
              <w:r w:rsidR="00E569BF" w:rsidRPr="00FD3696">
                <w:rPr>
                  <w:rStyle w:val="Hyperlink"/>
                  <w:sz w:val="22"/>
                  <w:szCs w:val="22"/>
                </w:rPr>
                <w:t>TD364</w:t>
              </w:r>
            </w:hyperlink>
            <w:r w:rsidR="00E569BF">
              <w:rPr>
                <w:rStyle w:val="Hyperlink"/>
                <w:sz w:val="22"/>
                <w:szCs w:val="22"/>
              </w:rPr>
              <w:t>-</w:t>
            </w:r>
            <w:r w:rsidR="00E569BF">
              <w:rPr>
                <w:rStyle w:val="Hyperlink"/>
              </w:rPr>
              <w:t>R1</w:t>
            </w:r>
          </w:p>
        </w:tc>
        <w:tc>
          <w:tcPr>
            <w:tcW w:w="0" w:type="auto"/>
            <w:shd w:val="clear" w:color="auto" w:fill="auto"/>
          </w:tcPr>
          <w:p w14:paraId="3678FD9E" w14:textId="317C3557" w:rsidR="00E569BF" w:rsidRPr="00D8241C" w:rsidRDefault="00463B2E" w:rsidP="00706CD6">
            <w:pPr>
              <w:spacing w:before="0"/>
              <w:ind w:left="57"/>
              <w:rPr>
                <w:rFonts w:eastAsia="Times New Roman"/>
                <w:sz w:val="22"/>
                <w:szCs w:val="22"/>
              </w:rPr>
            </w:pPr>
            <w:hyperlink r:id="rId28" w:history="1">
              <w:r w:rsidR="00E569BF" w:rsidRPr="00FD3696">
                <w:rPr>
                  <w:rStyle w:val="Hyperlink"/>
                  <w:sz w:val="22"/>
                  <w:szCs w:val="22"/>
                </w:rPr>
                <w:t>TD349</w:t>
              </w:r>
            </w:hyperlink>
          </w:p>
        </w:tc>
      </w:tr>
      <w:tr w:rsidR="00E569BF" w:rsidRPr="00D8241C" w14:paraId="7088634E" w14:textId="77777777" w:rsidTr="00367155">
        <w:tc>
          <w:tcPr>
            <w:tcW w:w="0" w:type="auto"/>
            <w:shd w:val="clear" w:color="auto" w:fill="auto"/>
          </w:tcPr>
          <w:p w14:paraId="3B7AC4DF"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Q2/9</w:t>
            </w:r>
          </w:p>
        </w:tc>
        <w:tc>
          <w:tcPr>
            <w:tcW w:w="0" w:type="auto"/>
            <w:shd w:val="clear" w:color="auto" w:fill="auto"/>
          </w:tcPr>
          <w:p w14:paraId="6FDF7002"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69D8E420"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 xml:space="preserve">ITU-T </w:t>
            </w:r>
            <w:r w:rsidRPr="00D8241C">
              <w:rPr>
                <w:sz w:val="22"/>
                <w:szCs w:val="22"/>
                <w:lang w:val="fr-FR"/>
              </w:rPr>
              <w:t xml:space="preserve">J.1036 (ex </w:t>
            </w:r>
            <w:r w:rsidRPr="00D8241C">
              <w:rPr>
                <w:rFonts w:eastAsia="Times New Roman"/>
                <w:sz w:val="22"/>
                <w:szCs w:val="22"/>
                <w:lang w:val="fr-FR"/>
              </w:rPr>
              <w:t>J.FSR-REQ)</w:t>
            </w:r>
          </w:p>
        </w:tc>
        <w:tc>
          <w:tcPr>
            <w:tcW w:w="821" w:type="dxa"/>
            <w:shd w:val="clear" w:color="auto" w:fill="auto"/>
          </w:tcPr>
          <w:p w14:paraId="40B492F1"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New</w:t>
            </w:r>
          </w:p>
        </w:tc>
        <w:tc>
          <w:tcPr>
            <w:tcW w:w="0" w:type="auto"/>
            <w:shd w:val="clear" w:color="auto" w:fill="auto"/>
          </w:tcPr>
          <w:p w14:paraId="6A75EFEE" w14:textId="77777777" w:rsidR="00E569BF" w:rsidRPr="00D8241C" w:rsidRDefault="00E569BF" w:rsidP="00706CD6">
            <w:pPr>
              <w:spacing w:before="0"/>
              <w:ind w:left="57"/>
              <w:rPr>
                <w:rFonts w:eastAsia="Times New Roman"/>
                <w:sz w:val="22"/>
                <w:szCs w:val="22"/>
              </w:rPr>
            </w:pPr>
            <w:r w:rsidRPr="00D8241C">
              <w:rPr>
                <w:sz w:val="22"/>
                <w:szCs w:val="22"/>
              </w:rPr>
              <w:t>Factual subscriber-base reporting and protected content delivery in conditional access system - Requirements</w:t>
            </w:r>
          </w:p>
        </w:tc>
        <w:tc>
          <w:tcPr>
            <w:tcW w:w="0" w:type="auto"/>
            <w:shd w:val="clear" w:color="auto" w:fill="auto"/>
          </w:tcPr>
          <w:p w14:paraId="49826922" w14:textId="0517225A" w:rsidR="00E569BF" w:rsidRPr="00D8241C" w:rsidRDefault="00463B2E" w:rsidP="00706CD6">
            <w:pPr>
              <w:spacing w:before="0"/>
              <w:ind w:left="57"/>
              <w:rPr>
                <w:sz w:val="22"/>
                <w:szCs w:val="22"/>
              </w:rPr>
            </w:pPr>
            <w:hyperlink r:id="rId29" w:history="1">
              <w:r w:rsidR="00E569BF" w:rsidRPr="00D8241C">
                <w:rPr>
                  <w:rStyle w:val="Hyperlink"/>
                  <w:sz w:val="22"/>
                  <w:szCs w:val="22"/>
                </w:rPr>
                <w:t>TD352</w:t>
              </w:r>
            </w:hyperlink>
          </w:p>
        </w:tc>
        <w:tc>
          <w:tcPr>
            <w:tcW w:w="0" w:type="auto"/>
            <w:shd w:val="clear" w:color="auto" w:fill="auto"/>
          </w:tcPr>
          <w:p w14:paraId="2B0817DE"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N/A</w:t>
            </w:r>
          </w:p>
        </w:tc>
      </w:tr>
      <w:tr w:rsidR="00E569BF" w:rsidRPr="00D8241C" w14:paraId="04957032" w14:textId="77777777" w:rsidTr="00367155">
        <w:tc>
          <w:tcPr>
            <w:tcW w:w="0" w:type="auto"/>
            <w:shd w:val="clear" w:color="auto" w:fill="auto"/>
          </w:tcPr>
          <w:p w14:paraId="3B56A85D"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lastRenderedPageBreak/>
              <w:t>Q6/9</w:t>
            </w:r>
          </w:p>
        </w:tc>
        <w:tc>
          <w:tcPr>
            <w:tcW w:w="0" w:type="auto"/>
            <w:shd w:val="clear" w:color="auto" w:fill="auto"/>
          </w:tcPr>
          <w:p w14:paraId="0685C989"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559146C3" w14:textId="77777777" w:rsidR="00E569BF" w:rsidRPr="00D8241C" w:rsidRDefault="00E569BF" w:rsidP="00706CD6">
            <w:pPr>
              <w:spacing w:before="0"/>
              <w:ind w:left="57"/>
              <w:rPr>
                <w:rFonts w:eastAsia="Times New Roman"/>
                <w:sz w:val="22"/>
                <w:szCs w:val="22"/>
              </w:rPr>
            </w:pPr>
            <w:r w:rsidRPr="00D8241C">
              <w:rPr>
                <w:sz w:val="22"/>
                <w:szCs w:val="22"/>
                <w:lang w:val="en-US"/>
              </w:rPr>
              <w:t>ITU-T J.299 (Rev)</w:t>
            </w:r>
          </w:p>
        </w:tc>
        <w:tc>
          <w:tcPr>
            <w:tcW w:w="821" w:type="dxa"/>
            <w:shd w:val="clear" w:color="auto" w:fill="auto"/>
          </w:tcPr>
          <w:p w14:paraId="4154974F"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Rev</w:t>
            </w:r>
          </w:p>
        </w:tc>
        <w:tc>
          <w:tcPr>
            <w:tcW w:w="0" w:type="auto"/>
            <w:shd w:val="clear" w:color="auto" w:fill="auto"/>
          </w:tcPr>
          <w:p w14:paraId="653D7DD3"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Functional requirements for remote management of cable set-top box by auto configuration server</w:t>
            </w:r>
          </w:p>
        </w:tc>
        <w:tc>
          <w:tcPr>
            <w:tcW w:w="0" w:type="auto"/>
            <w:shd w:val="clear" w:color="auto" w:fill="auto"/>
          </w:tcPr>
          <w:p w14:paraId="0310F67A" w14:textId="7C32BAB8" w:rsidR="00E569BF" w:rsidRPr="00D8241C" w:rsidRDefault="00463B2E" w:rsidP="00706CD6">
            <w:pPr>
              <w:spacing w:before="0"/>
              <w:ind w:left="57"/>
              <w:rPr>
                <w:sz w:val="22"/>
                <w:szCs w:val="22"/>
              </w:rPr>
            </w:pPr>
            <w:hyperlink r:id="rId30" w:tooltip="https://www.itu.int/md/meetingdoc.asp?lang=en&amp;parent=T22-SG09-230509-TD-GEN-0355" w:history="1">
              <w:r w:rsidR="00E569BF" w:rsidRPr="00D8241C">
                <w:rPr>
                  <w:rStyle w:val="Hyperlink"/>
                  <w:sz w:val="22"/>
                  <w:szCs w:val="22"/>
                </w:rPr>
                <w:t>TD355</w:t>
              </w:r>
            </w:hyperlink>
          </w:p>
        </w:tc>
        <w:tc>
          <w:tcPr>
            <w:tcW w:w="0" w:type="auto"/>
            <w:shd w:val="clear" w:color="auto" w:fill="auto"/>
          </w:tcPr>
          <w:p w14:paraId="3CCC4C3C" w14:textId="638D7EB5" w:rsidR="00E569BF" w:rsidRPr="00D8241C" w:rsidRDefault="00463B2E" w:rsidP="00706CD6">
            <w:pPr>
              <w:spacing w:before="0"/>
              <w:ind w:left="57"/>
              <w:rPr>
                <w:rFonts w:eastAsia="Times New Roman"/>
                <w:sz w:val="22"/>
                <w:szCs w:val="22"/>
              </w:rPr>
            </w:pPr>
            <w:hyperlink r:id="rId31" w:tooltip="https://www.itu.int/md/meetingdoc.asp?lang=en&amp;parent=T22-SG09-230509-TD-GEN-0348" w:history="1">
              <w:r w:rsidR="00E569BF" w:rsidRPr="00D8241C">
                <w:rPr>
                  <w:rStyle w:val="Hyperlink"/>
                  <w:sz w:val="22"/>
                  <w:szCs w:val="22"/>
                </w:rPr>
                <w:t>TD348</w:t>
              </w:r>
            </w:hyperlink>
            <w:r w:rsidR="00E569BF">
              <w:rPr>
                <w:rStyle w:val="Hyperlink"/>
                <w:sz w:val="22"/>
                <w:szCs w:val="22"/>
              </w:rPr>
              <w:t>-</w:t>
            </w:r>
            <w:r w:rsidR="00E569BF">
              <w:rPr>
                <w:rStyle w:val="Hyperlink"/>
              </w:rPr>
              <w:t>R1</w:t>
            </w:r>
          </w:p>
        </w:tc>
      </w:tr>
      <w:tr w:rsidR="00E569BF" w:rsidRPr="00D8241C" w14:paraId="14CD77D0" w14:textId="77777777" w:rsidTr="00367155">
        <w:tc>
          <w:tcPr>
            <w:tcW w:w="0" w:type="auto"/>
            <w:shd w:val="clear" w:color="auto" w:fill="auto"/>
          </w:tcPr>
          <w:p w14:paraId="73FDE2D6"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Q6/9</w:t>
            </w:r>
          </w:p>
        </w:tc>
        <w:tc>
          <w:tcPr>
            <w:tcW w:w="0" w:type="auto"/>
            <w:shd w:val="clear" w:color="auto" w:fill="auto"/>
          </w:tcPr>
          <w:p w14:paraId="6DF4202E"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4983690A" w14:textId="77777777" w:rsidR="00E569BF" w:rsidRPr="00D8241C" w:rsidRDefault="00E569BF" w:rsidP="00706CD6">
            <w:pPr>
              <w:spacing w:before="0"/>
              <w:ind w:left="57"/>
              <w:rPr>
                <w:sz w:val="22"/>
                <w:szCs w:val="22"/>
                <w:lang w:val="en-US"/>
              </w:rPr>
            </w:pPr>
            <w:r w:rsidRPr="00D8241C">
              <w:rPr>
                <w:sz w:val="22"/>
                <w:szCs w:val="22"/>
                <w:lang w:val="en-US"/>
              </w:rPr>
              <w:t>ITU-T J.1612 (Rev.)</w:t>
            </w:r>
          </w:p>
        </w:tc>
        <w:tc>
          <w:tcPr>
            <w:tcW w:w="821" w:type="dxa"/>
            <w:shd w:val="clear" w:color="auto" w:fill="auto"/>
          </w:tcPr>
          <w:p w14:paraId="516186DD"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R</w:t>
            </w:r>
            <w:r w:rsidRPr="00D8241C">
              <w:rPr>
                <w:sz w:val="22"/>
                <w:szCs w:val="22"/>
              </w:rPr>
              <w:t>ev</w:t>
            </w:r>
          </w:p>
        </w:tc>
        <w:tc>
          <w:tcPr>
            <w:tcW w:w="0" w:type="auto"/>
            <w:shd w:val="clear" w:color="auto" w:fill="auto"/>
          </w:tcPr>
          <w:p w14:paraId="257FAB2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The Architecture for Smart Home Gateway</w:t>
            </w:r>
          </w:p>
        </w:tc>
        <w:tc>
          <w:tcPr>
            <w:tcW w:w="0" w:type="auto"/>
            <w:shd w:val="clear" w:color="auto" w:fill="auto"/>
          </w:tcPr>
          <w:p w14:paraId="2DD582A2" w14:textId="07E10375" w:rsidR="00E569BF" w:rsidRPr="00D8241C" w:rsidRDefault="00463B2E" w:rsidP="00706CD6">
            <w:pPr>
              <w:spacing w:before="0"/>
              <w:ind w:left="57"/>
              <w:rPr>
                <w:sz w:val="22"/>
                <w:szCs w:val="22"/>
              </w:rPr>
            </w:pPr>
            <w:hyperlink r:id="rId32" w:tooltip="https://www.itu.int/md/T22-SG09-230509-TD-GEN-0357/en" w:history="1">
              <w:r w:rsidR="00E569BF" w:rsidRPr="00D8241C">
                <w:rPr>
                  <w:rStyle w:val="Hyperlink"/>
                  <w:sz w:val="22"/>
                  <w:szCs w:val="22"/>
                </w:rPr>
                <w:t>TD357</w:t>
              </w:r>
            </w:hyperlink>
          </w:p>
        </w:tc>
        <w:tc>
          <w:tcPr>
            <w:tcW w:w="0" w:type="auto"/>
            <w:shd w:val="clear" w:color="auto" w:fill="auto"/>
          </w:tcPr>
          <w:p w14:paraId="730152AC" w14:textId="5E4E50E1" w:rsidR="00E569BF" w:rsidRPr="00D8241C" w:rsidRDefault="00463B2E" w:rsidP="00706CD6">
            <w:pPr>
              <w:spacing w:before="0"/>
              <w:ind w:left="57"/>
              <w:rPr>
                <w:rFonts w:eastAsia="Times New Roman"/>
                <w:sz w:val="22"/>
                <w:szCs w:val="22"/>
              </w:rPr>
            </w:pPr>
            <w:hyperlink r:id="rId33" w:history="1">
              <w:r w:rsidR="00E569BF" w:rsidRPr="00D8241C">
                <w:rPr>
                  <w:rStyle w:val="Hyperlink"/>
                  <w:sz w:val="22"/>
                  <w:szCs w:val="22"/>
                </w:rPr>
                <w:t>TD378-R1</w:t>
              </w:r>
            </w:hyperlink>
          </w:p>
        </w:tc>
      </w:tr>
      <w:tr w:rsidR="00E569BF" w:rsidRPr="00D8241C" w14:paraId="452CEB28" w14:textId="77777777" w:rsidTr="00367155">
        <w:tc>
          <w:tcPr>
            <w:tcW w:w="0" w:type="auto"/>
            <w:shd w:val="clear" w:color="auto" w:fill="auto"/>
          </w:tcPr>
          <w:p w14:paraId="297A2C9F"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Q7/9</w:t>
            </w:r>
          </w:p>
        </w:tc>
        <w:tc>
          <w:tcPr>
            <w:tcW w:w="0" w:type="auto"/>
            <w:shd w:val="clear" w:color="auto" w:fill="auto"/>
          </w:tcPr>
          <w:p w14:paraId="4F0EA33B"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7F98F59B" w14:textId="77777777" w:rsidR="00E569BF" w:rsidRPr="00D8241C" w:rsidRDefault="00E569BF" w:rsidP="00706CD6">
            <w:pPr>
              <w:spacing w:before="0"/>
              <w:ind w:left="57"/>
              <w:rPr>
                <w:rFonts w:eastAsia="Times New Roman"/>
                <w:sz w:val="22"/>
                <w:szCs w:val="22"/>
                <w:lang w:val="fr-CH"/>
              </w:rPr>
            </w:pPr>
            <w:r w:rsidRPr="00D8241C">
              <w:rPr>
                <w:rFonts w:eastAsia="Times New Roman"/>
                <w:sz w:val="22"/>
                <w:szCs w:val="22"/>
                <w:lang w:val="fr-FR"/>
              </w:rPr>
              <w:t xml:space="preserve">ITU-T </w:t>
            </w:r>
            <w:r w:rsidRPr="00D8241C">
              <w:rPr>
                <w:sz w:val="22"/>
                <w:szCs w:val="22"/>
                <w:lang w:val="fr-FR"/>
              </w:rPr>
              <w:t>J.1112 (ex</w:t>
            </w:r>
            <w:r w:rsidRPr="00D8241C">
              <w:rPr>
                <w:b/>
                <w:bCs/>
                <w:sz w:val="22"/>
                <w:szCs w:val="22"/>
                <w:lang w:val="fr-FR"/>
              </w:rPr>
              <w:t xml:space="preserve"> </w:t>
            </w:r>
            <w:r w:rsidRPr="00D8241C">
              <w:rPr>
                <w:rFonts w:eastAsia="Times New Roman"/>
                <w:sz w:val="22"/>
                <w:szCs w:val="22"/>
                <w:lang w:val="fr-FR"/>
              </w:rPr>
              <w:t>J.FSPEC-DVCS)</w:t>
            </w:r>
          </w:p>
        </w:tc>
        <w:tc>
          <w:tcPr>
            <w:tcW w:w="821" w:type="dxa"/>
            <w:shd w:val="clear" w:color="auto" w:fill="auto"/>
          </w:tcPr>
          <w:p w14:paraId="2A13401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lang w:val="fr-FR"/>
              </w:rPr>
              <w:t>New</w:t>
            </w:r>
          </w:p>
        </w:tc>
        <w:tc>
          <w:tcPr>
            <w:tcW w:w="0" w:type="auto"/>
            <w:shd w:val="clear" w:color="auto" w:fill="auto"/>
          </w:tcPr>
          <w:p w14:paraId="3F8E3A60" w14:textId="7D81BC79" w:rsidR="00E569BF" w:rsidRPr="00D8241C" w:rsidRDefault="00E569BF" w:rsidP="00706CD6">
            <w:pPr>
              <w:spacing w:before="0"/>
              <w:ind w:left="57"/>
              <w:rPr>
                <w:rFonts w:eastAsia="Times New Roman"/>
                <w:sz w:val="22"/>
                <w:szCs w:val="22"/>
              </w:rPr>
            </w:pPr>
            <w:r w:rsidRPr="00D8241C">
              <w:rPr>
                <w:rFonts w:eastAsia="Times New Roman"/>
                <w:sz w:val="22"/>
                <w:szCs w:val="22"/>
              </w:rPr>
              <w:t xml:space="preserve">Functional </w:t>
            </w:r>
            <w:r w:rsidRPr="00D8241C">
              <w:rPr>
                <w:sz w:val="22"/>
                <w:szCs w:val="22"/>
              </w:rPr>
              <w:t xml:space="preserve">Requirements </w:t>
            </w:r>
            <w:r w:rsidRPr="00D8241C">
              <w:rPr>
                <w:rFonts w:eastAsia="Times New Roman"/>
                <w:sz w:val="22"/>
                <w:szCs w:val="22"/>
              </w:rPr>
              <w:t>for IP-based Digital Video Convergence Service</w:t>
            </w:r>
          </w:p>
        </w:tc>
        <w:tc>
          <w:tcPr>
            <w:tcW w:w="0" w:type="auto"/>
            <w:shd w:val="clear" w:color="auto" w:fill="auto"/>
          </w:tcPr>
          <w:p w14:paraId="4E62390F" w14:textId="4642BF71" w:rsidR="00E569BF" w:rsidRPr="00D8241C" w:rsidRDefault="00463B2E" w:rsidP="00706CD6">
            <w:pPr>
              <w:spacing w:before="0"/>
              <w:ind w:left="57"/>
              <w:rPr>
                <w:rFonts w:eastAsia="Times New Roman"/>
                <w:color w:val="000066"/>
                <w:sz w:val="22"/>
                <w:szCs w:val="22"/>
              </w:rPr>
            </w:pPr>
            <w:hyperlink r:id="rId34" w:tooltip="https://www.itu.int/md/T22-SG09-230509-TD-GEN-0357/en" w:history="1">
              <w:r w:rsidR="00E569BF" w:rsidRPr="00D8241C">
                <w:rPr>
                  <w:rStyle w:val="Hyperlink"/>
                  <w:sz w:val="22"/>
                  <w:szCs w:val="22"/>
                </w:rPr>
                <w:t>TD370</w:t>
              </w:r>
            </w:hyperlink>
          </w:p>
        </w:tc>
        <w:tc>
          <w:tcPr>
            <w:tcW w:w="0" w:type="auto"/>
            <w:shd w:val="clear" w:color="auto" w:fill="auto"/>
          </w:tcPr>
          <w:p w14:paraId="2933D987"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N/A</w:t>
            </w:r>
          </w:p>
        </w:tc>
      </w:tr>
      <w:tr w:rsidR="00E569BF" w:rsidRPr="00D8241C" w14:paraId="0EA43804" w14:textId="77777777" w:rsidTr="00367155">
        <w:tc>
          <w:tcPr>
            <w:tcW w:w="0" w:type="auto"/>
            <w:shd w:val="clear" w:color="auto" w:fill="auto"/>
          </w:tcPr>
          <w:p w14:paraId="67463293"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Q8/9</w:t>
            </w:r>
          </w:p>
        </w:tc>
        <w:tc>
          <w:tcPr>
            <w:tcW w:w="0" w:type="auto"/>
            <w:shd w:val="clear" w:color="auto" w:fill="auto"/>
          </w:tcPr>
          <w:p w14:paraId="0B0F1177"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5C1DB076"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ITU-T</w:t>
            </w:r>
            <w:r w:rsidRPr="00FD3696">
              <w:rPr>
                <w:sz w:val="22"/>
                <w:szCs w:val="22"/>
                <w:lang w:val="fr-FR"/>
              </w:rPr>
              <w:t xml:space="preserve"> J.1305 </w:t>
            </w:r>
            <w:r w:rsidRPr="00FD3696">
              <w:rPr>
                <w:sz w:val="22"/>
                <w:szCs w:val="22"/>
                <w:lang w:val="fr-FR"/>
              </w:rPr>
              <w:br/>
              <w:t>(ex</w:t>
            </w:r>
            <w:r w:rsidRPr="00D8241C">
              <w:rPr>
                <w:rFonts w:eastAsia="Times New Roman"/>
                <w:sz w:val="22"/>
                <w:szCs w:val="22"/>
                <w:lang w:val="fr-FR"/>
              </w:rPr>
              <w:t xml:space="preserve"> J.mma-req)</w:t>
            </w:r>
          </w:p>
        </w:tc>
        <w:tc>
          <w:tcPr>
            <w:tcW w:w="821" w:type="dxa"/>
            <w:shd w:val="clear" w:color="auto" w:fill="auto"/>
          </w:tcPr>
          <w:p w14:paraId="7A077B7A" w14:textId="77777777" w:rsidR="00E569BF" w:rsidRPr="00D8241C" w:rsidRDefault="00E569BF" w:rsidP="00706CD6">
            <w:pPr>
              <w:spacing w:before="0"/>
              <w:ind w:left="57"/>
              <w:rPr>
                <w:rFonts w:eastAsia="Times New Roman"/>
                <w:sz w:val="22"/>
                <w:szCs w:val="22"/>
                <w:lang w:val="fr-FR"/>
              </w:rPr>
            </w:pPr>
            <w:r w:rsidRPr="00D8241C">
              <w:rPr>
                <w:rFonts w:eastAsia="Times New Roman"/>
                <w:sz w:val="22"/>
                <w:szCs w:val="22"/>
                <w:lang w:val="fr-FR"/>
              </w:rPr>
              <w:t>New</w:t>
            </w:r>
          </w:p>
        </w:tc>
        <w:tc>
          <w:tcPr>
            <w:tcW w:w="0" w:type="auto"/>
            <w:shd w:val="clear" w:color="auto" w:fill="auto"/>
          </w:tcPr>
          <w:p w14:paraId="0C18E4A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Requirements of microservice architecture for audio-visual media in the converged media cloud</w:t>
            </w:r>
          </w:p>
        </w:tc>
        <w:tc>
          <w:tcPr>
            <w:tcW w:w="0" w:type="auto"/>
            <w:shd w:val="clear" w:color="auto" w:fill="auto"/>
          </w:tcPr>
          <w:p w14:paraId="32084205" w14:textId="09B73C27" w:rsidR="00E569BF" w:rsidRPr="00D8241C" w:rsidRDefault="00463B2E" w:rsidP="00706CD6">
            <w:pPr>
              <w:spacing w:before="0"/>
              <w:ind w:left="57"/>
              <w:rPr>
                <w:sz w:val="22"/>
                <w:szCs w:val="22"/>
              </w:rPr>
            </w:pPr>
            <w:hyperlink r:id="rId35" w:history="1">
              <w:r w:rsidR="00E569BF" w:rsidRPr="00D8241C">
                <w:rPr>
                  <w:rStyle w:val="Hyperlink"/>
                  <w:sz w:val="22"/>
                  <w:szCs w:val="22"/>
                </w:rPr>
                <w:t>TD346</w:t>
              </w:r>
            </w:hyperlink>
          </w:p>
        </w:tc>
        <w:tc>
          <w:tcPr>
            <w:tcW w:w="0" w:type="auto"/>
            <w:shd w:val="clear" w:color="auto" w:fill="auto"/>
          </w:tcPr>
          <w:p w14:paraId="01D97683"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N/A</w:t>
            </w:r>
          </w:p>
        </w:tc>
      </w:tr>
      <w:tr w:rsidR="00E569BF" w:rsidRPr="00D8241C" w14:paraId="66C4BF8F" w14:textId="77777777" w:rsidTr="00367155">
        <w:tc>
          <w:tcPr>
            <w:tcW w:w="0" w:type="auto"/>
            <w:shd w:val="clear" w:color="auto" w:fill="auto"/>
          </w:tcPr>
          <w:p w14:paraId="4D059C50"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Q8/9</w:t>
            </w:r>
          </w:p>
        </w:tc>
        <w:tc>
          <w:tcPr>
            <w:tcW w:w="0" w:type="auto"/>
            <w:shd w:val="clear" w:color="auto" w:fill="auto"/>
          </w:tcPr>
          <w:p w14:paraId="6B4A9602"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2769A89D" w14:textId="77777777" w:rsidR="00E569BF" w:rsidRPr="00D8241C" w:rsidRDefault="00E569BF" w:rsidP="00706CD6">
            <w:pPr>
              <w:spacing w:before="0"/>
              <w:ind w:left="57"/>
              <w:rPr>
                <w:rFonts w:eastAsia="Times New Roman"/>
                <w:sz w:val="22"/>
                <w:szCs w:val="22"/>
                <w:lang w:val="fr-CH"/>
              </w:rPr>
            </w:pPr>
            <w:r w:rsidRPr="00D8241C">
              <w:rPr>
                <w:rFonts w:eastAsia="Times New Roman"/>
                <w:sz w:val="22"/>
                <w:szCs w:val="22"/>
                <w:lang w:val="fr-CH"/>
              </w:rPr>
              <w:t xml:space="preserve">ITU-T </w:t>
            </w:r>
            <w:r w:rsidRPr="00FD3696">
              <w:rPr>
                <w:sz w:val="22"/>
                <w:szCs w:val="22"/>
                <w:lang w:val="fr-FR"/>
              </w:rPr>
              <w:t xml:space="preserve">J.1306 </w:t>
            </w:r>
            <w:r w:rsidRPr="00FD3696">
              <w:rPr>
                <w:sz w:val="22"/>
                <w:szCs w:val="22"/>
                <w:lang w:val="fr-FR"/>
              </w:rPr>
              <w:br/>
              <w:t xml:space="preserve">(ex </w:t>
            </w:r>
            <w:r w:rsidRPr="00D8241C">
              <w:rPr>
                <w:rFonts w:eastAsia="Times New Roman"/>
                <w:sz w:val="22"/>
                <w:szCs w:val="22"/>
                <w:lang w:val="fr-CH"/>
              </w:rPr>
              <w:t>J.mma-spec)</w:t>
            </w:r>
          </w:p>
        </w:tc>
        <w:tc>
          <w:tcPr>
            <w:tcW w:w="821" w:type="dxa"/>
            <w:shd w:val="clear" w:color="auto" w:fill="auto"/>
          </w:tcPr>
          <w:p w14:paraId="1B765971" w14:textId="77777777" w:rsidR="00E569BF" w:rsidRPr="00D8241C" w:rsidRDefault="00E569BF" w:rsidP="00706CD6">
            <w:pPr>
              <w:spacing w:before="0"/>
              <w:ind w:left="57"/>
              <w:rPr>
                <w:rFonts w:eastAsia="Times New Roman"/>
                <w:sz w:val="22"/>
                <w:szCs w:val="22"/>
                <w:lang w:val="fr-CH"/>
              </w:rPr>
            </w:pPr>
            <w:r w:rsidRPr="00D8241C">
              <w:rPr>
                <w:rFonts w:eastAsia="Times New Roman"/>
                <w:sz w:val="22"/>
                <w:szCs w:val="22"/>
                <w:lang w:val="fr-CH"/>
              </w:rPr>
              <w:t>New</w:t>
            </w:r>
          </w:p>
        </w:tc>
        <w:tc>
          <w:tcPr>
            <w:tcW w:w="0" w:type="auto"/>
            <w:shd w:val="clear" w:color="auto" w:fill="auto"/>
          </w:tcPr>
          <w:p w14:paraId="265205B1"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Specification of microservice architecture for audio-visual media in the converged media cloud</w:t>
            </w:r>
          </w:p>
        </w:tc>
        <w:tc>
          <w:tcPr>
            <w:tcW w:w="0" w:type="auto"/>
            <w:shd w:val="clear" w:color="auto" w:fill="auto"/>
          </w:tcPr>
          <w:p w14:paraId="33B10F46" w14:textId="558B5F6F" w:rsidR="00E569BF" w:rsidRPr="00D22729" w:rsidRDefault="00463B2E" w:rsidP="00706CD6">
            <w:pPr>
              <w:spacing w:before="0"/>
              <w:ind w:left="57"/>
              <w:rPr>
                <w:sz w:val="22"/>
                <w:szCs w:val="22"/>
              </w:rPr>
            </w:pPr>
            <w:hyperlink r:id="rId36" w:history="1">
              <w:r w:rsidR="00E569BF" w:rsidRPr="00D22729">
                <w:rPr>
                  <w:rStyle w:val="Hyperlink"/>
                  <w:sz w:val="22"/>
                  <w:szCs w:val="22"/>
                </w:rPr>
                <w:t>TD347</w:t>
              </w:r>
            </w:hyperlink>
            <w:r w:rsidR="00E569BF" w:rsidRPr="00D22729">
              <w:rPr>
                <w:rStyle w:val="Hyperlink"/>
                <w:sz w:val="22"/>
                <w:szCs w:val="22"/>
              </w:rPr>
              <w:t>-</w:t>
            </w:r>
            <w:r w:rsidR="00E569BF" w:rsidRPr="00FD3696">
              <w:rPr>
                <w:rStyle w:val="Hyperlink"/>
                <w:sz w:val="22"/>
                <w:szCs w:val="22"/>
              </w:rPr>
              <w:t>R1</w:t>
            </w:r>
          </w:p>
        </w:tc>
        <w:tc>
          <w:tcPr>
            <w:tcW w:w="0" w:type="auto"/>
            <w:shd w:val="clear" w:color="auto" w:fill="auto"/>
          </w:tcPr>
          <w:p w14:paraId="2AA3BE3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N/A</w:t>
            </w:r>
          </w:p>
        </w:tc>
      </w:tr>
      <w:tr w:rsidR="00E569BF" w:rsidRPr="00D8241C" w14:paraId="2EEE8EEA" w14:textId="77777777" w:rsidTr="00367155">
        <w:tc>
          <w:tcPr>
            <w:tcW w:w="0" w:type="auto"/>
            <w:shd w:val="clear" w:color="auto" w:fill="auto"/>
          </w:tcPr>
          <w:p w14:paraId="24F5B5A8"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Q9/9</w:t>
            </w:r>
          </w:p>
        </w:tc>
        <w:tc>
          <w:tcPr>
            <w:tcW w:w="0" w:type="auto"/>
            <w:shd w:val="clear" w:color="auto" w:fill="auto"/>
          </w:tcPr>
          <w:p w14:paraId="0146A64E"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AAP</w:t>
            </w:r>
          </w:p>
        </w:tc>
        <w:tc>
          <w:tcPr>
            <w:tcW w:w="1376" w:type="dxa"/>
            <w:shd w:val="clear" w:color="auto" w:fill="auto"/>
          </w:tcPr>
          <w:p w14:paraId="0E66C1A0" w14:textId="77777777" w:rsidR="00E569BF" w:rsidRPr="00D8241C" w:rsidRDefault="00E569BF" w:rsidP="00706CD6">
            <w:pPr>
              <w:spacing w:before="0"/>
              <w:ind w:left="57"/>
              <w:rPr>
                <w:rFonts w:eastAsia="Times New Roman"/>
                <w:sz w:val="22"/>
                <w:szCs w:val="22"/>
                <w:lang w:val="fr-CH"/>
              </w:rPr>
            </w:pPr>
            <w:r w:rsidRPr="00D8241C">
              <w:rPr>
                <w:rFonts w:eastAsia="Times New Roman"/>
                <w:sz w:val="22"/>
                <w:szCs w:val="22"/>
                <w:lang w:val="fr-CH"/>
              </w:rPr>
              <w:t xml:space="preserve">ITU-T </w:t>
            </w:r>
            <w:r w:rsidRPr="00FD3696">
              <w:rPr>
                <w:sz w:val="22"/>
                <w:szCs w:val="22"/>
                <w:lang w:val="fr-CH"/>
              </w:rPr>
              <w:t xml:space="preserve">J.484 (ex </w:t>
            </w:r>
            <w:r w:rsidRPr="00D8241C">
              <w:rPr>
                <w:rFonts w:eastAsia="Times New Roman"/>
                <w:sz w:val="22"/>
                <w:szCs w:val="22"/>
                <w:lang w:val="fr-CH"/>
              </w:rPr>
              <w:t>J.cable-mabr)</w:t>
            </w:r>
          </w:p>
        </w:tc>
        <w:tc>
          <w:tcPr>
            <w:tcW w:w="821" w:type="dxa"/>
            <w:shd w:val="clear" w:color="auto" w:fill="auto"/>
          </w:tcPr>
          <w:p w14:paraId="171ECEF3" w14:textId="77777777" w:rsidR="00E569BF" w:rsidRPr="00D8241C" w:rsidRDefault="00E569BF" w:rsidP="00706CD6">
            <w:pPr>
              <w:spacing w:before="0"/>
              <w:ind w:left="57"/>
              <w:rPr>
                <w:rFonts w:eastAsia="Times New Roman"/>
                <w:sz w:val="22"/>
                <w:szCs w:val="22"/>
                <w:lang w:val="fr-CH"/>
              </w:rPr>
            </w:pPr>
            <w:r w:rsidRPr="00D8241C">
              <w:rPr>
                <w:rFonts w:eastAsia="Times New Roman"/>
                <w:sz w:val="22"/>
                <w:szCs w:val="22"/>
                <w:lang w:val="fr-CH"/>
              </w:rPr>
              <w:t>New</w:t>
            </w:r>
          </w:p>
        </w:tc>
        <w:tc>
          <w:tcPr>
            <w:tcW w:w="0" w:type="auto"/>
            <w:shd w:val="clear" w:color="auto" w:fill="auto"/>
          </w:tcPr>
          <w:p w14:paraId="13F60B9F"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Requirements of multicast adaptive bitrate (M-ABR) IP delivery</w:t>
            </w:r>
          </w:p>
        </w:tc>
        <w:tc>
          <w:tcPr>
            <w:tcW w:w="0" w:type="auto"/>
            <w:shd w:val="clear" w:color="auto" w:fill="auto"/>
          </w:tcPr>
          <w:p w14:paraId="61288B98" w14:textId="782F12FF" w:rsidR="00E569BF" w:rsidRPr="00D8241C" w:rsidRDefault="00463B2E" w:rsidP="00706CD6">
            <w:pPr>
              <w:spacing w:before="0"/>
              <w:ind w:left="57"/>
              <w:rPr>
                <w:rFonts w:eastAsia="Times New Roman"/>
                <w:color w:val="0000FF"/>
                <w:sz w:val="22"/>
                <w:szCs w:val="22"/>
                <w:u w:val="single"/>
              </w:rPr>
            </w:pPr>
            <w:hyperlink r:id="rId37" w:history="1">
              <w:r w:rsidR="00E569BF" w:rsidRPr="00FD3696">
                <w:rPr>
                  <w:rStyle w:val="Hyperlink"/>
                  <w:sz w:val="22"/>
                  <w:szCs w:val="22"/>
                </w:rPr>
                <w:t>TD362</w:t>
              </w:r>
            </w:hyperlink>
          </w:p>
        </w:tc>
        <w:tc>
          <w:tcPr>
            <w:tcW w:w="0" w:type="auto"/>
            <w:shd w:val="clear" w:color="auto" w:fill="auto"/>
          </w:tcPr>
          <w:p w14:paraId="6B802A95" w14:textId="77777777" w:rsidR="00E569BF" w:rsidRPr="00D8241C" w:rsidRDefault="00E569BF" w:rsidP="00706CD6">
            <w:pPr>
              <w:spacing w:before="0"/>
              <w:ind w:left="57"/>
              <w:rPr>
                <w:rFonts w:eastAsia="Times New Roman"/>
                <w:sz w:val="22"/>
                <w:szCs w:val="22"/>
              </w:rPr>
            </w:pPr>
            <w:r w:rsidRPr="00D8241C">
              <w:rPr>
                <w:rFonts w:eastAsia="Times New Roman"/>
                <w:sz w:val="22"/>
                <w:szCs w:val="22"/>
              </w:rPr>
              <w:t>N/A</w:t>
            </w:r>
          </w:p>
        </w:tc>
      </w:tr>
    </w:tbl>
    <w:p w14:paraId="1CFCEB66" w14:textId="524D1434" w:rsidR="00732298" w:rsidRDefault="00D774C3" w:rsidP="00D774C3">
      <w:pPr>
        <w:pStyle w:val="TableNotitle"/>
      </w:pPr>
      <w:r>
        <w:t xml:space="preserve">Table </w:t>
      </w:r>
      <w:r>
        <w:fldChar w:fldCharType="begin"/>
      </w:r>
      <w:r>
        <w:instrText xml:space="preserve"> SEQ Table \* ARABIC </w:instrText>
      </w:r>
      <w:r>
        <w:fldChar w:fldCharType="separate"/>
      </w:r>
      <w:r w:rsidR="002A19D7">
        <w:rPr>
          <w:noProof/>
        </w:rPr>
        <w:t>2</w:t>
      </w:r>
      <w:r>
        <w:fldChar w:fldCharType="end"/>
      </w:r>
      <w:r>
        <w:t xml:space="preserve">: </w:t>
      </w:r>
      <w:r w:rsidRPr="00D774C3">
        <w:t>Draft Supplements</w:t>
      </w:r>
      <w:r w:rsidR="00346738">
        <w:t xml:space="preserve"> and</w:t>
      </w:r>
      <w:r w:rsidRPr="00D774C3">
        <w:t xml:space="preserve"> Technical Reports agree</w:t>
      </w:r>
      <w:r w:rsidR="00346738">
        <w:t>d (May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194"/>
        <w:gridCol w:w="1831"/>
        <w:gridCol w:w="4851"/>
        <w:gridCol w:w="1105"/>
      </w:tblGrid>
      <w:tr w:rsidR="008F605E" w:rsidRPr="00D22729" w14:paraId="5D58A45F" w14:textId="77777777" w:rsidTr="00367155">
        <w:trPr>
          <w:cantSplit/>
          <w:tblHeader/>
        </w:trPr>
        <w:tc>
          <w:tcPr>
            <w:tcW w:w="0" w:type="auto"/>
            <w:shd w:val="clear" w:color="auto" w:fill="DEEAF6" w:themeFill="accent1" w:themeFillTint="33"/>
          </w:tcPr>
          <w:p w14:paraId="0DEC75E5" w14:textId="77777777" w:rsidR="008F605E" w:rsidRPr="00D22729" w:rsidRDefault="008F605E" w:rsidP="008F605E">
            <w:pPr>
              <w:pStyle w:val="Tablehead"/>
              <w:keepNext w:val="0"/>
              <w:snapToGrid w:val="0"/>
              <w:spacing w:before="0" w:after="0"/>
              <w:rPr>
                <w:szCs w:val="22"/>
              </w:rPr>
            </w:pPr>
            <w:r w:rsidRPr="00D22729">
              <w:rPr>
                <w:szCs w:val="22"/>
              </w:rPr>
              <w:t>Q</w:t>
            </w:r>
          </w:p>
        </w:tc>
        <w:tc>
          <w:tcPr>
            <w:tcW w:w="0" w:type="auto"/>
            <w:shd w:val="clear" w:color="auto" w:fill="DEEAF6" w:themeFill="accent1" w:themeFillTint="33"/>
          </w:tcPr>
          <w:p w14:paraId="43739781" w14:textId="77777777" w:rsidR="008F605E" w:rsidRPr="00D22729" w:rsidRDefault="008F605E" w:rsidP="008F605E">
            <w:pPr>
              <w:pStyle w:val="Tablehead"/>
              <w:keepNext w:val="0"/>
              <w:snapToGrid w:val="0"/>
              <w:spacing w:before="0" w:after="0"/>
              <w:rPr>
                <w:szCs w:val="22"/>
              </w:rPr>
            </w:pPr>
            <w:r w:rsidRPr="00D22729">
              <w:rPr>
                <w:szCs w:val="22"/>
              </w:rPr>
              <w:t>Approval</w:t>
            </w:r>
          </w:p>
        </w:tc>
        <w:tc>
          <w:tcPr>
            <w:tcW w:w="0" w:type="auto"/>
            <w:shd w:val="clear" w:color="auto" w:fill="DEEAF6" w:themeFill="accent1" w:themeFillTint="33"/>
          </w:tcPr>
          <w:p w14:paraId="4487FB04" w14:textId="77777777" w:rsidR="008F605E" w:rsidRPr="00D22729" w:rsidRDefault="008F605E" w:rsidP="008F605E">
            <w:pPr>
              <w:pStyle w:val="Tablehead"/>
              <w:keepNext w:val="0"/>
              <w:snapToGrid w:val="0"/>
              <w:spacing w:before="0" w:after="0"/>
              <w:rPr>
                <w:szCs w:val="22"/>
              </w:rPr>
            </w:pPr>
            <w:r w:rsidRPr="00D22729">
              <w:rPr>
                <w:szCs w:val="22"/>
              </w:rPr>
              <w:t>Document</w:t>
            </w:r>
          </w:p>
        </w:tc>
        <w:tc>
          <w:tcPr>
            <w:tcW w:w="0" w:type="auto"/>
            <w:shd w:val="clear" w:color="auto" w:fill="DEEAF6" w:themeFill="accent1" w:themeFillTint="33"/>
          </w:tcPr>
          <w:p w14:paraId="2FB5A969" w14:textId="77777777" w:rsidR="008F605E" w:rsidRPr="00D22729" w:rsidRDefault="008F605E" w:rsidP="008F605E">
            <w:pPr>
              <w:pStyle w:val="Tablehead"/>
              <w:keepNext w:val="0"/>
              <w:snapToGrid w:val="0"/>
              <w:spacing w:before="0" w:after="0"/>
              <w:rPr>
                <w:szCs w:val="22"/>
              </w:rPr>
            </w:pPr>
            <w:r w:rsidRPr="00D22729">
              <w:rPr>
                <w:szCs w:val="22"/>
              </w:rPr>
              <w:t>Title</w:t>
            </w:r>
          </w:p>
        </w:tc>
        <w:tc>
          <w:tcPr>
            <w:tcW w:w="0" w:type="auto"/>
            <w:shd w:val="clear" w:color="auto" w:fill="DEEAF6" w:themeFill="accent1" w:themeFillTint="33"/>
          </w:tcPr>
          <w:p w14:paraId="6730FCA1" w14:textId="77777777" w:rsidR="008F605E" w:rsidRPr="00D22729" w:rsidRDefault="008F605E" w:rsidP="008F605E">
            <w:pPr>
              <w:pStyle w:val="Tablehead"/>
              <w:keepNext w:val="0"/>
              <w:snapToGrid w:val="0"/>
              <w:spacing w:before="0" w:after="0"/>
              <w:rPr>
                <w:szCs w:val="22"/>
              </w:rPr>
            </w:pPr>
            <w:r w:rsidRPr="00D22729">
              <w:rPr>
                <w:szCs w:val="22"/>
              </w:rPr>
              <w:t>Current TD</w:t>
            </w:r>
          </w:p>
        </w:tc>
      </w:tr>
      <w:tr w:rsidR="008F605E" w:rsidRPr="00D22729" w14:paraId="3BC16463" w14:textId="77777777" w:rsidTr="00367155">
        <w:trPr>
          <w:cantSplit/>
          <w:tblHeader/>
        </w:trPr>
        <w:tc>
          <w:tcPr>
            <w:tcW w:w="0" w:type="auto"/>
            <w:shd w:val="clear" w:color="auto" w:fill="FFFFFF" w:themeFill="background1"/>
          </w:tcPr>
          <w:p w14:paraId="2CA6C254" w14:textId="77777777" w:rsidR="008F605E" w:rsidRPr="00D22729" w:rsidRDefault="008F605E" w:rsidP="008F605E">
            <w:pPr>
              <w:pStyle w:val="Tablehead"/>
              <w:keepNext w:val="0"/>
              <w:snapToGrid w:val="0"/>
              <w:spacing w:before="0" w:after="0"/>
              <w:jc w:val="left"/>
              <w:rPr>
                <w:b w:val="0"/>
                <w:bCs/>
                <w:szCs w:val="22"/>
              </w:rPr>
            </w:pPr>
            <w:r w:rsidRPr="00D22729">
              <w:rPr>
                <w:b w:val="0"/>
                <w:bCs/>
                <w:szCs w:val="22"/>
              </w:rPr>
              <w:t>Q1, Q7</w:t>
            </w:r>
          </w:p>
        </w:tc>
        <w:tc>
          <w:tcPr>
            <w:tcW w:w="0" w:type="auto"/>
            <w:shd w:val="clear" w:color="auto" w:fill="FFFFFF" w:themeFill="background1"/>
          </w:tcPr>
          <w:p w14:paraId="1479E6FC" w14:textId="77777777" w:rsidR="008F605E" w:rsidRPr="00D22729" w:rsidRDefault="008F605E" w:rsidP="008F605E">
            <w:pPr>
              <w:pStyle w:val="Tablehead"/>
              <w:keepNext w:val="0"/>
              <w:snapToGrid w:val="0"/>
              <w:spacing w:before="0" w:after="0"/>
              <w:jc w:val="left"/>
              <w:rPr>
                <w:b w:val="0"/>
                <w:bCs/>
                <w:szCs w:val="22"/>
              </w:rPr>
            </w:pPr>
            <w:r w:rsidRPr="00D22729">
              <w:rPr>
                <w:b w:val="0"/>
                <w:bCs/>
                <w:szCs w:val="22"/>
              </w:rPr>
              <w:t>Agreement</w:t>
            </w:r>
          </w:p>
        </w:tc>
        <w:tc>
          <w:tcPr>
            <w:tcW w:w="0" w:type="auto"/>
            <w:shd w:val="clear" w:color="auto" w:fill="FFFFFF" w:themeFill="background1"/>
          </w:tcPr>
          <w:p w14:paraId="239F1C8D" w14:textId="77777777" w:rsidR="008F605E" w:rsidRPr="00D22729" w:rsidRDefault="008F605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eastAsia="Times New Roman"/>
                <w:bCs/>
                <w:sz w:val="22"/>
                <w:szCs w:val="22"/>
                <w:lang w:val="fr-FR"/>
              </w:rPr>
            </w:pPr>
            <w:r w:rsidRPr="00D22729">
              <w:rPr>
                <w:rFonts w:eastAsia="Times New Roman"/>
                <w:sz w:val="22"/>
                <w:szCs w:val="22"/>
                <w:lang w:val="fr-FR"/>
              </w:rPr>
              <w:t>J Suppl. 10 (Rev)</w:t>
            </w:r>
          </w:p>
        </w:tc>
        <w:tc>
          <w:tcPr>
            <w:tcW w:w="0" w:type="auto"/>
            <w:shd w:val="clear" w:color="auto" w:fill="FFFFFF" w:themeFill="background1"/>
          </w:tcPr>
          <w:p w14:paraId="2A17203F" w14:textId="77777777" w:rsidR="008F605E" w:rsidRPr="00D22729" w:rsidRDefault="008F605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eastAsia="Times New Roman"/>
                <w:bCs/>
                <w:sz w:val="22"/>
                <w:szCs w:val="22"/>
                <w:highlight w:val="yellow"/>
              </w:rPr>
            </w:pPr>
            <w:r w:rsidRPr="00D22729">
              <w:rPr>
                <w:rFonts w:eastAsia="Times New Roman"/>
                <w:bCs/>
                <w:sz w:val="22"/>
                <w:szCs w:val="22"/>
              </w:rPr>
              <w:t>Correspondence between CableLabs DOCSIS Specifications and ITU-T J</w:t>
            </w:r>
            <w:r w:rsidRPr="00D22729">
              <w:rPr>
                <w:rFonts w:eastAsia="Times New Roman"/>
                <w:bCs/>
                <w:sz w:val="22"/>
                <w:szCs w:val="22"/>
              </w:rPr>
              <w:noBreakHyphen/>
              <w:t>series Recommendations</w:t>
            </w:r>
          </w:p>
        </w:tc>
        <w:tc>
          <w:tcPr>
            <w:tcW w:w="0" w:type="auto"/>
            <w:shd w:val="clear" w:color="auto" w:fill="FFFFFF" w:themeFill="background1"/>
          </w:tcPr>
          <w:p w14:paraId="543CCE41" w14:textId="720CEBA6" w:rsidR="008F605E" w:rsidRPr="00D22729" w:rsidRDefault="00463B2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eastAsia="Times New Roman"/>
                <w:bCs/>
                <w:color w:val="000066"/>
                <w:sz w:val="22"/>
                <w:szCs w:val="22"/>
              </w:rPr>
            </w:pPr>
            <w:hyperlink r:id="rId38" w:history="1">
              <w:r w:rsidR="008F605E" w:rsidRPr="00FD3696">
                <w:rPr>
                  <w:rStyle w:val="Hyperlink"/>
                  <w:sz w:val="22"/>
                  <w:szCs w:val="22"/>
                </w:rPr>
                <w:t>TD340-R1</w:t>
              </w:r>
            </w:hyperlink>
          </w:p>
        </w:tc>
      </w:tr>
      <w:tr w:rsidR="008F605E" w:rsidRPr="00D22729" w14:paraId="4B1A25E2" w14:textId="77777777" w:rsidTr="00367155">
        <w:trPr>
          <w:cantSplit/>
          <w:tblHeader/>
        </w:trPr>
        <w:tc>
          <w:tcPr>
            <w:tcW w:w="0" w:type="auto"/>
            <w:shd w:val="clear" w:color="auto" w:fill="FFFFFF" w:themeFill="background1"/>
          </w:tcPr>
          <w:p w14:paraId="0534FC77" w14:textId="77777777" w:rsidR="008F605E" w:rsidRPr="00D22729" w:rsidRDefault="008F605E" w:rsidP="008F605E">
            <w:pPr>
              <w:pStyle w:val="Tablehead"/>
              <w:keepNext w:val="0"/>
              <w:snapToGrid w:val="0"/>
              <w:spacing w:before="0" w:after="0"/>
              <w:jc w:val="left"/>
              <w:rPr>
                <w:b w:val="0"/>
                <w:bCs/>
                <w:szCs w:val="22"/>
              </w:rPr>
            </w:pPr>
            <w:r w:rsidRPr="00D22729">
              <w:rPr>
                <w:b w:val="0"/>
                <w:bCs/>
                <w:szCs w:val="22"/>
              </w:rPr>
              <w:t>Q2</w:t>
            </w:r>
          </w:p>
        </w:tc>
        <w:tc>
          <w:tcPr>
            <w:tcW w:w="0" w:type="auto"/>
            <w:shd w:val="clear" w:color="auto" w:fill="FFFFFF" w:themeFill="background1"/>
          </w:tcPr>
          <w:p w14:paraId="5CC6142E" w14:textId="77777777" w:rsidR="008F605E" w:rsidRPr="00D22729" w:rsidRDefault="008F605E" w:rsidP="008F605E">
            <w:pPr>
              <w:pStyle w:val="Tablehead"/>
              <w:keepNext w:val="0"/>
              <w:snapToGrid w:val="0"/>
              <w:spacing w:before="0" w:after="0"/>
              <w:jc w:val="left"/>
              <w:rPr>
                <w:b w:val="0"/>
                <w:bCs/>
                <w:szCs w:val="22"/>
              </w:rPr>
            </w:pPr>
            <w:r w:rsidRPr="00D22729">
              <w:rPr>
                <w:b w:val="0"/>
                <w:bCs/>
                <w:szCs w:val="22"/>
              </w:rPr>
              <w:t>Agreement</w:t>
            </w:r>
          </w:p>
        </w:tc>
        <w:tc>
          <w:tcPr>
            <w:tcW w:w="0" w:type="auto"/>
            <w:shd w:val="clear" w:color="auto" w:fill="FFFFFF" w:themeFill="background1"/>
          </w:tcPr>
          <w:p w14:paraId="36011655" w14:textId="77777777" w:rsidR="008F605E" w:rsidRPr="00D22729" w:rsidRDefault="008F605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sz w:val="22"/>
                <w:szCs w:val="22"/>
                <w:lang w:val="fr-FR"/>
              </w:rPr>
            </w:pPr>
            <w:r w:rsidRPr="00D22729">
              <w:rPr>
                <w:rFonts w:eastAsia="Times New Roman"/>
                <w:bCs/>
                <w:sz w:val="22"/>
                <w:szCs w:val="22"/>
                <w:lang w:val="fr-FR"/>
              </w:rPr>
              <w:t>ITU-T Technical Report TR.FSR</w:t>
            </w:r>
          </w:p>
        </w:tc>
        <w:tc>
          <w:tcPr>
            <w:tcW w:w="0" w:type="auto"/>
            <w:shd w:val="clear" w:color="auto" w:fill="FFFFFF" w:themeFill="background1"/>
          </w:tcPr>
          <w:p w14:paraId="62C28AC0" w14:textId="77777777" w:rsidR="008F605E" w:rsidRPr="00D22729" w:rsidRDefault="008F605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eastAsia="Times New Roman"/>
                <w:bCs/>
                <w:sz w:val="22"/>
                <w:szCs w:val="22"/>
              </w:rPr>
            </w:pPr>
            <w:r w:rsidRPr="00D22729">
              <w:rPr>
                <w:rFonts w:eastAsia="Times New Roman"/>
                <w:bCs/>
                <w:sz w:val="22"/>
                <w:szCs w:val="22"/>
              </w:rPr>
              <w:t>Technical report on factual subscriber-base reporting and protected content delivery in Conditional Access System (CAS)</w:t>
            </w:r>
          </w:p>
        </w:tc>
        <w:tc>
          <w:tcPr>
            <w:tcW w:w="0" w:type="auto"/>
            <w:shd w:val="clear" w:color="auto" w:fill="FFFFFF" w:themeFill="background1"/>
          </w:tcPr>
          <w:p w14:paraId="5C51D9B7" w14:textId="5B7939AC" w:rsidR="008F605E" w:rsidRPr="00D22729" w:rsidRDefault="00463B2E" w:rsidP="008F60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textAlignment w:val="baseline"/>
              <w:rPr>
                <w:sz w:val="22"/>
                <w:szCs w:val="22"/>
              </w:rPr>
            </w:pPr>
            <w:hyperlink r:id="rId39" w:history="1">
              <w:r w:rsidR="008F605E" w:rsidRPr="00FD3696">
                <w:rPr>
                  <w:rStyle w:val="Hyperlink"/>
                  <w:sz w:val="22"/>
                  <w:szCs w:val="22"/>
                </w:rPr>
                <w:t>TD353</w:t>
              </w:r>
            </w:hyperlink>
          </w:p>
        </w:tc>
      </w:tr>
    </w:tbl>
    <w:p w14:paraId="0AE5E643" w14:textId="56F0D659" w:rsidR="005A5562" w:rsidRDefault="005A5562" w:rsidP="00E1638D"/>
    <w:p w14:paraId="705C0818" w14:textId="1179B50A" w:rsidR="00D85065" w:rsidRDefault="00F42657" w:rsidP="00E1638D">
      <w:r>
        <w:rPr>
          <w:rFonts w:hint="eastAsia"/>
        </w:rPr>
        <w:t>A</w:t>
      </w:r>
      <w:r w:rsidR="00346738">
        <w:t>lso</w:t>
      </w:r>
      <w:r>
        <w:t xml:space="preserve">, a total of eleven (11) new work items were approved to initiate </w:t>
      </w:r>
      <w:r w:rsidR="00346738">
        <w:t>relevant studies.</w:t>
      </w:r>
    </w:p>
    <w:p w14:paraId="4B0FAFFD" w14:textId="32CD1C8A" w:rsidR="00346738" w:rsidRDefault="00346738" w:rsidP="00DB2C17">
      <w:pPr>
        <w:pStyle w:val="TableNotitle"/>
      </w:pPr>
      <w:r>
        <w:t xml:space="preserve">Table 3: New work items approved (May 2023)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11"/>
        <w:gridCol w:w="1952"/>
        <w:gridCol w:w="925"/>
        <w:gridCol w:w="3031"/>
        <w:gridCol w:w="1096"/>
        <w:gridCol w:w="1378"/>
      </w:tblGrid>
      <w:tr w:rsidR="00F42657" w:rsidRPr="00D260C7" w14:paraId="35FA550C" w14:textId="77777777" w:rsidTr="0097767D">
        <w:trPr>
          <w:trHeight w:val="601"/>
          <w:jc w:val="center"/>
        </w:trPr>
        <w:tc>
          <w:tcPr>
            <w:tcW w:w="436" w:type="dxa"/>
            <w:vAlign w:val="center"/>
          </w:tcPr>
          <w:p w14:paraId="0B1E4188" w14:textId="77777777" w:rsidR="00F42657" w:rsidRPr="00D260C7" w:rsidRDefault="00F42657" w:rsidP="0097767D">
            <w:pPr>
              <w:pStyle w:val="Default"/>
              <w:spacing w:before="40" w:after="40"/>
              <w:jc w:val="center"/>
              <w:rPr>
                <w:b/>
                <w:sz w:val="22"/>
                <w:szCs w:val="22"/>
              </w:rPr>
            </w:pPr>
            <w:r w:rsidRPr="00D260C7">
              <w:rPr>
                <w:b/>
                <w:bCs/>
                <w:sz w:val="22"/>
                <w:szCs w:val="22"/>
              </w:rPr>
              <w:t>#</w:t>
            </w:r>
          </w:p>
        </w:tc>
        <w:tc>
          <w:tcPr>
            <w:tcW w:w="833" w:type="dxa"/>
            <w:vAlign w:val="center"/>
          </w:tcPr>
          <w:p w14:paraId="22C4B0AF" w14:textId="77777777" w:rsidR="00F42657" w:rsidRPr="00D260C7" w:rsidRDefault="00F42657" w:rsidP="0097767D">
            <w:pPr>
              <w:pStyle w:val="Default"/>
              <w:spacing w:before="40" w:after="40"/>
              <w:jc w:val="center"/>
              <w:rPr>
                <w:b/>
                <w:spacing w:val="-4"/>
                <w:sz w:val="22"/>
                <w:szCs w:val="22"/>
              </w:rPr>
            </w:pPr>
            <w:r w:rsidRPr="00D260C7">
              <w:rPr>
                <w:b/>
                <w:bCs/>
                <w:spacing w:val="-4"/>
                <w:sz w:val="22"/>
                <w:szCs w:val="22"/>
              </w:rPr>
              <w:t>Q.</w:t>
            </w:r>
          </w:p>
        </w:tc>
        <w:tc>
          <w:tcPr>
            <w:tcW w:w="1970" w:type="dxa"/>
            <w:vAlign w:val="center"/>
          </w:tcPr>
          <w:p w14:paraId="6EBAFED7" w14:textId="77777777" w:rsidR="00F42657" w:rsidRPr="00D260C7" w:rsidRDefault="00F42657" w:rsidP="0097767D">
            <w:pPr>
              <w:pStyle w:val="Default"/>
              <w:spacing w:before="40" w:after="40"/>
              <w:jc w:val="center"/>
              <w:rPr>
                <w:b/>
                <w:sz w:val="22"/>
                <w:szCs w:val="22"/>
              </w:rPr>
            </w:pPr>
            <w:r w:rsidRPr="00D260C7">
              <w:rPr>
                <w:b/>
                <w:bCs/>
                <w:sz w:val="22"/>
                <w:szCs w:val="22"/>
              </w:rPr>
              <w:t>Acronym</w:t>
            </w:r>
            <w:r w:rsidRPr="00D260C7">
              <w:rPr>
                <w:b/>
                <w:bCs/>
                <w:sz w:val="22"/>
                <w:szCs w:val="22"/>
              </w:rPr>
              <w:br/>
              <w:t>(kind of publication)</w:t>
            </w:r>
          </w:p>
        </w:tc>
        <w:tc>
          <w:tcPr>
            <w:tcW w:w="925" w:type="dxa"/>
            <w:vAlign w:val="center"/>
          </w:tcPr>
          <w:p w14:paraId="16CF7312" w14:textId="77777777" w:rsidR="00F42657" w:rsidRPr="00D260C7" w:rsidRDefault="00F42657" w:rsidP="0097767D">
            <w:pPr>
              <w:pStyle w:val="Default"/>
              <w:spacing w:before="40" w:after="40"/>
              <w:jc w:val="center"/>
              <w:rPr>
                <w:b/>
                <w:sz w:val="22"/>
                <w:szCs w:val="22"/>
              </w:rPr>
            </w:pPr>
            <w:r w:rsidRPr="00D260C7">
              <w:rPr>
                <w:b/>
                <w:bCs/>
                <w:sz w:val="22"/>
                <w:szCs w:val="22"/>
              </w:rPr>
              <w:t>Status</w:t>
            </w:r>
          </w:p>
        </w:tc>
        <w:tc>
          <w:tcPr>
            <w:tcW w:w="3614" w:type="dxa"/>
            <w:vAlign w:val="center"/>
          </w:tcPr>
          <w:p w14:paraId="2F7E41D9" w14:textId="77777777" w:rsidR="00F42657" w:rsidRPr="00D260C7" w:rsidRDefault="00F42657" w:rsidP="0097767D">
            <w:pPr>
              <w:pStyle w:val="Default"/>
              <w:spacing w:before="40" w:after="40"/>
              <w:jc w:val="center"/>
              <w:rPr>
                <w:b/>
                <w:sz w:val="22"/>
                <w:szCs w:val="22"/>
              </w:rPr>
            </w:pPr>
            <w:r w:rsidRPr="00D260C7">
              <w:rPr>
                <w:b/>
                <w:bCs/>
                <w:sz w:val="22"/>
                <w:szCs w:val="22"/>
              </w:rPr>
              <w:t>Title</w:t>
            </w:r>
          </w:p>
        </w:tc>
        <w:tc>
          <w:tcPr>
            <w:tcW w:w="0" w:type="auto"/>
            <w:vAlign w:val="center"/>
          </w:tcPr>
          <w:p w14:paraId="19B0E02D" w14:textId="77777777" w:rsidR="00F42657" w:rsidRPr="00D260C7" w:rsidRDefault="00F42657" w:rsidP="0097767D">
            <w:pPr>
              <w:pStyle w:val="Default"/>
              <w:spacing w:before="40" w:after="40"/>
              <w:jc w:val="center"/>
              <w:rPr>
                <w:b/>
                <w:sz w:val="22"/>
                <w:szCs w:val="22"/>
              </w:rPr>
            </w:pPr>
            <w:r w:rsidRPr="00D260C7">
              <w:rPr>
                <w:b/>
                <w:bCs/>
                <w:sz w:val="22"/>
                <w:szCs w:val="22"/>
              </w:rPr>
              <w:t>TD</w:t>
            </w:r>
          </w:p>
        </w:tc>
        <w:tc>
          <w:tcPr>
            <w:tcW w:w="0" w:type="auto"/>
            <w:vAlign w:val="center"/>
          </w:tcPr>
          <w:p w14:paraId="3194D69F" w14:textId="77777777" w:rsidR="00F42657" w:rsidRPr="00D260C7" w:rsidRDefault="00F42657" w:rsidP="0097767D">
            <w:pPr>
              <w:pStyle w:val="Default"/>
              <w:spacing w:before="40" w:after="40"/>
              <w:jc w:val="center"/>
              <w:rPr>
                <w:b/>
                <w:bCs/>
                <w:sz w:val="22"/>
                <w:szCs w:val="22"/>
              </w:rPr>
            </w:pPr>
            <w:r w:rsidRPr="00D260C7">
              <w:rPr>
                <w:b/>
                <w:bCs/>
                <w:sz w:val="22"/>
                <w:szCs w:val="22"/>
              </w:rPr>
              <w:t>A.1 /A.13</w:t>
            </w:r>
            <w:r>
              <w:rPr>
                <w:b/>
                <w:bCs/>
                <w:sz w:val="22"/>
                <w:szCs w:val="22"/>
              </w:rPr>
              <w:br/>
            </w:r>
            <w:r w:rsidRPr="00D260C7">
              <w:rPr>
                <w:b/>
                <w:bCs/>
                <w:sz w:val="22"/>
                <w:szCs w:val="22"/>
              </w:rPr>
              <w:t>Justification</w:t>
            </w:r>
            <w:r>
              <w:rPr>
                <w:b/>
                <w:bCs/>
                <w:sz w:val="22"/>
                <w:szCs w:val="22"/>
              </w:rPr>
              <w:br/>
            </w:r>
            <w:r w:rsidRPr="00D260C7">
              <w:rPr>
                <w:b/>
                <w:bCs/>
                <w:sz w:val="22"/>
                <w:szCs w:val="22"/>
              </w:rPr>
              <w:t>template</w:t>
            </w:r>
          </w:p>
        </w:tc>
      </w:tr>
      <w:tr w:rsidR="00F42657" w:rsidRPr="00D260C7" w14:paraId="14A22F22" w14:textId="77777777" w:rsidTr="0097767D">
        <w:trPr>
          <w:trHeight w:val="601"/>
          <w:jc w:val="center"/>
        </w:trPr>
        <w:tc>
          <w:tcPr>
            <w:tcW w:w="436" w:type="dxa"/>
            <w:tcBorders>
              <w:top w:val="single" w:sz="4" w:space="0" w:color="auto"/>
              <w:left w:val="single" w:sz="4" w:space="0" w:color="auto"/>
              <w:bottom w:val="single" w:sz="4" w:space="0" w:color="auto"/>
              <w:right w:val="single" w:sz="4" w:space="0" w:color="auto"/>
            </w:tcBorders>
            <w:vAlign w:val="center"/>
          </w:tcPr>
          <w:p w14:paraId="5F9D8B8B" w14:textId="77777777" w:rsidR="00F42657" w:rsidRPr="00D260C7" w:rsidRDefault="00F42657" w:rsidP="0097767D">
            <w:pPr>
              <w:pStyle w:val="Default"/>
              <w:spacing w:before="40" w:after="40"/>
              <w:rPr>
                <w:sz w:val="22"/>
                <w:szCs w:val="22"/>
              </w:rPr>
            </w:pPr>
            <w:r w:rsidRPr="00D260C7">
              <w:rPr>
                <w:sz w:val="22"/>
                <w:szCs w:val="22"/>
              </w:rPr>
              <w:t xml:space="preserve">1 </w:t>
            </w:r>
          </w:p>
        </w:tc>
        <w:tc>
          <w:tcPr>
            <w:tcW w:w="833" w:type="dxa"/>
            <w:tcBorders>
              <w:top w:val="single" w:sz="4" w:space="0" w:color="auto"/>
              <w:left w:val="single" w:sz="4" w:space="0" w:color="auto"/>
              <w:bottom w:val="single" w:sz="4" w:space="0" w:color="auto"/>
              <w:right w:val="single" w:sz="4" w:space="0" w:color="auto"/>
            </w:tcBorders>
          </w:tcPr>
          <w:p w14:paraId="39FF39B3" w14:textId="77777777" w:rsidR="00F42657" w:rsidRPr="00D260C7" w:rsidRDefault="00F42657" w:rsidP="0097767D">
            <w:pPr>
              <w:pStyle w:val="Default"/>
              <w:spacing w:before="40" w:after="40"/>
              <w:rPr>
                <w:spacing w:val="-4"/>
                <w:sz w:val="22"/>
                <w:szCs w:val="22"/>
                <w:highlight w:val="yellow"/>
              </w:rPr>
            </w:pPr>
            <w:r w:rsidRPr="00D260C7">
              <w:rPr>
                <w:sz w:val="22"/>
                <w:szCs w:val="22"/>
              </w:rPr>
              <w:t>Q1/9</w:t>
            </w:r>
            <w:r w:rsidRPr="00D260C7">
              <w:rPr>
                <w:sz w:val="22"/>
                <w:szCs w:val="22"/>
              </w:rPr>
              <w:br/>
              <w:t>Q4/9</w:t>
            </w:r>
          </w:p>
        </w:tc>
        <w:tc>
          <w:tcPr>
            <w:tcW w:w="1970" w:type="dxa"/>
            <w:tcBorders>
              <w:top w:val="single" w:sz="4" w:space="0" w:color="auto"/>
              <w:left w:val="single" w:sz="4" w:space="0" w:color="auto"/>
              <w:bottom w:val="single" w:sz="4" w:space="0" w:color="auto"/>
              <w:right w:val="single" w:sz="4" w:space="0" w:color="auto"/>
            </w:tcBorders>
          </w:tcPr>
          <w:p w14:paraId="0F555894" w14:textId="77777777" w:rsidR="00F42657" w:rsidRPr="00D260C7" w:rsidRDefault="00F42657" w:rsidP="0097767D">
            <w:pPr>
              <w:pStyle w:val="Default"/>
              <w:spacing w:before="40" w:after="40"/>
              <w:rPr>
                <w:sz w:val="22"/>
                <w:szCs w:val="22"/>
                <w:highlight w:val="yellow"/>
              </w:rPr>
            </w:pPr>
            <w:r w:rsidRPr="00D260C7">
              <w:rPr>
                <w:sz w:val="22"/>
                <w:szCs w:val="22"/>
              </w:rPr>
              <w:t>J.cable-5G-arch (Recommendation)</w:t>
            </w:r>
          </w:p>
        </w:tc>
        <w:tc>
          <w:tcPr>
            <w:tcW w:w="925" w:type="dxa"/>
            <w:tcBorders>
              <w:top w:val="single" w:sz="4" w:space="0" w:color="auto"/>
              <w:left w:val="single" w:sz="4" w:space="0" w:color="auto"/>
              <w:bottom w:val="single" w:sz="4" w:space="0" w:color="auto"/>
              <w:right w:val="single" w:sz="4" w:space="0" w:color="auto"/>
            </w:tcBorders>
          </w:tcPr>
          <w:p w14:paraId="5833E35B" w14:textId="77777777" w:rsidR="00F42657" w:rsidRPr="00D260C7" w:rsidRDefault="00F42657" w:rsidP="0097767D">
            <w:pPr>
              <w:pStyle w:val="Default"/>
              <w:spacing w:before="40" w:after="40"/>
              <w:rPr>
                <w:sz w:val="22"/>
                <w:szCs w:val="22"/>
                <w:highlight w:val="yellow"/>
              </w:rPr>
            </w:pPr>
            <w:r w:rsidRPr="00D260C7">
              <w:rPr>
                <w:sz w:val="22"/>
                <w:szCs w:val="22"/>
              </w:rPr>
              <w:t xml:space="preserve">New </w:t>
            </w:r>
          </w:p>
        </w:tc>
        <w:tc>
          <w:tcPr>
            <w:tcW w:w="3614" w:type="dxa"/>
            <w:tcBorders>
              <w:top w:val="single" w:sz="4" w:space="0" w:color="auto"/>
              <w:left w:val="single" w:sz="4" w:space="0" w:color="auto"/>
              <w:bottom w:val="single" w:sz="4" w:space="0" w:color="auto"/>
              <w:right w:val="single" w:sz="4" w:space="0" w:color="auto"/>
            </w:tcBorders>
          </w:tcPr>
          <w:p w14:paraId="59A5FFBC" w14:textId="77777777" w:rsidR="00F42657" w:rsidRPr="00D260C7" w:rsidRDefault="00F42657" w:rsidP="0097767D">
            <w:pPr>
              <w:pStyle w:val="Default"/>
              <w:spacing w:before="40" w:after="40"/>
              <w:rPr>
                <w:sz w:val="22"/>
                <w:szCs w:val="22"/>
                <w:highlight w:val="yellow"/>
              </w:rPr>
            </w:pPr>
            <w:r w:rsidRPr="00D260C7">
              <w:rPr>
                <w:sz w:val="22"/>
                <w:szCs w:val="22"/>
              </w:rPr>
              <w:t>System Architecture for cable television services to use 5G radio system</w:t>
            </w:r>
          </w:p>
        </w:tc>
        <w:tc>
          <w:tcPr>
            <w:tcW w:w="0" w:type="auto"/>
            <w:tcBorders>
              <w:top w:val="single" w:sz="4" w:space="0" w:color="auto"/>
              <w:left w:val="single" w:sz="4" w:space="0" w:color="auto"/>
              <w:bottom w:val="single" w:sz="4" w:space="0" w:color="auto"/>
              <w:right w:val="single" w:sz="4" w:space="0" w:color="auto"/>
            </w:tcBorders>
          </w:tcPr>
          <w:p w14:paraId="5050BBCB" w14:textId="77777777" w:rsidR="00F42657" w:rsidRPr="00D260C7" w:rsidRDefault="00463B2E" w:rsidP="0097767D">
            <w:pPr>
              <w:pStyle w:val="Default"/>
              <w:spacing w:before="40" w:after="40"/>
              <w:rPr>
                <w:sz w:val="22"/>
                <w:szCs w:val="22"/>
                <w:highlight w:val="yellow"/>
              </w:rPr>
            </w:pPr>
            <w:hyperlink r:id="rId40" w:history="1">
              <w:r w:rsidR="00F42657" w:rsidRPr="00D260C7">
                <w:rPr>
                  <w:rStyle w:val="Hyperlink"/>
                  <w:sz w:val="22"/>
                  <w:szCs w:val="22"/>
                </w:rPr>
                <w:t>TD372</w:t>
              </w:r>
            </w:hyperlink>
          </w:p>
        </w:tc>
        <w:tc>
          <w:tcPr>
            <w:tcW w:w="0" w:type="auto"/>
            <w:tcBorders>
              <w:top w:val="single" w:sz="4" w:space="0" w:color="auto"/>
              <w:left w:val="single" w:sz="4" w:space="0" w:color="auto"/>
              <w:bottom w:val="single" w:sz="4" w:space="0" w:color="auto"/>
              <w:right w:val="single" w:sz="4" w:space="0" w:color="auto"/>
            </w:tcBorders>
          </w:tcPr>
          <w:p w14:paraId="4441352F" w14:textId="77777777" w:rsidR="00F42657" w:rsidRPr="00D260C7" w:rsidRDefault="00F42657" w:rsidP="0097767D">
            <w:pPr>
              <w:pStyle w:val="Default"/>
              <w:spacing w:before="40" w:after="40"/>
              <w:rPr>
                <w:sz w:val="22"/>
                <w:szCs w:val="22"/>
                <w:highlight w:val="yellow"/>
              </w:rPr>
            </w:pPr>
            <w:r w:rsidRPr="005C79C1">
              <w:rPr>
                <w:sz w:val="22"/>
                <w:szCs w:val="22"/>
              </w:rPr>
              <w:t>ANNEX C</w:t>
            </w:r>
            <w:r w:rsidRPr="00D260C7">
              <w:rPr>
                <w:rStyle w:val="Hyperlink"/>
                <w:sz w:val="22"/>
                <w:szCs w:val="22"/>
              </w:rPr>
              <w:br/>
            </w:r>
            <w:r w:rsidRPr="00D260C7">
              <w:rPr>
                <w:sz w:val="22"/>
                <w:szCs w:val="22"/>
              </w:rPr>
              <w:t>of TD321 (A.1)</w:t>
            </w:r>
          </w:p>
        </w:tc>
      </w:tr>
      <w:tr w:rsidR="00F42657" w:rsidRPr="00D260C7" w14:paraId="70FE75B8" w14:textId="77777777" w:rsidTr="0097767D">
        <w:trPr>
          <w:trHeight w:val="601"/>
          <w:jc w:val="center"/>
        </w:trPr>
        <w:tc>
          <w:tcPr>
            <w:tcW w:w="436" w:type="dxa"/>
            <w:tcBorders>
              <w:top w:val="single" w:sz="4" w:space="0" w:color="auto"/>
              <w:left w:val="single" w:sz="4" w:space="0" w:color="auto"/>
              <w:bottom w:val="single" w:sz="4" w:space="0" w:color="auto"/>
              <w:right w:val="single" w:sz="4" w:space="0" w:color="auto"/>
            </w:tcBorders>
            <w:vAlign w:val="center"/>
          </w:tcPr>
          <w:p w14:paraId="2CF6E3C6" w14:textId="77777777" w:rsidR="00F42657" w:rsidRPr="00D260C7" w:rsidRDefault="00F42657" w:rsidP="0097767D">
            <w:pPr>
              <w:pStyle w:val="Default"/>
              <w:spacing w:before="40" w:after="40"/>
              <w:rPr>
                <w:sz w:val="22"/>
                <w:szCs w:val="22"/>
              </w:rPr>
            </w:pPr>
            <w:r w:rsidRPr="00D260C7">
              <w:rPr>
                <w:sz w:val="22"/>
                <w:szCs w:val="22"/>
              </w:rPr>
              <w:t>2</w:t>
            </w:r>
          </w:p>
        </w:tc>
        <w:tc>
          <w:tcPr>
            <w:tcW w:w="833" w:type="dxa"/>
            <w:tcBorders>
              <w:top w:val="single" w:sz="4" w:space="0" w:color="auto"/>
              <w:left w:val="single" w:sz="4" w:space="0" w:color="auto"/>
              <w:bottom w:val="single" w:sz="4" w:space="0" w:color="auto"/>
              <w:right w:val="single" w:sz="4" w:space="0" w:color="auto"/>
            </w:tcBorders>
          </w:tcPr>
          <w:p w14:paraId="168CF428" w14:textId="77777777" w:rsidR="00F42657" w:rsidRPr="00D260C7" w:rsidRDefault="00F42657" w:rsidP="0097767D">
            <w:pPr>
              <w:pStyle w:val="Default"/>
              <w:spacing w:before="40" w:after="40"/>
              <w:rPr>
                <w:spacing w:val="-4"/>
                <w:sz w:val="22"/>
                <w:szCs w:val="22"/>
              </w:rPr>
            </w:pPr>
            <w:r w:rsidRPr="00D260C7">
              <w:rPr>
                <w:sz w:val="22"/>
                <w:szCs w:val="22"/>
              </w:rPr>
              <w:t>Q1/9</w:t>
            </w:r>
            <w:r w:rsidRPr="00D260C7">
              <w:rPr>
                <w:sz w:val="22"/>
                <w:szCs w:val="22"/>
              </w:rPr>
              <w:br/>
              <w:t>Q7/9</w:t>
            </w:r>
          </w:p>
        </w:tc>
        <w:tc>
          <w:tcPr>
            <w:tcW w:w="1970" w:type="dxa"/>
            <w:tcBorders>
              <w:top w:val="single" w:sz="4" w:space="0" w:color="auto"/>
              <w:left w:val="single" w:sz="4" w:space="0" w:color="auto"/>
              <w:bottom w:val="single" w:sz="4" w:space="0" w:color="auto"/>
              <w:right w:val="single" w:sz="4" w:space="0" w:color="auto"/>
            </w:tcBorders>
          </w:tcPr>
          <w:p w14:paraId="387F521D" w14:textId="77777777" w:rsidR="00F42657" w:rsidRPr="00D260C7" w:rsidRDefault="00F42657" w:rsidP="0097767D">
            <w:pPr>
              <w:pStyle w:val="Default"/>
              <w:spacing w:before="40" w:after="40"/>
              <w:rPr>
                <w:sz w:val="22"/>
                <w:szCs w:val="22"/>
              </w:rPr>
            </w:pPr>
            <w:r w:rsidRPr="00D260C7">
              <w:rPr>
                <w:sz w:val="22"/>
                <w:szCs w:val="22"/>
              </w:rPr>
              <w:t>J.Sup-HiNoC</w:t>
            </w:r>
            <w:r w:rsidRPr="00D260C7">
              <w:rPr>
                <w:sz w:val="22"/>
                <w:szCs w:val="22"/>
              </w:rPr>
              <w:br/>
              <w:t xml:space="preserve">(Supplement) </w:t>
            </w:r>
          </w:p>
        </w:tc>
        <w:tc>
          <w:tcPr>
            <w:tcW w:w="925" w:type="dxa"/>
            <w:tcBorders>
              <w:top w:val="single" w:sz="4" w:space="0" w:color="auto"/>
              <w:left w:val="single" w:sz="4" w:space="0" w:color="auto"/>
              <w:bottom w:val="single" w:sz="4" w:space="0" w:color="auto"/>
              <w:right w:val="single" w:sz="4" w:space="0" w:color="auto"/>
            </w:tcBorders>
          </w:tcPr>
          <w:p w14:paraId="077DE321" w14:textId="77777777" w:rsidR="00F42657" w:rsidRPr="00D260C7" w:rsidRDefault="00F42657" w:rsidP="0097767D">
            <w:pPr>
              <w:pStyle w:val="Default"/>
              <w:spacing w:before="40" w:after="40"/>
              <w:rPr>
                <w:sz w:val="22"/>
                <w:szCs w:val="22"/>
              </w:rPr>
            </w:pPr>
            <w:r w:rsidRPr="00D260C7">
              <w:rPr>
                <w:sz w:val="22"/>
                <w:szCs w:val="22"/>
              </w:rPr>
              <w:t xml:space="preserve">New </w:t>
            </w:r>
          </w:p>
        </w:tc>
        <w:tc>
          <w:tcPr>
            <w:tcW w:w="3614" w:type="dxa"/>
            <w:tcBorders>
              <w:top w:val="single" w:sz="4" w:space="0" w:color="auto"/>
              <w:left w:val="single" w:sz="4" w:space="0" w:color="auto"/>
              <w:bottom w:val="single" w:sz="4" w:space="0" w:color="auto"/>
              <w:right w:val="single" w:sz="4" w:space="0" w:color="auto"/>
            </w:tcBorders>
          </w:tcPr>
          <w:p w14:paraId="037F0C22" w14:textId="77777777" w:rsidR="00F42657" w:rsidRPr="00D260C7" w:rsidRDefault="00F42657" w:rsidP="0097767D">
            <w:pPr>
              <w:pStyle w:val="Default"/>
              <w:spacing w:before="40" w:after="40"/>
              <w:rPr>
                <w:sz w:val="22"/>
                <w:szCs w:val="22"/>
              </w:rPr>
            </w:pPr>
            <w:r w:rsidRPr="00D260C7">
              <w:rPr>
                <w:sz w:val="22"/>
                <w:szCs w:val="22"/>
              </w:rPr>
              <w:t>Comparison between third-generation HiNoC and second-generation HiNoC</w:t>
            </w:r>
          </w:p>
        </w:tc>
        <w:tc>
          <w:tcPr>
            <w:tcW w:w="0" w:type="auto"/>
            <w:tcBorders>
              <w:top w:val="single" w:sz="4" w:space="0" w:color="auto"/>
              <w:left w:val="single" w:sz="4" w:space="0" w:color="auto"/>
              <w:bottom w:val="single" w:sz="4" w:space="0" w:color="auto"/>
              <w:right w:val="single" w:sz="4" w:space="0" w:color="auto"/>
            </w:tcBorders>
          </w:tcPr>
          <w:p w14:paraId="3C012F19" w14:textId="77777777" w:rsidR="00F42657" w:rsidRPr="00D260C7" w:rsidRDefault="00463B2E" w:rsidP="0097767D">
            <w:pPr>
              <w:pStyle w:val="Default"/>
              <w:spacing w:before="40" w:after="40"/>
              <w:rPr>
                <w:sz w:val="22"/>
                <w:szCs w:val="22"/>
              </w:rPr>
            </w:pPr>
            <w:hyperlink r:id="rId41" w:history="1">
              <w:r w:rsidR="00F42657" w:rsidRPr="00D260C7">
                <w:rPr>
                  <w:rStyle w:val="Hyperlink"/>
                  <w:sz w:val="22"/>
                  <w:szCs w:val="22"/>
                </w:rPr>
                <w:t>TD375R1</w:t>
              </w:r>
            </w:hyperlink>
          </w:p>
        </w:tc>
        <w:tc>
          <w:tcPr>
            <w:tcW w:w="0" w:type="auto"/>
            <w:tcBorders>
              <w:top w:val="single" w:sz="4" w:space="0" w:color="auto"/>
              <w:left w:val="single" w:sz="4" w:space="0" w:color="auto"/>
              <w:bottom w:val="single" w:sz="4" w:space="0" w:color="auto"/>
              <w:right w:val="single" w:sz="4" w:space="0" w:color="auto"/>
            </w:tcBorders>
          </w:tcPr>
          <w:p w14:paraId="14789525" w14:textId="77777777" w:rsidR="00F42657" w:rsidRPr="00D260C7" w:rsidRDefault="00F42657" w:rsidP="0097767D">
            <w:pPr>
              <w:pStyle w:val="Default"/>
              <w:spacing w:before="40" w:after="40"/>
              <w:rPr>
                <w:sz w:val="22"/>
                <w:szCs w:val="22"/>
              </w:rPr>
            </w:pPr>
            <w:r w:rsidRPr="005C79C1">
              <w:rPr>
                <w:sz w:val="22"/>
                <w:szCs w:val="22"/>
              </w:rPr>
              <w:t>ANNEX D</w:t>
            </w:r>
            <w:r w:rsidRPr="00D260C7">
              <w:rPr>
                <w:rStyle w:val="Hyperlink"/>
                <w:sz w:val="22"/>
                <w:szCs w:val="22"/>
              </w:rPr>
              <w:br/>
            </w:r>
            <w:r w:rsidRPr="00D260C7">
              <w:rPr>
                <w:sz w:val="22"/>
                <w:szCs w:val="22"/>
              </w:rPr>
              <w:t>of TD321 (A.13)</w:t>
            </w:r>
          </w:p>
        </w:tc>
      </w:tr>
      <w:tr w:rsidR="00F42657" w:rsidRPr="00D260C7" w14:paraId="61BA9985" w14:textId="77777777" w:rsidTr="0097767D">
        <w:trPr>
          <w:trHeight w:val="601"/>
          <w:jc w:val="center"/>
        </w:trPr>
        <w:tc>
          <w:tcPr>
            <w:tcW w:w="4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F70668" w14:textId="77777777" w:rsidR="00F42657" w:rsidRPr="00D260C7" w:rsidRDefault="00F42657" w:rsidP="0097767D">
            <w:pPr>
              <w:pStyle w:val="Default"/>
              <w:spacing w:before="40" w:after="40"/>
              <w:rPr>
                <w:sz w:val="22"/>
                <w:szCs w:val="22"/>
              </w:rPr>
            </w:pPr>
            <w:r w:rsidRPr="00D260C7">
              <w:rPr>
                <w:sz w:val="22"/>
                <w:szCs w:val="22"/>
              </w:rPr>
              <w:t>3</w:t>
            </w:r>
          </w:p>
        </w:tc>
        <w:tc>
          <w:tcPr>
            <w:tcW w:w="8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BDB9A4" w14:textId="77777777" w:rsidR="00F42657" w:rsidRPr="00D260C7" w:rsidRDefault="00F42657" w:rsidP="0097767D">
            <w:pPr>
              <w:pStyle w:val="Default"/>
              <w:spacing w:before="40" w:after="40"/>
              <w:rPr>
                <w:spacing w:val="-4"/>
                <w:sz w:val="22"/>
                <w:szCs w:val="22"/>
              </w:rPr>
            </w:pPr>
            <w:r w:rsidRPr="00D260C7">
              <w:rPr>
                <w:rFonts w:eastAsia="MS Mincho" w:hint="eastAsia"/>
                <w:sz w:val="22"/>
                <w:szCs w:val="22"/>
                <w:lang w:eastAsia="ja-JP"/>
              </w:rPr>
              <w:t>Q</w:t>
            </w:r>
            <w:r w:rsidRPr="00D260C7">
              <w:rPr>
                <w:rFonts w:eastAsia="MS Mincho"/>
                <w:sz w:val="22"/>
                <w:szCs w:val="22"/>
                <w:lang w:eastAsia="ja-JP"/>
              </w:rPr>
              <w:t xml:space="preserve">1/9 </w:t>
            </w:r>
            <w:r w:rsidRPr="00D260C7">
              <w:rPr>
                <w:rFonts w:eastAsia="MS Mincho"/>
                <w:sz w:val="22"/>
                <w:szCs w:val="22"/>
                <w:lang w:eastAsia="ja-JP"/>
              </w:rPr>
              <w:br/>
              <w:t>Q7/9</w:t>
            </w:r>
          </w:p>
        </w:tc>
        <w:tc>
          <w:tcPr>
            <w:tcW w:w="19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87BE25"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J</w:t>
            </w:r>
            <w:r w:rsidRPr="00D260C7">
              <w:rPr>
                <w:rFonts w:eastAsia="MS Mincho"/>
                <w:sz w:val="22"/>
                <w:szCs w:val="22"/>
                <w:lang w:eastAsia="ja-JP"/>
              </w:rPr>
              <w:t>.224 (Rev) (Recommendation)</w:t>
            </w:r>
          </w:p>
        </w:tc>
        <w:tc>
          <w:tcPr>
            <w:tcW w:w="9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9644B2"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R</w:t>
            </w:r>
            <w:r w:rsidRPr="00D260C7">
              <w:rPr>
                <w:rFonts w:eastAsia="MS Mincho"/>
                <w:sz w:val="22"/>
                <w:szCs w:val="22"/>
                <w:lang w:eastAsia="ja-JP"/>
              </w:rPr>
              <w:t>evised</w:t>
            </w:r>
          </w:p>
        </w:tc>
        <w:tc>
          <w:tcPr>
            <w:tcW w:w="36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D61D6E" w14:textId="77777777" w:rsidR="00F42657" w:rsidRPr="00D260C7" w:rsidRDefault="00F42657" w:rsidP="0097767D">
            <w:pPr>
              <w:pStyle w:val="Default"/>
              <w:spacing w:before="40" w:after="40"/>
              <w:rPr>
                <w:sz w:val="22"/>
                <w:szCs w:val="22"/>
              </w:rPr>
            </w:pPr>
            <w:r w:rsidRPr="00D260C7">
              <w:rPr>
                <w:sz w:val="22"/>
                <w:szCs w:val="22"/>
              </w:rPr>
              <w:t>Fifth-generation transmission systems for interactive cable television services - IP cable modems</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33EAB6" w14:textId="77777777" w:rsidR="00F42657" w:rsidRPr="00D260C7" w:rsidRDefault="00463B2E" w:rsidP="0097767D">
            <w:pPr>
              <w:pStyle w:val="Default"/>
              <w:spacing w:before="40" w:after="40"/>
              <w:rPr>
                <w:sz w:val="22"/>
                <w:szCs w:val="22"/>
              </w:rPr>
            </w:pPr>
            <w:hyperlink r:id="rId42" w:history="1">
              <w:r w:rsidR="00F42657" w:rsidRPr="00D260C7">
                <w:rPr>
                  <w:rStyle w:val="Hyperlink"/>
                  <w:rFonts w:eastAsia="MS Mincho" w:hint="eastAsia"/>
                  <w:sz w:val="22"/>
                  <w:szCs w:val="22"/>
                  <w:lang w:eastAsia="ja-JP"/>
                </w:rPr>
                <w:t>T</w:t>
              </w:r>
              <w:r w:rsidR="00F42657" w:rsidRPr="00D260C7">
                <w:rPr>
                  <w:rStyle w:val="Hyperlink"/>
                  <w:rFonts w:eastAsia="MS Mincho"/>
                  <w:sz w:val="22"/>
                  <w:szCs w:val="22"/>
                  <w:lang w:eastAsia="ja-JP"/>
                </w:rPr>
                <w:t>D338</w:t>
              </w:r>
            </w:hyperlink>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C03B95"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N</w:t>
            </w:r>
            <w:r w:rsidRPr="00D260C7">
              <w:rPr>
                <w:rFonts w:eastAsia="MS Mincho"/>
                <w:sz w:val="22"/>
                <w:szCs w:val="22"/>
                <w:lang w:eastAsia="ja-JP"/>
              </w:rPr>
              <w:t>/A</w:t>
            </w:r>
          </w:p>
        </w:tc>
      </w:tr>
      <w:tr w:rsidR="00F42657" w:rsidRPr="00D260C7" w14:paraId="22ED70A3" w14:textId="77777777" w:rsidTr="0097767D">
        <w:trPr>
          <w:trHeight w:val="601"/>
          <w:jc w:val="center"/>
        </w:trPr>
        <w:tc>
          <w:tcPr>
            <w:tcW w:w="4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A06DB7" w14:textId="77777777" w:rsidR="00F42657" w:rsidRPr="00D260C7" w:rsidRDefault="00F42657" w:rsidP="0097767D">
            <w:pPr>
              <w:pStyle w:val="Default"/>
              <w:spacing w:before="40" w:after="40"/>
              <w:rPr>
                <w:sz w:val="22"/>
                <w:szCs w:val="22"/>
              </w:rPr>
            </w:pPr>
            <w:r w:rsidRPr="00D260C7">
              <w:rPr>
                <w:sz w:val="22"/>
                <w:szCs w:val="22"/>
              </w:rPr>
              <w:t>4</w:t>
            </w:r>
          </w:p>
        </w:tc>
        <w:tc>
          <w:tcPr>
            <w:tcW w:w="8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9DDC9E" w14:textId="77777777" w:rsidR="00F42657" w:rsidRPr="00D260C7" w:rsidRDefault="00F42657" w:rsidP="0097767D">
            <w:pPr>
              <w:pStyle w:val="Default"/>
              <w:spacing w:before="40" w:after="40"/>
              <w:rPr>
                <w:spacing w:val="-4"/>
                <w:sz w:val="22"/>
                <w:szCs w:val="22"/>
              </w:rPr>
            </w:pPr>
            <w:r w:rsidRPr="00D260C7">
              <w:rPr>
                <w:rFonts w:eastAsia="MS Mincho" w:hint="eastAsia"/>
                <w:sz w:val="22"/>
                <w:szCs w:val="22"/>
                <w:lang w:eastAsia="ja-JP"/>
              </w:rPr>
              <w:t>Q</w:t>
            </w:r>
            <w:r w:rsidRPr="00D260C7">
              <w:rPr>
                <w:rFonts w:eastAsia="MS Mincho"/>
                <w:sz w:val="22"/>
                <w:szCs w:val="22"/>
                <w:lang w:eastAsia="ja-JP"/>
              </w:rPr>
              <w:t xml:space="preserve">1/9 </w:t>
            </w:r>
            <w:r w:rsidRPr="00D260C7">
              <w:rPr>
                <w:rFonts w:eastAsia="MS Mincho"/>
                <w:sz w:val="22"/>
                <w:szCs w:val="22"/>
                <w:lang w:eastAsia="ja-JP"/>
              </w:rPr>
              <w:br/>
              <w:t>Q7/9</w:t>
            </w:r>
          </w:p>
        </w:tc>
        <w:tc>
          <w:tcPr>
            <w:tcW w:w="19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25A31D"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J</w:t>
            </w:r>
            <w:r w:rsidRPr="00D260C7">
              <w:rPr>
                <w:rFonts w:eastAsia="MS Mincho"/>
                <w:sz w:val="22"/>
                <w:szCs w:val="22"/>
                <w:lang w:eastAsia="ja-JP"/>
              </w:rPr>
              <w:t>.225 (Rev) (Recommendation)</w:t>
            </w:r>
          </w:p>
        </w:tc>
        <w:tc>
          <w:tcPr>
            <w:tcW w:w="9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EF8A58"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R</w:t>
            </w:r>
            <w:r w:rsidRPr="00D260C7">
              <w:rPr>
                <w:rFonts w:eastAsia="MS Mincho"/>
                <w:sz w:val="22"/>
                <w:szCs w:val="22"/>
                <w:lang w:eastAsia="ja-JP"/>
              </w:rPr>
              <w:t>evised</w:t>
            </w:r>
          </w:p>
        </w:tc>
        <w:tc>
          <w:tcPr>
            <w:tcW w:w="36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9B20B9" w14:textId="77777777" w:rsidR="00F42657" w:rsidRPr="00D260C7" w:rsidRDefault="00F42657" w:rsidP="0097767D">
            <w:pPr>
              <w:pStyle w:val="Default"/>
              <w:spacing w:before="40" w:after="40"/>
              <w:rPr>
                <w:sz w:val="22"/>
                <w:szCs w:val="22"/>
              </w:rPr>
            </w:pPr>
            <w:r w:rsidRPr="00D260C7">
              <w:rPr>
                <w:sz w:val="22"/>
                <w:szCs w:val="22"/>
              </w:rPr>
              <w:t>Fourth-generation transmission systems for interactive cable television services - IP cable modems</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430903" w14:textId="77777777" w:rsidR="00F42657" w:rsidRPr="00D260C7" w:rsidRDefault="00463B2E" w:rsidP="0097767D">
            <w:pPr>
              <w:pStyle w:val="Default"/>
              <w:spacing w:before="40" w:after="40"/>
              <w:rPr>
                <w:sz w:val="22"/>
                <w:szCs w:val="22"/>
              </w:rPr>
            </w:pPr>
            <w:hyperlink r:id="rId43" w:history="1">
              <w:r w:rsidR="00F42657" w:rsidRPr="00D260C7">
                <w:rPr>
                  <w:rStyle w:val="Hyperlink"/>
                  <w:rFonts w:eastAsia="MS Mincho" w:hint="eastAsia"/>
                  <w:sz w:val="22"/>
                  <w:szCs w:val="22"/>
                  <w:lang w:eastAsia="ja-JP"/>
                </w:rPr>
                <w:t>T</w:t>
              </w:r>
              <w:r w:rsidR="00F42657" w:rsidRPr="00D260C7">
                <w:rPr>
                  <w:rStyle w:val="Hyperlink"/>
                  <w:rFonts w:eastAsia="MS Mincho"/>
                  <w:sz w:val="22"/>
                  <w:szCs w:val="22"/>
                  <w:lang w:eastAsia="ja-JP"/>
                </w:rPr>
                <w:t>D339</w:t>
              </w:r>
            </w:hyperlink>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BD8D96" w14:textId="77777777" w:rsidR="00F42657" w:rsidRPr="00D260C7" w:rsidRDefault="00F42657" w:rsidP="0097767D">
            <w:pPr>
              <w:pStyle w:val="Default"/>
              <w:spacing w:before="40" w:after="40"/>
              <w:rPr>
                <w:sz w:val="22"/>
                <w:szCs w:val="22"/>
              </w:rPr>
            </w:pPr>
            <w:r w:rsidRPr="00D260C7">
              <w:rPr>
                <w:rFonts w:eastAsia="MS Mincho" w:hint="eastAsia"/>
                <w:sz w:val="22"/>
                <w:szCs w:val="22"/>
                <w:lang w:eastAsia="ja-JP"/>
              </w:rPr>
              <w:t>N</w:t>
            </w:r>
            <w:r w:rsidRPr="00D260C7">
              <w:rPr>
                <w:rFonts w:eastAsia="MS Mincho"/>
                <w:sz w:val="22"/>
                <w:szCs w:val="22"/>
                <w:lang w:eastAsia="ja-JP"/>
              </w:rPr>
              <w:t>/A</w:t>
            </w:r>
          </w:p>
        </w:tc>
      </w:tr>
      <w:tr w:rsidR="00F42657" w:rsidRPr="00D260C7" w14:paraId="4F47520E" w14:textId="77777777" w:rsidTr="0097767D">
        <w:trPr>
          <w:trHeight w:val="601"/>
          <w:jc w:val="center"/>
        </w:trPr>
        <w:tc>
          <w:tcPr>
            <w:tcW w:w="4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06D916" w14:textId="77777777" w:rsidR="00F42657" w:rsidRPr="00D260C7" w:rsidRDefault="00F42657" w:rsidP="0097767D">
            <w:pPr>
              <w:pStyle w:val="Default"/>
              <w:spacing w:before="40" w:after="40"/>
              <w:rPr>
                <w:sz w:val="22"/>
                <w:szCs w:val="22"/>
              </w:rPr>
            </w:pPr>
            <w:r w:rsidRPr="00D260C7">
              <w:rPr>
                <w:sz w:val="22"/>
                <w:szCs w:val="22"/>
              </w:rPr>
              <w:t>5</w:t>
            </w:r>
          </w:p>
        </w:tc>
        <w:tc>
          <w:tcPr>
            <w:tcW w:w="8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C2D97D"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hint="eastAsia"/>
                <w:sz w:val="22"/>
                <w:szCs w:val="22"/>
                <w:lang w:eastAsia="ja-JP"/>
              </w:rPr>
              <w:t>Q</w:t>
            </w:r>
            <w:r w:rsidRPr="00D260C7">
              <w:rPr>
                <w:rFonts w:eastAsia="MS Mincho"/>
                <w:sz w:val="22"/>
                <w:szCs w:val="22"/>
                <w:lang w:eastAsia="ja-JP"/>
              </w:rPr>
              <w:t>1/9 Q7/9</w:t>
            </w:r>
          </w:p>
        </w:tc>
        <w:tc>
          <w:tcPr>
            <w:tcW w:w="19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1E689A"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hint="eastAsia"/>
                <w:sz w:val="22"/>
                <w:szCs w:val="22"/>
                <w:lang w:eastAsia="ja-JP"/>
              </w:rPr>
              <w:t>J</w:t>
            </w:r>
            <w:r w:rsidRPr="00D260C7">
              <w:rPr>
                <w:rFonts w:eastAsia="MS Mincho"/>
                <w:sz w:val="22"/>
                <w:szCs w:val="22"/>
                <w:lang w:eastAsia="ja-JP"/>
              </w:rPr>
              <w:t>.Sup10 (Rev)</w:t>
            </w:r>
            <w:r w:rsidRPr="00D260C7">
              <w:rPr>
                <w:rFonts w:eastAsia="MS Mincho"/>
                <w:sz w:val="22"/>
                <w:szCs w:val="22"/>
                <w:lang w:eastAsia="ja-JP"/>
              </w:rPr>
              <w:br/>
            </w:r>
            <w:r w:rsidRPr="00D260C7">
              <w:rPr>
                <w:sz w:val="22"/>
                <w:szCs w:val="22"/>
              </w:rPr>
              <w:t>(Supplement)</w:t>
            </w:r>
          </w:p>
        </w:tc>
        <w:tc>
          <w:tcPr>
            <w:tcW w:w="9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9FADC5"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hint="eastAsia"/>
                <w:sz w:val="22"/>
                <w:szCs w:val="22"/>
                <w:lang w:eastAsia="ja-JP"/>
              </w:rPr>
              <w:t>R</w:t>
            </w:r>
            <w:r w:rsidRPr="00D260C7">
              <w:rPr>
                <w:rFonts w:eastAsia="MS Mincho"/>
                <w:sz w:val="22"/>
                <w:szCs w:val="22"/>
                <w:lang w:eastAsia="ja-JP"/>
              </w:rPr>
              <w:t>evised</w:t>
            </w:r>
          </w:p>
        </w:tc>
        <w:tc>
          <w:tcPr>
            <w:tcW w:w="36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DA1F87" w14:textId="77777777" w:rsidR="00F42657" w:rsidRPr="00D260C7" w:rsidRDefault="00F42657" w:rsidP="0097767D">
            <w:pPr>
              <w:pStyle w:val="Default"/>
              <w:spacing w:before="40" w:after="40"/>
              <w:rPr>
                <w:sz w:val="22"/>
                <w:szCs w:val="22"/>
              </w:rPr>
            </w:pPr>
            <w:r w:rsidRPr="00D260C7">
              <w:rPr>
                <w:sz w:val="22"/>
                <w:szCs w:val="22"/>
              </w:rPr>
              <w:t xml:space="preserve">Correspondence between CableLabs DOCSIS </w:t>
            </w:r>
            <w:r w:rsidRPr="00D260C7">
              <w:rPr>
                <w:sz w:val="22"/>
                <w:szCs w:val="22"/>
              </w:rPr>
              <w:lastRenderedPageBreak/>
              <w:t>Specifications and ITU-T J-series Recommendations</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F86A64" w14:textId="77777777" w:rsidR="00F42657" w:rsidRPr="00D260C7" w:rsidRDefault="00463B2E" w:rsidP="0097767D">
            <w:pPr>
              <w:pStyle w:val="Default"/>
              <w:spacing w:before="40" w:after="40"/>
              <w:rPr>
                <w:sz w:val="22"/>
                <w:szCs w:val="22"/>
              </w:rPr>
            </w:pPr>
            <w:hyperlink r:id="rId44" w:history="1">
              <w:r w:rsidR="00F42657" w:rsidRPr="00D260C7">
                <w:rPr>
                  <w:rStyle w:val="Hyperlink"/>
                  <w:rFonts w:eastAsia="MS Mincho" w:hint="eastAsia"/>
                  <w:sz w:val="22"/>
                  <w:szCs w:val="22"/>
                  <w:lang w:eastAsia="ja-JP"/>
                </w:rPr>
                <w:t>T</w:t>
              </w:r>
              <w:r w:rsidR="00F42657" w:rsidRPr="00D260C7">
                <w:rPr>
                  <w:rStyle w:val="Hyperlink"/>
                  <w:rFonts w:eastAsia="MS Mincho"/>
                  <w:sz w:val="22"/>
                  <w:szCs w:val="22"/>
                  <w:lang w:eastAsia="ja-JP"/>
                </w:rPr>
                <w:t>D340</w:t>
              </w:r>
            </w:hyperlink>
            <w:r w:rsidR="00F42657">
              <w:rPr>
                <w:rStyle w:val="Hyperlink"/>
                <w:rFonts w:eastAsia="MS Mincho"/>
                <w:sz w:val="22"/>
                <w:szCs w:val="22"/>
                <w:lang w:eastAsia="ja-JP"/>
              </w:rPr>
              <w:t>-</w:t>
            </w:r>
            <w:r w:rsidR="00F42657">
              <w:rPr>
                <w:rStyle w:val="Hyperlink"/>
                <w:rFonts w:eastAsia="MS Mincho"/>
                <w:lang w:eastAsia="ja-JP"/>
              </w:rPr>
              <w:t>R1</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164AFC"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hint="eastAsia"/>
                <w:sz w:val="22"/>
                <w:szCs w:val="22"/>
                <w:lang w:eastAsia="ja-JP"/>
              </w:rPr>
              <w:t>N</w:t>
            </w:r>
            <w:r w:rsidRPr="00D260C7">
              <w:rPr>
                <w:rFonts w:eastAsia="MS Mincho"/>
                <w:sz w:val="22"/>
                <w:szCs w:val="22"/>
                <w:lang w:eastAsia="ja-JP"/>
              </w:rPr>
              <w:t>/A</w:t>
            </w:r>
          </w:p>
        </w:tc>
      </w:tr>
      <w:tr w:rsidR="00F42657" w:rsidRPr="00D260C7" w14:paraId="282A708A" w14:textId="77777777" w:rsidTr="0097767D">
        <w:trPr>
          <w:trHeight w:val="156"/>
          <w:jc w:val="center"/>
        </w:trPr>
        <w:tc>
          <w:tcPr>
            <w:tcW w:w="436" w:type="dxa"/>
            <w:vAlign w:val="center"/>
          </w:tcPr>
          <w:p w14:paraId="7E23B8E0" w14:textId="77777777" w:rsidR="00F42657" w:rsidRPr="00D260C7" w:rsidRDefault="00F42657" w:rsidP="0097767D">
            <w:pPr>
              <w:pStyle w:val="Default"/>
              <w:spacing w:before="40" w:after="40"/>
              <w:rPr>
                <w:sz w:val="22"/>
                <w:szCs w:val="22"/>
              </w:rPr>
            </w:pPr>
            <w:r w:rsidRPr="00D260C7">
              <w:rPr>
                <w:sz w:val="22"/>
                <w:szCs w:val="22"/>
              </w:rPr>
              <w:t>6</w:t>
            </w:r>
          </w:p>
        </w:tc>
        <w:tc>
          <w:tcPr>
            <w:tcW w:w="833" w:type="dxa"/>
          </w:tcPr>
          <w:p w14:paraId="3B787438" w14:textId="77777777" w:rsidR="00F42657" w:rsidRPr="00D260C7" w:rsidRDefault="00F42657" w:rsidP="0097767D">
            <w:pPr>
              <w:pStyle w:val="Default"/>
              <w:spacing w:before="40" w:after="40"/>
              <w:rPr>
                <w:spacing w:val="-4"/>
                <w:sz w:val="22"/>
                <w:szCs w:val="22"/>
              </w:rPr>
            </w:pPr>
            <w:r w:rsidRPr="00D260C7">
              <w:rPr>
                <w:sz w:val="22"/>
                <w:szCs w:val="22"/>
              </w:rPr>
              <w:t>Q2/9</w:t>
            </w:r>
          </w:p>
        </w:tc>
        <w:tc>
          <w:tcPr>
            <w:tcW w:w="1970" w:type="dxa"/>
          </w:tcPr>
          <w:p w14:paraId="170F5227" w14:textId="77777777" w:rsidR="00F42657" w:rsidRPr="00D260C7" w:rsidRDefault="00F42657" w:rsidP="0097767D">
            <w:pPr>
              <w:pStyle w:val="Default"/>
              <w:spacing w:before="40" w:after="40"/>
              <w:rPr>
                <w:sz w:val="22"/>
                <w:szCs w:val="22"/>
              </w:rPr>
            </w:pPr>
            <w:r w:rsidRPr="00D260C7">
              <w:rPr>
                <w:sz w:val="22"/>
                <w:szCs w:val="22"/>
              </w:rPr>
              <w:t>J.FSR-TEST</w:t>
            </w:r>
            <w:r w:rsidRPr="00D260C7">
              <w:rPr>
                <w:sz w:val="22"/>
                <w:szCs w:val="22"/>
              </w:rPr>
              <w:br/>
              <w:t xml:space="preserve">(Supplement) </w:t>
            </w:r>
          </w:p>
        </w:tc>
        <w:tc>
          <w:tcPr>
            <w:tcW w:w="925" w:type="dxa"/>
          </w:tcPr>
          <w:p w14:paraId="41CF526C" w14:textId="77777777" w:rsidR="00F42657" w:rsidRPr="00D260C7" w:rsidRDefault="00F42657" w:rsidP="0097767D">
            <w:pPr>
              <w:pStyle w:val="Default"/>
              <w:spacing w:before="40" w:after="40"/>
              <w:rPr>
                <w:sz w:val="22"/>
                <w:szCs w:val="22"/>
              </w:rPr>
            </w:pPr>
            <w:r w:rsidRPr="00D260C7">
              <w:rPr>
                <w:sz w:val="22"/>
                <w:szCs w:val="22"/>
              </w:rPr>
              <w:t xml:space="preserve">New </w:t>
            </w:r>
          </w:p>
        </w:tc>
        <w:tc>
          <w:tcPr>
            <w:tcW w:w="3614" w:type="dxa"/>
          </w:tcPr>
          <w:p w14:paraId="4999D22D" w14:textId="77777777" w:rsidR="00F42657" w:rsidRPr="00D260C7" w:rsidRDefault="00F42657" w:rsidP="0097767D">
            <w:pPr>
              <w:pStyle w:val="Default"/>
              <w:spacing w:before="40" w:after="40"/>
              <w:rPr>
                <w:sz w:val="22"/>
                <w:szCs w:val="22"/>
              </w:rPr>
            </w:pPr>
            <w:r w:rsidRPr="00D260C7">
              <w:rPr>
                <w:sz w:val="22"/>
                <w:szCs w:val="22"/>
              </w:rPr>
              <w:t>Factual subscriber-base reporting and protected content delivery in Conditional Access System – Test Methods</w:t>
            </w:r>
          </w:p>
        </w:tc>
        <w:tc>
          <w:tcPr>
            <w:tcW w:w="0" w:type="auto"/>
          </w:tcPr>
          <w:p w14:paraId="2D20D321" w14:textId="77777777" w:rsidR="00F42657" w:rsidRPr="00D260C7" w:rsidRDefault="00463B2E" w:rsidP="0097767D">
            <w:pPr>
              <w:pStyle w:val="Default"/>
              <w:spacing w:before="40" w:after="40"/>
              <w:rPr>
                <w:sz w:val="22"/>
                <w:szCs w:val="22"/>
              </w:rPr>
            </w:pPr>
            <w:hyperlink r:id="rId45" w:history="1">
              <w:r w:rsidR="00F42657" w:rsidRPr="00D260C7">
                <w:rPr>
                  <w:rStyle w:val="Hyperlink"/>
                  <w:sz w:val="22"/>
                  <w:szCs w:val="22"/>
                </w:rPr>
                <w:t>TD354</w:t>
              </w:r>
            </w:hyperlink>
          </w:p>
        </w:tc>
        <w:tc>
          <w:tcPr>
            <w:tcW w:w="0" w:type="auto"/>
          </w:tcPr>
          <w:p w14:paraId="5F50571A" w14:textId="77777777" w:rsidR="00F42657" w:rsidRPr="00D260C7" w:rsidRDefault="00F42657" w:rsidP="0097767D">
            <w:pPr>
              <w:pStyle w:val="Default"/>
              <w:spacing w:before="40" w:after="40"/>
              <w:rPr>
                <w:sz w:val="22"/>
                <w:szCs w:val="22"/>
              </w:rPr>
            </w:pPr>
            <w:r w:rsidRPr="005C79C1">
              <w:rPr>
                <w:sz w:val="22"/>
                <w:szCs w:val="22"/>
              </w:rPr>
              <w:t>ANNEX C</w:t>
            </w:r>
            <w:r w:rsidRPr="00D260C7">
              <w:rPr>
                <w:rStyle w:val="Hyperlink"/>
                <w:sz w:val="22"/>
                <w:szCs w:val="22"/>
              </w:rPr>
              <w:br/>
            </w:r>
            <w:r w:rsidRPr="00D260C7">
              <w:rPr>
                <w:sz w:val="22"/>
                <w:szCs w:val="22"/>
              </w:rPr>
              <w:t>of TD322 (A.13)</w:t>
            </w:r>
          </w:p>
        </w:tc>
      </w:tr>
      <w:tr w:rsidR="00F42657" w:rsidRPr="00D260C7" w14:paraId="6A15ADFE" w14:textId="77777777" w:rsidTr="0097767D">
        <w:trPr>
          <w:trHeight w:val="225"/>
          <w:jc w:val="center"/>
        </w:trPr>
        <w:tc>
          <w:tcPr>
            <w:tcW w:w="436" w:type="dxa"/>
            <w:vAlign w:val="center"/>
          </w:tcPr>
          <w:p w14:paraId="7F2C2DC7" w14:textId="77777777" w:rsidR="00F42657" w:rsidRPr="00D260C7" w:rsidRDefault="00F42657" w:rsidP="0097767D">
            <w:pPr>
              <w:pStyle w:val="Default"/>
              <w:spacing w:before="40" w:after="40"/>
              <w:rPr>
                <w:sz w:val="22"/>
                <w:szCs w:val="22"/>
              </w:rPr>
            </w:pPr>
            <w:r w:rsidRPr="00D260C7">
              <w:rPr>
                <w:sz w:val="22"/>
                <w:szCs w:val="22"/>
              </w:rPr>
              <w:t>7</w:t>
            </w:r>
          </w:p>
        </w:tc>
        <w:tc>
          <w:tcPr>
            <w:tcW w:w="833" w:type="dxa"/>
          </w:tcPr>
          <w:p w14:paraId="5CE52EB7" w14:textId="77777777" w:rsidR="00F42657" w:rsidRPr="00D260C7" w:rsidRDefault="00F42657" w:rsidP="0097767D">
            <w:pPr>
              <w:pStyle w:val="Default"/>
              <w:spacing w:before="40" w:after="40"/>
              <w:rPr>
                <w:spacing w:val="-4"/>
                <w:sz w:val="22"/>
                <w:szCs w:val="22"/>
              </w:rPr>
            </w:pPr>
            <w:r w:rsidRPr="00D260C7">
              <w:rPr>
                <w:sz w:val="22"/>
                <w:szCs w:val="22"/>
              </w:rPr>
              <w:t>Q</w:t>
            </w:r>
            <w:r w:rsidRPr="00D260C7">
              <w:rPr>
                <w:rFonts w:eastAsiaTheme="minorEastAsia" w:hint="eastAsia"/>
                <w:sz w:val="22"/>
                <w:szCs w:val="22"/>
              </w:rPr>
              <w:t>5</w:t>
            </w:r>
            <w:r w:rsidRPr="00D260C7">
              <w:rPr>
                <w:sz w:val="22"/>
                <w:szCs w:val="22"/>
              </w:rPr>
              <w:t>/9</w:t>
            </w:r>
          </w:p>
        </w:tc>
        <w:tc>
          <w:tcPr>
            <w:tcW w:w="1970" w:type="dxa"/>
          </w:tcPr>
          <w:p w14:paraId="5F3E1365" w14:textId="77777777" w:rsidR="00F42657" w:rsidRPr="00D260C7" w:rsidRDefault="00F42657" w:rsidP="0097767D">
            <w:pPr>
              <w:pStyle w:val="Default"/>
              <w:spacing w:before="40" w:after="40"/>
              <w:rPr>
                <w:sz w:val="22"/>
                <w:szCs w:val="22"/>
                <w:lang w:val="fr-FR"/>
              </w:rPr>
            </w:pPr>
            <w:r w:rsidRPr="00D260C7">
              <w:rPr>
                <w:sz w:val="22"/>
                <w:szCs w:val="22"/>
              </w:rPr>
              <w:t>J.</w:t>
            </w:r>
            <w:r w:rsidRPr="00D260C7">
              <w:rPr>
                <w:rFonts w:eastAsiaTheme="minorEastAsia" w:hint="eastAsia"/>
                <w:sz w:val="22"/>
                <w:szCs w:val="22"/>
              </w:rPr>
              <w:t>stvos-api</w:t>
            </w:r>
            <w:r w:rsidRPr="00D260C7">
              <w:rPr>
                <w:rFonts w:eastAsiaTheme="minorEastAsia"/>
                <w:sz w:val="22"/>
                <w:szCs w:val="22"/>
              </w:rPr>
              <w:br/>
            </w:r>
            <w:r w:rsidRPr="00D260C7">
              <w:rPr>
                <w:sz w:val="22"/>
                <w:szCs w:val="22"/>
              </w:rPr>
              <w:t xml:space="preserve">(Recommendation) </w:t>
            </w:r>
          </w:p>
        </w:tc>
        <w:tc>
          <w:tcPr>
            <w:tcW w:w="925" w:type="dxa"/>
          </w:tcPr>
          <w:p w14:paraId="6B7AFFA0" w14:textId="77777777" w:rsidR="00F42657" w:rsidRPr="00D260C7" w:rsidRDefault="00F42657" w:rsidP="0097767D">
            <w:pPr>
              <w:pStyle w:val="Default"/>
              <w:spacing w:before="40" w:after="40"/>
              <w:rPr>
                <w:sz w:val="22"/>
                <w:szCs w:val="22"/>
              </w:rPr>
            </w:pPr>
            <w:r w:rsidRPr="00D260C7">
              <w:rPr>
                <w:sz w:val="22"/>
                <w:szCs w:val="22"/>
              </w:rPr>
              <w:t xml:space="preserve">New </w:t>
            </w:r>
          </w:p>
        </w:tc>
        <w:tc>
          <w:tcPr>
            <w:tcW w:w="3614" w:type="dxa"/>
          </w:tcPr>
          <w:p w14:paraId="68AD9994" w14:textId="77777777" w:rsidR="00F42657" w:rsidRPr="00D260C7" w:rsidRDefault="00F42657" w:rsidP="0097767D">
            <w:pPr>
              <w:pStyle w:val="Default"/>
              <w:spacing w:before="40" w:after="40"/>
              <w:rPr>
                <w:sz w:val="22"/>
                <w:szCs w:val="22"/>
              </w:rPr>
            </w:pPr>
            <w:r w:rsidRPr="00D260C7">
              <w:rPr>
                <w:rFonts w:hint="eastAsia"/>
                <w:sz w:val="22"/>
                <w:szCs w:val="22"/>
              </w:rPr>
              <w:t>T</w:t>
            </w:r>
            <w:r w:rsidRPr="00D260C7">
              <w:rPr>
                <w:sz w:val="22"/>
                <w:szCs w:val="22"/>
              </w:rPr>
              <w:t>he application programming interface of smart TV operating system</w:t>
            </w:r>
          </w:p>
        </w:tc>
        <w:tc>
          <w:tcPr>
            <w:tcW w:w="0" w:type="auto"/>
          </w:tcPr>
          <w:p w14:paraId="66E9B7BA" w14:textId="77777777" w:rsidR="00F42657" w:rsidRPr="00D260C7" w:rsidRDefault="00463B2E" w:rsidP="0097767D">
            <w:pPr>
              <w:pStyle w:val="Default"/>
              <w:spacing w:before="40" w:after="40"/>
              <w:rPr>
                <w:sz w:val="22"/>
                <w:szCs w:val="22"/>
              </w:rPr>
            </w:pPr>
            <w:hyperlink r:id="rId46" w:history="1">
              <w:r w:rsidR="00F42657" w:rsidRPr="00D260C7">
                <w:rPr>
                  <w:rStyle w:val="Hyperlink"/>
                  <w:sz w:val="22"/>
                  <w:szCs w:val="22"/>
                </w:rPr>
                <w:t>TD383</w:t>
              </w:r>
            </w:hyperlink>
          </w:p>
        </w:tc>
        <w:tc>
          <w:tcPr>
            <w:tcW w:w="0" w:type="auto"/>
          </w:tcPr>
          <w:p w14:paraId="2F3A492A" w14:textId="77777777" w:rsidR="00F42657" w:rsidRPr="00D260C7" w:rsidRDefault="00F42657" w:rsidP="0097767D">
            <w:pPr>
              <w:pStyle w:val="Default"/>
              <w:spacing w:before="40" w:after="40"/>
              <w:rPr>
                <w:sz w:val="22"/>
                <w:szCs w:val="22"/>
              </w:rPr>
            </w:pPr>
            <w:r w:rsidRPr="005C79C1">
              <w:rPr>
                <w:sz w:val="22"/>
                <w:szCs w:val="22"/>
              </w:rPr>
              <w:t>ANNEX C</w:t>
            </w:r>
            <w:r w:rsidRPr="00D260C7">
              <w:rPr>
                <w:rStyle w:val="Hyperlink"/>
                <w:sz w:val="22"/>
                <w:szCs w:val="22"/>
              </w:rPr>
              <w:br/>
            </w:r>
            <w:r w:rsidRPr="00D260C7">
              <w:rPr>
                <w:sz w:val="22"/>
                <w:szCs w:val="22"/>
              </w:rPr>
              <w:t>of TD325 (A.1)</w:t>
            </w:r>
          </w:p>
        </w:tc>
      </w:tr>
      <w:tr w:rsidR="00F42657" w:rsidRPr="00D260C7" w14:paraId="664C5790" w14:textId="77777777" w:rsidTr="0097767D">
        <w:trPr>
          <w:trHeight w:val="225"/>
          <w:jc w:val="center"/>
        </w:trPr>
        <w:tc>
          <w:tcPr>
            <w:tcW w:w="436" w:type="dxa"/>
            <w:tcBorders>
              <w:bottom w:val="single" w:sz="4" w:space="0" w:color="auto"/>
            </w:tcBorders>
            <w:vAlign w:val="center"/>
          </w:tcPr>
          <w:p w14:paraId="5CC0CC07" w14:textId="77777777" w:rsidR="00F42657" w:rsidRPr="00D260C7" w:rsidRDefault="00F42657" w:rsidP="0097767D">
            <w:pPr>
              <w:pStyle w:val="Default"/>
              <w:spacing w:before="40" w:after="40"/>
              <w:rPr>
                <w:sz w:val="22"/>
                <w:szCs w:val="22"/>
              </w:rPr>
            </w:pPr>
            <w:r w:rsidRPr="00D260C7">
              <w:rPr>
                <w:sz w:val="22"/>
                <w:szCs w:val="22"/>
              </w:rPr>
              <w:t>8</w:t>
            </w:r>
          </w:p>
        </w:tc>
        <w:tc>
          <w:tcPr>
            <w:tcW w:w="833" w:type="dxa"/>
            <w:tcBorders>
              <w:bottom w:val="single" w:sz="4" w:space="0" w:color="auto"/>
            </w:tcBorders>
          </w:tcPr>
          <w:p w14:paraId="6B6011D1" w14:textId="77777777" w:rsidR="00F42657" w:rsidRPr="00D260C7" w:rsidRDefault="00F42657" w:rsidP="0097767D">
            <w:pPr>
              <w:pStyle w:val="Default"/>
              <w:spacing w:before="40" w:after="40"/>
              <w:rPr>
                <w:spacing w:val="-4"/>
                <w:sz w:val="22"/>
                <w:szCs w:val="22"/>
              </w:rPr>
            </w:pPr>
            <w:r w:rsidRPr="00D260C7">
              <w:rPr>
                <w:rFonts w:hint="eastAsia"/>
                <w:sz w:val="22"/>
                <w:szCs w:val="22"/>
              </w:rPr>
              <w:t>Q</w:t>
            </w:r>
            <w:r w:rsidRPr="00D260C7">
              <w:rPr>
                <w:sz w:val="22"/>
                <w:szCs w:val="22"/>
              </w:rPr>
              <w:t>6/9</w:t>
            </w:r>
          </w:p>
        </w:tc>
        <w:tc>
          <w:tcPr>
            <w:tcW w:w="1970" w:type="dxa"/>
            <w:tcBorders>
              <w:bottom w:val="single" w:sz="4" w:space="0" w:color="auto"/>
            </w:tcBorders>
          </w:tcPr>
          <w:p w14:paraId="5F9860A1" w14:textId="77777777" w:rsidR="00F42657" w:rsidRPr="00D260C7" w:rsidRDefault="00F42657" w:rsidP="0097767D">
            <w:pPr>
              <w:pStyle w:val="Default"/>
              <w:spacing w:before="40" w:after="40"/>
              <w:rPr>
                <w:sz w:val="22"/>
                <w:szCs w:val="22"/>
              </w:rPr>
            </w:pPr>
            <w:r w:rsidRPr="00D260C7">
              <w:rPr>
                <w:rFonts w:eastAsia="SimSun"/>
                <w:sz w:val="22"/>
                <w:szCs w:val="22"/>
              </w:rPr>
              <w:t>J.298 (Rev)</w:t>
            </w:r>
            <w:r w:rsidRPr="00D260C7">
              <w:rPr>
                <w:rFonts w:eastAsia="SimSun"/>
                <w:sz w:val="22"/>
                <w:szCs w:val="22"/>
              </w:rPr>
              <w:br/>
            </w:r>
            <w:r w:rsidRPr="00D260C7">
              <w:rPr>
                <w:sz w:val="22"/>
                <w:szCs w:val="22"/>
              </w:rPr>
              <w:t>(Recommendation)</w:t>
            </w:r>
          </w:p>
        </w:tc>
        <w:tc>
          <w:tcPr>
            <w:tcW w:w="925" w:type="dxa"/>
            <w:tcBorders>
              <w:bottom w:val="single" w:sz="4" w:space="0" w:color="auto"/>
            </w:tcBorders>
          </w:tcPr>
          <w:p w14:paraId="73BFFB4B" w14:textId="77777777" w:rsidR="00F42657" w:rsidRPr="00D260C7" w:rsidRDefault="00F42657" w:rsidP="0097767D">
            <w:pPr>
              <w:pStyle w:val="Default"/>
              <w:spacing w:before="40" w:after="40"/>
              <w:rPr>
                <w:sz w:val="22"/>
                <w:szCs w:val="22"/>
              </w:rPr>
            </w:pPr>
            <w:r w:rsidRPr="00D260C7">
              <w:rPr>
                <w:rFonts w:hint="eastAsia"/>
                <w:sz w:val="22"/>
                <w:szCs w:val="22"/>
              </w:rPr>
              <w:t>R</w:t>
            </w:r>
            <w:r w:rsidRPr="00D260C7">
              <w:rPr>
                <w:sz w:val="22"/>
                <w:szCs w:val="22"/>
              </w:rPr>
              <w:t>ev</w:t>
            </w:r>
          </w:p>
        </w:tc>
        <w:tc>
          <w:tcPr>
            <w:tcW w:w="3614" w:type="dxa"/>
            <w:tcBorders>
              <w:bottom w:val="single" w:sz="4" w:space="0" w:color="auto"/>
            </w:tcBorders>
          </w:tcPr>
          <w:p w14:paraId="27186149" w14:textId="77777777" w:rsidR="00F42657" w:rsidRPr="00D260C7" w:rsidRDefault="00F42657" w:rsidP="0097767D">
            <w:pPr>
              <w:pStyle w:val="Default"/>
              <w:spacing w:before="40" w:after="40"/>
              <w:rPr>
                <w:sz w:val="22"/>
                <w:szCs w:val="22"/>
              </w:rPr>
            </w:pPr>
            <w:r w:rsidRPr="00D260C7">
              <w:rPr>
                <w:sz w:val="22"/>
                <w:szCs w:val="22"/>
              </w:rPr>
              <w:t>Requirements and technical specifications of a cable TV hybrid set-top box compatible with terrestrial and satellite TV transport</w:t>
            </w:r>
          </w:p>
        </w:tc>
        <w:tc>
          <w:tcPr>
            <w:tcW w:w="0" w:type="auto"/>
            <w:tcBorders>
              <w:bottom w:val="single" w:sz="4" w:space="0" w:color="auto"/>
            </w:tcBorders>
          </w:tcPr>
          <w:p w14:paraId="6D58FCDE" w14:textId="77777777" w:rsidR="00F42657" w:rsidRPr="00D260C7" w:rsidRDefault="00463B2E" w:rsidP="0097767D">
            <w:pPr>
              <w:pStyle w:val="Default"/>
              <w:spacing w:before="40" w:after="40"/>
              <w:rPr>
                <w:sz w:val="22"/>
                <w:szCs w:val="22"/>
              </w:rPr>
            </w:pPr>
            <w:hyperlink r:id="rId47" w:history="1">
              <w:r w:rsidR="00F42657" w:rsidRPr="00D260C7">
                <w:rPr>
                  <w:rStyle w:val="Hyperlink"/>
                  <w:rFonts w:hint="eastAsia"/>
                  <w:sz w:val="22"/>
                  <w:szCs w:val="22"/>
                </w:rPr>
                <w:t>T</w:t>
              </w:r>
              <w:r w:rsidR="00F42657" w:rsidRPr="00D260C7">
                <w:rPr>
                  <w:rStyle w:val="Hyperlink"/>
                  <w:sz w:val="22"/>
                  <w:szCs w:val="22"/>
                </w:rPr>
                <w:t>D379</w:t>
              </w:r>
            </w:hyperlink>
          </w:p>
        </w:tc>
        <w:tc>
          <w:tcPr>
            <w:tcW w:w="0" w:type="auto"/>
            <w:tcBorders>
              <w:bottom w:val="single" w:sz="4" w:space="0" w:color="auto"/>
            </w:tcBorders>
          </w:tcPr>
          <w:p w14:paraId="09E9B834" w14:textId="77777777" w:rsidR="00F42657" w:rsidRPr="00D260C7" w:rsidRDefault="00F42657" w:rsidP="0097767D">
            <w:pPr>
              <w:pStyle w:val="Default"/>
              <w:spacing w:before="40" w:after="40"/>
              <w:rPr>
                <w:sz w:val="22"/>
                <w:szCs w:val="22"/>
              </w:rPr>
            </w:pPr>
            <w:r w:rsidRPr="005C79C1">
              <w:rPr>
                <w:rFonts w:asciiTheme="majorBidi" w:eastAsia="SimSun" w:hAnsiTheme="majorBidi"/>
                <w:sz w:val="22"/>
                <w:szCs w:val="22"/>
              </w:rPr>
              <w:t>ANNEX C</w:t>
            </w:r>
            <w:r w:rsidRPr="00D260C7">
              <w:rPr>
                <w:rStyle w:val="Hyperlink"/>
                <w:rFonts w:eastAsia="SimSun"/>
                <w:sz w:val="22"/>
                <w:szCs w:val="22"/>
              </w:rPr>
              <w:br/>
            </w:r>
            <w:r w:rsidRPr="00D260C7">
              <w:rPr>
                <w:rFonts w:eastAsia="SimSun"/>
                <w:sz w:val="22"/>
                <w:szCs w:val="22"/>
              </w:rPr>
              <w:t>of TD326</w:t>
            </w:r>
            <w:r w:rsidRPr="00D260C7">
              <w:rPr>
                <w:rFonts w:eastAsia="SimSun"/>
                <w:sz w:val="22"/>
                <w:szCs w:val="22"/>
              </w:rPr>
              <w:br/>
              <w:t>(A.1)</w:t>
            </w:r>
          </w:p>
        </w:tc>
      </w:tr>
      <w:tr w:rsidR="00F42657" w:rsidRPr="00D260C7" w14:paraId="1B68C24F" w14:textId="77777777" w:rsidTr="00682CC4">
        <w:trPr>
          <w:trHeight w:val="225"/>
          <w:jc w:val="center"/>
        </w:trPr>
        <w:tc>
          <w:tcPr>
            <w:tcW w:w="4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C823C1"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sz w:val="22"/>
                <w:szCs w:val="22"/>
                <w:lang w:eastAsia="ja-JP"/>
              </w:rPr>
              <w:t>9</w:t>
            </w:r>
          </w:p>
        </w:tc>
        <w:tc>
          <w:tcPr>
            <w:tcW w:w="8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1060EE" w14:textId="77777777" w:rsidR="00F42657" w:rsidRPr="00D260C7" w:rsidRDefault="00F42657" w:rsidP="00682CC4">
            <w:pPr>
              <w:pStyle w:val="Default"/>
              <w:spacing w:before="40" w:after="40"/>
              <w:rPr>
                <w:spacing w:val="-4"/>
                <w:sz w:val="22"/>
                <w:szCs w:val="22"/>
              </w:rPr>
            </w:pPr>
            <w:r w:rsidRPr="00D260C7">
              <w:rPr>
                <w:spacing w:val="-4"/>
                <w:sz w:val="22"/>
                <w:szCs w:val="22"/>
              </w:rPr>
              <w:t>Q6/9</w:t>
            </w:r>
          </w:p>
        </w:tc>
        <w:tc>
          <w:tcPr>
            <w:tcW w:w="19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635EAE" w14:textId="77777777" w:rsidR="00F42657" w:rsidRPr="00D260C7" w:rsidRDefault="00F42657" w:rsidP="00682CC4">
            <w:pPr>
              <w:pStyle w:val="Default"/>
              <w:spacing w:before="40" w:after="40"/>
              <w:rPr>
                <w:rFonts w:eastAsia="SimSun"/>
                <w:sz w:val="22"/>
                <w:szCs w:val="22"/>
              </w:rPr>
            </w:pPr>
            <w:r w:rsidRPr="00D260C7">
              <w:rPr>
                <w:sz w:val="22"/>
                <w:szCs w:val="22"/>
              </w:rPr>
              <w:t>J.299 (Rev.)</w:t>
            </w:r>
            <w:r w:rsidRPr="00D260C7">
              <w:rPr>
                <w:sz w:val="22"/>
                <w:szCs w:val="22"/>
              </w:rPr>
              <w:br/>
              <w:t>(Recommendation)</w:t>
            </w:r>
          </w:p>
        </w:tc>
        <w:tc>
          <w:tcPr>
            <w:tcW w:w="9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341959" w14:textId="77777777" w:rsidR="00F42657" w:rsidRPr="00D260C7" w:rsidRDefault="00F42657" w:rsidP="00682CC4">
            <w:pPr>
              <w:pStyle w:val="Default"/>
              <w:spacing w:before="40" w:after="40"/>
              <w:rPr>
                <w:rFonts w:eastAsia="MS Mincho"/>
                <w:sz w:val="22"/>
                <w:szCs w:val="22"/>
                <w:lang w:eastAsia="ja-JP"/>
              </w:rPr>
            </w:pPr>
            <w:r w:rsidRPr="00D260C7">
              <w:rPr>
                <w:rFonts w:eastAsia="MS Mincho"/>
                <w:sz w:val="22"/>
                <w:szCs w:val="22"/>
                <w:lang w:eastAsia="ja-JP"/>
              </w:rPr>
              <w:t>Rev</w:t>
            </w:r>
          </w:p>
        </w:tc>
        <w:tc>
          <w:tcPr>
            <w:tcW w:w="36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BD2088" w14:textId="77777777" w:rsidR="00F42657" w:rsidRPr="00D260C7" w:rsidRDefault="00F42657" w:rsidP="00682CC4">
            <w:pPr>
              <w:pStyle w:val="Default"/>
              <w:spacing w:before="40" w:after="40"/>
              <w:rPr>
                <w:rFonts w:eastAsia="SimSun"/>
                <w:sz w:val="22"/>
                <w:szCs w:val="22"/>
              </w:rPr>
            </w:pPr>
            <w:r w:rsidRPr="00D260C7">
              <w:rPr>
                <w:sz w:val="22"/>
                <w:szCs w:val="22"/>
              </w:rPr>
              <w:t>Functional requirements for remote management of cable set-top-box by auto configuration server</w:t>
            </w:r>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95D9E6" w14:textId="77777777" w:rsidR="00F42657" w:rsidRPr="00D260C7" w:rsidRDefault="00463B2E" w:rsidP="00682CC4">
            <w:pPr>
              <w:pStyle w:val="Default"/>
              <w:spacing w:before="40" w:after="40"/>
              <w:rPr>
                <w:sz w:val="22"/>
                <w:szCs w:val="22"/>
                <w:lang w:val="fr-CH"/>
              </w:rPr>
            </w:pPr>
            <w:hyperlink r:id="rId48" w:tooltip="https://www.itu.int/md/meetingdoc.asp?lang=en&amp;parent=T22-SG09-230509-TD-GEN-0355" w:history="1">
              <w:r w:rsidR="00F42657" w:rsidRPr="00D260C7">
                <w:rPr>
                  <w:rStyle w:val="Hyperlink"/>
                  <w:sz w:val="22"/>
                  <w:szCs w:val="22"/>
                  <w:lang w:val="en-GB"/>
                </w:rPr>
                <w:t>TD355</w:t>
              </w:r>
            </w:hyperlink>
          </w:p>
        </w:tc>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D513E3" w14:textId="77777777" w:rsidR="00F42657" w:rsidRPr="00D260C7" w:rsidRDefault="00F42657" w:rsidP="00682CC4">
            <w:pPr>
              <w:pStyle w:val="Default"/>
              <w:spacing w:before="40" w:after="40"/>
              <w:rPr>
                <w:sz w:val="22"/>
                <w:szCs w:val="22"/>
                <w:lang w:val="fr-CH"/>
              </w:rPr>
            </w:pPr>
            <w:r w:rsidRPr="00D260C7">
              <w:rPr>
                <w:rFonts w:eastAsia="MS Mincho" w:hint="eastAsia"/>
                <w:sz w:val="22"/>
                <w:szCs w:val="22"/>
                <w:lang w:eastAsia="ja-JP"/>
              </w:rPr>
              <w:t>N</w:t>
            </w:r>
            <w:r w:rsidRPr="00D260C7">
              <w:rPr>
                <w:rFonts w:eastAsia="MS Mincho"/>
                <w:sz w:val="22"/>
                <w:szCs w:val="22"/>
                <w:lang w:eastAsia="ja-JP"/>
              </w:rPr>
              <w:t>/A</w:t>
            </w:r>
          </w:p>
        </w:tc>
      </w:tr>
      <w:tr w:rsidR="00F42657" w:rsidRPr="00D260C7" w14:paraId="504F12C5" w14:textId="77777777" w:rsidTr="0097767D">
        <w:trPr>
          <w:trHeight w:val="225"/>
          <w:jc w:val="center"/>
        </w:trPr>
        <w:tc>
          <w:tcPr>
            <w:tcW w:w="436" w:type="dxa"/>
            <w:tcBorders>
              <w:top w:val="single" w:sz="4" w:space="0" w:color="auto"/>
              <w:left w:val="single" w:sz="4" w:space="0" w:color="auto"/>
              <w:bottom w:val="single" w:sz="4" w:space="0" w:color="auto"/>
              <w:right w:val="single" w:sz="4" w:space="0" w:color="auto"/>
            </w:tcBorders>
            <w:vAlign w:val="center"/>
          </w:tcPr>
          <w:p w14:paraId="1CF3182F" w14:textId="77777777" w:rsidR="00F42657" w:rsidRPr="00D260C7" w:rsidRDefault="00F42657" w:rsidP="0097767D">
            <w:pPr>
              <w:pStyle w:val="Default"/>
              <w:spacing w:before="40" w:after="40"/>
              <w:rPr>
                <w:rFonts w:eastAsia="MS Mincho"/>
                <w:sz w:val="22"/>
                <w:szCs w:val="22"/>
                <w:lang w:eastAsia="ja-JP"/>
              </w:rPr>
            </w:pPr>
            <w:r w:rsidRPr="00D260C7">
              <w:rPr>
                <w:rFonts w:eastAsia="MS Mincho"/>
                <w:sz w:val="22"/>
                <w:szCs w:val="22"/>
                <w:lang w:eastAsia="ja-JP"/>
              </w:rPr>
              <w:t>10</w:t>
            </w:r>
          </w:p>
        </w:tc>
        <w:tc>
          <w:tcPr>
            <w:tcW w:w="833" w:type="dxa"/>
            <w:tcBorders>
              <w:top w:val="single" w:sz="4" w:space="0" w:color="auto"/>
              <w:left w:val="single" w:sz="4" w:space="0" w:color="auto"/>
              <w:bottom w:val="single" w:sz="4" w:space="0" w:color="auto"/>
              <w:right w:val="single" w:sz="4" w:space="0" w:color="auto"/>
            </w:tcBorders>
          </w:tcPr>
          <w:p w14:paraId="34F3817E" w14:textId="77777777" w:rsidR="00F42657" w:rsidRPr="00D260C7" w:rsidRDefault="00F42657" w:rsidP="0097767D">
            <w:pPr>
              <w:pStyle w:val="Default"/>
              <w:spacing w:before="40" w:after="40"/>
              <w:rPr>
                <w:spacing w:val="-4"/>
                <w:sz w:val="22"/>
                <w:szCs w:val="22"/>
              </w:rPr>
            </w:pPr>
            <w:r w:rsidRPr="00D260C7">
              <w:rPr>
                <w:sz w:val="22"/>
                <w:szCs w:val="22"/>
              </w:rPr>
              <w:t>Q9/9</w:t>
            </w:r>
          </w:p>
        </w:tc>
        <w:tc>
          <w:tcPr>
            <w:tcW w:w="1970" w:type="dxa"/>
            <w:tcBorders>
              <w:top w:val="single" w:sz="4" w:space="0" w:color="auto"/>
              <w:left w:val="single" w:sz="4" w:space="0" w:color="auto"/>
              <w:bottom w:val="single" w:sz="4" w:space="0" w:color="auto"/>
              <w:right w:val="single" w:sz="4" w:space="0" w:color="auto"/>
            </w:tcBorders>
          </w:tcPr>
          <w:p w14:paraId="7CBB7E02" w14:textId="77777777" w:rsidR="00F42657" w:rsidRPr="00D260C7" w:rsidRDefault="00F42657" w:rsidP="0097767D">
            <w:pPr>
              <w:pStyle w:val="Default"/>
              <w:spacing w:before="40" w:after="40"/>
              <w:rPr>
                <w:rFonts w:eastAsia="SimSun"/>
                <w:sz w:val="22"/>
                <w:szCs w:val="22"/>
              </w:rPr>
            </w:pPr>
            <w:r w:rsidRPr="00D260C7">
              <w:rPr>
                <w:sz w:val="22"/>
                <w:szCs w:val="22"/>
              </w:rPr>
              <w:t xml:space="preserve">J.cloud-holo </w:t>
            </w:r>
            <w:r w:rsidRPr="00D260C7">
              <w:rPr>
                <w:sz w:val="22"/>
                <w:szCs w:val="22"/>
              </w:rPr>
              <w:br/>
              <w:t>(Recommendation)</w:t>
            </w:r>
          </w:p>
        </w:tc>
        <w:tc>
          <w:tcPr>
            <w:tcW w:w="925" w:type="dxa"/>
            <w:tcBorders>
              <w:top w:val="single" w:sz="4" w:space="0" w:color="auto"/>
              <w:left w:val="single" w:sz="4" w:space="0" w:color="auto"/>
              <w:bottom w:val="single" w:sz="4" w:space="0" w:color="auto"/>
              <w:right w:val="single" w:sz="4" w:space="0" w:color="auto"/>
            </w:tcBorders>
          </w:tcPr>
          <w:p w14:paraId="3FDE1E9E" w14:textId="77777777" w:rsidR="00F42657" w:rsidRPr="00D260C7" w:rsidRDefault="00F42657" w:rsidP="0097767D">
            <w:pPr>
              <w:pStyle w:val="Default"/>
              <w:spacing w:before="40" w:after="40"/>
              <w:rPr>
                <w:rFonts w:eastAsia="MS Mincho"/>
                <w:sz w:val="22"/>
                <w:szCs w:val="22"/>
                <w:lang w:eastAsia="ja-JP"/>
              </w:rPr>
            </w:pPr>
            <w:r w:rsidRPr="00D260C7">
              <w:rPr>
                <w:sz w:val="22"/>
                <w:szCs w:val="22"/>
              </w:rPr>
              <w:t xml:space="preserve">New </w:t>
            </w:r>
          </w:p>
        </w:tc>
        <w:tc>
          <w:tcPr>
            <w:tcW w:w="3614" w:type="dxa"/>
            <w:tcBorders>
              <w:top w:val="single" w:sz="4" w:space="0" w:color="auto"/>
              <w:left w:val="single" w:sz="4" w:space="0" w:color="auto"/>
              <w:bottom w:val="single" w:sz="4" w:space="0" w:color="auto"/>
              <w:right w:val="single" w:sz="4" w:space="0" w:color="auto"/>
            </w:tcBorders>
          </w:tcPr>
          <w:p w14:paraId="47497208" w14:textId="77777777" w:rsidR="00F42657" w:rsidRPr="00D260C7" w:rsidRDefault="00F42657" w:rsidP="0097767D">
            <w:pPr>
              <w:pStyle w:val="Default"/>
              <w:spacing w:before="40" w:after="40"/>
              <w:rPr>
                <w:rFonts w:eastAsia="SimSun"/>
                <w:sz w:val="22"/>
                <w:szCs w:val="22"/>
              </w:rPr>
            </w:pPr>
            <w:r w:rsidRPr="00D260C7">
              <w:rPr>
                <w:sz w:val="22"/>
                <w:szCs w:val="22"/>
              </w:rPr>
              <w:t>Requirements of E2E Network Platform for Cloud-based Holography Transmissions</w:t>
            </w:r>
          </w:p>
        </w:tc>
        <w:tc>
          <w:tcPr>
            <w:tcW w:w="0" w:type="auto"/>
            <w:tcBorders>
              <w:top w:val="single" w:sz="4" w:space="0" w:color="auto"/>
              <w:left w:val="single" w:sz="4" w:space="0" w:color="auto"/>
              <w:bottom w:val="single" w:sz="4" w:space="0" w:color="auto"/>
              <w:right w:val="single" w:sz="4" w:space="0" w:color="auto"/>
            </w:tcBorders>
          </w:tcPr>
          <w:p w14:paraId="67A8868E" w14:textId="77777777" w:rsidR="00F42657" w:rsidRPr="00D260C7" w:rsidRDefault="00463B2E" w:rsidP="0097767D">
            <w:pPr>
              <w:pStyle w:val="Default"/>
              <w:spacing w:before="40" w:after="40"/>
              <w:rPr>
                <w:sz w:val="22"/>
                <w:szCs w:val="22"/>
              </w:rPr>
            </w:pPr>
            <w:hyperlink r:id="rId49" w:history="1">
              <w:r w:rsidR="00F42657" w:rsidRPr="00D260C7">
                <w:rPr>
                  <w:rStyle w:val="Hyperlink"/>
                  <w:sz w:val="22"/>
                  <w:szCs w:val="22"/>
                </w:rPr>
                <w:t>TD363</w:t>
              </w:r>
            </w:hyperlink>
          </w:p>
        </w:tc>
        <w:tc>
          <w:tcPr>
            <w:tcW w:w="0" w:type="auto"/>
            <w:tcBorders>
              <w:top w:val="single" w:sz="4" w:space="0" w:color="auto"/>
              <w:left w:val="single" w:sz="4" w:space="0" w:color="auto"/>
              <w:bottom w:val="single" w:sz="4" w:space="0" w:color="auto"/>
              <w:right w:val="single" w:sz="4" w:space="0" w:color="auto"/>
            </w:tcBorders>
          </w:tcPr>
          <w:p w14:paraId="473ED3C5" w14:textId="77777777" w:rsidR="00F42657" w:rsidRPr="00D260C7" w:rsidRDefault="00F42657" w:rsidP="0097767D">
            <w:pPr>
              <w:pStyle w:val="Default"/>
              <w:spacing w:before="40" w:after="40"/>
              <w:rPr>
                <w:sz w:val="22"/>
                <w:szCs w:val="22"/>
              </w:rPr>
            </w:pPr>
            <w:r w:rsidRPr="005C79C1">
              <w:rPr>
                <w:sz w:val="22"/>
                <w:szCs w:val="22"/>
              </w:rPr>
              <w:t>ANNEX C</w:t>
            </w:r>
            <w:r w:rsidRPr="00D260C7">
              <w:rPr>
                <w:rStyle w:val="Hyperlink"/>
                <w:sz w:val="22"/>
                <w:szCs w:val="22"/>
              </w:rPr>
              <w:br/>
            </w:r>
            <w:r w:rsidRPr="00D260C7">
              <w:rPr>
                <w:sz w:val="22"/>
                <w:szCs w:val="22"/>
              </w:rPr>
              <w:t>of TD329 (A.1)</w:t>
            </w:r>
          </w:p>
        </w:tc>
      </w:tr>
      <w:tr w:rsidR="00F42657" w:rsidRPr="00D260C7" w14:paraId="26A020C5" w14:textId="77777777" w:rsidTr="0097767D">
        <w:trPr>
          <w:trHeight w:val="225"/>
          <w:jc w:val="center"/>
        </w:trPr>
        <w:tc>
          <w:tcPr>
            <w:tcW w:w="436" w:type="dxa"/>
            <w:tcBorders>
              <w:top w:val="single" w:sz="4" w:space="0" w:color="auto"/>
              <w:left w:val="single" w:sz="4" w:space="0" w:color="auto"/>
              <w:bottom w:val="single" w:sz="4" w:space="0" w:color="auto"/>
              <w:right w:val="single" w:sz="4" w:space="0" w:color="auto"/>
            </w:tcBorders>
            <w:vAlign w:val="center"/>
          </w:tcPr>
          <w:p w14:paraId="048FE01E" w14:textId="77777777" w:rsidR="00F42657" w:rsidRPr="005C79C1" w:rsidRDefault="00F42657" w:rsidP="0097767D">
            <w:pPr>
              <w:pStyle w:val="Default"/>
              <w:spacing w:before="40" w:after="40"/>
              <w:rPr>
                <w:rFonts w:eastAsia="MS Mincho"/>
                <w:sz w:val="22"/>
                <w:szCs w:val="22"/>
                <w:lang w:val="en-GB" w:eastAsia="ja-JP"/>
              </w:rPr>
            </w:pPr>
            <w:r>
              <w:rPr>
                <w:rFonts w:eastAsia="MS Mincho"/>
                <w:sz w:val="22"/>
                <w:szCs w:val="22"/>
                <w:lang w:val="en-GB" w:eastAsia="ja-JP"/>
              </w:rPr>
              <w:t>11</w:t>
            </w:r>
          </w:p>
        </w:tc>
        <w:tc>
          <w:tcPr>
            <w:tcW w:w="833" w:type="dxa"/>
            <w:tcBorders>
              <w:top w:val="single" w:sz="4" w:space="0" w:color="auto"/>
              <w:left w:val="single" w:sz="4" w:space="0" w:color="auto"/>
              <w:bottom w:val="single" w:sz="4" w:space="0" w:color="auto"/>
              <w:right w:val="single" w:sz="4" w:space="0" w:color="auto"/>
            </w:tcBorders>
          </w:tcPr>
          <w:p w14:paraId="1E959C7E" w14:textId="77777777" w:rsidR="00F42657" w:rsidRPr="00D260C7" w:rsidRDefault="00F42657" w:rsidP="0097767D">
            <w:pPr>
              <w:pStyle w:val="Default"/>
              <w:spacing w:before="40" w:after="40"/>
              <w:rPr>
                <w:sz w:val="22"/>
                <w:szCs w:val="22"/>
              </w:rPr>
            </w:pPr>
            <w:r>
              <w:rPr>
                <w:sz w:val="22"/>
                <w:szCs w:val="22"/>
              </w:rPr>
              <w:t>Q10/9</w:t>
            </w:r>
          </w:p>
        </w:tc>
        <w:tc>
          <w:tcPr>
            <w:tcW w:w="1970" w:type="dxa"/>
            <w:tcBorders>
              <w:top w:val="single" w:sz="4" w:space="0" w:color="auto"/>
              <w:left w:val="single" w:sz="4" w:space="0" w:color="auto"/>
              <w:bottom w:val="single" w:sz="4" w:space="0" w:color="auto"/>
              <w:right w:val="single" w:sz="4" w:space="0" w:color="auto"/>
            </w:tcBorders>
          </w:tcPr>
          <w:p w14:paraId="6CA14D16" w14:textId="77777777" w:rsidR="00F42657" w:rsidRPr="00D260C7" w:rsidRDefault="00F42657" w:rsidP="0097767D">
            <w:pPr>
              <w:pStyle w:val="Default"/>
              <w:spacing w:before="40" w:after="40"/>
              <w:rPr>
                <w:sz w:val="22"/>
                <w:szCs w:val="22"/>
              </w:rPr>
            </w:pPr>
            <w:r w:rsidRPr="00894116">
              <w:rPr>
                <w:rFonts w:eastAsiaTheme="minorEastAsia" w:hint="eastAsia"/>
                <w:sz w:val="22"/>
                <w:szCs w:val="22"/>
              </w:rPr>
              <w:t>J</w:t>
            </w:r>
            <w:r w:rsidRPr="00894116">
              <w:rPr>
                <w:rFonts w:eastAsiaTheme="minorEastAsia"/>
                <w:sz w:val="22"/>
                <w:szCs w:val="22"/>
              </w:rPr>
              <w:t>.1</w:t>
            </w:r>
            <w:r>
              <w:rPr>
                <w:rFonts w:eastAsiaTheme="minorEastAsia"/>
                <w:sz w:val="22"/>
                <w:szCs w:val="22"/>
              </w:rPr>
              <w:t xml:space="preserve"> (Rev)</w:t>
            </w:r>
            <w:r>
              <w:rPr>
                <w:rFonts w:eastAsiaTheme="minorEastAsia"/>
                <w:sz w:val="22"/>
                <w:szCs w:val="22"/>
              </w:rPr>
              <w:br/>
            </w:r>
            <w:r w:rsidRPr="00D260C7">
              <w:rPr>
                <w:sz w:val="22"/>
                <w:szCs w:val="22"/>
              </w:rPr>
              <w:t>(Recommendation)</w:t>
            </w:r>
          </w:p>
        </w:tc>
        <w:tc>
          <w:tcPr>
            <w:tcW w:w="925" w:type="dxa"/>
            <w:tcBorders>
              <w:top w:val="single" w:sz="4" w:space="0" w:color="auto"/>
              <w:left w:val="single" w:sz="4" w:space="0" w:color="auto"/>
              <w:bottom w:val="single" w:sz="4" w:space="0" w:color="auto"/>
              <w:right w:val="single" w:sz="4" w:space="0" w:color="auto"/>
            </w:tcBorders>
          </w:tcPr>
          <w:p w14:paraId="0317317E" w14:textId="77777777" w:rsidR="00F42657" w:rsidRPr="00D260C7" w:rsidRDefault="00F42657" w:rsidP="0097767D">
            <w:pPr>
              <w:pStyle w:val="Default"/>
              <w:spacing w:before="40" w:after="40"/>
              <w:rPr>
                <w:sz w:val="22"/>
                <w:szCs w:val="22"/>
              </w:rPr>
            </w:pPr>
            <w:r>
              <w:rPr>
                <w:sz w:val="22"/>
                <w:szCs w:val="22"/>
              </w:rPr>
              <w:t>Rev</w:t>
            </w:r>
          </w:p>
        </w:tc>
        <w:tc>
          <w:tcPr>
            <w:tcW w:w="3614" w:type="dxa"/>
            <w:tcBorders>
              <w:top w:val="single" w:sz="4" w:space="0" w:color="auto"/>
              <w:left w:val="single" w:sz="4" w:space="0" w:color="auto"/>
              <w:bottom w:val="single" w:sz="4" w:space="0" w:color="auto"/>
              <w:right w:val="single" w:sz="4" w:space="0" w:color="auto"/>
            </w:tcBorders>
          </w:tcPr>
          <w:p w14:paraId="2BD262DA" w14:textId="77777777" w:rsidR="00F42657" w:rsidRPr="00D260C7" w:rsidRDefault="00F42657" w:rsidP="0097767D">
            <w:pPr>
              <w:pStyle w:val="Default"/>
              <w:spacing w:before="40" w:after="40"/>
              <w:rPr>
                <w:sz w:val="22"/>
                <w:szCs w:val="22"/>
              </w:rPr>
            </w:pPr>
            <w:r w:rsidRPr="00620F2B">
              <w:rPr>
                <w:sz w:val="20"/>
                <w:szCs w:val="20"/>
              </w:rPr>
              <w:t>Terms, definitions and acronyms for television and sound transmission and integrated broadband cable networks</w:t>
            </w:r>
          </w:p>
        </w:tc>
        <w:tc>
          <w:tcPr>
            <w:tcW w:w="0" w:type="auto"/>
            <w:tcBorders>
              <w:top w:val="single" w:sz="4" w:space="0" w:color="auto"/>
              <w:left w:val="single" w:sz="4" w:space="0" w:color="auto"/>
              <w:bottom w:val="single" w:sz="4" w:space="0" w:color="auto"/>
              <w:right w:val="single" w:sz="4" w:space="0" w:color="auto"/>
            </w:tcBorders>
          </w:tcPr>
          <w:p w14:paraId="412701E4" w14:textId="77777777" w:rsidR="00F42657" w:rsidRDefault="00F42657" w:rsidP="0097767D">
            <w:pPr>
              <w:pStyle w:val="Default"/>
              <w:spacing w:before="40" w:after="40"/>
            </w:pPr>
            <w:r>
              <w:t>N/A</w:t>
            </w:r>
          </w:p>
        </w:tc>
        <w:tc>
          <w:tcPr>
            <w:tcW w:w="0" w:type="auto"/>
            <w:tcBorders>
              <w:top w:val="single" w:sz="4" w:space="0" w:color="auto"/>
              <w:left w:val="single" w:sz="4" w:space="0" w:color="auto"/>
              <w:bottom w:val="single" w:sz="4" w:space="0" w:color="auto"/>
              <w:right w:val="single" w:sz="4" w:space="0" w:color="auto"/>
            </w:tcBorders>
          </w:tcPr>
          <w:p w14:paraId="10805741" w14:textId="77777777" w:rsidR="00F42657" w:rsidRPr="005C79C1" w:rsidRDefault="00F42657" w:rsidP="0097767D">
            <w:pPr>
              <w:pStyle w:val="Default"/>
              <w:spacing w:before="40" w:after="40"/>
              <w:rPr>
                <w:sz w:val="22"/>
                <w:szCs w:val="22"/>
              </w:rPr>
            </w:pPr>
            <w:r w:rsidRPr="005C79C1">
              <w:rPr>
                <w:sz w:val="22"/>
                <w:szCs w:val="22"/>
              </w:rPr>
              <w:t>Annex C</w:t>
            </w:r>
            <w:r w:rsidRPr="005C79C1">
              <w:rPr>
                <w:sz w:val="22"/>
                <w:szCs w:val="22"/>
              </w:rPr>
              <w:br/>
              <w:t>of TD330 (A.1)</w:t>
            </w:r>
          </w:p>
        </w:tc>
      </w:tr>
    </w:tbl>
    <w:p w14:paraId="6815FC55" w14:textId="77777777" w:rsidR="00F42657" w:rsidRDefault="00F42657" w:rsidP="00F42657">
      <w:pPr>
        <w:spacing w:before="240" w:after="120"/>
      </w:pPr>
      <w:r>
        <w:t xml:space="preserve">NOTE: In </w:t>
      </w:r>
      <w:r w:rsidRPr="0071614F">
        <w:rPr>
          <w:bdr w:val="single" w:sz="4" w:space="0" w:color="auto"/>
          <w:shd w:val="clear" w:color="auto" w:fill="FFF2CC" w:themeFill="accent4" w:themeFillTint="33"/>
        </w:rPr>
        <w:t>colour</w:t>
      </w:r>
      <w:r>
        <w:t xml:space="preserve"> the work items that were immediately consent or agreed.</w:t>
      </w:r>
    </w:p>
    <w:p w14:paraId="55B8F9F4" w14:textId="0522EC52" w:rsidR="00732298" w:rsidRDefault="00AA0F00" w:rsidP="00732298">
      <w:r>
        <w:rPr>
          <w:rFonts w:hint="eastAsia"/>
        </w:rPr>
        <w:t>A</w:t>
      </w:r>
      <w:r>
        <w:t xml:space="preserve">s of </w:t>
      </w:r>
      <w:r w:rsidR="00346738">
        <w:t>18 May 2023,</w:t>
      </w:r>
      <w:r>
        <w:t xml:space="preserve"> at the closure of this SG9 meeting, SG9 has a total of eighteen (18) work items for progressing as found in </w:t>
      </w:r>
      <w:hyperlink r:id="rId50" w:history="1">
        <w:r w:rsidRPr="00346738">
          <w:rPr>
            <w:rStyle w:val="Hyperlink"/>
          </w:rPr>
          <w:t>SG9-TD223</w:t>
        </w:r>
      </w:hyperlink>
      <w:r>
        <w:t>.</w:t>
      </w:r>
    </w:p>
    <w:p w14:paraId="4232C100" w14:textId="7B7662FE" w:rsidR="00BB03FF" w:rsidRDefault="00BD7466" w:rsidP="00BD7466">
      <w:pPr>
        <w:pStyle w:val="Heading2"/>
        <w:rPr>
          <w:lang w:eastAsia="ja-JP"/>
        </w:rPr>
      </w:pPr>
      <w:r>
        <w:rPr>
          <w:rFonts w:hint="eastAsia"/>
          <w:lang w:eastAsia="ja-JP"/>
        </w:rPr>
        <w:t>2</w:t>
      </w:r>
      <w:r>
        <w:rPr>
          <w:lang w:eastAsia="ja-JP"/>
        </w:rPr>
        <w:t>.2</w:t>
      </w:r>
      <w:r>
        <w:rPr>
          <w:lang w:eastAsia="ja-JP"/>
        </w:rPr>
        <w:tab/>
        <w:t>Highlight related to Lead Study Group Role</w:t>
      </w:r>
      <w:r w:rsidR="00B44A95">
        <w:rPr>
          <w:lang w:eastAsia="ja-JP"/>
        </w:rPr>
        <w:t>s</w:t>
      </w:r>
    </w:p>
    <w:p w14:paraId="06B4F0A7" w14:textId="0CC7DE3C" w:rsidR="00BD7466" w:rsidRDefault="007A4C04" w:rsidP="00BD7466">
      <w:r>
        <w:rPr>
          <w:rFonts w:hint="eastAsia"/>
        </w:rPr>
        <w:t>S</w:t>
      </w:r>
      <w:r>
        <w:t xml:space="preserve">G9 received a total of eleven (11) contributions from CableLabs Inc. proposing to update the </w:t>
      </w:r>
      <w:r w:rsidR="00346738">
        <w:t xml:space="preserve">DOCSIS-related, </w:t>
      </w:r>
      <w:r>
        <w:t>cable modem Recommendations</w:t>
      </w:r>
      <w:r w:rsidR="00346738">
        <w:t>:</w:t>
      </w:r>
      <w:r>
        <w:t xml:space="preserve"> </w:t>
      </w:r>
      <w:r w:rsidR="00346738">
        <w:t xml:space="preserve">ITU-T </w:t>
      </w:r>
      <w:r>
        <w:t>J.224 (5</w:t>
      </w:r>
      <w:r w:rsidRPr="007A4C04">
        <w:rPr>
          <w:vertAlign w:val="superscript"/>
        </w:rPr>
        <w:t>th</w:t>
      </w:r>
      <w:r>
        <w:t xml:space="preserve"> gen) and J.225 (4</w:t>
      </w:r>
      <w:r w:rsidRPr="007A4C04">
        <w:rPr>
          <w:vertAlign w:val="superscript"/>
        </w:rPr>
        <w:t>th</w:t>
      </w:r>
      <w:r>
        <w:t xml:space="preserve"> gen)</w:t>
      </w:r>
      <w:r w:rsidR="00346738">
        <w:t>,</w:t>
      </w:r>
      <w:r>
        <w:t xml:space="preserve"> a</w:t>
      </w:r>
      <w:r w:rsidR="00346738">
        <w:t>s well as</w:t>
      </w:r>
      <w:r>
        <w:t xml:space="preserve"> the </w:t>
      </w:r>
      <w:r w:rsidR="00346738">
        <w:t xml:space="preserve">related </w:t>
      </w:r>
      <w:r>
        <w:t xml:space="preserve">supplement </w:t>
      </w:r>
      <w:r w:rsidR="00634DD2">
        <w:t>J.Suppl.10</w:t>
      </w:r>
      <w:r w:rsidR="00346738">
        <w:t>,</w:t>
      </w:r>
      <w:r w:rsidR="00634DD2">
        <w:t xml:space="preserve"> </w:t>
      </w:r>
      <w:r w:rsidR="00346738">
        <w:t xml:space="preserve">which </w:t>
      </w:r>
      <w:r w:rsidR="00634DD2">
        <w:t>identif</w:t>
      </w:r>
      <w:r w:rsidR="00346738">
        <w:t>ies</w:t>
      </w:r>
      <w:r w:rsidR="00634DD2">
        <w:t xml:space="preserve"> the relationship between CableLabs DOCSIS and ITU-T J-series </w:t>
      </w:r>
      <w:r w:rsidR="00346738">
        <w:t xml:space="preserve">Recommendations </w:t>
      </w:r>
      <w:r w:rsidR="00634DD2">
        <w:t xml:space="preserve">to reflect the latest advancement of the cable modem technologies developed by CableLabs. </w:t>
      </w:r>
      <w:r w:rsidR="00A83F7C">
        <w:t>SG9 appreciated the continuous collaboration</w:t>
      </w:r>
      <w:r w:rsidR="0017671A">
        <w:t xml:space="preserve"> between CableLabs and SG9.</w:t>
      </w:r>
    </w:p>
    <w:p w14:paraId="63FB48FA" w14:textId="2283EEFB" w:rsidR="00174907" w:rsidRDefault="00174907" w:rsidP="00BD7466">
      <w:r>
        <w:t>Having held the SG9 meeting in India fostered a renewed interest from the host country that submitted ten (10) contributions, eight from the administration and two from the IISc, which either proposed to start new work items or helped to finalize existing work. Th</w:t>
      </w:r>
      <w:r w:rsidR="00DB2C17">
        <w:t>is</w:t>
      </w:r>
      <w:r>
        <w:t xml:space="preserve"> confirms that holding meetings in the region</w:t>
      </w:r>
      <w:r w:rsidR="00DB2C17">
        <w:t>s</w:t>
      </w:r>
      <w:r>
        <w:t xml:space="preserve"> </w:t>
      </w:r>
      <w:r w:rsidR="00DB2C17">
        <w:t>is</w:t>
      </w:r>
      <w:r>
        <w:t xml:space="preserve"> a good way to involve the participation of local experts.</w:t>
      </w:r>
    </w:p>
    <w:p w14:paraId="7BC5A337" w14:textId="309AD8FB" w:rsidR="000A3EB4" w:rsidRDefault="008429DA" w:rsidP="00BD7466">
      <w:r>
        <w:t xml:space="preserve">SG9 also received two contributions from </w:t>
      </w:r>
      <w:r w:rsidR="000A3EB4">
        <w:rPr>
          <w:rFonts w:hint="eastAsia"/>
        </w:rPr>
        <w:t>J</w:t>
      </w:r>
      <w:r w:rsidR="000A3EB4">
        <w:t xml:space="preserve">apan Cable Laboratory </w:t>
      </w:r>
      <w:r>
        <w:t xml:space="preserve">to </w:t>
      </w:r>
      <w:r w:rsidR="000A3EB4">
        <w:t>propose a new work item on “</w:t>
      </w:r>
      <w:r w:rsidR="000A3EB4" w:rsidRPr="000A3EB4">
        <w:t>System Architecture for cable television services to use 5G radio system</w:t>
      </w:r>
      <w:r w:rsidR="000A3EB4">
        <w:t xml:space="preserve"> (J.cable-5G-arch)” and to </w:t>
      </w:r>
      <w:r w:rsidR="00346738">
        <w:t xml:space="preserve">split </w:t>
      </w:r>
      <w:r w:rsidR="000A3EB4">
        <w:t>the previous work</w:t>
      </w:r>
      <w:r w:rsidR="00346738">
        <w:t xml:space="preserve"> item</w:t>
      </w:r>
      <w:r w:rsidR="000A3EB4">
        <w:t xml:space="preserve"> </w:t>
      </w:r>
      <w:r w:rsidR="00346738">
        <w:t>(</w:t>
      </w:r>
      <w:r w:rsidR="000A3EB4">
        <w:t>J.cable-5G</w:t>
      </w:r>
      <w:r w:rsidR="00346738">
        <w:t>)</w:t>
      </w:r>
      <w:r w:rsidR="000A3EB4">
        <w:t xml:space="preserve"> into two parts, i.e., a requirement part and a architecture part. </w:t>
      </w:r>
      <w:r w:rsidR="00DE42E3">
        <w:t xml:space="preserve">The requirement part has been consented as J.1152 at this meeting, and the architecture part has been approved as a new work item </w:t>
      </w:r>
      <w:r w:rsidR="00D16FA0">
        <w:t xml:space="preserve">J.cable-5G-arch </w:t>
      </w:r>
      <w:r w:rsidR="00DE42E3">
        <w:t>for progressing.</w:t>
      </w:r>
      <w:r w:rsidR="00D16FA0">
        <w:t xml:space="preserve"> It was identified that one of the use cases described in J.cable-5G-arch will contribute to efficient cable television service expansion</w:t>
      </w:r>
      <w:r w:rsidR="00346738">
        <w:t>,</w:t>
      </w:r>
      <w:r w:rsidR="00D16FA0">
        <w:t xml:space="preserve"> particularly in developing countries.</w:t>
      </w:r>
    </w:p>
    <w:p w14:paraId="76471917" w14:textId="4B719922" w:rsidR="00EA6A97" w:rsidRDefault="00EA6A97" w:rsidP="00BD7466">
      <w:r>
        <w:rPr>
          <w:rFonts w:hint="eastAsia"/>
        </w:rPr>
        <w:t>W</w:t>
      </w:r>
      <w:r>
        <w:t>ith regard to J.suppl.11 “</w:t>
      </w:r>
      <w:r w:rsidR="00D16FA0">
        <w:t>Guidelines for installing a digital television service for cable networks based on ITU-T Recommendations</w:t>
      </w:r>
      <w:r>
        <w:t>”,</w:t>
      </w:r>
      <w:r w:rsidR="00346738">
        <w:t xml:space="preserve"> which is part of the ongoing efforts to support developing </w:t>
      </w:r>
      <w:r w:rsidR="00346738">
        <w:lastRenderedPageBreak/>
        <w:t xml:space="preserve">countries </w:t>
      </w:r>
      <w:r w:rsidR="00174907">
        <w:t>on</w:t>
      </w:r>
      <w:r w:rsidR="00346738">
        <w:t xml:space="preserve"> their cable television deployment,</w:t>
      </w:r>
      <w:r w:rsidR="00D16FA0">
        <w:t xml:space="preserve"> </w:t>
      </w:r>
      <w:r w:rsidR="00B52AD5">
        <w:t xml:space="preserve">SG9 </w:t>
      </w:r>
      <w:r w:rsidR="00174907">
        <w:t xml:space="preserve">continued </w:t>
      </w:r>
      <w:r w:rsidR="007C7922">
        <w:t xml:space="preserve">liaison </w:t>
      </w:r>
      <w:r w:rsidR="00B52AD5">
        <w:t xml:space="preserve">communication with ITU-D SG1 to collect </w:t>
      </w:r>
      <w:r w:rsidR="00174907">
        <w:t xml:space="preserve">additional </w:t>
      </w:r>
      <w:r w:rsidR="00E9457F">
        <w:t>use cases and also invited SG9 participants to pro</w:t>
      </w:r>
      <w:r w:rsidR="00664B03">
        <w:t xml:space="preserve">pose </w:t>
      </w:r>
      <w:r w:rsidR="00174907">
        <w:t xml:space="preserve">relevant </w:t>
      </w:r>
      <w:r w:rsidR="00664B03">
        <w:t xml:space="preserve">use cases </w:t>
      </w:r>
      <w:r w:rsidR="00E9457F">
        <w:t>in future meetings.</w:t>
      </w:r>
    </w:p>
    <w:p w14:paraId="3A999A32" w14:textId="7CFB4ED2" w:rsidR="00AD6FFF" w:rsidRPr="00BD7466" w:rsidRDefault="00ED6594" w:rsidP="00BD7466">
      <w:r>
        <w:rPr>
          <w:rFonts w:hint="eastAsia"/>
        </w:rPr>
        <w:t>A</w:t>
      </w:r>
      <w:r>
        <w:t xml:space="preserve">t the last SG9 meeting in September 2022, SG9 started the qualification process </w:t>
      </w:r>
      <w:r w:rsidR="00174907">
        <w:t xml:space="preserve">under the </w:t>
      </w:r>
      <w:r>
        <w:t xml:space="preserve">Recommendation </w:t>
      </w:r>
      <w:r w:rsidR="00174907">
        <w:t xml:space="preserve">ITU-T </w:t>
      </w:r>
      <w:r>
        <w:t xml:space="preserve">A.5 for Khronos. The </w:t>
      </w:r>
      <w:r w:rsidR="00174907">
        <w:t>TSB analysis of Khronos was</w:t>
      </w:r>
      <w:r>
        <w:t xml:space="preserve"> not completed at the May meeting, </w:t>
      </w:r>
      <w:r w:rsidR="00174907">
        <w:t xml:space="preserve">therefore </w:t>
      </w:r>
      <w:r>
        <w:t xml:space="preserve">SG9 decided to </w:t>
      </w:r>
      <w:r w:rsidR="00174907">
        <w:t xml:space="preserve">postpone the discussion on the qualification of Khronos at its next meeting and decided to </w:t>
      </w:r>
      <w:r>
        <w:t xml:space="preserve">update the pre-published Recommendation </w:t>
      </w:r>
      <w:r w:rsidR="00174907">
        <w:t xml:space="preserve">ITU-T </w:t>
      </w:r>
      <w:r>
        <w:t>J.1205</w:t>
      </w:r>
      <w:r w:rsidR="00174907">
        <w:t xml:space="preserve">, so that it did </w:t>
      </w:r>
      <w:r>
        <w:t xml:space="preserve">not </w:t>
      </w:r>
      <w:r w:rsidR="00174907">
        <w:t>include</w:t>
      </w:r>
      <w:r>
        <w:t xml:space="preserve"> normative reference</w:t>
      </w:r>
      <w:r w:rsidR="00174907">
        <w:t>s</w:t>
      </w:r>
      <w:r>
        <w:t xml:space="preserve"> to Khronos</w:t>
      </w:r>
      <w:r w:rsidR="00174907">
        <w:t xml:space="preserve"> specifications. TSB was advised</w:t>
      </w:r>
      <w:r>
        <w:t xml:space="preserve"> to proceed </w:t>
      </w:r>
      <w:r w:rsidR="00174907">
        <w:t xml:space="preserve">this way for </w:t>
      </w:r>
      <w:r>
        <w:t xml:space="preserve">its publication. SG9 also confirmed that Recommendation J.1205 </w:t>
      </w:r>
      <w:r w:rsidR="00174907">
        <w:t xml:space="preserve">may </w:t>
      </w:r>
      <w:r>
        <w:t>be revised when the A.5 qualification process</w:t>
      </w:r>
      <w:r w:rsidR="00174907">
        <w:t xml:space="preserve"> for Khronos will be</w:t>
      </w:r>
      <w:r>
        <w:t xml:space="preserve"> complete</w:t>
      </w:r>
      <w:r w:rsidR="003C1DB8">
        <w:t>d</w:t>
      </w:r>
      <w:r>
        <w:t xml:space="preserve"> in </w:t>
      </w:r>
      <w:r w:rsidR="00174907">
        <w:t xml:space="preserve">the </w:t>
      </w:r>
      <w:r>
        <w:t>future.</w:t>
      </w:r>
    </w:p>
    <w:p w14:paraId="41CAC60C" w14:textId="4D9E40BC" w:rsidR="004F5221" w:rsidRPr="002D408A" w:rsidRDefault="00006E6A" w:rsidP="00006E6A">
      <w:pPr>
        <w:pStyle w:val="Heading1"/>
        <w:rPr>
          <w:lang w:eastAsia="ja-JP"/>
        </w:rPr>
      </w:pPr>
      <w:r>
        <w:rPr>
          <w:rFonts w:hint="eastAsia"/>
          <w:lang w:eastAsia="ja-JP"/>
        </w:rPr>
        <w:t>3</w:t>
      </w:r>
      <w:r>
        <w:rPr>
          <w:lang w:eastAsia="ja-JP"/>
        </w:rPr>
        <w:t xml:space="preserve">.  </w:t>
      </w:r>
      <w:r w:rsidR="00413E78">
        <w:rPr>
          <w:lang w:eastAsia="ja-JP"/>
        </w:rPr>
        <w:t>AOB</w:t>
      </w:r>
    </w:p>
    <w:p w14:paraId="6D20896A" w14:textId="49B7191E" w:rsidR="00413E78" w:rsidRDefault="00413E78" w:rsidP="00413E78">
      <w:r>
        <w:rPr>
          <w:rFonts w:hint="eastAsia"/>
        </w:rPr>
        <w:t>T</w:t>
      </w:r>
      <w:r>
        <w:t>he Indian Institute of Science, the co-host of the SG9 meeting and the ITU workshop</w:t>
      </w:r>
      <w:r w:rsidR="00174907">
        <w:t>, has</w:t>
      </w:r>
      <w:r>
        <w:t xml:space="preserve"> published </w:t>
      </w:r>
      <w:r w:rsidR="00174907">
        <w:t xml:space="preserve">a </w:t>
      </w:r>
      <w:r>
        <w:t xml:space="preserve">press release on 16 May 2023 as available </w:t>
      </w:r>
      <w:r w:rsidR="00174907">
        <w:t xml:space="preserve">at: </w:t>
      </w:r>
      <w:r w:rsidR="00174907">
        <w:br/>
      </w:r>
      <w:hyperlink r:id="rId51" w:history="1">
        <w:r w:rsidR="00174907" w:rsidRPr="00174907">
          <w:rPr>
            <w:rStyle w:val="Hyperlink"/>
          </w:rPr>
          <w:t>https://iisc.ac.in/events/india-hosts-meetings-to-advance-international-standards-for-tv-technology/</w:t>
        </w:r>
      </w:hyperlink>
      <w:r>
        <w:t xml:space="preserve">. This was also covered by the several media, for </w:t>
      </w:r>
      <w:r w:rsidR="00EC6355">
        <w:t>instance</w:t>
      </w:r>
      <w:r>
        <w:t xml:space="preserve">, </w:t>
      </w:r>
      <w:r w:rsidR="00F42879">
        <w:rPr>
          <w:rFonts w:hint="eastAsia"/>
        </w:rPr>
        <w:t>Business</w:t>
      </w:r>
      <w:r w:rsidR="00F42879">
        <w:t xml:space="preserve"> Standard, </w:t>
      </w:r>
      <w:r>
        <w:t>T</w:t>
      </w:r>
      <w:r w:rsidR="00FF0F2A">
        <w:t>he Times of India</w:t>
      </w:r>
      <w:r>
        <w:t xml:space="preserve">, </w:t>
      </w:r>
      <w:r w:rsidR="00F42879">
        <w:t>T</w:t>
      </w:r>
      <w:r w:rsidR="00FF0F2A">
        <w:t xml:space="preserve">he </w:t>
      </w:r>
      <w:r w:rsidR="00F42879">
        <w:t>H</w:t>
      </w:r>
      <w:r w:rsidR="00FF0F2A">
        <w:t>indu</w:t>
      </w:r>
      <w:r w:rsidR="00F42879">
        <w:t>,</w:t>
      </w:r>
      <w:r w:rsidR="00602344">
        <w:t xml:space="preserve"> Deccan Herald,</w:t>
      </w:r>
      <w:r w:rsidR="00F42879">
        <w:t xml:space="preserve"> </w:t>
      </w:r>
      <w:r w:rsidR="00FF0F2A">
        <w:t xml:space="preserve">Gates Cambridge, </w:t>
      </w:r>
      <w:r w:rsidR="00027039">
        <w:t xml:space="preserve">etc., one </w:t>
      </w:r>
      <w:r w:rsidR="008C4200">
        <w:t>example</w:t>
      </w:r>
      <w:r w:rsidR="00027039">
        <w:t xml:space="preserve"> is </w:t>
      </w:r>
      <w:r>
        <w:t>shown below.</w:t>
      </w:r>
    </w:p>
    <w:p w14:paraId="14448D0A" w14:textId="77777777" w:rsidR="00413E78" w:rsidRDefault="00413E78" w:rsidP="00413E78">
      <w:pPr>
        <w:jc w:val="center"/>
      </w:pPr>
      <w:r w:rsidRPr="00246C3A">
        <w:rPr>
          <w:noProof/>
        </w:rPr>
        <w:drawing>
          <wp:inline distT="0" distB="0" distL="0" distR="0" wp14:anchorId="446F3791" wp14:editId="79B393DC">
            <wp:extent cx="5621803" cy="252548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646560" cy="2536606"/>
                    </a:xfrm>
                    <a:prstGeom prst="rect">
                      <a:avLst/>
                    </a:prstGeom>
                  </pic:spPr>
                </pic:pic>
              </a:graphicData>
            </a:graphic>
          </wp:inline>
        </w:drawing>
      </w:r>
    </w:p>
    <w:p w14:paraId="2DA385E5" w14:textId="759C79B1" w:rsidR="00CD307F" w:rsidRDefault="00413E78" w:rsidP="00CD307F">
      <w:r w:rsidRPr="002D408A">
        <w:rPr>
          <w:rFonts w:hint="eastAsia"/>
        </w:rPr>
        <w:t>*</w:t>
      </w:r>
      <w:r w:rsidRPr="002D408A">
        <w:t>IISc: Indian Institute of Science</w:t>
      </w:r>
    </w:p>
    <w:p w14:paraId="75547F79" w14:textId="54715FF3" w:rsidR="00CD307F" w:rsidRPr="002D408A" w:rsidRDefault="00990ED6" w:rsidP="00CD307F">
      <w:pPr>
        <w:jc w:val="center"/>
      </w:pPr>
      <w:r>
        <w:rPr>
          <w:noProof/>
        </w:rPr>
        <w:drawing>
          <wp:inline distT="0" distB="0" distL="0" distR="0" wp14:anchorId="3F743578" wp14:editId="3A3A63B5">
            <wp:extent cx="2704805" cy="2028112"/>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25933" cy="2043954"/>
                    </a:xfrm>
                    <a:prstGeom prst="rect">
                      <a:avLst/>
                    </a:prstGeom>
                    <a:ln>
                      <a:noFill/>
                    </a:ln>
                    <a:effectLst>
                      <a:softEdge rad="112500"/>
                    </a:effectLst>
                  </pic:spPr>
                </pic:pic>
              </a:graphicData>
            </a:graphic>
          </wp:inline>
        </w:drawing>
      </w:r>
      <w:r w:rsidR="00CD307F" w:rsidRPr="002D408A">
        <w:rPr>
          <w:rFonts w:hint="eastAsia"/>
        </w:rPr>
        <w:t xml:space="preserve"> </w:t>
      </w:r>
      <w:r w:rsidR="00CD307F" w:rsidRPr="002D408A">
        <w:t xml:space="preserve"> </w:t>
      </w:r>
      <w:r w:rsidR="00CD307F">
        <w:rPr>
          <w:rFonts w:hint="eastAsia"/>
        </w:rPr>
        <w:t xml:space="preserve">  </w:t>
      </w:r>
      <w:r w:rsidR="00DC2DF6">
        <w:t xml:space="preserve">           </w:t>
      </w:r>
      <w:r w:rsidR="00CD307F">
        <w:rPr>
          <w:rFonts w:hint="eastAsia"/>
        </w:rPr>
        <w:t xml:space="preserve">    </w:t>
      </w:r>
      <w:r w:rsidR="00CD307F" w:rsidRPr="002D408A">
        <w:t xml:space="preserve">  </w:t>
      </w:r>
      <w:r w:rsidR="00CD4068">
        <w:rPr>
          <w:noProof/>
        </w:rPr>
        <w:drawing>
          <wp:inline distT="0" distB="0" distL="0" distR="0" wp14:anchorId="65C428AC" wp14:editId="6D0FE1C1">
            <wp:extent cx="2516066" cy="1886593"/>
            <wp:effectExtent l="0" t="9208" r="8573" b="8572"/>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rot="5400000">
                      <a:off x="0" y="0"/>
                      <a:ext cx="2548926" cy="1911232"/>
                    </a:xfrm>
                    <a:prstGeom prst="rect">
                      <a:avLst/>
                    </a:prstGeom>
                    <a:ln>
                      <a:noFill/>
                    </a:ln>
                    <a:effectLst>
                      <a:softEdge rad="112500"/>
                    </a:effectLst>
                  </pic:spPr>
                </pic:pic>
              </a:graphicData>
            </a:graphic>
          </wp:inline>
        </w:drawing>
      </w:r>
    </w:p>
    <w:p w14:paraId="45AB4AA1" w14:textId="78A9C31A" w:rsidR="00CD307F" w:rsidRDefault="00CD307F" w:rsidP="00CD307F">
      <w:pPr>
        <w:pStyle w:val="FigureNotitle"/>
        <w:spacing w:before="0"/>
      </w:pPr>
      <w:r>
        <w:tab/>
      </w:r>
      <w:r>
        <w:tab/>
        <w:t>Venue of the SG9 meeting</w:t>
      </w:r>
      <w:r>
        <w:rPr>
          <w:rFonts w:hint="eastAsia"/>
        </w:rPr>
        <w:t xml:space="preserve">　　</w:t>
      </w:r>
      <w:r w:rsidR="00DC2DF6">
        <w:rPr>
          <w:rFonts w:hint="eastAsia"/>
        </w:rPr>
        <w:t xml:space="preserve"> </w:t>
      </w:r>
      <w:r w:rsidR="00DC2DF6">
        <w:t xml:space="preserve">      </w:t>
      </w:r>
      <w:r>
        <w:t xml:space="preserve">Venue of the workshop (IISc </w:t>
      </w:r>
      <w:r>
        <w:rPr>
          <w:rFonts w:hint="eastAsia"/>
        </w:rPr>
        <w:t>F</w:t>
      </w:r>
      <w:r>
        <w:t>aculty Hall</w:t>
      </w:r>
      <w:r>
        <w:rPr>
          <w:rFonts w:hint="eastAsia"/>
        </w:rPr>
        <w:t>)</w:t>
      </w:r>
    </w:p>
    <w:p w14:paraId="074FF901" w14:textId="77777777" w:rsidR="00CD307F" w:rsidRPr="00CD307F" w:rsidRDefault="00CD307F" w:rsidP="002D408A"/>
    <w:p w14:paraId="22356BFB" w14:textId="3BE2991F" w:rsidR="00006E6A" w:rsidRDefault="00006E6A" w:rsidP="002D408A">
      <w:r>
        <w:rPr>
          <w:rFonts w:hint="eastAsia"/>
        </w:rPr>
        <w:lastRenderedPageBreak/>
        <w:t>N</w:t>
      </w:r>
      <w:r>
        <w:t xml:space="preserve">ext SG9 meeting is currently scheduled to be held from 14 November to 23 November 2023, in Bogotá, Colombia at the kind </w:t>
      </w:r>
      <w:r w:rsidR="00F14D63">
        <w:t>invitation by</w:t>
      </w:r>
      <w:r>
        <w:t xml:space="preserve"> the Colombian administration</w:t>
      </w:r>
      <w:r w:rsidR="00F14D63">
        <w:t xml:space="preserve"> (TBC)</w:t>
      </w:r>
      <w:r>
        <w:t>.</w:t>
      </w:r>
      <w:r w:rsidR="00F14D63">
        <w:t xml:space="preserve"> More information will be provided on the SG9 website when available. A co-located workshop on “The future of Television </w:t>
      </w:r>
      <w:r w:rsidR="00174907">
        <w:t>for the Americas</w:t>
      </w:r>
      <w:r w:rsidR="00F14D63">
        <w:t>” may be organized in collaboration with ITU-R, ITU-D and ITU regional offices (TBC).</w:t>
      </w:r>
    </w:p>
    <w:p w14:paraId="70E5CD09" w14:textId="77777777" w:rsidR="005604FC" w:rsidRDefault="008C5A9A" w:rsidP="008C5A9A">
      <w:pPr>
        <w:jc w:val="center"/>
      </w:pPr>
      <w:bookmarkStart w:id="14" w:name="_Hlk98856042"/>
      <w:r>
        <w:t>_______________________</w:t>
      </w:r>
      <w:bookmarkEnd w:id="14"/>
    </w:p>
    <w:sectPr w:rsidR="005604FC" w:rsidSect="00463B2E">
      <w:headerReference w:type="even" r:id="rId55"/>
      <w:headerReference w:type="default" r:id="rId56"/>
      <w:footerReference w:type="even" r:id="rId57"/>
      <w:footerReference w:type="default" r:id="rId58"/>
      <w:headerReference w:type="first" r:id="rId59"/>
      <w:footerReference w:type="first" r:id="rId6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A0E7" w14:textId="77777777" w:rsidR="0066250D" w:rsidRDefault="0066250D" w:rsidP="00C42125">
      <w:pPr>
        <w:spacing w:before="0"/>
      </w:pPr>
      <w:r>
        <w:separator/>
      </w:r>
    </w:p>
  </w:endnote>
  <w:endnote w:type="continuationSeparator" w:id="0">
    <w:p w14:paraId="3CE40D0C" w14:textId="77777777" w:rsidR="0066250D" w:rsidRDefault="0066250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3DA8" w14:textId="77777777" w:rsidR="00463B2E" w:rsidRDefault="0046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C19A" w14:textId="77777777" w:rsidR="00463B2E" w:rsidRDefault="00463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459F" w14:textId="77777777" w:rsidR="00463B2E" w:rsidRDefault="0046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6652" w14:textId="77777777" w:rsidR="0066250D" w:rsidRDefault="0066250D" w:rsidP="00C42125">
      <w:pPr>
        <w:spacing w:before="0"/>
      </w:pPr>
      <w:r>
        <w:separator/>
      </w:r>
    </w:p>
  </w:footnote>
  <w:footnote w:type="continuationSeparator" w:id="0">
    <w:p w14:paraId="52B3F919" w14:textId="77777777" w:rsidR="0066250D" w:rsidRDefault="0066250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8D7" w14:textId="77777777" w:rsidR="00463B2E" w:rsidRDefault="00463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FC0F" w14:textId="4B93C8A3" w:rsidR="00463B2E" w:rsidRPr="00463B2E" w:rsidRDefault="00463B2E" w:rsidP="00463B2E">
    <w:pPr>
      <w:pStyle w:val="Header"/>
      <w:jc w:val="center"/>
      <w:rPr>
        <w:sz w:val="18"/>
      </w:rPr>
    </w:pPr>
    <w:r w:rsidRPr="00463B2E">
      <w:rPr>
        <w:sz w:val="18"/>
      </w:rPr>
      <w:t xml:space="preserve">- </w:t>
    </w:r>
    <w:r w:rsidRPr="00463B2E">
      <w:rPr>
        <w:sz w:val="18"/>
      </w:rPr>
      <w:fldChar w:fldCharType="begin"/>
    </w:r>
    <w:r w:rsidRPr="00463B2E">
      <w:rPr>
        <w:sz w:val="18"/>
      </w:rPr>
      <w:instrText xml:space="preserve"> PAGE  \* MERGEFORMAT </w:instrText>
    </w:r>
    <w:r w:rsidRPr="00463B2E">
      <w:rPr>
        <w:sz w:val="18"/>
      </w:rPr>
      <w:fldChar w:fldCharType="separate"/>
    </w:r>
    <w:r w:rsidRPr="00463B2E">
      <w:rPr>
        <w:noProof/>
        <w:sz w:val="18"/>
      </w:rPr>
      <w:t>1</w:t>
    </w:r>
    <w:r w:rsidRPr="00463B2E">
      <w:rPr>
        <w:sz w:val="18"/>
      </w:rPr>
      <w:fldChar w:fldCharType="end"/>
    </w:r>
    <w:r w:rsidRPr="00463B2E">
      <w:rPr>
        <w:sz w:val="18"/>
      </w:rPr>
      <w:t xml:space="preserve"> -</w:t>
    </w:r>
    <w:r>
      <w:rPr>
        <w:sz w:val="18"/>
      </w:rPr>
      <w:br/>
      <w:t>TSAG-TD201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804D" w14:textId="77777777" w:rsidR="00463B2E" w:rsidRDefault="0046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22B44"/>
    <w:multiLevelType w:val="hybridMultilevel"/>
    <w:tmpl w:val="0352D160"/>
    <w:lvl w:ilvl="0" w:tplc="128A7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0587558">
    <w:abstractNumId w:val="9"/>
  </w:num>
  <w:num w:numId="2" w16cid:durableId="2093430617">
    <w:abstractNumId w:val="7"/>
  </w:num>
  <w:num w:numId="3" w16cid:durableId="1469400980">
    <w:abstractNumId w:val="6"/>
  </w:num>
  <w:num w:numId="4" w16cid:durableId="473377286">
    <w:abstractNumId w:val="5"/>
  </w:num>
  <w:num w:numId="5" w16cid:durableId="1269462932">
    <w:abstractNumId w:val="4"/>
  </w:num>
  <w:num w:numId="6" w16cid:durableId="1681084426">
    <w:abstractNumId w:val="8"/>
  </w:num>
  <w:num w:numId="7" w16cid:durableId="1119378474">
    <w:abstractNumId w:val="3"/>
  </w:num>
  <w:num w:numId="8" w16cid:durableId="1706322842">
    <w:abstractNumId w:val="2"/>
  </w:num>
  <w:num w:numId="9" w16cid:durableId="293490478">
    <w:abstractNumId w:val="1"/>
  </w:num>
  <w:num w:numId="10" w16cid:durableId="990791561">
    <w:abstractNumId w:val="0"/>
  </w:num>
  <w:num w:numId="11" w16cid:durableId="2000495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6E6A"/>
    <w:rsid w:val="00014F69"/>
    <w:rsid w:val="000171DB"/>
    <w:rsid w:val="00023D9A"/>
    <w:rsid w:val="00027039"/>
    <w:rsid w:val="000332F1"/>
    <w:rsid w:val="0003582E"/>
    <w:rsid w:val="0003786B"/>
    <w:rsid w:val="00043D75"/>
    <w:rsid w:val="00046135"/>
    <w:rsid w:val="00057000"/>
    <w:rsid w:val="000640E0"/>
    <w:rsid w:val="0006565E"/>
    <w:rsid w:val="00086D80"/>
    <w:rsid w:val="00095445"/>
    <w:rsid w:val="000966A8"/>
    <w:rsid w:val="000A0A5C"/>
    <w:rsid w:val="000A3EB4"/>
    <w:rsid w:val="000A5CA2"/>
    <w:rsid w:val="000B56FB"/>
    <w:rsid w:val="000C18C2"/>
    <w:rsid w:val="000E26CD"/>
    <w:rsid w:val="000E3C61"/>
    <w:rsid w:val="000E3E55"/>
    <w:rsid w:val="000E6083"/>
    <w:rsid w:val="000E6125"/>
    <w:rsid w:val="000E6FB5"/>
    <w:rsid w:val="00100BAF"/>
    <w:rsid w:val="00113DBE"/>
    <w:rsid w:val="001200A6"/>
    <w:rsid w:val="001200B4"/>
    <w:rsid w:val="001251DA"/>
    <w:rsid w:val="00125432"/>
    <w:rsid w:val="0013260E"/>
    <w:rsid w:val="00136DDD"/>
    <w:rsid w:val="00137F40"/>
    <w:rsid w:val="00144BDF"/>
    <w:rsid w:val="00150C67"/>
    <w:rsid w:val="00155DDC"/>
    <w:rsid w:val="00174907"/>
    <w:rsid w:val="0017671A"/>
    <w:rsid w:val="001871EC"/>
    <w:rsid w:val="001A20C3"/>
    <w:rsid w:val="001A670F"/>
    <w:rsid w:val="001B6A45"/>
    <w:rsid w:val="001C1003"/>
    <w:rsid w:val="001C37B2"/>
    <w:rsid w:val="001C4B91"/>
    <w:rsid w:val="001C62B8"/>
    <w:rsid w:val="001D033C"/>
    <w:rsid w:val="001D22D8"/>
    <w:rsid w:val="001D4296"/>
    <w:rsid w:val="001E7B0E"/>
    <w:rsid w:val="001F141D"/>
    <w:rsid w:val="001F573A"/>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9241C"/>
    <w:rsid w:val="002A11C4"/>
    <w:rsid w:val="002A19D7"/>
    <w:rsid w:val="002A399B"/>
    <w:rsid w:val="002A4861"/>
    <w:rsid w:val="002A4FE4"/>
    <w:rsid w:val="002C26C0"/>
    <w:rsid w:val="002C2BC5"/>
    <w:rsid w:val="002D408A"/>
    <w:rsid w:val="002E0407"/>
    <w:rsid w:val="002E79CB"/>
    <w:rsid w:val="002F0471"/>
    <w:rsid w:val="002F1714"/>
    <w:rsid w:val="002F5CA7"/>
    <w:rsid w:val="002F7F55"/>
    <w:rsid w:val="00301FCC"/>
    <w:rsid w:val="0030745F"/>
    <w:rsid w:val="00314630"/>
    <w:rsid w:val="0032090A"/>
    <w:rsid w:val="00321CDE"/>
    <w:rsid w:val="003244B5"/>
    <w:rsid w:val="00333E15"/>
    <w:rsid w:val="0033406C"/>
    <w:rsid w:val="003416D3"/>
    <w:rsid w:val="00346738"/>
    <w:rsid w:val="003571BC"/>
    <w:rsid w:val="0036090C"/>
    <w:rsid w:val="00364979"/>
    <w:rsid w:val="00367155"/>
    <w:rsid w:val="00383020"/>
    <w:rsid w:val="00385B9C"/>
    <w:rsid w:val="00385FB5"/>
    <w:rsid w:val="0038692C"/>
    <w:rsid w:val="0038715D"/>
    <w:rsid w:val="00392E84"/>
    <w:rsid w:val="00394DBF"/>
    <w:rsid w:val="003957A6"/>
    <w:rsid w:val="00397713"/>
    <w:rsid w:val="003A43EF"/>
    <w:rsid w:val="003B60A2"/>
    <w:rsid w:val="003C1DB8"/>
    <w:rsid w:val="003C70C8"/>
    <w:rsid w:val="003C7445"/>
    <w:rsid w:val="003E39A2"/>
    <w:rsid w:val="003E57AB"/>
    <w:rsid w:val="003F224E"/>
    <w:rsid w:val="003F2BED"/>
    <w:rsid w:val="003F39F8"/>
    <w:rsid w:val="00400B49"/>
    <w:rsid w:val="0040415B"/>
    <w:rsid w:val="0040564E"/>
    <w:rsid w:val="00406DBF"/>
    <w:rsid w:val="004139E4"/>
    <w:rsid w:val="00413E78"/>
    <w:rsid w:val="00415999"/>
    <w:rsid w:val="004160B7"/>
    <w:rsid w:val="00443878"/>
    <w:rsid w:val="004539A8"/>
    <w:rsid w:val="00460DB6"/>
    <w:rsid w:val="00463B2E"/>
    <w:rsid w:val="004646F1"/>
    <w:rsid w:val="004712CA"/>
    <w:rsid w:val="0047422E"/>
    <w:rsid w:val="00490151"/>
    <w:rsid w:val="0049674B"/>
    <w:rsid w:val="004C0673"/>
    <w:rsid w:val="004C4E4E"/>
    <w:rsid w:val="004E08F2"/>
    <w:rsid w:val="004F3816"/>
    <w:rsid w:val="004F500A"/>
    <w:rsid w:val="004F5221"/>
    <w:rsid w:val="00500875"/>
    <w:rsid w:val="005075F9"/>
    <w:rsid w:val="005126A0"/>
    <w:rsid w:val="005215C3"/>
    <w:rsid w:val="00523FF1"/>
    <w:rsid w:val="00543D41"/>
    <w:rsid w:val="00545472"/>
    <w:rsid w:val="005571A4"/>
    <w:rsid w:val="005604FC"/>
    <w:rsid w:val="005622C6"/>
    <w:rsid w:val="0056250E"/>
    <w:rsid w:val="0056517E"/>
    <w:rsid w:val="00566EDA"/>
    <w:rsid w:val="0057081A"/>
    <w:rsid w:val="00572654"/>
    <w:rsid w:val="005976A1"/>
    <w:rsid w:val="005A34E7"/>
    <w:rsid w:val="005A5562"/>
    <w:rsid w:val="005A69A3"/>
    <w:rsid w:val="005B5629"/>
    <w:rsid w:val="005B635E"/>
    <w:rsid w:val="005C0300"/>
    <w:rsid w:val="005C27A2"/>
    <w:rsid w:val="005D4FEB"/>
    <w:rsid w:val="005D65ED"/>
    <w:rsid w:val="005E0E6C"/>
    <w:rsid w:val="005F4B6A"/>
    <w:rsid w:val="006010F3"/>
    <w:rsid w:val="00602344"/>
    <w:rsid w:val="00615A0A"/>
    <w:rsid w:val="00627646"/>
    <w:rsid w:val="006333D4"/>
    <w:rsid w:val="00634DD2"/>
    <w:rsid w:val="006350B0"/>
    <w:rsid w:val="006369B2"/>
    <w:rsid w:val="0063718D"/>
    <w:rsid w:val="00647525"/>
    <w:rsid w:val="00647A71"/>
    <w:rsid w:val="006530A8"/>
    <w:rsid w:val="006570B0"/>
    <w:rsid w:val="0066022F"/>
    <w:rsid w:val="0066250D"/>
    <w:rsid w:val="00664B03"/>
    <w:rsid w:val="006823F3"/>
    <w:rsid w:val="00682CC4"/>
    <w:rsid w:val="006914E6"/>
    <w:rsid w:val="0069210B"/>
    <w:rsid w:val="00693139"/>
    <w:rsid w:val="00695DD7"/>
    <w:rsid w:val="006A0F3F"/>
    <w:rsid w:val="006A2A02"/>
    <w:rsid w:val="006A4055"/>
    <w:rsid w:val="006A7C27"/>
    <w:rsid w:val="006B2FE4"/>
    <w:rsid w:val="006B34A7"/>
    <w:rsid w:val="006B37B0"/>
    <w:rsid w:val="006B6BA2"/>
    <w:rsid w:val="006C5641"/>
    <w:rsid w:val="006D1089"/>
    <w:rsid w:val="006D1B86"/>
    <w:rsid w:val="006D7355"/>
    <w:rsid w:val="006F0797"/>
    <w:rsid w:val="006F3471"/>
    <w:rsid w:val="006F4B0D"/>
    <w:rsid w:val="006F4DB8"/>
    <w:rsid w:val="006F7DEE"/>
    <w:rsid w:val="00706CD6"/>
    <w:rsid w:val="00710B60"/>
    <w:rsid w:val="00715CA6"/>
    <w:rsid w:val="00731135"/>
    <w:rsid w:val="00732298"/>
    <w:rsid w:val="007324AF"/>
    <w:rsid w:val="007409B4"/>
    <w:rsid w:val="00741974"/>
    <w:rsid w:val="007454B6"/>
    <w:rsid w:val="0075525E"/>
    <w:rsid w:val="00756D3D"/>
    <w:rsid w:val="007806C2"/>
    <w:rsid w:val="00781FEE"/>
    <w:rsid w:val="007836C5"/>
    <w:rsid w:val="007903F8"/>
    <w:rsid w:val="00794F4F"/>
    <w:rsid w:val="007974BE"/>
    <w:rsid w:val="007A0916"/>
    <w:rsid w:val="007A0DFD"/>
    <w:rsid w:val="007A3A8E"/>
    <w:rsid w:val="007A4C04"/>
    <w:rsid w:val="007C5ED4"/>
    <w:rsid w:val="007C7122"/>
    <w:rsid w:val="007C7922"/>
    <w:rsid w:val="007D3F11"/>
    <w:rsid w:val="007D525B"/>
    <w:rsid w:val="007E2C69"/>
    <w:rsid w:val="007E53E4"/>
    <w:rsid w:val="007E656A"/>
    <w:rsid w:val="007F3CAA"/>
    <w:rsid w:val="007F664D"/>
    <w:rsid w:val="00801B42"/>
    <w:rsid w:val="0080425D"/>
    <w:rsid w:val="008249A7"/>
    <w:rsid w:val="008339F7"/>
    <w:rsid w:val="00834D19"/>
    <w:rsid w:val="00836D45"/>
    <w:rsid w:val="00837203"/>
    <w:rsid w:val="00842137"/>
    <w:rsid w:val="008429DA"/>
    <w:rsid w:val="00851E6C"/>
    <w:rsid w:val="00853F5F"/>
    <w:rsid w:val="00856C7A"/>
    <w:rsid w:val="008623ED"/>
    <w:rsid w:val="00875AA6"/>
    <w:rsid w:val="00880944"/>
    <w:rsid w:val="0089088E"/>
    <w:rsid w:val="00892297"/>
    <w:rsid w:val="008964D6"/>
    <w:rsid w:val="008B03C0"/>
    <w:rsid w:val="008B5123"/>
    <w:rsid w:val="008C4200"/>
    <w:rsid w:val="008C5A9A"/>
    <w:rsid w:val="008D1E1E"/>
    <w:rsid w:val="008E0172"/>
    <w:rsid w:val="008F605E"/>
    <w:rsid w:val="00902765"/>
    <w:rsid w:val="00921F4A"/>
    <w:rsid w:val="00936852"/>
    <w:rsid w:val="0094045D"/>
    <w:rsid w:val="009406B5"/>
    <w:rsid w:val="00944AD2"/>
    <w:rsid w:val="00946166"/>
    <w:rsid w:val="00952159"/>
    <w:rsid w:val="00966B5C"/>
    <w:rsid w:val="00972AD9"/>
    <w:rsid w:val="00983164"/>
    <w:rsid w:val="00984252"/>
    <w:rsid w:val="00990ED6"/>
    <w:rsid w:val="00994196"/>
    <w:rsid w:val="009972EF"/>
    <w:rsid w:val="00997A94"/>
    <w:rsid w:val="009B5035"/>
    <w:rsid w:val="009B7888"/>
    <w:rsid w:val="009C1705"/>
    <w:rsid w:val="009C2F2F"/>
    <w:rsid w:val="009C3160"/>
    <w:rsid w:val="009D0DA8"/>
    <w:rsid w:val="009D399E"/>
    <w:rsid w:val="009D644B"/>
    <w:rsid w:val="009E4B6B"/>
    <w:rsid w:val="009E766E"/>
    <w:rsid w:val="009F1960"/>
    <w:rsid w:val="009F4B1A"/>
    <w:rsid w:val="009F715E"/>
    <w:rsid w:val="009F78FE"/>
    <w:rsid w:val="00A10DBB"/>
    <w:rsid w:val="00A11720"/>
    <w:rsid w:val="00A21247"/>
    <w:rsid w:val="00A311F0"/>
    <w:rsid w:val="00A31D47"/>
    <w:rsid w:val="00A342DA"/>
    <w:rsid w:val="00A4013E"/>
    <w:rsid w:val="00A4045F"/>
    <w:rsid w:val="00A427CD"/>
    <w:rsid w:val="00A45FEE"/>
    <w:rsid w:val="00A4600B"/>
    <w:rsid w:val="00A50506"/>
    <w:rsid w:val="00A51EF0"/>
    <w:rsid w:val="00A600CD"/>
    <w:rsid w:val="00A67A81"/>
    <w:rsid w:val="00A730A6"/>
    <w:rsid w:val="00A827B0"/>
    <w:rsid w:val="00A83F7C"/>
    <w:rsid w:val="00A87137"/>
    <w:rsid w:val="00A95F74"/>
    <w:rsid w:val="00A96899"/>
    <w:rsid w:val="00A971A0"/>
    <w:rsid w:val="00A97CCE"/>
    <w:rsid w:val="00AA0F00"/>
    <w:rsid w:val="00AA1186"/>
    <w:rsid w:val="00AA1F22"/>
    <w:rsid w:val="00AB0F86"/>
    <w:rsid w:val="00AB2ECE"/>
    <w:rsid w:val="00AB37FB"/>
    <w:rsid w:val="00AC3E73"/>
    <w:rsid w:val="00AC63B0"/>
    <w:rsid w:val="00AD3326"/>
    <w:rsid w:val="00AD581A"/>
    <w:rsid w:val="00AD6FFF"/>
    <w:rsid w:val="00B03664"/>
    <w:rsid w:val="00B05821"/>
    <w:rsid w:val="00B100D6"/>
    <w:rsid w:val="00B164C9"/>
    <w:rsid w:val="00B20A6F"/>
    <w:rsid w:val="00B20F2C"/>
    <w:rsid w:val="00B2519B"/>
    <w:rsid w:val="00B26C28"/>
    <w:rsid w:val="00B4174C"/>
    <w:rsid w:val="00B44A95"/>
    <w:rsid w:val="00B453F5"/>
    <w:rsid w:val="00B5162E"/>
    <w:rsid w:val="00B52AD5"/>
    <w:rsid w:val="00B61624"/>
    <w:rsid w:val="00B66481"/>
    <w:rsid w:val="00B7189C"/>
    <w:rsid w:val="00B718A5"/>
    <w:rsid w:val="00B86602"/>
    <w:rsid w:val="00BA7411"/>
    <w:rsid w:val="00BA788A"/>
    <w:rsid w:val="00BB03FF"/>
    <w:rsid w:val="00BB4120"/>
    <w:rsid w:val="00BB4983"/>
    <w:rsid w:val="00BB7597"/>
    <w:rsid w:val="00BC62E2"/>
    <w:rsid w:val="00BD7466"/>
    <w:rsid w:val="00BE4AC3"/>
    <w:rsid w:val="00C00AED"/>
    <w:rsid w:val="00C01B97"/>
    <w:rsid w:val="00C420E8"/>
    <w:rsid w:val="00C42125"/>
    <w:rsid w:val="00C47120"/>
    <w:rsid w:val="00C557CE"/>
    <w:rsid w:val="00C62814"/>
    <w:rsid w:val="00C64995"/>
    <w:rsid w:val="00C67B25"/>
    <w:rsid w:val="00C748F7"/>
    <w:rsid w:val="00C74937"/>
    <w:rsid w:val="00C77CEB"/>
    <w:rsid w:val="00C81373"/>
    <w:rsid w:val="00C877CE"/>
    <w:rsid w:val="00CB0E3F"/>
    <w:rsid w:val="00CB1FFE"/>
    <w:rsid w:val="00CB2599"/>
    <w:rsid w:val="00CB30C2"/>
    <w:rsid w:val="00CC386F"/>
    <w:rsid w:val="00CD2139"/>
    <w:rsid w:val="00CD307F"/>
    <w:rsid w:val="00CD4068"/>
    <w:rsid w:val="00CE5986"/>
    <w:rsid w:val="00D10A47"/>
    <w:rsid w:val="00D16FA0"/>
    <w:rsid w:val="00D26477"/>
    <w:rsid w:val="00D56CC3"/>
    <w:rsid w:val="00D647EF"/>
    <w:rsid w:val="00D73137"/>
    <w:rsid w:val="00D774C3"/>
    <w:rsid w:val="00D85065"/>
    <w:rsid w:val="00D91AF2"/>
    <w:rsid w:val="00D977A2"/>
    <w:rsid w:val="00DA1D47"/>
    <w:rsid w:val="00DB0706"/>
    <w:rsid w:val="00DB2C17"/>
    <w:rsid w:val="00DC2DF6"/>
    <w:rsid w:val="00DD50DE"/>
    <w:rsid w:val="00DE1204"/>
    <w:rsid w:val="00DE3062"/>
    <w:rsid w:val="00DE42E3"/>
    <w:rsid w:val="00DE7095"/>
    <w:rsid w:val="00DF2B61"/>
    <w:rsid w:val="00E0581D"/>
    <w:rsid w:val="00E07661"/>
    <w:rsid w:val="00E1590B"/>
    <w:rsid w:val="00E1638D"/>
    <w:rsid w:val="00E204DD"/>
    <w:rsid w:val="00E228B7"/>
    <w:rsid w:val="00E2545A"/>
    <w:rsid w:val="00E3483E"/>
    <w:rsid w:val="00E353EC"/>
    <w:rsid w:val="00E401E0"/>
    <w:rsid w:val="00E41EAB"/>
    <w:rsid w:val="00E51F61"/>
    <w:rsid w:val="00E53C24"/>
    <w:rsid w:val="00E569BF"/>
    <w:rsid w:val="00E56E77"/>
    <w:rsid w:val="00E60E9D"/>
    <w:rsid w:val="00E678EB"/>
    <w:rsid w:val="00E90808"/>
    <w:rsid w:val="00E9457F"/>
    <w:rsid w:val="00EA0BE7"/>
    <w:rsid w:val="00EA6A97"/>
    <w:rsid w:val="00EB444D"/>
    <w:rsid w:val="00EC12F7"/>
    <w:rsid w:val="00EC6355"/>
    <w:rsid w:val="00ED1B45"/>
    <w:rsid w:val="00ED3002"/>
    <w:rsid w:val="00ED3E90"/>
    <w:rsid w:val="00ED6594"/>
    <w:rsid w:val="00EE1A06"/>
    <w:rsid w:val="00EE2B91"/>
    <w:rsid w:val="00EE5C0D"/>
    <w:rsid w:val="00EF4792"/>
    <w:rsid w:val="00EF5470"/>
    <w:rsid w:val="00EF76DC"/>
    <w:rsid w:val="00F02073"/>
    <w:rsid w:val="00F02294"/>
    <w:rsid w:val="00F1354C"/>
    <w:rsid w:val="00F14D63"/>
    <w:rsid w:val="00F30DE7"/>
    <w:rsid w:val="00F35F57"/>
    <w:rsid w:val="00F42657"/>
    <w:rsid w:val="00F42879"/>
    <w:rsid w:val="00F45322"/>
    <w:rsid w:val="00F50467"/>
    <w:rsid w:val="00F562A0"/>
    <w:rsid w:val="00F57FA4"/>
    <w:rsid w:val="00F900AD"/>
    <w:rsid w:val="00F9547A"/>
    <w:rsid w:val="00FA02CB"/>
    <w:rsid w:val="00FA2177"/>
    <w:rsid w:val="00FB0783"/>
    <w:rsid w:val="00FB7A8B"/>
    <w:rsid w:val="00FC2485"/>
    <w:rsid w:val="00FC443F"/>
    <w:rsid w:val="00FD439E"/>
    <w:rsid w:val="00FD52F6"/>
    <w:rsid w:val="00FD76CB"/>
    <w:rsid w:val="00FE152B"/>
    <w:rsid w:val="00FE239E"/>
    <w:rsid w:val="00FE2528"/>
    <w:rsid w:val="00FE399B"/>
    <w:rsid w:val="00FF0F2A"/>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0C2"/>
    <w:pPr>
      <w:spacing w:before="120"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rsid w:val="00ED3002"/>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rsid w:val="005D65ED"/>
    <w:pPr>
      <w:tabs>
        <w:tab w:val="clear" w:pos="794"/>
        <w:tab w:val="left" w:pos="1021"/>
      </w:tabs>
      <w:ind w:left="1021" w:hanging="1021"/>
      <w:outlineLvl w:val="3"/>
    </w:pPr>
  </w:style>
  <w:style w:type="paragraph" w:styleId="Heading5">
    <w:name w:val="heading 5"/>
    <w:basedOn w:val="Heading4"/>
    <w:next w:val="Normal"/>
    <w:link w:val="Heading5Char"/>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styleId="Hyperlink">
    <w:name w:val="Hyperlink"/>
    <w:basedOn w:val="DefaultParagraphFont"/>
    <w:unhideWhenUsed/>
    <w:rsid w:val="006914E6"/>
    <w:rPr>
      <w:color w:val="0563C1" w:themeColor="hyperlink"/>
      <w:u w:val="single"/>
    </w:rPr>
  </w:style>
  <w:style w:type="character" w:styleId="UnresolvedMention">
    <w:name w:val="Unresolved Mention"/>
    <w:basedOn w:val="DefaultParagraphFont"/>
    <w:uiPriority w:val="99"/>
    <w:semiHidden/>
    <w:unhideWhenUsed/>
    <w:rsid w:val="006914E6"/>
    <w:rPr>
      <w:color w:val="605E5C"/>
      <w:shd w:val="clear" w:color="auto" w:fill="E1DFDD"/>
    </w:rPr>
  </w:style>
  <w:style w:type="paragraph" w:styleId="ListParagraph">
    <w:name w:val="List Paragraph"/>
    <w:basedOn w:val="Normal"/>
    <w:uiPriority w:val="34"/>
    <w:rsid w:val="00095445"/>
    <w:pPr>
      <w:ind w:leftChars="400" w:left="840"/>
    </w:pPr>
  </w:style>
  <w:style w:type="paragraph" w:styleId="TOC3">
    <w:name w:val="toc 3"/>
    <w:basedOn w:val="Normal"/>
    <w:rsid w:val="002D408A"/>
    <w:pPr>
      <w:keepLines/>
      <w:tabs>
        <w:tab w:val="right" w:leader="dot" w:pos="9639"/>
      </w:tabs>
      <w:overflowPunct w:val="0"/>
      <w:autoSpaceDE w:val="0"/>
      <w:autoSpaceDN w:val="0"/>
      <w:adjustRightInd w:val="0"/>
      <w:spacing w:before="80"/>
      <w:ind w:left="2269" w:right="851" w:hanging="851"/>
      <w:textAlignment w:val="baseline"/>
    </w:pPr>
    <w:rPr>
      <w:rFonts w:eastAsia="Batang"/>
      <w:noProof/>
      <w:szCs w:val="20"/>
      <w:lang w:eastAsia="en-US"/>
    </w:rPr>
  </w:style>
  <w:style w:type="paragraph" w:styleId="Header">
    <w:name w:val="header"/>
    <w:basedOn w:val="Normal"/>
    <w:link w:val="HeaderChar"/>
    <w:unhideWhenUsed/>
    <w:rsid w:val="00E569BF"/>
    <w:pPr>
      <w:tabs>
        <w:tab w:val="center" w:pos="4252"/>
        <w:tab w:val="right" w:pos="8504"/>
      </w:tabs>
      <w:snapToGrid w:val="0"/>
    </w:pPr>
  </w:style>
  <w:style w:type="character" w:customStyle="1" w:styleId="Heading1Char">
    <w:name w:val="Heading 1 Char"/>
    <w:basedOn w:val="DefaultParagraphFont"/>
    <w:link w:val="Heading1"/>
    <w:rsid w:val="00ED3002"/>
    <w:rPr>
      <w:rFonts w:ascii="Times New Roman" w:eastAsia="MS Mincho"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rsid w:val="00E569BF"/>
    <w:rPr>
      <w:rFonts w:ascii="Times New Roman" w:eastAsia="MS Mincho" w:hAnsi="Times New Roman" w:cs="Times New Roman"/>
      <w:sz w:val="24"/>
      <w:szCs w:val="24"/>
      <w:lang w:val="en-GB" w:eastAsia="ja-JP"/>
    </w:rPr>
  </w:style>
  <w:style w:type="paragraph" w:styleId="Footer">
    <w:name w:val="footer"/>
    <w:basedOn w:val="Normal"/>
    <w:link w:val="FooterChar"/>
    <w:uiPriority w:val="99"/>
    <w:unhideWhenUsed/>
    <w:rsid w:val="00E569BF"/>
    <w:pPr>
      <w:tabs>
        <w:tab w:val="center" w:pos="4252"/>
        <w:tab w:val="right" w:pos="8504"/>
      </w:tabs>
      <w:snapToGrid w:val="0"/>
    </w:pPr>
  </w:style>
  <w:style w:type="paragraph" w:styleId="Caption">
    <w:name w:val="caption"/>
    <w:basedOn w:val="Normal"/>
    <w:next w:val="Normal"/>
    <w:unhideWhenUsed/>
    <w:rsid w:val="00FC443F"/>
    <w:rPr>
      <w:b/>
      <w:bCs/>
      <w:sz w:val="21"/>
      <w:szCs w:val="21"/>
    </w:rPr>
  </w:style>
  <w:style w:type="character" w:customStyle="1" w:styleId="FooterChar">
    <w:name w:val="Footer Char"/>
    <w:basedOn w:val="DefaultParagraphFont"/>
    <w:link w:val="Footer"/>
    <w:uiPriority w:val="99"/>
    <w:rsid w:val="00E569BF"/>
    <w:rPr>
      <w:rFonts w:ascii="Times New Roman" w:eastAsia="MS Mincho" w:hAnsi="Times New Roman" w:cs="Times New Roman"/>
      <w:sz w:val="24"/>
      <w:szCs w:val="24"/>
      <w:lang w:val="en-GB" w:eastAsia="ja-JP"/>
    </w:rPr>
  </w:style>
  <w:style w:type="paragraph" w:customStyle="1" w:styleId="Default">
    <w:name w:val="Default"/>
    <w:rsid w:val="00F426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paragraph" w:styleId="TableofAuthorities">
    <w:name w:val="table of authorities"/>
    <w:basedOn w:val="Normal"/>
    <w:next w:val="Normal"/>
    <w:uiPriority w:val="99"/>
    <w:semiHidden/>
    <w:unhideWhenUsed/>
    <w:rsid w:val="001D033C"/>
    <w:pPr>
      <w:ind w:left="240" w:hanging="240"/>
    </w:p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rsid w:val="00732298"/>
    <w:pPr>
      <w:spacing w:after="0" w:line="240" w:lineRule="auto"/>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21212-TD-GEN-0032/en" TargetMode="External"/><Relationship Id="rId18" Type="http://schemas.openxmlformats.org/officeDocument/2006/relationships/image" Target="media/image4.jpeg"/><Relationship Id="rId26" Type="http://schemas.openxmlformats.org/officeDocument/2006/relationships/hyperlink" Target="https://www.itu.int/md/T22-SG09-230509-TD-GEN-0369" TargetMode="External"/><Relationship Id="rId39" Type="http://schemas.openxmlformats.org/officeDocument/2006/relationships/hyperlink" Target="https://www.itu.int/md/T22-SG09-230509-TD-GEN-0353/en" TargetMode="External"/><Relationship Id="rId21" Type="http://schemas.openxmlformats.org/officeDocument/2006/relationships/hyperlink" Target="https://www.itu.int/md/T22-SG09-230509-TD-GEN-0202/en" TargetMode="External"/><Relationship Id="rId34" Type="http://schemas.openxmlformats.org/officeDocument/2006/relationships/hyperlink" Target="https://www.itu.int/md/T22-SG09-230509-TD-GEN-0370/en" TargetMode="External"/><Relationship Id="rId42" Type="http://schemas.openxmlformats.org/officeDocument/2006/relationships/hyperlink" Target="https://www.itu.int/md/T22-SG09-230509-TD-GEN-0338" TargetMode="External"/><Relationship Id="rId47" Type="http://schemas.openxmlformats.org/officeDocument/2006/relationships/hyperlink" Target="http://www.itu.int/md/meetingdoc.asp?lang=en&amp;parent=T22-SG09-230509-TD-GEN-0379" TargetMode="External"/><Relationship Id="rId50" Type="http://schemas.openxmlformats.org/officeDocument/2006/relationships/hyperlink" Target="https://www.itu.int/md/T22-SG09-230509-TD-GEN-0223/en"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itu.int/md/T22-SG09-230509-TD-GEN-0352/en" TargetMode="External"/><Relationship Id="rId11" Type="http://schemas.openxmlformats.org/officeDocument/2006/relationships/image" Target="media/image1.png"/><Relationship Id="rId24" Type="http://schemas.openxmlformats.org/officeDocument/2006/relationships/hyperlink" Target="https://www.itu.int/md/T22-SG09-230509-TD-GEN-0368" TargetMode="External"/><Relationship Id="rId32" Type="http://schemas.openxmlformats.org/officeDocument/2006/relationships/hyperlink" Target="https://www.itu.int/md/T22-SG09-230509-TD-GEN-0357/en" TargetMode="External"/><Relationship Id="rId37" Type="http://schemas.openxmlformats.org/officeDocument/2006/relationships/hyperlink" Target="http://www.itu.int/md/meetingdoc.asp?lang=en&amp;parent=T22-SG09-230509-TD-GEN-0362" TargetMode="External"/><Relationship Id="rId40" Type="http://schemas.openxmlformats.org/officeDocument/2006/relationships/hyperlink" Target="https://www.itu.int/md/T22-SG09-230509-TD-GEN-0372" TargetMode="External"/><Relationship Id="rId45" Type="http://schemas.openxmlformats.org/officeDocument/2006/relationships/hyperlink" Target="https://www.itu.int/md/T22-SG09-230509-TD-GEN-0354/en" TargetMode="External"/><Relationship Id="rId53" Type="http://schemas.openxmlformats.org/officeDocument/2006/relationships/image" Target="media/image7.jpeg"/><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5.jpeg"/><Relationship Id="rId14" Type="http://schemas.openxmlformats.org/officeDocument/2006/relationships/image" Target="media/image2.png"/><Relationship Id="rId22" Type="http://schemas.openxmlformats.org/officeDocument/2006/relationships/hyperlink" Target="https://www.itu.int/md/T22-SG09-230509-TD-GEN-0203/en" TargetMode="External"/><Relationship Id="rId27" Type="http://schemas.openxmlformats.org/officeDocument/2006/relationships/hyperlink" Target="https://www.itu.int/md/T22-SG09-230509-TD-GEN-0364" TargetMode="External"/><Relationship Id="rId30" Type="http://schemas.openxmlformats.org/officeDocument/2006/relationships/hyperlink" Target="https://www.itu.int/md/meetingdoc.asp?lang=en&amp;parent=T22-SG09-230509-TD-GEN-0355" TargetMode="External"/><Relationship Id="rId35" Type="http://schemas.openxmlformats.org/officeDocument/2006/relationships/hyperlink" Target="https://www.itu.int/md/T22-SG09-230509-TD-GEN-0346/en" TargetMode="External"/><Relationship Id="rId43" Type="http://schemas.openxmlformats.org/officeDocument/2006/relationships/hyperlink" Target="https://www.itu.int/md/T22-SG09-230509-TD-GEN-0339" TargetMode="External"/><Relationship Id="rId48" Type="http://schemas.openxmlformats.org/officeDocument/2006/relationships/hyperlink" Target="https://www.itu.int/md/meetingdoc.asp?lang=en&amp;parent=T22-SG09-230509-TD-GEN-0355"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iisc.ac.in/events/india-hosts-meetings-to-advance-international-standards-for-tv-technology/" TargetMode="External"/><Relationship Id="rId3" Type="http://schemas.openxmlformats.org/officeDocument/2006/relationships/customXml" Target="../customXml/item3.xml"/><Relationship Id="rId12" Type="http://schemas.openxmlformats.org/officeDocument/2006/relationships/hyperlink" Target="mailto:sa-miyaji@kddi.com" TargetMode="External"/><Relationship Id="rId17" Type="http://schemas.openxmlformats.org/officeDocument/2006/relationships/hyperlink" Target="https://www.itu.int/en/ITU-T/Workshops-and-Seminars/2023/0511/Pages/programme.aspx" TargetMode="External"/><Relationship Id="rId25" Type="http://schemas.openxmlformats.org/officeDocument/2006/relationships/hyperlink" Target="https://www.itu.int/md/T22-SG09-230509-TD-GEN-0339/en" TargetMode="External"/><Relationship Id="rId33" Type="http://schemas.openxmlformats.org/officeDocument/2006/relationships/hyperlink" Target="https://www.itu.int/md/T22-SG09-230509-TD-GEN-0378/en" TargetMode="External"/><Relationship Id="rId38" Type="http://schemas.openxmlformats.org/officeDocument/2006/relationships/hyperlink" Target="https://www.itu.int/md/T22-SG09-230509-TD-GEN-0340/en" TargetMode="External"/><Relationship Id="rId46" Type="http://schemas.openxmlformats.org/officeDocument/2006/relationships/hyperlink" Target="https://www.itu.int/md/T22-SG09-230509-TD-GEN-0383/en" TargetMode="External"/><Relationship Id="rId59" Type="http://schemas.openxmlformats.org/officeDocument/2006/relationships/header" Target="header3.xml"/><Relationship Id="rId20" Type="http://schemas.openxmlformats.org/officeDocument/2006/relationships/hyperlink" Target="https://www.itu.int/md/T22-SG09-230509-TD-GEN-0200/en" TargetMode="External"/><Relationship Id="rId41" Type="http://schemas.openxmlformats.org/officeDocument/2006/relationships/hyperlink" Target="https://www.itu.int/md/T22-SG09-230509-TD-GEN-0375" TargetMode="External"/><Relationship Id="rId54" Type="http://schemas.openxmlformats.org/officeDocument/2006/relationships/image" Target="media/image8.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hyperlink" Target="https://www.itu.int/md/T22-SG09-230509-TD-GEN-0338/en" TargetMode="External"/><Relationship Id="rId28" Type="http://schemas.openxmlformats.org/officeDocument/2006/relationships/hyperlink" Target="https://www.itu.int/md/T22-SG09-230509-TD-GEN-0349" TargetMode="External"/><Relationship Id="rId36" Type="http://schemas.openxmlformats.org/officeDocument/2006/relationships/hyperlink" Target="https://www.itu.int/md/T22-SG09-230509-TD-GEN-0347/en" TargetMode="External"/><Relationship Id="rId49" Type="http://schemas.openxmlformats.org/officeDocument/2006/relationships/hyperlink" Target="http://www.itu.int/md/meetingdoc.asp?lang=en&amp;parent=T22-SG09-230509-TD-GEN-0363"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meetingdoc.asp?lang=en&amp;parent=T22-SG09-230509-TD-GEN-0348" TargetMode="External"/><Relationship Id="rId44" Type="http://schemas.openxmlformats.org/officeDocument/2006/relationships/hyperlink" Target="https://www.itu.int/md/T22-SG09-230509-TD-GEN-0340" TargetMode="External"/><Relationship Id="rId52" Type="http://schemas.openxmlformats.org/officeDocument/2006/relationships/image" Target="media/image6.png"/><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7</Pages>
  <Words>2236</Words>
  <Characters>12862</Characters>
  <Application>Microsoft Office Word</Application>
  <DocSecurity>4</DocSecurity>
  <Lines>559</Lines>
  <Paragraphs>335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Basic template - Unformatted (T21)</vt:lpstr>
      <vt:lpstr>Basic template - Unformatted (T21)</vt:lpstr>
    </vt:vector>
  </TitlesOfParts>
  <Manager>ITU-T</Manager>
  <Company>International Telecommunication Union (ITU)</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SG9 Lead Study Group report</dc:title>
  <dc:subject/>
  <dc:creator>Chairman, ITU-T Study Group 9</dc:creator>
  <cp:keywords/>
  <dc:description>TSAG-TD201  For: Geneva, 29 May – 2 June 2023_x000d_Document date: _x000d_Saved by ITU51014254 at 21:20:15 on 23.05.2023</dc:description>
  <cp:lastModifiedBy>Al-Mnini, Lara</cp:lastModifiedBy>
  <cp:revision>2</cp:revision>
  <cp:lastPrinted>2016-12-23T12:52:00Z</cp:lastPrinted>
  <dcterms:created xsi:type="dcterms:W3CDTF">2023-05-23T19:21:00Z</dcterms:created>
  <dcterms:modified xsi:type="dcterms:W3CDTF">2023-05-23T19:21:00Z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TSAG-TD201</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29 May – 2 June 2023</vt:lpwstr>
  </property>
  <property fmtid="{D5CDD505-2E9C-101B-9397-08002B2CF9AE}" pid="8" name="Docauthor">
    <vt:lpwstr>Chairman, ITU-T Study Group 9</vt:lpwstr>
  </property>
</Properties>
</file>