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F35EC9" w14:paraId="6E2B9710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35F55742" w14:textId="77777777" w:rsidR="005A64A7" w:rsidRPr="00F35EC9" w:rsidRDefault="005A64A7" w:rsidP="0081064E">
            <w:pPr>
              <w:spacing w:before="0"/>
              <w:jc w:val="center"/>
            </w:pPr>
            <w:r w:rsidRPr="00F35EC9">
              <w:rPr>
                <w:noProof/>
              </w:rPr>
              <w:drawing>
                <wp:inline distT="0" distB="0" distL="0" distR="0" wp14:anchorId="0853EB2E" wp14:editId="1671FD09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02158F8" w14:textId="77777777" w:rsidR="005A64A7" w:rsidRPr="00F35EC9" w:rsidRDefault="005A64A7" w:rsidP="009F42B3">
            <w:pPr>
              <w:rPr>
                <w:sz w:val="16"/>
                <w:szCs w:val="16"/>
              </w:rPr>
            </w:pPr>
            <w:r w:rsidRPr="00F35EC9">
              <w:rPr>
                <w:sz w:val="16"/>
                <w:szCs w:val="16"/>
              </w:rPr>
              <w:t>INTERNATIONAL TELECOMMUNICATION UNION</w:t>
            </w:r>
          </w:p>
          <w:p w14:paraId="3A5EDB57" w14:textId="77777777" w:rsidR="005A64A7" w:rsidRPr="00F35E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F35EC9">
              <w:rPr>
                <w:b/>
                <w:bCs/>
                <w:sz w:val="26"/>
                <w:szCs w:val="26"/>
              </w:rPr>
              <w:t>TELECOMMUNICATION</w:t>
            </w:r>
            <w:r w:rsidRPr="00F35E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41169C0" w14:textId="77777777" w:rsidR="005A64A7" w:rsidRPr="00F35EC9" w:rsidRDefault="005A64A7" w:rsidP="009F42B3">
            <w:pPr>
              <w:rPr>
                <w:sz w:val="20"/>
                <w:szCs w:val="20"/>
              </w:rPr>
            </w:pPr>
            <w:r w:rsidRPr="00F35EC9"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3"/>
            <w:vAlign w:val="center"/>
          </w:tcPr>
          <w:p w14:paraId="0B12E017" w14:textId="7EF82EC2" w:rsidR="005A64A7" w:rsidRPr="00F35EC9" w:rsidRDefault="005A64A7" w:rsidP="005A64A7">
            <w:pPr>
              <w:pStyle w:val="Docnumber"/>
            </w:pPr>
            <w:r w:rsidRPr="00F35EC9">
              <w:rPr>
                <w:noProof/>
              </w:rPr>
              <w:t>TSAG</w:t>
            </w:r>
            <w:r w:rsidR="00196052">
              <w:rPr>
                <w:noProof/>
              </w:rPr>
              <w:t>-</w:t>
            </w:r>
            <w:r w:rsidR="00904290">
              <w:rPr>
                <w:noProof/>
              </w:rPr>
              <w:t>TD</w:t>
            </w:r>
            <w:r w:rsidR="00EC081B">
              <w:rPr>
                <w:noProof/>
              </w:rPr>
              <w:t>196</w:t>
            </w:r>
          </w:p>
        </w:tc>
      </w:tr>
      <w:tr w:rsidR="005A64A7" w:rsidRPr="00F35EC9" w14:paraId="2656C377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94F304F" w14:textId="77777777" w:rsidR="005A64A7" w:rsidRPr="00F35EC9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DFD04F8" w14:textId="77777777" w:rsidR="005A64A7" w:rsidRPr="00F35EC9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3EB44F66" w14:textId="2B55699E" w:rsidR="005A64A7" w:rsidRPr="00F35EC9" w:rsidRDefault="005A64A7" w:rsidP="00FD35D4">
            <w:pPr>
              <w:pStyle w:val="TSBHeaderRight14"/>
            </w:pPr>
            <w:r w:rsidRPr="00F35EC9">
              <w:rPr>
                <w:noProof/>
              </w:rPr>
              <w:t>T</w:t>
            </w:r>
            <w:r w:rsidR="00196052">
              <w:rPr>
                <w:noProof/>
              </w:rPr>
              <w:t>SAG</w:t>
            </w:r>
          </w:p>
        </w:tc>
      </w:tr>
      <w:tr w:rsidR="005A64A7" w:rsidRPr="00F35EC9" w14:paraId="25D91CE2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99563AD" w14:textId="77777777" w:rsidR="005A64A7" w:rsidRPr="00F35EC9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31DCD93" w14:textId="77777777" w:rsidR="005A64A7" w:rsidRPr="00F35EC9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49643F31" w14:textId="77777777" w:rsidR="005A64A7" w:rsidRPr="00F35EC9" w:rsidRDefault="005A64A7" w:rsidP="006F4361">
            <w:pPr>
              <w:pStyle w:val="TSBHeaderRight14"/>
            </w:pPr>
            <w:r w:rsidRPr="00F35EC9">
              <w:t>Original: English</w:t>
            </w:r>
          </w:p>
        </w:tc>
      </w:tr>
      <w:tr w:rsidR="005A64A7" w:rsidRPr="00F35EC9" w14:paraId="7D78AF2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1535DB07" w14:textId="77777777" w:rsidR="005A64A7" w:rsidRPr="00F35EC9" w:rsidRDefault="005A64A7" w:rsidP="00691C94">
            <w:pPr>
              <w:rPr>
                <w:b/>
                <w:bCs/>
              </w:rPr>
            </w:pPr>
            <w:r w:rsidRPr="00F35EC9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4E20559D" w14:textId="77777777" w:rsidR="005A64A7" w:rsidRPr="00F35EC9" w:rsidRDefault="005A64A7" w:rsidP="002534C9">
            <w:pPr>
              <w:pStyle w:val="TSBHeaderQuestion"/>
            </w:pPr>
            <w:r w:rsidRPr="00F35EC9"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4981391B" w14:textId="11579612" w:rsidR="005A64A7" w:rsidRPr="00F35EC9" w:rsidRDefault="00B24F56" w:rsidP="0081064E">
            <w:pPr>
              <w:pStyle w:val="VenueDate"/>
            </w:pPr>
            <w:r>
              <w:t>Geneva</w:t>
            </w:r>
            <w:r w:rsidR="005A64A7" w:rsidRPr="00F35EC9">
              <w:t xml:space="preserve">, </w:t>
            </w:r>
            <w:r w:rsidR="00EC081B">
              <w:t>30 May</w:t>
            </w:r>
            <w:r w:rsidR="00904290">
              <w:t xml:space="preserve"> </w:t>
            </w:r>
            <w:r w:rsidR="00741B29">
              <w:t>- 2</w:t>
            </w:r>
            <w:r w:rsidR="00EC081B">
              <w:t xml:space="preserve"> June </w:t>
            </w:r>
            <w:r>
              <w:t>202</w:t>
            </w:r>
            <w:r w:rsidR="00EC081B">
              <w:t>3</w:t>
            </w:r>
          </w:p>
        </w:tc>
      </w:tr>
      <w:tr w:rsidR="005A64A7" w:rsidRPr="00F35EC9" w14:paraId="0AE9DD41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19E5408B" w14:textId="32632ECC" w:rsidR="005A64A7" w:rsidRPr="00F35EC9" w:rsidRDefault="00B24F56" w:rsidP="009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5A64A7" w:rsidRPr="00F35EC9" w14:paraId="57DCA50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48D9C866" w14:textId="77777777" w:rsidR="005A64A7" w:rsidRPr="00F35EC9" w:rsidRDefault="005A64A7" w:rsidP="00691C94">
            <w:pPr>
              <w:rPr>
                <w:b/>
                <w:bCs/>
              </w:rPr>
            </w:pPr>
            <w:r w:rsidRPr="00F35EC9"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65E9DD53" w14:textId="69848F3C" w:rsidR="005A64A7" w:rsidRPr="00F35EC9" w:rsidRDefault="00B24F56" w:rsidP="002534C9">
            <w:pPr>
              <w:pStyle w:val="TSBHeaderSource"/>
            </w:pPr>
            <w:r>
              <w:t>Director, TSB</w:t>
            </w:r>
          </w:p>
        </w:tc>
      </w:tr>
      <w:tr w:rsidR="005A64A7" w:rsidRPr="00F35EC9" w14:paraId="0A840B6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46B4ACC7" w14:textId="77777777" w:rsidR="005A64A7" w:rsidRPr="00F35EC9" w:rsidRDefault="005A64A7" w:rsidP="00691C94">
            <w:r w:rsidRPr="00F35EC9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C552BF5" w14:textId="5AD773B3" w:rsidR="00AD5729" w:rsidRPr="00F35EC9" w:rsidRDefault="00EC081B" w:rsidP="003F0D18">
            <w:pPr>
              <w:pStyle w:val="TSBHeaderTitle"/>
            </w:pPr>
            <w:r w:rsidRPr="00EC081B">
              <w:t>Outcome of survey on promoting gender equality in ITU Telecommunication Standardization Sector activities</w:t>
            </w:r>
          </w:p>
        </w:tc>
      </w:tr>
      <w:tr w:rsidR="005A64A7" w:rsidRPr="00B25690" w14:paraId="772668B5" w14:textId="77777777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B741FF" w14:textId="77777777" w:rsidR="005A64A7" w:rsidRPr="00F35EC9" w:rsidRDefault="005A64A7" w:rsidP="005C4F27">
            <w:pPr>
              <w:rPr>
                <w:b/>
                <w:bCs/>
              </w:rPr>
            </w:pPr>
            <w:r w:rsidRPr="00F35EC9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6B8E9B" w14:textId="617D769D" w:rsidR="005A64A7" w:rsidRPr="00F35EC9" w:rsidRDefault="00B24F56" w:rsidP="005C4F27">
            <w:r>
              <w:t>Florence Tunzi</w:t>
            </w:r>
            <w:r w:rsidR="005A64A7" w:rsidRPr="00F35EC9">
              <w:br/>
            </w:r>
            <w:r>
              <w:t>TSB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C4AA847" w14:textId="2AF77B23" w:rsidR="005A64A7" w:rsidRPr="00B25690" w:rsidRDefault="003F0D18" w:rsidP="00B57342">
            <w:pPr>
              <w:tabs>
                <w:tab w:val="left" w:pos="794"/>
              </w:tabs>
            </w:pPr>
            <w:r w:rsidRPr="00B25690">
              <w:t>E-mail:</w:t>
            </w:r>
            <w:r w:rsidRPr="00F35EC9">
              <w:tab/>
            </w:r>
            <w:hyperlink r:id="rId12" w:history="1">
              <w:r w:rsidR="00EC081B" w:rsidRPr="003C51AD">
                <w:rPr>
                  <w:rStyle w:val="Hyperlink"/>
                </w:rPr>
                <w:t>NoW-T@itu.int</w:t>
              </w:r>
            </w:hyperlink>
            <w:r w:rsidR="005A64A7" w:rsidRPr="00B25690">
              <w:br/>
            </w:r>
          </w:p>
        </w:tc>
      </w:tr>
    </w:tbl>
    <w:p w14:paraId="5181C90E" w14:textId="77777777" w:rsidR="0003461F" w:rsidRDefault="0003461F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070567" w:rsidRPr="00F35EC9" w14:paraId="3CBE5FDB" w14:textId="77777777" w:rsidTr="00F7653A">
        <w:trPr>
          <w:cantSplit/>
          <w:trHeight w:val="983"/>
          <w:jc w:val="center"/>
        </w:trPr>
        <w:tc>
          <w:tcPr>
            <w:tcW w:w="1418" w:type="dxa"/>
          </w:tcPr>
          <w:p w14:paraId="49C95E38" w14:textId="0115D778" w:rsidR="00070567" w:rsidRPr="00F35EC9" w:rsidRDefault="00070567" w:rsidP="00862BDE">
            <w:pPr>
              <w:rPr>
                <w:b/>
                <w:bCs/>
              </w:rPr>
            </w:pPr>
            <w:r>
              <w:rPr>
                <w:b/>
                <w:bCs/>
              </w:rPr>
              <w:t>Abstract</w:t>
            </w:r>
            <w:r w:rsidRPr="00F35EC9">
              <w:rPr>
                <w:b/>
                <w:bCs/>
              </w:rPr>
              <w:t>:</w:t>
            </w:r>
          </w:p>
        </w:tc>
        <w:tc>
          <w:tcPr>
            <w:tcW w:w="8222" w:type="dxa"/>
          </w:tcPr>
          <w:p w14:paraId="74ECD543" w14:textId="4FD89EA2" w:rsidR="00070567" w:rsidRPr="00F35EC9" w:rsidRDefault="00EC081B" w:rsidP="00F7653A">
            <w:pPr>
              <w:pStyle w:val="TSBHeaderSummary"/>
            </w:pPr>
            <w:r>
              <w:t>T</w:t>
            </w:r>
            <w:r w:rsidR="00070567">
              <w:t>his document informs</w:t>
            </w:r>
            <w:r w:rsidR="00070567" w:rsidRPr="00EC79B4">
              <w:t xml:space="preserve"> </w:t>
            </w:r>
            <w:r w:rsidR="00741B29">
              <w:t xml:space="preserve">on </w:t>
            </w:r>
            <w:r>
              <w:t>the o</w:t>
            </w:r>
            <w:r w:rsidRPr="00EC081B">
              <w:t xml:space="preserve">utcome of </w:t>
            </w:r>
            <w:r>
              <w:t xml:space="preserve">the </w:t>
            </w:r>
            <w:r w:rsidRPr="00EC081B">
              <w:t>survey on promoting gender equality in ITU Telecommunication Standardization Sector activities</w:t>
            </w:r>
            <w:r>
              <w:t xml:space="preserve"> and invites </w:t>
            </w:r>
            <w:r w:rsidR="00070567">
              <w:t xml:space="preserve">TSAG </w:t>
            </w:r>
            <w:r>
              <w:t xml:space="preserve">to note and support the implementation of </w:t>
            </w:r>
            <w:r w:rsidR="00741B29">
              <w:t xml:space="preserve">the </w:t>
            </w:r>
            <w:r>
              <w:t>key findings</w:t>
            </w:r>
            <w:r w:rsidR="0003461F">
              <w:t>.</w:t>
            </w:r>
          </w:p>
        </w:tc>
      </w:tr>
    </w:tbl>
    <w:p w14:paraId="421981D6" w14:textId="77777777" w:rsidR="005A64A7" w:rsidRPr="00F35EC9" w:rsidRDefault="005A64A7" w:rsidP="0089088E"/>
    <w:p w14:paraId="45484497" w14:textId="5BF768D6" w:rsidR="003F0D18" w:rsidRPr="00F7653A" w:rsidRDefault="00904290" w:rsidP="003F0D18">
      <w:pPr>
        <w:pStyle w:val="TSBHeaderSummary"/>
        <w:rPr>
          <w:b/>
          <w:bCs/>
        </w:rPr>
      </w:pPr>
      <w:r w:rsidRPr="00F7653A">
        <w:rPr>
          <w:b/>
          <w:bCs/>
        </w:rPr>
        <w:t>Action</w:t>
      </w:r>
      <w:r w:rsidR="00862BDE">
        <w:rPr>
          <w:b/>
          <w:bCs/>
        </w:rPr>
        <w:t>s:</w:t>
      </w:r>
    </w:p>
    <w:p w14:paraId="4B794E5D" w14:textId="441D42C5" w:rsidR="00DE2920" w:rsidRDefault="00862BDE" w:rsidP="00DE2920">
      <w:pPr>
        <w:pStyle w:val="TSBHeaderSummary"/>
        <w:numPr>
          <w:ilvl w:val="0"/>
          <w:numId w:val="13"/>
        </w:numPr>
      </w:pPr>
      <w:r>
        <w:t xml:space="preserve">Members </w:t>
      </w:r>
      <w:r w:rsidR="00617096">
        <w:t xml:space="preserve">are </w:t>
      </w:r>
      <w:r w:rsidR="00DE2920">
        <w:t>encouraged</w:t>
      </w:r>
      <w:r w:rsidR="00617096">
        <w:t xml:space="preserve"> </w:t>
      </w:r>
      <w:r>
        <w:t xml:space="preserve">to </w:t>
      </w:r>
      <w:r w:rsidR="00DE2920">
        <w:t xml:space="preserve">support the implementation </w:t>
      </w:r>
      <w:r w:rsidR="00741B29">
        <w:t>of the</w:t>
      </w:r>
      <w:r w:rsidR="00DE2920">
        <w:t xml:space="preserve"> following </w:t>
      </w:r>
      <w:r w:rsidR="00741B29">
        <w:t xml:space="preserve">actions </w:t>
      </w:r>
      <w:r w:rsidR="00DE2920">
        <w:t xml:space="preserve">with a view </w:t>
      </w:r>
      <w:r>
        <w:t>to accelerate gender equality in all areas of ITU-T</w:t>
      </w:r>
    </w:p>
    <w:p w14:paraId="65AF8E8A" w14:textId="298B1DB6" w:rsidR="00DE2920" w:rsidRDefault="00DE2920" w:rsidP="00DE2920">
      <w:pPr>
        <w:pStyle w:val="TSBHeaderSummary"/>
        <w:numPr>
          <w:ilvl w:val="1"/>
          <w:numId w:val="13"/>
        </w:numPr>
      </w:pPr>
      <w:r>
        <w:t xml:space="preserve">Nominate </w:t>
      </w:r>
      <w:r w:rsidR="00741B29">
        <w:t xml:space="preserve">more </w:t>
      </w:r>
      <w:r>
        <w:t>women candidates for ITU-T leadership positions (Chairmen, Vice-</w:t>
      </w:r>
      <w:proofErr w:type="gramStart"/>
      <w:r>
        <w:t>Chairmen</w:t>
      </w:r>
      <w:proofErr w:type="gramEnd"/>
      <w:r>
        <w:t xml:space="preserve"> and rapporteurs)</w:t>
      </w:r>
    </w:p>
    <w:p w14:paraId="702F3CCA" w14:textId="505EBA3A" w:rsidR="00DE2920" w:rsidRDefault="00DE2920" w:rsidP="00DE2920">
      <w:pPr>
        <w:pStyle w:val="TSBHeaderSummary"/>
        <w:numPr>
          <w:ilvl w:val="1"/>
          <w:numId w:val="13"/>
        </w:numPr>
      </w:pPr>
      <w:r>
        <w:t xml:space="preserve">Select women as Heads of Delegations </w:t>
      </w:r>
    </w:p>
    <w:p w14:paraId="144A09CA" w14:textId="58FF88D0" w:rsidR="00DE2920" w:rsidRDefault="00DE2920" w:rsidP="00DE2920">
      <w:pPr>
        <w:pStyle w:val="TSBHeaderSummary"/>
        <w:numPr>
          <w:ilvl w:val="1"/>
          <w:numId w:val="13"/>
        </w:numPr>
      </w:pPr>
      <w:r>
        <w:t>Ensure gender balance in delegation</w:t>
      </w:r>
      <w:r w:rsidR="00741B29">
        <w:t>s</w:t>
      </w:r>
      <w:r>
        <w:t xml:space="preserve"> to ITU-T events and </w:t>
      </w:r>
      <w:proofErr w:type="gramStart"/>
      <w:r>
        <w:t>activities</w:t>
      </w:r>
      <w:proofErr w:type="gramEnd"/>
      <w:r>
        <w:t xml:space="preserve"> </w:t>
      </w:r>
    </w:p>
    <w:p w14:paraId="7F8DD94A" w14:textId="23CFC67A" w:rsidR="00904290" w:rsidRDefault="00741B29" w:rsidP="00DE2920">
      <w:pPr>
        <w:pStyle w:val="TSBHeaderSummary"/>
        <w:numPr>
          <w:ilvl w:val="1"/>
          <w:numId w:val="13"/>
        </w:numPr>
      </w:pPr>
      <w:r>
        <w:t xml:space="preserve">Encourage and support </w:t>
      </w:r>
      <w:r w:rsidR="00DE2920">
        <w:t>women</w:t>
      </w:r>
      <w:r>
        <w:t xml:space="preserve"> and girls</w:t>
      </w:r>
      <w:r w:rsidR="00DE2920">
        <w:t xml:space="preserve"> enrolling in STEM </w:t>
      </w:r>
      <w:proofErr w:type="gramStart"/>
      <w:r w:rsidR="00DE2920">
        <w:t>fields</w:t>
      </w:r>
      <w:proofErr w:type="gramEnd"/>
      <w:r w:rsidR="00DE2920">
        <w:t xml:space="preserve"> </w:t>
      </w:r>
    </w:p>
    <w:p w14:paraId="75BCB43E" w14:textId="77777777" w:rsidR="00741B29" w:rsidRDefault="00741B29" w:rsidP="00741B29">
      <w:pPr>
        <w:pStyle w:val="TSBHeaderSummary"/>
        <w:ind w:left="1080"/>
      </w:pPr>
    </w:p>
    <w:p w14:paraId="167B48EC" w14:textId="41E32DA9" w:rsidR="00741B29" w:rsidRPr="00741B29" w:rsidRDefault="00741B29" w:rsidP="00741B29">
      <w:pPr>
        <w:pStyle w:val="TSBHeaderSummary"/>
        <w:rPr>
          <w:b/>
          <w:bCs/>
        </w:rPr>
      </w:pPr>
      <w:r w:rsidRPr="00741B29">
        <w:rPr>
          <w:b/>
          <w:bCs/>
        </w:rPr>
        <w:t>Overview</w:t>
      </w:r>
      <w:r>
        <w:rPr>
          <w:b/>
          <w:bCs/>
        </w:rPr>
        <w:t>:</w:t>
      </w:r>
      <w:r w:rsidRPr="00741B29">
        <w:rPr>
          <w:b/>
          <w:bCs/>
        </w:rPr>
        <w:t xml:space="preserve"> </w:t>
      </w:r>
    </w:p>
    <w:p w14:paraId="2B50EE45" w14:textId="657867AC" w:rsidR="003F0D18" w:rsidRDefault="00DE2920" w:rsidP="00741B29">
      <w:pPr>
        <w:pStyle w:val="TSBHeaderSummary"/>
      </w:pPr>
      <w:r>
        <w:t xml:space="preserve">In accordance with </w:t>
      </w:r>
      <w:r w:rsidR="003F0D18" w:rsidRPr="004B2485">
        <w:t xml:space="preserve">WTSA-20 Resolution 55 </w:t>
      </w:r>
      <w:r w:rsidR="00904290">
        <w:t xml:space="preserve">(Rev. Geneva, 2022) </w:t>
      </w:r>
      <w:r w:rsidR="003F0D18" w:rsidRPr="004B2485">
        <w:t>on promoting gender equality in ITU Telecommunication Standardization Sector activities,</w:t>
      </w:r>
      <w:r w:rsidR="00DC0179">
        <w:t xml:space="preserve"> </w:t>
      </w:r>
      <w:r w:rsidR="003F0D18">
        <w:t xml:space="preserve">ITU-T Membership </w:t>
      </w:r>
      <w:r w:rsidR="00DC0179">
        <w:t xml:space="preserve">was invited to </w:t>
      </w:r>
      <w:r w:rsidR="00605D8F">
        <w:t>participate</w:t>
      </w:r>
      <w:r w:rsidR="00DC0179">
        <w:t xml:space="preserve"> in a survey </w:t>
      </w:r>
      <w:r w:rsidR="003F0D18">
        <w:t>with the aim to collect insights on various ways to accelerate gender balance in all areas ITU-T’s work and its committees.</w:t>
      </w:r>
    </w:p>
    <w:p w14:paraId="11DF3DAD" w14:textId="381E5760" w:rsidR="00DC0179" w:rsidRDefault="00DC0179" w:rsidP="00DE2920">
      <w:pPr>
        <w:pStyle w:val="TSBHeaderSummary"/>
        <w:spacing w:before="240"/>
      </w:pPr>
      <w:r>
        <w:t xml:space="preserve">The survey inquired on the following: </w:t>
      </w:r>
    </w:p>
    <w:p w14:paraId="5F9A86C9" w14:textId="01DD0F8B" w:rsidR="00DC0179" w:rsidRDefault="00DC0179" w:rsidP="00DC0179">
      <w:pPr>
        <w:pStyle w:val="TSBHeaderSummary"/>
        <w:numPr>
          <w:ilvl w:val="0"/>
          <w:numId w:val="13"/>
        </w:numPr>
        <w:spacing w:before="240"/>
      </w:pPr>
      <w:r>
        <w:t>T</w:t>
      </w:r>
      <w:r w:rsidRPr="00DC0179">
        <w:t xml:space="preserve">he challenges to women’s participation in ITU-T Events, </w:t>
      </w:r>
      <w:proofErr w:type="gramStart"/>
      <w:r w:rsidRPr="00DC0179">
        <w:t>groups</w:t>
      </w:r>
      <w:proofErr w:type="gramEnd"/>
      <w:r w:rsidRPr="00DC0179">
        <w:t xml:space="preserve"> and Leadership positions, i.e. (Chairman/ Vice Chairman/ Rapporteurs)</w:t>
      </w:r>
    </w:p>
    <w:p w14:paraId="5940E53F" w14:textId="7773C9AA" w:rsidR="00DC0179" w:rsidRDefault="00DC0179" w:rsidP="00DC0179">
      <w:pPr>
        <w:pStyle w:val="TSBHeaderSummary"/>
        <w:numPr>
          <w:ilvl w:val="0"/>
          <w:numId w:val="13"/>
        </w:numPr>
        <w:spacing w:before="240"/>
      </w:pPr>
      <w:r>
        <w:t xml:space="preserve">Proposals to </w:t>
      </w:r>
      <w:r w:rsidRPr="00DC0179">
        <w:t>propose to accelerate participation of women in (1) ITU-T activities and (2) leadership positions</w:t>
      </w:r>
      <w:r>
        <w:t>.</w:t>
      </w:r>
    </w:p>
    <w:p w14:paraId="6C4403F2" w14:textId="77777777" w:rsidR="00741B29" w:rsidRDefault="00741B29" w:rsidP="00741B29">
      <w:pPr>
        <w:pStyle w:val="TSBHeaderSummary"/>
        <w:rPr>
          <w:b/>
          <w:bCs/>
        </w:rPr>
      </w:pPr>
    </w:p>
    <w:p w14:paraId="78FFB4B8" w14:textId="3A3DB48B" w:rsidR="00DC0179" w:rsidRPr="00BC220D" w:rsidRDefault="00DC0179" w:rsidP="00741B29">
      <w:pPr>
        <w:pStyle w:val="TSBHeaderSummary"/>
        <w:rPr>
          <w:b/>
          <w:bCs/>
        </w:rPr>
      </w:pPr>
      <w:r w:rsidRPr="00BC220D">
        <w:rPr>
          <w:b/>
          <w:bCs/>
        </w:rPr>
        <w:t xml:space="preserve">Survey results: </w:t>
      </w:r>
    </w:p>
    <w:p w14:paraId="654B1125" w14:textId="0E5BFD3D" w:rsidR="007811C1" w:rsidRPr="00741B29" w:rsidRDefault="007811C1" w:rsidP="00741B29">
      <w:pPr>
        <w:pStyle w:val="TSBHeaderSummary"/>
        <w:numPr>
          <w:ilvl w:val="0"/>
          <w:numId w:val="13"/>
        </w:numPr>
        <w:rPr>
          <w:i/>
          <w:iCs/>
        </w:rPr>
      </w:pPr>
      <w:r w:rsidRPr="00741B29">
        <w:rPr>
          <w:i/>
          <w:iCs/>
        </w:rPr>
        <w:t xml:space="preserve">Participation: </w:t>
      </w:r>
    </w:p>
    <w:p w14:paraId="4969347E" w14:textId="4F3186CE" w:rsidR="00DC0179" w:rsidRDefault="00DC0179" w:rsidP="007811C1">
      <w:pPr>
        <w:pStyle w:val="TSBHeaderSummary"/>
        <w:numPr>
          <w:ilvl w:val="1"/>
          <w:numId w:val="13"/>
        </w:numPr>
        <w:spacing w:before="0"/>
      </w:pPr>
      <w:r>
        <w:t xml:space="preserve">A </w:t>
      </w:r>
      <w:r w:rsidR="007811C1">
        <w:t>hundred</w:t>
      </w:r>
      <w:r>
        <w:t xml:space="preserve"> and sixteen (116) entities</w:t>
      </w:r>
      <w:r w:rsidR="008A7DA0">
        <w:t xml:space="preserve"> from 47 </w:t>
      </w:r>
      <w:proofErr w:type="gramStart"/>
      <w:r w:rsidR="008A7DA0">
        <w:t xml:space="preserve">countries </w:t>
      </w:r>
      <w:r>
        <w:t xml:space="preserve"> participated</w:t>
      </w:r>
      <w:proofErr w:type="gramEnd"/>
      <w:r>
        <w:t xml:space="preserve"> in the survey </w:t>
      </w:r>
    </w:p>
    <w:p w14:paraId="2FBA1C9E" w14:textId="39267689" w:rsidR="00DC0179" w:rsidRDefault="00DC0179" w:rsidP="007811C1">
      <w:pPr>
        <w:pStyle w:val="TSBHeaderSummary"/>
        <w:numPr>
          <w:ilvl w:val="1"/>
          <w:numId w:val="13"/>
        </w:numPr>
        <w:spacing w:before="0"/>
      </w:pPr>
      <w:r>
        <w:t xml:space="preserve">Fifty percent were men and 50% </w:t>
      </w:r>
      <w:proofErr w:type="gramStart"/>
      <w:r>
        <w:t>women</w:t>
      </w:r>
      <w:proofErr w:type="gramEnd"/>
    </w:p>
    <w:p w14:paraId="4D2A0A99" w14:textId="1D800A2B" w:rsidR="007811C1" w:rsidRDefault="007811C1" w:rsidP="007811C1">
      <w:pPr>
        <w:pStyle w:val="TSBHeaderSummary"/>
        <w:numPr>
          <w:ilvl w:val="1"/>
          <w:numId w:val="13"/>
        </w:numPr>
        <w:spacing w:before="0"/>
      </w:pPr>
      <w:r>
        <w:lastRenderedPageBreak/>
        <w:t>Top five working groups were: TSAG (26%), SG2 (19%), SG20 (16%), SG16 (16</w:t>
      </w:r>
      <w:proofErr w:type="gramStart"/>
      <w:r>
        <w:t>%)  &amp;</w:t>
      </w:r>
      <w:proofErr w:type="gramEnd"/>
      <w:r>
        <w:t xml:space="preserve"> SG3 (14%)</w:t>
      </w:r>
    </w:p>
    <w:p w14:paraId="170C75C2" w14:textId="1F76F20D" w:rsidR="007811C1" w:rsidRDefault="007811C1" w:rsidP="007811C1">
      <w:pPr>
        <w:pStyle w:val="TSBHeaderSummary"/>
        <w:numPr>
          <w:ilvl w:val="1"/>
          <w:numId w:val="13"/>
        </w:numPr>
        <w:spacing w:before="0"/>
      </w:pPr>
      <w:r>
        <w:t>Chairman (6%), Vice-Chairman (14%), Rapporteurs (15%), Editors (22%), delegates (58%)</w:t>
      </w:r>
    </w:p>
    <w:p w14:paraId="256A196A" w14:textId="7524DDDE" w:rsidR="007811C1" w:rsidRDefault="007811C1" w:rsidP="007811C1">
      <w:pPr>
        <w:pStyle w:val="TSBHeaderSummary"/>
        <w:numPr>
          <w:ilvl w:val="1"/>
          <w:numId w:val="13"/>
        </w:numPr>
        <w:spacing w:before="0"/>
      </w:pPr>
      <w:r>
        <w:t>Government (58%, Private sector (30%) Academia (6%), other (10%)</w:t>
      </w:r>
    </w:p>
    <w:p w14:paraId="7CED671A" w14:textId="064B081D" w:rsidR="008A7DA0" w:rsidRDefault="008A7DA0" w:rsidP="007811C1">
      <w:pPr>
        <w:pStyle w:val="TSBHeaderSummary"/>
        <w:numPr>
          <w:ilvl w:val="1"/>
          <w:numId w:val="13"/>
        </w:numPr>
        <w:spacing w:before="0"/>
      </w:pPr>
      <w:r>
        <w:t xml:space="preserve">Top 5 countries: United States of America, People’s Republic of China, Togo, Japan, Republic of Korea </w:t>
      </w:r>
    </w:p>
    <w:p w14:paraId="53A4387B" w14:textId="77777777" w:rsidR="00AB24B8" w:rsidRDefault="00AB24B8" w:rsidP="00AB24B8">
      <w:pPr>
        <w:pStyle w:val="TSBHeaderSummary"/>
        <w:spacing w:before="0"/>
        <w:ind w:left="1080"/>
      </w:pPr>
    </w:p>
    <w:tbl>
      <w:tblPr>
        <w:tblStyle w:val="TableGrid"/>
        <w:tblW w:w="1070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6516"/>
      </w:tblGrid>
      <w:tr w:rsidR="00605D8F" w14:paraId="39BCBCF9" w14:textId="77777777" w:rsidTr="00605D8F">
        <w:trPr>
          <w:trHeight w:val="3460"/>
        </w:trPr>
        <w:tc>
          <w:tcPr>
            <w:tcW w:w="4068" w:type="dxa"/>
          </w:tcPr>
          <w:p w14:paraId="751FE1DF" w14:textId="5F80F921" w:rsidR="00AB24B8" w:rsidRDefault="00AB24B8" w:rsidP="00AB24B8">
            <w:pPr>
              <w:pStyle w:val="TSBHeaderSummary"/>
              <w:spacing w:before="0"/>
            </w:pPr>
            <w:r>
              <w:rPr>
                <w:noProof/>
              </w:rPr>
              <w:drawing>
                <wp:inline distT="0" distB="0" distL="0" distR="0" wp14:anchorId="71E244B9" wp14:editId="3EEA329E">
                  <wp:extent cx="2517140" cy="1949570"/>
                  <wp:effectExtent l="0" t="0" r="16510" b="12700"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6636" w:type="dxa"/>
          </w:tcPr>
          <w:p w14:paraId="632912A2" w14:textId="63DD1D9E" w:rsidR="00AB24B8" w:rsidRDefault="00AB24B8" w:rsidP="00AB24B8">
            <w:pPr>
              <w:pStyle w:val="TSBHeaderSummary"/>
              <w:spacing w:before="0"/>
            </w:pPr>
            <w:r>
              <w:rPr>
                <w:noProof/>
              </w:rPr>
              <w:drawing>
                <wp:inline distT="0" distB="0" distL="0" distR="0" wp14:anchorId="34C624B2" wp14:editId="23F24D0D">
                  <wp:extent cx="3994030" cy="1932305"/>
                  <wp:effectExtent l="0" t="0" r="6985" b="10795"/>
                  <wp:docPr id="3" name="Char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AB24B8" w14:paraId="1AD724E1" w14:textId="77777777" w:rsidTr="00605D8F">
        <w:tc>
          <w:tcPr>
            <w:tcW w:w="4068" w:type="dxa"/>
          </w:tcPr>
          <w:p w14:paraId="072E3943" w14:textId="77777777" w:rsidR="00AB24B8" w:rsidRDefault="00AB24B8" w:rsidP="00AB24B8">
            <w:pPr>
              <w:pStyle w:val="TSBHeaderSummary"/>
              <w:spacing w:before="0"/>
              <w:rPr>
                <w:noProof/>
              </w:rPr>
            </w:pPr>
          </w:p>
        </w:tc>
        <w:tc>
          <w:tcPr>
            <w:tcW w:w="6636" w:type="dxa"/>
          </w:tcPr>
          <w:p w14:paraId="13576555" w14:textId="77777777" w:rsidR="00AB24B8" w:rsidRDefault="00AB24B8" w:rsidP="00AB24B8">
            <w:pPr>
              <w:pStyle w:val="TSBHeaderSummary"/>
              <w:spacing w:before="0"/>
              <w:rPr>
                <w:noProof/>
              </w:rPr>
            </w:pPr>
          </w:p>
        </w:tc>
      </w:tr>
      <w:tr w:rsidR="00605D8F" w14:paraId="7CD64A87" w14:textId="77777777" w:rsidTr="00605D8F">
        <w:tc>
          <w:tcPr>
            <w:tcW w:w="4068" w:type="dxa"/>
          </w:tcPr>
          <w:p w14:paraId="18AA7A6B" w14:textId="6F5791B5" w:rsidR="00AB24B8" w:rsidRDefault="00AB24B8" w:rsidP="00AB24B8">
            <w:pPr>
              <w:pStyle w:val="TSBHeaderSummary"/>
              <w:spacing w:before="0"/>
            </w:pPr>
            <w:r>
              <w:rPr>
                <w:noProof/>
              </w:rPr>
              <w:drawing>
                <wp:inline distT="0" distB="0" distL="0" distR="0" wp14:anchorId="0D7DADA4" wp14:editId="49CEA1FE">
                  <wp:extent cx="2613804" cy="2260169"/>
                  <wp:effectExtent l="0" t="0" r="15240" b="6985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6636" w:type="dxa"/>
          </w:tcPr>
          <w:p w14:paraId="5F272C2B" w14:textId="69B38B26" w:rsidR="00AB24B8" w:rsidRDefault="00AB24B8" w:rsidP="00AB24B8">
            <w:pPr>
              <w:pStyle w:val="TSBHeaderSummary"/>
              <w:spacing w:before="0"/>
            </w:pPr>
            <w:r>
              <w:rPr>
                <w:noProof/>
              </w:rPr>
              <w:drawing>
                <wp:inline distT="0" distB="0" distL="0" distR="0" wp14:anchorId="27EE1CA1" wp14:editId="5892FBE0">
                  <wp:extent cx="3950899" cy="2096219"/>
                  <wp:effectExtent l="0" t="0" r="12065" b="18415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14:paraId="36965078" w14:textId="25001F24" w:rsidR="008A7DA0" w:rsidRPr="00741B29" w:rsidRDefault="008A7DA0" w:rsidP="00741B29">
      <w:pPr>
        <w:pStyle w:val="TSBHeaderSummary"/>
        <w:numPr>
          <w:ilvl w:val="0"/>
          <w:numId w:val="13"/>
        </w:numPr>
        <w:spacing w:before="240"/>
        <w:rPr>
          <w:i/>
          <w:iCs/>
        </w:rPr>
      </w:pPr>
      <w:r w:rsidRPr="00741B29">
        <w:rPr>
          <w:i/>
          <w:iCs/>
        </w:rPr>
        <w:t xml:space="preserve">Findings: </w:t>
      </w:r>
    </w:p>
    <w:p w14:paraId="2C2ED5D0" w14:textId="22B951CA" w:rsidR="008A7DA0" w:rsidRDefault="008A7DA0" w:rsidP="008A7DA0">
      <w:pPr>
        <w:pStyle w:val="TSBHeaderSummary"/>
        <w:numPr>
          <w:ilvl w:val="1"/>
          <w:numId w:val="13"/>
        </w:numPr>
        <w:spacing w:before="240"/>
      </w:pPr>
      <w:r>
        <w:t xml:space="preserve">It was reported that Members </w:t>
      </w:r>
      <w:r w:rsidR="00741B29">
        <w:t>S</w:t>
      </w:r>
      <w:r>
        <w:t>tates continue to nominate less women</w:t>
      </w:r>
      <w:r w:rsidR="00741B29">
        <w:t xml:space="preserve">, as </w:t>
      </w:r>
      <w:r>
        <w:t>compared to men</w:t>
      </w:r>
      <w:r w:rsidR="00741B29">
        <w:t xml:space="preserve">, </w:t>
      </w:r>
      <w:r>
        <w:t xml:space="preserve">as candidates for ITU-T leadership positions, Heads of Delegation and as delegates to ITU </w:t>
      </w:r>
      <w:proofErr w:type="gramStart"/>
      <w:r>
        <w:t>events</w:t>
      </w:r>
      <w:r w:rsidR="00AB24B8">
        <w:t>;</w:t>
      </w:r>
      <w:proofErr w:type="gramEnd"/>
      <w:r>
        <w:t xml:space="preserve"> </w:t>
      </w:r>
    </w:p>
    <w:p w14:paraId="12E8B84A" w14:textId="7B3B249A" w:rsidR="008A7DA0" w:rsidRDefault="008A7DA0" w:rsidP="008A7DA0">
      <w:pPr>
        <w:pStyle w:val="TSBHeaderSummary"/>
        <w:numPr>
          <w:ilvl w:val="1"/>
          <w:numId w:val="13"/>
        </w:numPr>
        <w:spacing w:before="240"/>
      </w:pPr>
      <w:r>
        <w:t xml:space="preserve"> Women continue to be underrepresented in</w:t>
      </w:r>
      <w:r w:rsidR="00741B29" w:rsidRPr="00741B29">
        <w:t xml:space="preserve"> </w:t>
      </w:r>
      <w:r w:rsidR="00AB24B8">
        <w:t>s</w:t>
      </w:r>
      <w:r w:rsidR="00741B29" w:rsidRPr="00741B29">
        <w:t>cience, technology, engineering, and mathematics</w:t>
      </w:r>
      <w:r>
        <w:t xml:space="preserve"> </w:t>
      </w:r>
      <w:r w:rsidR="00741B29">
        <w:t>(</w:t>
      </w:r>
      <w:r>
        <w:t>STEM</w:t>
      </w:r>
      <w:r w:rsidR="00741B29">
        <w:t>)</w:t>
      </w:r>
      <w:r>
        <w:t xml:space="preserve"> field</w:t>
      </w:r>
      <w:r w:rsidR="00741B29">
        <w:t>s</w:t>
      </w:r>
      <w:r>
        <w:t xml:space="preserve"> which is</w:t>
      </w:r>
      <w:r w:rsidR="00AB24B8">
        <w:t xml:space="preserve"> consequently </w:t>
      </w:r>
      <w:r>
        <w:t>reflect</w:t>
      </w:r>
      <w:r w:rsidR="00AB24B8">
        <w:t xml:space="preserve">ed </w:t>
      </w:r>
      <w:r>
        <w:t xml:space="preserve">in </w:t>
      </w:r>
      <w:r w:rsidR="00AB24B8">
        <w:t xml:space="preserve">the </w:t>
      </w:r>
      <w:r>
        <w:t xml:space="preserve">professional technical </w:t>
      </w:r>
      <w:r w:rsidR="00BC220D">
        <w:t>field</w:t>
      </w:r>
      <w:r w:rsidR="00AB24B8">
        <w:t>s</w:t>
      </w:r>
      <w:r>
        <w:t xml:space="preserve"> </w:t>
      </w:r>
      <w:r w:rsidR="00BC220D">
        <w:t xml:space="preserve">and similarly </w:t>
      </w:r>
      <w:r w:rsidR="00AB24B8">
        <w:t xml:space="preserve">in </w:t>
      </w:r>
      <w:r w:rsidR="00BC220D">
        <w:t>ITU-T activities</w:t>
      </w:r>
      <w:r w:rsidR="00AB24B8">
        <w:t>;</w:t>
      </w:r>
      <w:r w:rsidR="00BC220D">
        <w:t xml:space="preserve"> </w:t>
      </w:r>
    </w:p>
    <w:p w14:paraId="0B5E29F2" w14:textId="08E9F7CE" w:rsidR="00BC220D" w:rsidRDefault="00BC220D" w:rsidP="008A7DA0">
      <w:pPr>
        <w:pStyle w:val="TSBHeaderSummary"/>
        <w:numPr>
          <w:ilvl w:val="1"/>
          <w:numId w:val="13"/>
        </w:numPr>
        <w:spacing w:before="240"/>
      </w:pPr>
      <w:r>
        <w:t>With regard to proposals to increase representation and participation of women</w:t>
      </w:r>
      <w:r w:rsidR="00741B29">
        <w:t xml:space="preserve"> in ITU-T activities</w:t>
      </w:r>
      <w:r>
        <w:t xml:space="preserve">, it was reported, among other, that </w:t>
      </w:r>
      <w:r w:rsidR="00741B29">
        <w:t xml:space="preserve"> (1) </w:t>
      </w:r>
      <w:r>
        <w:t>a mechanism to celebrate entities who nominate women candidat</w:t>
      </w:r>
      <w:r w:rsidR="00741B29">
        <w:t>ures</w:t>
      </w:r>
      <w:r>
        <w:t xml:space="preserve"> to ITU-T leadership positions, </w:t>
      </w:r>
      <w:r w:rsidR="00741B29">
        <w:t xml:space="preserve">as </w:t>
      </w:r>
      <w:r>
        <w:t xml:space="preserve">Heads of delegations </w:t>
      </w:r>
      <w:r w:rsidR="00741B29">
        <w:t xml:space="preserve">as well </w:t>
      </w:r>
      <w:r>
        <w:t>as delegate</w:t>
      </w:r>
      <w:r w:rsidR="00741B29">
        <w:t>s</w:t>
      </w:r>
      <w:r>
        <w:t xml:space="preserve"> to ITU-T events</w:t>
      </w:r>
      <w:r w:rsidR="00741B29">
        <w:t xml:space="preserve"> could yield positive outcomes</w:t>
      </w:r>
      <w:r>
        <w:t xml:space="preserve">; </w:t>
      </w:r>
      <w:r w:rsidR="00741B29">
        <w:t xml:space="preserve">(2) </w:t>
      </w:r>
      <w:r>
        <w:t>provid</w:t>
      </w:r>
      <w:r w:rsidR="00741B29">
        <w:t>ing</w:t>
      </w:r>
      <w:r>
        <w:t xml:space="preserve"> training, </w:t>
      </w:r>
      <w:r w:rsidR="00741B29">
        <w:t xml:space="preserve">(3) </w:t>
      </w:r>
      <w:r>
        <w:t>rais</w:t>
      </w:r>
      <w:r w:rsidR="00741B29">
        <w:t>ing</w:t>
      </w:r>
      <w:r>
        <w:t xml:space="preserve"> awareness on the importance of selecting more women; </w:t>
      </w:r>
      <w:r w:rsidR="00741B29">
        <w:t xml:space="preserve">(4) </w:t>
      </w:r>
      <w:r>
        <w:t>establishing a mentoring program to groom more women in ITU-T activities</w:t>
      </w:r>
      <w:r w:rsidR="00741B29">
        <w:t>, etc.</w:t>
      </w:r>
    </w:p>
    <w:p w14:paraId="51EE5EC8" w14:textId="7A7660A9" w:rsidR="00BC220D" w:rsidRPr="00BC220D" w:rsidRDefault="00BC220D" w:rsidP="00605D8F">
      <w:pPr>
        <w:pStyle w:val="TSBHeaderSummary"/>
        <w:keepNext/>
        <w:spacing w:before="240"/>
        <w:rPr>
          <w:b/>
          <w:bCs/>
        </w:rPr>
      </w:pPr>
      <w:r w:rsidRPr="00BC220D">
        <w:rPr>
          <w:b/>
          <w:bCs/>
        </w:rPr>
        <w:lastRenderedPageBreak/>
        <w:t xml:space="preserve">Conclusion: </w:t>
      </w:r>
    </w:p>
    <w:p w14:paraId="6B524FD2" w14:textId="14D9683D" w:rsidR="00BC220D" w:rsidRDefault="00BC220D" w:rsidP="00605D8F">
      <w:pPr>
        <w:pStyle w:val="TSBHeaderSummary"/>
        <w:keepNext/>
        <w:numPr>
          <w:ilvl w:val="0"/>
          <w:numId w:val="13"/>
        </w:numPr>
        <w:spacing w:before="240"/>
      </w:pPr>
      <w:r>
        <w:t>ITU-T Membership is invited to note the finding</w:t>
      </w:r>
      <w:r w:rsidR="00741B29">
        <w:t>s</w:t>
      </w:r>
      <w:r>
        <w:t xml:space="preserve"> and encourage</w:t>
      </w:r>
      <w:r w:rsidR="00741B29">
        <w:t>d</w:t>
      </w:r>
      <w:r>
        <w:t xml:space="preserve"> to implement the proposed actions</w:t>
      </w:r>
      <w:r w:rsidR="00741B29">
        <w:t xml:space="preserve"> to the extent possible. </w:t>
      </w:r>
    </w:p>
    <w:p w14:paraId="05839E5A" w14:textId="43447262" w:rsidR="00904290" w:rsidRPr="00F35EC9" w:rsidRDefault="00904290" w:rsidP="00FB0AF5">
      <w:pPr>
        <w:jc w:val="center"/>
      </w:pPr>
      <w:r>
        <w:t>______</w:t>
      </w:r>
      <w:r w:rsidR="00FB0AF5">
        <w:t>__________</w:t>
      </w:r>
    </w:p>
    <w:sectPr w:rsidR="00904290" w:rsidRPr="00F35EC9" w:rsidSect="000C46EE">
      <w:headerReference w:type="default" r:id="rId17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DCF6" w14:textId="77777777" w:rsidR="004C4751" w:rsidRDefault="004C4751" w:rsidP="00C42125">
      <w:pPr>
        <w:spacing w:before="0"/>
      </w:pPr>
      <w:r>
        <w:separator/>
      </w:r>
    </w:p>
  </w:endnote>
  <w:endnote w:type="continuationSeparator" w:id="0">
    <w:p w14:paraId="3B2FF8E4" w14:textId="77777777" w:rsidR="004C4751" w:rsidRDefault="004C475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AC45" w14:textId="77777777" w:rsidR="004C4751" w:rsidRDefault="004C4751" w:rsidP="00C42125">
      <w:pPr>
        <w:spacing w:before="0"/>
      </w:pPr>
      <w:r>
        <w:separator/>
      </w:r>
    </w:p>
  </w:footnote>
  <w:footnote w:type="continuationSeparator" w:id="0">
    <w:p w14:paraId="1E13A739" w14:textId="77777777" w:rsidR="004C4751" w:rsidRDefault="004C475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43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45295C01" w14:textId="25068D95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03461F">
      <w:rPr>
        <w:noProof/>
      </w:rPr>
      <w:t>TSAG-TD196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5218B"/>
    <w:multiLevelType w:val="hybridMultilevel"/>
    <w:tmpl w:val="45240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E01C2"/>
    <w:multiLevelType w:val="hybridMultilevel"/>
    <w:tmpl w:val="02E8FB16"/>
    <w:lvl w:ilvl="0" w:tplc="552A889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80493"/>
    <w:multiLevelType w:val="hybridMultilevel"/>
    <w:tmpl w:val="BD12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A2274"/>
    <w:multiLevelType w:val="hybridMultilevel"/>
    <w:tmpl w:val="30B84A80"/>
    <w:lvl w:ilvl="0" w:tplc="6256EB0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34136"/>
    <w:multiLevelType w:val="hybridMultilevel"/>
    <w:tmpl w:val="133E9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E05B0"/>
    <w:multiLevelType w:val="hybridMultilevel"/>
    <w:tmpl w:val="9E0A64C6"/>
    <w:lvl w:ilvl="0" w:tplc="4E98A4B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B7565D"/>
    <w:multiLevelType w:val="hybridMultilevel"/>
    <w:tmpl w:val="F21812B2"/>
    <w:lvl w:ilvl="0" w:tplc="4E98A4B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3B1C5C"/>
    <w:multiLevelType w:val="hybridMultilevel"/>
    <w:tmpl w:val="FC2E24F6"/>
    <w:lvl w:ilvl="0" w:tplc="4E98A4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80B82"/>
    <w:multiLevelType w:val="hybridMultilevel"/>
    <w:tmpl w:val="7402FE8A"/>
    <w:lvl w:ilvl="0" w:tplc="4E98A4B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41F7A"/>
    <w:multiLevelType w:val="hybridMultilevel"/>
    <w:tmpl w:val="A25077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359181">
    <w:abstractNumId w:val="9"/>
  </w:num>
  <w:num w:numId="2" w16cid:durableId="1664893633">
    <w:abstractNumId w:val="7"/>
  </w:num>
  <w:num w:numId="3" w16cid:durableId="5522825">
    <w:abstractNumId w:val="6"/>
  </w:num>
  <w:num w:numId="4" w16cid:durableId="1833715773">
    <w:abstractNumId w:val="5"/>
  </w:num>
  <w:num w:numId="5" w16cid:durableId="471870231">
    <w:abstractNumId w:val="4"/>
  </w:num>
  <w:num w:numId="6" w16cid:durableId="189609457">
    <w:abstractNumId w:val="8"/>
  </w:num>
  <w:num w:numId="7" w16cid:durableId="509181911">
    <w:abstractNumId w:val="3"/>
  </w:num>
  <w:num w:numId="8" w16cid:durableId="963316667">
    <w:abstractNumId w:val="2"/>
  </w:num>
  <w:num w:numId="9" w16cid:durableId="520703560">
    <w:abstractNumId w:val="1"/>
  </w:num>
  <w:num w:numId="10" w16cid:durableId="58481633">
    <w:abstractNumId w:val="0"/>
  </w:num>
  <w:num w:numId="11" w16cid:durableId="120193743">
    <w:abstractNumId w:val="12"/>
  </w:num>
  <w:num w:numId="12" w16cid:durableId="1768694133">
    <w:abstractNumId w:val="13"/>
  </w:num>
  <w:num w:numId="13" w16cid:durableId="693965665">
    <w:abstractNumId w:val="11"/>
  </w:num>
  <w:num w:numId="14" w16cid:durableId="934629039">
    <w:abstractNumId w:val="19"/>
  </w:num>
  <w:num w:numId="15" w16cid:durableId="1912426789">
    <w:abstractNumId w:val="17"/>
  </w:num>
  <w:num w:numId="16" w16cid:durableId="1294168390">
    <w:abstractNumId w:val="14"/>
  </w:num>
  <w:num w:numId="17" w16cid:durableId="1257784570">
    <w:abstractNumId w:val="18"/>
  </w:num>
  <w:num w:numId="18" w16cid:durableId="1747455351">
    <w:abstractNumId w:val="16"/>
  </w:num>
  <w:num w:numId="19" w16cid:durableId="1144735205">
    <w:abstractNumId w:val="15"/>
  </w:num>
  <w:num w:numId="20" w16cid:durableId="875888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461F"/>
    <w:rsid w:val="00037538"/>
    <w:rsid w:val="00043D75"/>
    <w:rsid w:val="00054813"/>
    <w:rsid w:val="00057000"/>
    <w:rsid w:val="000640E0"/>
    <w:rsid w:val="00064226"/>
    <w:rsid w:val="00070567"/>
    <w:rsid w:val="000A5CA2"/>
    <w:rsid w:val="000B25B1"/>
    <w:rsid w:val="000B4523"/>
    <w:rsid w:val="000C3DDD"/>
    <w:rsid w:val="000C46EE"/>
    <w:rsid w:val="001251DA"/>
    <w:rsid w:val="00125432"/>
    <w:rsid w:val="00137F40"/>
    <w:rsid w:val="00165942"/>
    <w:rsid w:val="0017240B"/>
    <w:rsid w:val="001871EC"/>
    <w:rsid w:val="00196052"/>
    <w:rsid w:val="001A670F"/>
    <w:rsid w:val="001C3FE2"/>
    <w:rsid w:val="001C62B8"/>
    <w:rsid w:val="001E5FE1"/>
    <w:rsid w:val="001E7B0E"/>
    <w:rsid w:val="001F141D"/>
    <w:rsid w:val="00200324"/>
    <w:rsid w:val="00200A06"/>
    <w:rsid w:val="00224817"/>
    <w:rsid w:val="00225175"/>
    <w:rsid w:val="00231DC5"/>
    <w:rsid w:val="00241832"/>
    <w:rsid w:val="002534C9"/>
    <w:rsid w:val="00253DBE"/>
    <w:rsid w:val="002622FA"/>
    <w:rsid w:val="00263518"/>
    <w:rsid w:val="00267415"/>
    <w:rsid w:val="002759E7"/>
    <w:rsid w:val="00275ED1"/>
    <w:rsid w:val="00277326"/>
    <w:rsid w:val="00285B3A"/>
    <w:rsid w:val="002A49E0"/>
    <w:rsid w:val="002A65C6"/>
    <w:rsid w:val="002C015C"/>
    <w:rsid w:val="002C26C0"/>
    <w:rsid w:val="002C2BC5"/>
    <w:rsid w:val="002C3C32"/>
    <w:rsid w:val="002E2053"/>
    <w:rsid w:val="002E6B96"/>
    <w:rsid w:val="002E79CB"/>
    <w:rsid w:val="002F1CFE"/>
    <w:rsid w:val="002F7F55"/>
    <w:rsid w:val="00301D4A"/>
    <w:rsid w:val="0030745F"/>
    <w:rsid w:val="00314630"/>
    <w:rsid w:val="0032090A"/>
    <w:rsid w:val="00321CDE"/>
    <w:rsid w:val="00333E15"/>
    <w:rsid w:val="00336046"/>
    <w:rsid w:val="00345FDC"/>
    <w:rsid w:val="003476BC"/>
    <w:rsid w:val="00350492"/>
    <w:rsid w:val="0035343D"/>
    <w:rsid w:val="00353D6D"/>
    <w:rsid w:val="00370079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0D18"/>
    <w:rsid w:val="003F2BED"/>
    <w:rsid w:val="003F2FEF"/>
    <w:rsid w:val="00404998"/>
    <w:rsid w:val="00407C0B"/>
    <w:rsid w:val="00440F44"/>
    <w:rsid w:val="00443878"/>
    <w:rsid w:val="0044609F"/>
    <w:rsid w:val="004539A8"/>
    <w:rsid w:val="0046736A"/>
    <w:rsid w:val="004712CA"/>
    <w:rsid w:val="0047422E"/>
    <w:rsid w:val="0049674B"/>
    <w:rsid w:val="004B2485"/>
    <w:rsid w:val="004C0673"/>
    <w:rsid w:val="004C4751"/>
    <w:rsid w:val="004C4E4E"/>
    <w:rsid w:val="004D1A11"/>
    <w:rsid w:val="004E16A8"/>
    <w:rsid w:val="004F3816"/>
    <w:rsid w:val="004F6151"/>
    <w:rsid w:val="005155ED"/>
    <w:rsid w:val="005310DF"/>
    <w:rsid w:val="00534A2E"/>
    <w:rsid w:val="00543D41"/>
    <w:rsid w:val="00552142"/>
    <w:rsid w:val="005548F2"/>
    <w:rsid w:val="0055782F"/>
    <w:rsid w:val="00566EDA"/>
    <w:rsid w:val="00567F52"/>
    <w:rsid w:val="00572654"/>
    <w:rsid w:val="00577559"/>
    <w:rsid w:val="00583CED"/>
    <w:rsid w:val="005A64A7"/>
    <w:rsid w:val="005B3023"/>
    <w:rsid w:val="005B5629"/>
    <w:rsid w:val="005C0300"/>
    <w:rsid w:val="005C18D4"/>
    <w:rsid w:val="005C4F27"/>
    <w:rsid w:val="005D25DE"/>
    <w:rsid w:val="005F1A5E"/>
    <w:rsid w:val="005F4B6A"/>
    <w:rsid w:val="006010F3"/>
    <w:rsid w:val="0060138D"/>
    <w:rsid w:val="006026DA"/>
    <w:rsid w:val="00604127"/>
    <w:rsid w:val="00605D8F"/>
    <w:rsid w:val="00615A0A"/>
    <w:rsid w:val="00617096"/>
    <w:rsid w:val="006174BB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C6F56"/>
    <w:rsid w:val="006D1089"/>
    <w:rsid w:val="006D1B86"/>
    <w:rsid w:val="006D7355"/>
    <w:rsid w:val="006F29C7"/>
    <w:rsid w:val="006F2ACE"/>
    <w:rsid w:val="006F4361"/>
    <w:rsid w:val="007128CC"/>
    <w:rsid w:val="00715B22"/>
    <w:rsid w:val="00715CA6"/>
    <w:rsid w:val="00731135"/>
    <w:rsid w:val="007324AF"/>
    <w:rsid w:val="007409B4"/>
    <w:rsid w:val="00741974"/>
    <w:rsid w:val="00741B29"/>
    <w:rsid w:val="0075525E"/>
    <w:rsid w:val="00756D3D"/>
    <w:rsid w:val="007745D0"/>
    <w:rsid w:val="007806C2"/>
    <w:rsid w:val="007811C1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34A87"/>
    <w:rsid w:val="00841217"/>
    <w:rsid w:val="00842137"/>
    <w:rsid w:val="00855D14"/>
    <w:rsid w:val="0085709D"/>
    <w:rsid w:val="00862BDE"/>
    <w:rsid w:val="008834F9"/>
    <w:rsid w:val="00887ED8"/>
    <w:rsid w:val="0089088E"/>
    <w:rsid w:val="00892297"/>
    <w:rsid w:val="00893996"/>
    <w:rsid w:val="008950C9"/>
    <w:rsid w:val="008A7DA0"/>
    <w:rsid w:val="008B6F4A"/>
    <w:rsid w:val="008B70C1"/>
    <w:rsid w:val="008D0C7E"/>
    <w:rsid w:val="008E0172"/>
    <w:rsid w:val="008E370F"/>
    <w:rsid w:val="008F5580"/>
    <w:rsid w:val="00904290"/>
    <w:rsid w:val="00914912"/>
    <w:rsid w:val="009228BB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4332"/>
    <w:rsid w:val="009F715E"/>
    <w:rsid w:val="00A10DBB"/>
    <w:rsid w:val="00A16253"/>
    <w:rsid w:val="00A304DD"/>
    <w:rsid w:val="00A3137C"/>
    <w:rsid w:val="00A31D47"/>
    <w:rsid w:val="00A4013E"/>
    <w:rsid w:val="00A40221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A7FB3"/>
    <w:rsid w:val="00AB0B51"/>
    <w:rsid w:val="00AB24B8"/>
    <w:rsid w:val="00AB7B0F"/>
    <w:rsid w:val="00AC6FE4"/>
    <w:rsid w:val="00AD5729"/>
    <w:rsid w:val="00AE38E1"/>
    <w:rsid w:val="00AF3653"/>
    <w:rsid w:val="00B05821"/>
    <w:rsid w:val="00B24F56"/>
    <w:rsid w:val="00B25690"/>
    <w:rsid w:val="00B26C28"/>
    <w:rsid w:val="00B4174C"/>
    <w:rsid w:val="00B453F5"/>
    <w:rsid w:val="00B52517"/>
    <w:rsid w:val="00B56FD7"/>
    <w:rsid w:val="00B57342"/>
    <w:rsid w:val="00B61624"/>
    <w:rsid w:val="00B631EA"/>
    <w:rsid w:val="00B718A5"/>
    <w:rsid w:val="00B8261A"/>
    <w:rsid w:val="00B840F7"/>
    <w:rsid w:val="00B95A6F"/>
    <w:rsid w:val="00BC1FAE"/>
    <w:rsid w:val="00BC220D"/>
    <w:rsid w:val="00BC62E2"/>
    <w:rsid w:val="00BE36F8"/>
    <w:rsid w:val="00BF0E60"/>
    <w:rsid w:val="00C22C5F"/>
    <w:rsid w:val="00C26A05"/>
    <w:rsid w:val="00C37FDD"/>
    <w:rsid w:val="00C42125"/>
    <w:rsid w:val="00C62597"/>
    <w:rsid w:val="00C62814"/>
    <w:rsid w:val="00C74937"/>
    <w:rsid w:val="00CB381C"/>
    <w:rsid w:val="00CC573D"/>
    <w:rsid w:val="00CF34A7"/>
    <w:rsid w:val="00D014BB"/>
    <w:rsid w:val="00D05EB5"/>
    <w:rsid w:val="00D44EEB"/>
    <w:rsid w:val="00D57D7F"/>
    <w:rsid w:val="00D73137"/>
    <w:rsid w:val="00D838A1"/>
    <w:rsid w:val="00DA313C"/>
    <w:rsid w:val="00DB1307"/>
    <w:rsid w:val="00DC0179"/>
    <w:rsid w:val="00DC0323"/>
    <w:rsid w:val="00DC48DC"/>
    <w:rsid w:val="00DD50DE"/>
    <w:rsid w:val="00DE2920"/>
    <w:rsid w:val="00DE3062"/>
    <w:rsid w:val="00E015D6"/>
    <w:rsid w:val="00E01E12"/>
    <w:rsid w:val="00E04F3A"/>
    <w:rsid w:val="00E07600"/>
    <w:rsid w:val="00E204DD"/>
    <w:rsid w:val="00E2145E"/>
    <w:rsid w:val="00E24D43"/>
    <w:rsid w:val="00E353EC"/>
    <w:rsid w:val="00E41A5A"/>
    <w:rsid w:val="00E50389"/>
    <w:rsid w:val="00E53C24"/>
    <w:rsid w:val="00E625BC"/>
    <w:rsid w:val="00E653E8"/>
    <w:rsid w:val="00EB444A"/>
    <w:rsid w:val="00EB444D"/>
    <w:rsid w:val="00EC081B"/>
    <w:rsid w:val="00EC79B4"/>
    <w:rsid w:val="00F02294"/>
    <w:rsid w:val="00F25254"/>
    <w:rsid w:val="00F26CF2"/>
    <w:rsid w:val="00F35EC9"/>
    <w:rsid w:val="00F35F57"/>
    <w:rsid w:val="00F403F5"/>
    <w:rsid w:val="00F50467"/>
    <w:rsid w:val="00F562A0"/>
    <w:rsid w:val="00F719E2"/>
    <w:rsid w:val="00F733BA"/>
    <w:rsid w:val="00F7653A"/>
    <w:rsid w:val="00F8791A"/>
    <w:rsid w:val="00F92D15"/>
    <w:rsid w:val="00F9321C"/>
    <w:rsid w:val="00F96C9A"/>
    <w:rsid w:val="00FA2177"/>
    <w:rsid w:val="00FA2E6D"/>
    <w:rsid w:val="00FA7A8E"/>
    <w:rsid w:val="00FB0A28"/>
    <w:rsid w:val="00FB0AF5"/>
    <w:rsid w:val="00FC2DCC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922B7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basedOn w:val="DefaultParagraphFont"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AB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W-T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unzi\AppData\Local\Microsoft\Windows\INetCache\Content.Outlook\C6VZJ4P3\ITU-T%20Survey%20onPromoting%20gender%20equality%20in%20ITU%20Telecommunication%20Standardization%20Sector%20activities-Summar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unzi\AppData\Local\Microsoft\Windows\INetCache\Content.Outlook\C6VZJ4P3\ITU-T%20Survey%20onPromoting%20gender%20equality%20in%20ITU%20Telecommunication%20Standardization%20Sector%20activities-Summar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unzi\AppData\Local\Microsoft\Windows\INetCache\Content.Outlook\C6VZJ4P3\ITU-T%20Survey%20onPromoting%20gender%20equality%20in%20ITU%20Telecommunication%20Standardization%20Sector%20activities-Summar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unzi\AppData\Local\Microsoft\Windows\INetCache\Content.Outlook\C6VZJ4P3\ITU-T%20Survey%20onPromoting%20gender%20equality%20in%20ITU%20Telecommunication%20Standardization%20Sector%20activities-Summa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r>
              <a:rPr lang="en-GB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Gender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1'!$B$3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accent1"/>
            </a:solidFill>
            <a:ln>
              <a:prstDash val="solid"/>
            </a:ln>
          </c:spPr>
          <c:invertIfNegative val="0"/>
          <c:cat>
            <c:strRef>
              <c:f>'Question 1'!$A$4:$A$5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'Question 1'!$B$4:$B$5</c:f>
              <c:numCache>
                <c:formatCode>0.00%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3-4A96-8A1F-463991680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"/>
        <c:axId val="100"/>
      </c:barChart>
      <c:valAx>
        <c:axId val="1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"/>
        <c:crosses val="autoZero"/>
        <c:crossBetween val="between"/>
      </c:valAx>
      <c:catAx>
        <c:axId val="1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r>
              <a:rPr lang="en-GB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Working Group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2'!$B$3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accent1"/>
            </a:solidFill>
            <a:ln>
              <a:prstDash val="solid"/>
            </a:ln>
          </c:spPr>
          <c:invertIfNegative val="0"/>
          <c:cat>
            <c:strRef>
              <c:f>'Question 2'!$A$4:$A$16</c:f>
              <c:strCache>
                <c:ptCount val="13"/>
                <c:pt idx="0">
                  <c:v>SG2</c:v>
                </c:pt>
                <c:pt idx="1">
                  <c:v>SG3</c:v>
                </c:pt>
                <c:pt idx="2">
                  <c:v>SG5</c:v>
                </c:pt>
                <c:pt idx="3">
                  <c:v>SG9</c:v>
                </c:pt>
                <c:pt idx="4">
                  <c:v>SG11</c:v>
                </c:pt>
                <c:pt idx="5">
                  <c:v>SG12</c:v>
                </c:pt>
                <c:pt idx="6">
                  <c:v>SG13</c:v>
                </c:pt>
                <c:pt idx="7">
                  <c:v>SG15</c:v>
                </c:pt>
                <c:pt idx="8">
                  <c:v>SG16</c:v>
                </c:pt>
                <c:pt idx="9">
                  <c:v>SG17</c:v>
                </c:pt>
                <c:pt idx="10">
                  <c:v>SG20</c:v>
                </c:pt>
                <c:pt idx="11">
                  <c:v>TSAG</c:v>
                </c:pt>
                <c:pt idx="12">
                  <c:v>None of the above</c:v>
                </c:pt>
              </c:strCache>
            </c:strRef>
          </c:cat>
          <c:val>
            <c:numRef>
              <c:f>'Question 2'!$B$4:$B$16</c:f>
              <c:numCache>
                <c:formatCode>0.00%</c:formatCode>
                <c:ptCount val="13"/>
                <c:pt idx="0">
                  <c:v>0.18970000000000001</c:v>
                </c:pt>
                <c:pt idx="1">
                  <c:v>0.13789999999999999</c:v>
                </c:pt>
                <c:pt idx="2">
                  <c:v>9.4800000000000009E-2</c:v>
                </c:pt>
                <c:pt idx="3">
                  <c:v>3.4500000000000003E-2</c:v>
                </c:pt>
                <c:pt idx="4">
                  <c:v>8.6199999999999999E-2</c:v>
                </c:pt>
                <c:pt idx="5">
                  <c:v>5.1700000000000003E-2</c:v>
                </c:pt>
                <c:pt idx="6">
                  <c:v>8.6199999999999999E-2</c:v>
                </c:pt>
                <c:pt idx="7">
                  <c:v>0.1293</c:v>
                </c:pt>
                <c:pt idx="8">
                  <c:v>0.1638</c:v>
                </c:pt>
                <c:pt idx="9">
                  <c:v>0.1207</c:v>
                </c:pt>
                <c:pt idx="10">
                  <c:v>0.1638</c:v>
                </c:pt>
                <c:pt idx="11">
                  <c:v>0.2586</c:v>
                </c:pt>
                <c:pt idx="12">
                  <c:v>0.22409999999999999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D-4727-B8AD-61DDF9BDB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"/>
        <c:axId val="100"/>
      </c:barChart>
      <c:valAx>
        <c:axId val="1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0"/>
        <c:crosses val="autoZero"/>
        <c:crossBetween val="between"/>
      </c:valAx>
      <c:catAx>
        <c:axId val="1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00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r>
              <a:rPr lang="en-GB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Position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2272828141380285"/>
          <c:y val="0.19556055071649336"/>
          <c:w val="0.72382176717706204"/>
          <c:h val="0.426203060666868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'Question 3'!$B$3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accent1"/>
            </a:solidFill>
            <a:ln>
              <a:prstDash val="solid"/>
            </a:ln>
          </c:spPr>
          <c:invertIfNegative val="0"/>
          <c:cat>
            <c:strRef>
              <c:f>'Question 3'!$A$4:$A$9</c:f>
              <c:strCache>
                <c:ptCount val="6"/>
                <c:pt idx="0">
                  <c:v>Editor</c:v>
                </c:pt>
                <c:pt idx="1">
                  <c:v>Rapporteur</c:v>
                </c:pt>
                <c:pt idx="2">
                  <c:v>Vice Chairman</c:v>
                </c:pt>
                <c:pt idx="3">
                  <c:v>Chairman</c:v>
                </c:pt>
                <c:pt idx="4">
                  <c:v>Delegate</c:v>
                </c:pt>
                <c:pt idx="5">
                  <c:v>None of the above</c:v>
                </c:pt>
              </c:strCache>
            </c:strRef>
          </c:cat>
          <c:val>
            <c:numRef>
              <c:f>'Question 3'!$B$4:$B$9</c:f>
              <c:numCache>
                <c:formatCode>0.00%</c:formatCode>
                <c:ptCount val="6"/>
                <c:pt idx="0">
                  <c:v>0.21429999999999999</c:v>
                </c:pt>
                <c:pt idx="1">
                  <c:v>0.15179999999999999</c:v>
                </c:pt>
                <c:pt idx="2">
                  <c:v>0.13389999999999999</c:v>
                </c:pt>
                <c:pt idx="3">
                  <c:v>6.25E-2</c:v>
                </c:pt>
                <c:pt idx="4">
                  <c:v>0.58040000000000003</c:v>
                </c:pt>
                <c:pt idx="5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2-4083-A436-9DAE81C9B6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"/>
        <c:axId val="100"/>
      </c:barChart>
      <c:valAx>
        <c:axId val="1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"/>
        <c:crosses val="autoZero"/>
        <c:crossBetween val="between"/>
      </c:valAx>
      <c:catAx>
        <c:axId val="1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r>
              <a:rPr lang="en-GB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Affiliation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4'!$B$3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accent1"/>
            </a:solidFill>
            <a:ln>
              <a:prstDash val="solid"/>
            </a:ln>
          </c:spPr>
          <c:invertIfNegative val="0"/>
          <c:cat>
            <c:strRef>
              <c:f>'Question 4'!$A$4:$A$7</c:f>
              <c:strCache>
                <c:ptCount val="4"/>
                <c:pt idx="0">
                  <c:v>Government</c:v>
                </c:pt>
                <c:pt idx="1">
                  <c:v>Private sector</c:v>
                </c:pt>
                <c:pt idx="2">
                  <c:v>Academia</c:v>
                </c:pt>
                <c:pt idx="3">
                  <c:v>Other (please specify)</c:v>
                </c:pt>
              </c:strCache>
            </c:strRef>
          </c:cat>
          <c:val>
            <c:numRef>
              <c:f>'Question 4'!$B$4:$B$7</c:f>
              <c:numCache>
                <c:formatCode>0.00%</c:formatCode>
                <c:ptCount val="4"/>
                <c:pt idx="0">
                  <c:v>0.57889999999999997</c:v>
                </c:pt>
                <c:pt idx="1">
                  <c:v>0.29820000000000002</c:v>
                </c:pt>
                <c:pt idx="2">
                  <c:v>6.1400000000000003E-2</c:v>
                </c:pt>
                <c:pt idx="3">
                  <c:v>9.6500000000000002E-2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7-425E-8F0A-A7FB975A0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"/>
        <c:axId val="100"/>
      </c:barChart>
      <c:valAx>
        <c:axId val="1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"/>
        <c:crosses val="autoZero"/>
        <c:crossBetween val="between"/>
      </c:valAx>
      <c:catAx>
        <c:axId val="1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00"/>
        <c:crosses val="autoZero"/>
        <c:auto val="0"/>
        <c:lblAlgn val="ctr"/>
        <c:lblOffset val="100"/>
        <c:noMultiLvlLbl val="0"/>
      </c:catAx>
    </c:plotArea>
    <c:plotVisOnly val="0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B8D57-208E-4CDD-B282-196D3CC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8277C-9ADB-4003-ACA4-0876ACAD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Al-Mnini, Lara</cp:lastModifiedBy>
  <cp:revision>3</cp:revision>
  <cp:lastPrinted>2017-02-22T09:55:00Z</cp:lastPrinted>
  <dcterms:created xsi:type="dcterms:W3CDTF">2023-05-23T19:17:00Z</dcterms:created>
  <dcterms:modified xsi:type="dcterms:W3CDTF">2023-05-23T19:18:00Z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