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bmp" ContentType="image/bmp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Q2/15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"http://www.itu.int/ITU-T/workprog/wp_item.aspx?isn=18254"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G.9802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Multiple-wavelength passive optical networks (MW-PONs)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2021-05-10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Q2/15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"http://www.itu.int/ITU-T/workprog/wp_item.aspx?isn=18282"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G.sup.eOLT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Enhanced optical line termination with IT functions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2022-01-18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Q3/15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"http://www.itu.int/ITU-T/workprog/wp_item.aspx?isn=18257"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G.fin-DLL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High speed fibre-based in-premises transceivers – data link layer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2021-05-25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Q3/15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"http://www.itu.int/ITU-T/workprog/wp_item.aspx?isn=18205"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G.hn2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Evolution of unified high-speed wire-line based home networking transceivers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2017-07-07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70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5/22/2023 12:18:52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885823" cy="793166"/>
                <wp:docPr id="0" name="img3.bmp"/>
                <a:graphic>
                  <a:graphicData uri="http://schemas.openxmlformats.org/drawingml/2006/picture">
                    <pic:pic>
                      <pic:nvPicPr>
                        <pic:cNvPr id="1" name="img3.bmp"/>
                        <pic:cNvPicPr/>
                      </pic:nvPicPr>
                      <pic:blipFill>
                        <a:blip r:embed="rId6" cstate="print"/>
                        <a:stretch>
                          <a:fillRect r="83873" b="79588"/>
                        </a:stretch>
                      </pic:blipFill>
                      <pic:spPr>
                        <a:xfrm>
                          <a:off x="0" y="0"/>
                          <a:ext cx="885823" cy="7931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SG15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3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SG15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bmp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