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28"/>
        <w:gridCol w:w="27"/>
        <w:gridCol w:w="4026"/>
        <w:gridCol w:w="57"/>
        <w:gridCol w:w="3969"/>
      </w:tblGrid>
      <w:tr w:rsidR="00B36C6F" w:rsidRPr="00B36C6F" w14:paraId="12FC367C" w14:textId="77777777" w:rsidTr="00B36C6F">
        <w:trPr>
          <w:cantSplit/>
        </w:trPr>
        <w:tc>
          <w:tcPr>
            <w:tcW w:w="1132" w:type="dxa"/>
            <w:vMerge w:val="restart"/>
            <w:vAlign w:val="center"/>
          </w:tcPr>
          <w:p w14:paraId="4AE5DCFC" w14:textId="77777777" w:rsidR="00B36C6F" w:rsidRPr="00B36C6F" w:rsidRDefault="00B36C6F" w:rsidP="00B36C6F">
            <w:pPr>
              <w:jc w:val="center"/>
            </w:pPr>
            <w:bookmarkStart w:id="0" w:name="dnum" w:colFirst="2" w:colLast="2"/>
            <w:bookmarkStart w:id="1" w:name="dtableau"/>
            <w:r w:rsidRPr="00B36C6F">
              <w:rPr>
                <w:noProof/>
              </w:rPr>
              <w:drawing>
                <wp:inline distT="0" distB="0" distL="0" distR="0" wp14:anchorId="0EE428A2" wp14:editId="61F77BE2">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3"/>
            <w:vMerge w:val="restart"/>
          </w:tcPr>
          <w:p w14:paraId="6F5B99DE" w14:textId="77777777" w:rsidR="00B36C6F" w:rsidRPr="00B36C6F" w:rsidRDefault="00B36C6F" w:rsidP="00B36C6F">
            <w:pPr>
              <w:spacing w:before="120"/>
              <w:rPr>
                <w:sz w:val="16"/>
                <w:szCs w:val="16"/>
                <w:lang w:val="en-GB"/>
              </w:rPr>
            </w:pPr>
            <w:r w:rsidRPr="00B36C6F">
              <w:rPr>
                <w:sz w:val="16"/>
                <w:szCs w:val="16"/>
                <w:lang w:val="en-GB"/>
              </w:rPr>
              <w:t>INTERNATIONAL TELECOMMUNICATION UNION</w:t>
            </w:r>
          </w:p>
          <w:p w14:paraId="282AD030" w14:textId="77777777" w:rsidR="00B36C6F" w:rsidRPr="00B36C6F" w:rsidRDefault="00B36C6F" w:rsidP="00B36C6F">
            <w:pPr>
              <w:spacing w:before="120"/>
              <w:rPr>
                <w:b/>
                <w:bCs/>
                <w:sz w:val="26"/>
                <w:szCs w:val="26"/>
                <w:lang w:val="en-GB"/>
              </w:rPr>
            </w:pPr>
            <w:r w:rsidRPr="00B36C6F">
              <w:rPr>
                <w:b/>
                <w:bCs/>
                <w:sz w:val="26"/>
                <w:szCs w:val="26"/>
                <w:lang w:val="en-GB"/>
              </w:rPr>
              <w:t>TELECOMMUNICATION</w:t>
            </w:r>
            <w:r w:rsidRPr="00B36C6F">
              <w:rPr>
                <w:b/>
                <w:bCs/>
                <w:sz w:val="26"/>
                <w:szCs w:val="26"/>
                <w:lang w:val="en-GB"/>
              </w:rPr>
              <w:br/>
              <w:t>STANDARDIZATION SECTOR</w:t>
            </w:r>
          </w:p>
          <w:p w14:paraId="0D8182B4" w14:textId="77777777" w:rsidR="00B36C6F" w:rsidRPr="00B36C6F" w:rsidRDefault="00B36C6F" w:rsidP="00B36C6F">
            <w:pPr>
              <w:spacing w:before="120"/>
              <w:rPr>
                <w:lang w:val="en-GB"/>
              </w:rPr>
            </w:pPr>
            <w:r w:rsidRPr="00B36C6F">
              <w:rPr>
                <w:lang w:val="en-GB"/>
              </w:rPr>
              <w:t xml:space="preserve">STUDY PERIOD </w:t>
            </w:r>
            <w:bookmarkStart w:id="2" w:name="dstudyperiod"/>
            <w:r w:rsidRPr="00B36C6F">
              <w:rPr>
                <w:lang w:val="en-GB"/>
              </w:rPr>
              <w:t>2022-2024</w:t>
            </w:r>
            <w:bookmarkEnd w:id="2"/>
          </w:p>
        </w:tc>
        <w:tc>
          <w:tcPr>
            <w:tcW w:w="4026" w:type="dxa"/>
            <w:gridSpan w:val="2"/>
            <w:vAlign w:val="center"/>
          </w:tcPr>
          <w:p w14:paraId="3C7FEEE2" w14:textId="03F51CA8" w:rsidR="00B36C6F" w:rsidRPr="00B36C6F" w:rsidRDefault="00B36C6F" w:rsidP="00B36C6F">
            <w:pPr>
              <w:pStyle w:val="Docnumber"/>
              <w:rPr>
                <w:sz w:val="32"/>
              </w:rPr>
            </w:pPr>
            <w:r>
              <w:rPr>
                <w:sz w:val="32"/>
              </w:rPr>
              <w:t>TSAG-TD190</w:t>
            </w:r>
          </w:p>
        </w:tc>
      </w:tr>
      <w:tr w:rsidR="00B36C6F" w:rsidRPr="00B36C6F" w14:paraId="58F48F64" w14:textId="77777777" w:rsidTr="00B36C6F">
        <w:trPr>
          <w:cantSplit/>
        </w:trPr>
        <w:tc>
          <w:tcPr>
            <w:tcW w:w="1132" w:type="dxa"/>
            <w:vMerge/>
          </w:tcPr>
          <w:p w14:paraId="70C2F97A" w14:textId="77777777" w:rsidR="00B36C6F" w:rsidRPr="00B36C6F" w:rsidRDefault="00B36C6F" w:rsidP="00B36C6F">
            <w:pPr>
              <w:spacing w:before="120"/>
              <w:rPr>
                <w:smallCaps/>
              </w:rPr>
            </w:pPr>
            <w:bookmarkStart w:id="3" w:name="dsg" w:colFirst="2" w:colLast="2"/>
            <w:bookmarkEnd w:id="0"/>
          </w:p>
        </w:tc>
        <w:tc>
          <w:tcPr>
            <w:tcW w:w="4481" w:type="dxa"/>
            <w:gridSpan w:val="3"/>
            <w:vMerge/>
          </w:tcPr>
          <w:p w14:paraId="02E9B3A3" w14:textId="77777777" w:rsidR="00B36C6F" w:rsidRPr="00B36C6F" w:rsidRDefault="00B36C6F" w:rsidP="00B36C6F">
            <w:pPr>
              <w:spacing w:before="120"/>
              <w:rPr>
                <w:smallCaps/>
              </w:rPr>
            </w:pPr>
          </w:p>
        </w:tc>
        <w:tc>
          <w:tcPr>
            <w:tcW w:w="4026" w:type="dxa"/>
            <w:gridSpan w:val="2"/>
          </w:tcPr>
          <w:p w14:paraId="5A9D207F" w14:textId="39441562" w:rsidR="00B36C6F" w:rsidRPr="00B36C6F" w:rsidRDefault="00B36C6F" w:rsidP="00B36C6F">
            <w:pPr>
              <w:pStyle w:val="TSBHeaderRight14"/>
              <w:rPr>
                <w:smallCaps/>
              </w:rPr>
            </w:pPr>
            <w:r>
              <w:rPr>
                <w:smallCaps/>
              </w:rPr>
              <w:t>TSAG</w:t>
            </w:r>
          </w:p>
        </w:tc>
      </w:tr>
      <w:bookmarkEnd w:id="3"/>
      <w:tr w:rsidR="00B36C6F" w:rsidRPr="00B36C6F" w14:paraId="6378C719" w14:textId="77777777" w:rsidTr="00B36C6F">
        <w:trPr>
          <w:cantSplit/>
        </w:trPr>
        <w:tc>
          <w:tcPr>
            <w:tcW w:w="1132" w:type="dxa"/>
            <w:vMerge/>
            <w:tcBorders>
              <w:bottom w:val="single" w:sz="12" w:space="0" w:color="auto"/>
            </w:tcBorders>
          </w:tcPr>
          <w:p w14:paraId="392DC559" w14:textId="77777777" w:rsidR="00B36C6F" w:rsidRPr="00B36C6F" w:rsidRDefault="00B36C6F" w:rsidP="00B36C6F">
            <w:pPr>
              <w:spacing w:before="120"/>
              <w:rPr>
                <w:b/>
                <w:bCs/>
                <w:sz w:val="26"/>
              </w:rPr>
            </w:pPr>
          </w:p>
        </w:tc>
        <w:tc>
          <w:tcPr>
            <w:tcW w:w="4481" w:type="dxa"/>
            <w:gridSpan w:val="3"/>
            <w:vMerge/>
            <w:tcBorders>
              <w:bottom w:val="single" w:sz="12" w:space="0" w:color="auto"/>
            </w:tcBorders>
          </w:tcPr>
          <w:p w14:paraId="2BF8AEE4" w14:textId="77777777" w:rsidR="00B36C6F" w:rsidRPr="00B36C6F" w:rsidRDefault="00B36C6F" w:rsidP="00B36C6F">
            <w:pPr>
              <w:spacing w:before="120"/>
              <w:rPr>
                <w:b/>
                <w:bCs/>
                <w:sz w:val="26"/>
              </w:rPr>
            </w:pPr>
          </w:p>
        </w:tc>
        <w:tc>
          <w:tcPr>
            <w:tcW w:w="4026" w:type="dxa"/>
            <w:gridSpan w:val="2"/>
            <w:tcBorders>
              <w:bottom w:val="single" w:sz="12" w:space="0" w:color="auto"/>
            </w:tcBorders>
            <w:vAlign w:val="center"/>
          </w:tcPr>
          <w:p w14:paraId="7E5A2635" w14:textId="77777777" w:rsidR="00B36C6F" w:rsidRPr="00B36C6F" w:rsidRDefault="00B36C6F" w:rsidP="00B36C6F">
            <w:pPr>
              <w:pStyle w:val="TSBHeaderRight14"/>
            </w:pPr>
            <w:r w:rsidRPr="00B36C6F">
              <w:t>Original: English</w:t>
            </w:r>
          </w:p>
        </w:tc>
      </w:tr>
      <w:tr w:rsidR="00B36C6F" w:rsidRPr="00B36C6F" w14:paraId="3372D00F" w14:textId="77777777" w:rsidTr="00B36C6F">
        <w:trPr>
          <w:cantSplit/>
        </w:trPr>
        <w:tc>
          <w:tcPr>
            <w:tcW w:w="1587" w:type="dxa"/>
            <w:gridSpan w:val="3"/>
          </w:tcPr>
          <w:p w14:paraId="2B7AF010" w14:textId="77777777" w:rsidR="00B36C6F" w:rsidRPr="00B36C6F" w:rsidRDefault="00B36C6F" w:rsidP="00B36C6F">
            <w:pPr>
              <w:spacing w:before="120"/>
              <w:rPr>
                <w:b/>
                <w:bCs/>
                <w:sz w:val="24"/>
                <w:szCs w:val="24"/>
              </w:rPr>
            </w:pPr>
            <w:bookmarkStart w:id="4" w:name="dbluepink" w:colFirst="1" w:colLast="1"/>
            <w:bookmarkStart w:id="5" w:name="dmeeting" w:colFirst="2" w:colLast="2"/>
            <w:r w:rsidRPr="00B36C6F">
              <w:rPr>
                <w:b/>
                <w:bCs/>
                <w:sz w:val="24"/>
                <w:szCs w:val="24"/>
              </w:rPr>
              <w:t>Question(s</w:t>
            </w:r>
            <w:proofErr w:type="gramStart"/>
            <w:r w:rsidRPr="00B36C6F">
              <w:rPr>
                <w:b/>
                <w:bCs/>
                <w:sz w:val="24"/>
                <w:szCs w:val="24"/>
              </w:rPr>
              <w:t>):</w:t>
            </w:r>
            <w:proofErr w:type="gramEnd"/>
          </w:p>
        </w:tc>
        <w:tc>
          <w:tcPr>
            <w:tcW w:w="4026" w:type="dxa"/>
          </w:tcPr>
          <w:p w14:paraId="26585175" w14:textId="6D591A84" w:rsidR="00B36C6F" w:rsidRPr="00B36C6F" w:rsidRDefault="00B36C6F" w:rsidP="00B36C6F">
            <w:pPr>
              <w:pStyle w:val="TSBHeaderQuestion"/>
            </w:pPr>
            <w:r w:rsidRPr="00B36C6F">
              <w:t>N/A</w:t>
            </w:r>
          </w:p>
        </w:tc>
        <w:tc>
          <w:tcPr>
            <w:tcW w:w="4026" w:type="dxa"/>
            <w:gridSpan w:val="2"/>
          </w:tcPr>
          <w:p w14:paraId="2539BF76" w14:textId="0E5B30B8" w:rsidR="00B36C6F" w:rsidRPr="00B36C6F" w:rsidRDefault="00B36C6F" w:rsidP="00B36C6F">
            <w:pPr>
              <w:pStyle w:val="VenueDate"/>
            </w:pPr>
            <w:r w:rsidRPr="00B36C6F">
              <w:t>Geneva, 30 May – 2 June 2023</w:t>
            </w:r>
          </w:p>
        </w:tc>
      </w:tr>
      <w:tr w:rsidR="00B36C6F" w:rsidRPr="00B36C6F" w14:paraId="04A09D56" w14:textId="77777777" w:rsidTr="00B36C6F">
        <w:trPr>
          <w:cantSplit/>
        </w:trPr>
        <w:tc>
          <w:tcPr>
            <w:tcW w:w="9639" w:type="dxa"/>
            <w:gridSpan w:val="6"/>
          </w:tcPr>
          <w:p w14:paraId="56A4A025" w14:textId="3B6679A2" w:rsidR="00B36C6F" w:rsidRPr="00B36C6F" w:rsidRDefault="00B36C6F" w:rsidP="00B36C6F">
            <w:pPr>
              <w:spacing w:before="120"/>
              <w:jc w:val="center"/>
              <w:rPr>
                <w:b/>
                <w:bCs/>
                <w:sz w:val="24"/>
                <w:szCs w:val="24"/>
              </w:rPr>
            </w:pPr>
            <w:bookmarkStart w:id="6" w:name="ddoctype"/>
            <w:bookmarkEnd w:id="4"/>
            <w:bookmarkEnd w:id="5"/>
            <w:r w:rsidRPr="00B36C6F">
              <w:rPr>
                <w:b/>
                <w:bCs/>
                <w:sz w:val="24"/>
                <w:szCs w:val="24"/>
              </w:rPr>
              <w:t>TD</w:t>
            </w:r>
          </w:p>
        </w:tc>
      </w:tr>
      <w:tr w:rsidR="00B36C6F" w:rsidRPr="00B36C6F" w14:paraId="3278A718" w14:textId="77777777" w:rsidTr="00B36C6F">
        <w:trPr>
          <w:cantSplit/>
        </w:trPr>
        <w:tc>
          <w:tcPr>
            <w:tcW w:w="1587" w:type="dxa"/>
            <w:gridSpan w:val="3"/>
          </w:tcPr>
          <w:p w14:paraId="20C0A351" w14:textId="77777777" w:rsidR="00B36C6F" w:rsidRPr="00B36C6F" w:rsidRDefault="00B36C6F" w:rsidP="00B36C6F">
            <w:pPr>
              <w:spacing w:before="120"/>
              <w:rPr>
                <w:b/>
                <w:bCs/>
                <w:sz w:val="24"/>
                <w:szCs w:val="24"/>
              </w:rPr>
            </w:pPr>
            <w:bookmarkStart w:id="7" w:name="dsource" w:colFirst="1" w:colLast="1"/>
            <w:bookmarkEnd w:id="6"/>
            <w:proofErr w:type="gramStart"/>
            <w:r w:rsidRPr="00B36C6F">
              <w:rPr>
                <w:b/>
                <w:bCs/>
                <w:sz w:val="24"/>
                <w:szCs w:val="24"/>
              </w:rPr>
              <w:t>Source:</w:t>
            </w:r>
            <w:proofErr w:type="gramEnd"/>
          </w:p>
        </w:tc>
        <w:tc>
          <w:tcPr>
            <w:tcW w:w="8052" w:type="dxa"/>
            <w:gridSpan w:val="3"/>
          </w:tcPr>
          <w:p w14:paraId="19462150" w14:textId="5B68B292" w:rsidR="00B36C6F" w:rsidRPr="00B36C6F" w:rsidRDefault="00B36C6F" w:rsidP="00B36C6F">
            <w:pPr>
              <w:pStyle w:val="TSBHeaderSource"/>
            </w:pPr>
            <w:r w:rsidRPr="00B36C6F">
              <w:t>ITU Regional Office Directors</w:t>
            </w:r>
          </w:p>
        </w:tc>
      </w:tr>
      <w:tr w:rsidR="00B36C6F" w:rsidRPr="00B36C6F" w14:paraId="7F377DDB" w14:textId="77777777" w:rsidTr="00B36C6F">
        <w:trPr>
          <w:cantSplit/>
        </w:trPr>
        <w:tc>
          <w:tcPr>
            <w:tcW w:w="1587" w:type="dxa"/>
            <w:gridSpan w:val="3"/>
            <w:tcBorders>
              <w:bottom w:val="single" w:sz="8" w:space="0" w:color="auto"/>
            </w:tcBorders>
          </w:tcPr>
          <w:p w14:paraId="59AF23ED" w14:textId="77777777" w:rsidR="00B36C6F" w:rsidRPr="00B36C6F" w:rsidRDefault="00B36C6F" w:rsidP="00B36C6F">
            <w:pPr>
              <w:spacing w:before="120"/>
              <w:rPr>
                <w:b/>
                <w:bCs/>
                <w:sz w:val="24"/>
                <w:szCs w:val="24"/>
              </w:rPr>
            </w:pPr>
            <w:bookmarkStart w:id="8" w:name="dtitle1" w:colFirst="1" w:colLast="1"/>
            <w:bookmarkEnd w:id="7"/>
            <w:proofErr w:type="spellStart"/>
            <w:proofErr w:type="gramStart"/>
            <w:r w:rsidRPr="00B36C6F">
              <w:rPr>
                <w:b/>
                <w:bCs/>
                <w:sz w:val="24"/>
                <w:szCs w:val="24"/>
              </w:rPr>
              <w:t>Title</w:t>
            </w:r>
            <w:proofErr w:type="spellEnd"/>
            <w:r w:rsidRPr="00B36C6F">
              <w:rPr>
                <w:b/>
                <w:bCs/>
                <w:sz w:val="24"/>
                <w:szCs w:val="24"/>
              </w:rPr>
              <w:t>:</w:t>
            </w:r>
            <w:proofErr w:type="gramEnd"/>
          </w:p>
        </w:tc>
        <w:tc>
          <w:tcPr>
            <w:tcW w:w="8052" w:type="dxa"/>
            <w:gridSpan w:val="3"/>
            <w:tcBorders>
              <w:bottom w:val="single" w:sz="8" w:space="0" w:color="auto"/>
            </w:tcBorders>
          </w:tcPr>
          <w:p w14:paraId="2F021DA1" w14:textId="5A977FED" w:rsidR="00B36C6F" w:rsidRPr="00B36C6F" w:rsidRDefault="00B36C6F" w:rsidP="00B36C6F">
            <w:pPr>
              <w:pStyle w:val="TSBHeaderTitle"/>
            </w:pPr>
            <w:r w:rsidRPr="00B36C6F">
              <w:t>Contribution of the ITU Regional Offices to the ITU-T Operational Plan and Coordination activities with TSB (December 2022 – May 2023)</w:t>
            </w:r>
          </w:p>
        </w:tc>
      </w:tr>
      <w:bookmarkEnd w:id="1"/>
      <w:bookmarkEnd w:id="8"/>
      <w:tr w:rsidR="00D04571" w:rsidRPr="00B36C6F" w14:paraId="76E9C18F" w14:textId="77777777" w:rsidTr="00B36C6F">
        <w:tblPrEx>
          <w:jc w:val="center"/>
        </w:tblPrEx>
        <w:trPr>
          <w:cantSplit/>
          <w:trHeight w:val="794"/>
          <w:jc w:val="center"/>
        </w:trPr>
        <w:tc>
          <w:tcPr>
            <w:tcW w:w="1560" w:type="dxa"/>
            <w:gridSpan w:val="2"/>
            <w:tcBorders>
              <w:top w:val="single" w:sz="6" w:space="0" w:color="auto"/>
              <w:bottom w:val="single" w:sz="6" w:space="0" w:color="auto"/>
            </w:tcBorders>
          </w:tcPr>
          <w:p w14:paraId="4E9C142C" w14:textId="77777777" w:rsidR="00D04571" w:rsidRPr="00B36C6F" w:rsidRDefault="00D04571" w:rsidP="00B36C6F">
            <w:pPr>
              <w:spacing w:before="120" w:after="40"/>
              <w:rPr>
                <w:b/>
                <w:bCs/>
                <w:sz w:val="24"/>
                <w:szCs w:val="24"/>
                <w:lang w:val="en-GB"/>
              </w:rPr>
            </w:pPr>
            <w:r w:rsidRPr="00B36C6F">
              <w:rPr>
                <w:b/>
                <w:bCs/>
                <w:sz w:val="24"/>
                <w:szCs w:val="24"/>
                <w:lang w:val="en-GB"/>
              </w:rPr>
              <w:t>Contact:</w:t>
            </w:r>
          </w:p>
        </w:tc>
        <w:tc>
          <w:tcPr>
            <w:tcW w:w="4110" w:type="dxa"/>
            <w:gridSpan w:val="3"/>
            <w:tcBorders>
              <w:top w:val="single" w:sz="6" w:space="0" w:color="auto"/>
              <w:bottom w:val="single" w:sz="6" w:space="0" w:color="auto"/>
            </w:tcBorders>
          </w:tcPr>
          <w:p w14:paraId="54BEC016" w14:textId="639E3CAA" w:rsidR="00D04571" w:rsidRPr="00B36C6F" w:rsidRDefault="00B36C6F" w:rsidP="00B36C6F">
            <w:pPr>
              <w:spacing w:before="120" w:after="40"/>
              <w:rPr>
                <w:sz w:val="24"/>
                <w:szCs w:val="24"/>
                <w:lang w:val="en-GB"/>
              </w:rPr>
            </w:pPr>
            <w:sdt>
              <w:sdtPr>
                <w:rPr>
                  <w:sz w:val="24"/>
                  <w:szCs w:val="24"/>
                  <w:lang w:val="en-GB"/>
                </w:rPr>
                <w:alias w:val="ContactNameOrgCountry"/>
                <w:tag w:val="ContactNameOrgCountry"/>
                <w:id w:val="-130639986"/>
                <w:placeholder>
                  <w:docPart w:val="FEBA47D631F0415993D40FD49917596B"/>
                </w:placeholder>
                <w:text w:multiLine="1"/>
              </w:sdtPr>
              <w:sdtEndPr/>
              <w:sdtContent>
                <w:r w:rsidR="00D04571" w:rsidRPr="00B36C6F">
                  <w:rPr>
                    <w:sz w:val="24"/>
                    <w:szCs w:val="24"/>
                    <w:lang w:val="en-GB"/>
                  </w:rPr>
                  <w:t>Stephen Bereaux</w:t>
                </w:r>
                <w:r w:rsidR="00D04571" w:rsidRPr="00B36C6F">
                  <w:rPr>
                    <w:sz w:val="24"/>
                    <w:szCs w:val="24"/>
                    <w:lang w:val="en-GB"/>
                  </w:rPr>
                  <w:br/>
                  <w:t xml:space="preserve">Deputy to Director BDT </w:t>
                </w:r>
                <w:r w:rsidR="00AB2955" w:rsidRPr="00B36C6F">
                  <w:rPr>
                    <w:sz w:val="24"/>
                    <w:szCs w:val="24"/>
                    <w:lang w:val="en-GB"/>
                  </w:rPr>
                  <w:t xml:space="preserve">and </w:t>
                </w:r>
                <w:r w:rsidR="00D04571" w:rsidRPr="00B36C6F">
                  <w:rPr>
                    <w:sz w:val="24"/>
                    <w:szCs w:val="24"/>
                    <w:lang w:val="en-GB"/>
                  </w:rPr>
                  <w:t>Chief of Dep</w:t>
                </w:r>
                <w:r w:rsidR="00AB2955" w:rsidRPr="00B36C6F">
                  <w:rPr>
                    <w:sz w:val="24"/>
                    <w:szCs w:val="24"/>
                    <w:lang w:val="en-GB"/>
                  </w:rPr>
                  <w:t xml:space="preserve">artment </w:t>
                </w:r>
                <w:r w:rsidR="00D04571" w:rsidRPr="00B36C6F">
                  <w:rPr>
                    <w:sz w:val="24"/>
                    <w:szCs w:val="24"/>
                    <w:lang w:val="en-GB"/>
                  </w:rPr>
                  <w:t>BDT / DDR</w:t>
                </w:r>
              </w:sdtContent>
            </w:sdt>
          </w:p>
        </w:tc>
        <w:sdt>
          <w:sdtPr>
            <w:rPr>
              <w:sz w:val="24"/>
              <w:szCs w:val="24"/>
              <w:lang w:val="en-GB"/>
            </w:rPr>
            <w:alias w:val="ContactTelFaxEmail"/>
            <w:tag w:val="ContactTelFaxEmail"/>
            <w:id w:val="-2140561428"/>
            <w:placeholder>
              <w:docPart w:val="339423C449584AC4A0704F4CBC87FC1B"/>
            </w:placeholder>
          </w:sdtPr>
          <w:sdtEndPr/>
          <w:sdtContent>
            <w:tc>
              <w:tcPr>
                <w:tcW w:w="3969" w:type="dxa"/>
                <w:tcBorders>
                  <w:top w:val="single" w:sz="6" w:space="0" w:color="auto"/>
                  <w:bottom w:val="single" w:sz="6" w:space="0" w:color="auto"/>
                </w:tcBorders>
              </w:tcPr>
              <w:p w14:paraId="34DBFF9C" w14:textId="65551B4F" w:rsidR="00D04571" w:rsidRPr="00B36C6F" w:rsidRDefault="00D04571" w:rsidP="00B36C6F">
                <w:pPr>
                  <w:spacing w:before="120" w:after="40"/>
                  <w:rPr>
                    <w:sz w:val="24"/>
                    <w:szCs w:val="24"/>
                    <w:lang w:val="pt-BR"/>
                  </w:rPr>
                </w:pPr>
                <w:r w:rsidRPr="00B36C6F">
                  <w:rPr>
                    <w:sz w:val="24"/>
                    <w:szCs w:val="24"/>
                    <w:lang w:val="pt-BR"/>
                  </w:rPr>
                  <w:t>Tel:       +41</w:t>
                </w:r>
                <w:r w:rsidR="00405FF0" w:rsidRPr="00B36C6F">
                  <w:rPr>
                    <w:sz w:val="24"/>
                    <w:szCs w:val="24"/>
                    <w:lang w:val="pt-BR"/>
                  </w:rPr>
                  <w:t xml:space="preserve"> </w:t>
                </w:r>
                <w:r w:rsidRPr="00B36C6F">
                  <w:rPr>
                    <w:sz w:val="24"/>
                    <w:szCs w:val="24"/>
                    <w:lang w:val="pt-BR"/>
                  </w:rPr>
                  <w:t>22</w:t>
                </w:r>
                <w:r w:rsidR="00405FF0" w:rsidRPr="00B36C6F">
                  <w:rPr>
                    <w:sz w:val="24"/>
                    <w:szCs w:val="24"/>
                    <w:lang w:val="pt-BR"/>
                  </w:rPr>
                  <w:t xml:space="preserve"> </w:t>
                </w:r>
                <w:r w:rsidRPr="00B36C6F">
                  <w:rPr>
                    <w:sz w:val="24"/>
                    <w:szCs w:val="24"/>
                    <w:lang w:val="pt-BR"/>
                  </w:rPr>
                  <w:t>730 5131</w:t>
                </w:r>
                <w:r w:rsidRPr="00B36C6F">
                  <w:rPr>
                    <w:sz w:val="24"/>
                    <w:szCs w:val="24"/>
                    <w:lang w:val="pt-BR"/>
                  </w:rPr>
                  <w:br/>
                  <w:t xml:space="preserve">E-mail: </w:t>
                </w:r>
                <w:r w:rsidR="00B36C6F" w:rsidRPr="00B36C6F">
                  <w:rPr>
                    <w:sz w:val="24"/>
                    <w:szCs w:val="24"/>
                  </w:rPr>
                  <w:fldChar w:fldCharType="begin"/>
                </w:r>
                <w:r w:rsidR="00B36C6F" w:rsidRPr="00B36C6F">
                  <w:rPr>
                    <w:sz w:val="24"/>
                    <w:szCs w:val="24"/>
                    <w:lang w:val="de-DE"/>
                  </w:rPr>
                  <w:instrText>HYPERLINK "mailto:stephen.bereaux@itu.int"</w:instrText>
                </w:r>
                <w:r w:rsidR="00B36C6F" w:rsidRPr="00B36C6F">
                  <w:rPr>
                    <w:sz w:val="24"/>
                    <w:szCs w:val="24"/>
                  </w:rPr>
                </w:r>
                <w:r w:rsidR="00B36C6F" w:rsidRPr="00B36C6F">
                  <w:rPr>
                    <w:sz w:val="24"/>
                    <w:szCs w:val="24"/>
                  </w:rPr>
                  <w:fldChar w:fldCharType="separate"/>
                </w:r>
                <w:r w:rsidRPr="00B36C6F">
                  <w:rPr>
                    <w:sz w:val="24"/>
                    <w:szCs w:val="24"/>
                    <w:lang w:val="pt-BR"/>
                  </w:rPr>
                  <w:t>stephen.bereaux@itu.int</w:t>
                </w:r>
                <w:r w:rsidR="00B36C6F" w:rsidRPr="00B36C6F">
                  <w:rPr>
                    <w:sz w:val="24"/>
                    <w:szCs w:val="24"/>
                    <w:lang w:val="pt-BR"/>
                  </w:rPr>
                  <w:fldChar w:fldCharType="end"/>
                </w:r>
                <w:r w:rsidR="00B36C6F" w:rsidRPr="00B36C6F">
                  <w:rPr>
                    <w:sz w:val="24"/>
                    <w:szCs w:val="24"/>
                    <w:lang w:val="pt-BR"/>
                  </w:rPr>
                  <w:t xml:space="preserve">   </w:t>
                </w:r>
              </w:p>
            </w:tc>
          </w:sdtContent>
        </w:sdt>
      </w:tr>
    </w:tbl>
    <w:p w14:paraId="359C18DD" w14:textId="77777777" w:rsidR="00DE6E1E" w:rsidRPr="00B36C6F" w:rsidRDefault="00DE6E1E" w:rsidP="00B36C6F">
      <w:pPr>
        <w:spacing w:before="120"/>
        <w:jc w:val="center"/>
        <w:rPr>
          <w:sz w:val="24"/>
          <w:szCs w:val="24"/>
          <w:lang w:val="pt-BR"/>
        </w:rPr>
      </w:pPr>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487231" w:rsidRPr="00B36C6F" w14:paraId="3C418930" w14:textId="77777777" w:rsidTr="002F7918">
        <w:trPr>
          <w:cantSplit/>
          <w:jc w:val="center"/>
        </w:trPr>
        <w:tc>
          <w:tcPr>
            <w:tcW w:w="1418" w:type="dxa"/>
          </w:tcPr>
          <w:p w14:paraId="45BC8D7A" w14:textId="77777777" w:rsidR="00487231" w:rsidRPr="00B36C6F" w:rsidRDefault="00487231" w:rsidP="00B36C6F">
            <w:pPr>
              <w:spacing w:before="120"/>
              <w:rPr>
                <w:b/>
                <w:bCs/>
                <w:sz w:val="24"/>
                <w:szCs w:val="24"/>
              </w:rPr>
            </w:pPr>
            <w:proofErr w:type="gramStart"/>
            <w:r w:rsidRPr="00B36C6F">
              <w:rPr>
                <w:b/>
                <w:bCs/>
                <w:sz w:val="24"/>
                <w:szCs w:val="24"/>
              </w:rPr>
              <w:t>Abstract:</w:t>
            </w:r>
            <w:proofErr w:type="gramEnd"/>
          </w:p>
        </w:tc>
        <w:sdt>
          <w:sdtPr>
            <w:rPr>
              <w:sz w:val="24"/>
              <w:szCs w:val="24"/>
              <w:lang w:val="en-GB"/>
            </w:rPr>
            <w:alias w:val="Abstract"/>
            <w:tag w:val="Abstract"/>
            <w:id w:val="-939903723"/>
            <w:placeholder>
              <w:docPart w:val="5E92454009E64649B16FD6915630C11C"/>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2" w:type="dxa"/>
              </w:tcPr>
              <w:p w14:paraId="6D8C590F" w14:textId="246E29C9" w:rsidR="00487231" w:rsidRPr="00B36C6F" w:rsidRDefault="00487231" w:rsidP="00B36C6F">
                <w:pPr>
                  <w:spacing w:before="120"/>
                  <w:rPr>
                    <w:sz w:val="24"/>
                    <w:szCs w:val="24"/>
                    <w:lang w:val="en-GB"/>
                  </w:rPr>
                </w:pPr>
                <w:r w:rsidRPr="00B36C6F">
                  <w:rPr>
                    <w:sz w:val="24"/>
                    <w:szCs w:val="24"/>
                    <w:lang w:val="en-GB"/>
                  </w:rPr>
                  <w:t>This document summarizes contribution of the ITU Regional Offices to the implementation of the ITU-T four-year rolling operational plan as requested by the Resolution 25 (Rev. Bucharest</w:t>
                </w:r>
                <w:r w:rsidR="00C15D86" w:rsidRPr="00B36C6F">
                  <w:rPr>
                    <w:sz w:val="24"/>
                    <w:szCs w:val="24"/>
                    <w:lang w:val="en-GB"/>
                  </w:rPr>
                  <w:t>,</w:t>
                </w:r>
                <w:r w:rsidRPr="00B36C6F">
                  <w:rPr>
                    <w:sz w:val="24"/>
                    <w:szCs w:val="24"/>
                    <w:lang w:val="en-GB"/>
                  </w:rPr>
                  <w:t xml:space="preserve"> 2022) of the ITU Plenipotentiary Conference.</w:t>
                </w:r>
              </w:p>
            </w:tc>
          </w:sdtContent>
        </w:sdt>
      </w:tr>
    </w:tbl>
    <w:p w14:paraId="3CDC75C1" w14:textId="77777777" w:rsidR="00487231" w:rsidRPr="00C44C87" w:rsidRDefault="00487231" w:rsidP="00487231">
      <w:pPr>
        <w:rPr>
          <w:b/>
          <w:bCs/>
          <w:sz w:val="24"/>
          <w:szCs w:val="24"/>
          <w:lang w:val="en-GB"/>
        </w:rPr>
      </w:pPr>
    </w:p>
    <w:p w14:paraId="20A002C5" w14:textId="5CAEFD3B" w:rsidR="00F533BC" w:rsidRPr="00C44C87" w:rsidRDefault="00F533BC" w:rsidP="00F533BC">
      <w:pPr>
        <w:keepNext/>
        <w:rPr>
          <w:b/>
          <w:sz w:val="24"/>
          <w:szCs w:val="24"/>
          <w:lang w:val="en-GB" w:eastAsia="en-US"/>
        </w:rPr>
      </w:pPr>
      <w:r w:rsidRPr="00C44C87">
        <w:rPr>
          <w:b/>
          <w:sz w:val="24"/>
          <w:szCs w:val="24"/>
          <w:lang w:val="en-GB" w:eastAsia="en-US"/>
        </w:rPr>
        <w:t>1</w:t>
      </w:r>
      <w:r w:rsidRPr="00C44C87">
        <w:rPr>
          <w:b/>
          <w:sz w:val="24"/>
          <w:szCs w:val="24"/>
          <w:lang w:val="en-GB" w:eastAsia="en-US"/>
        </w:rPr>
        <w:tab/>
        <w:t>Introduction: ITU Regional Presence</w:t>
      </w:r>
    </w:p>
    <w:p w14:paraId="623BD3D3" w14:textId="77777777" w:rsidR="003E590B" w:rsidRPr="00C44C87" w:rsidRDefault="003E590B" w:rsidP="00F533BC">
      <w:pPr>
        <w:keepNext/>
        <w:rPr>
          <w:sz w:val="24"/>
          <w:szCs w:val="24"/>
          <w:lang w:val="en-GB" w:eastAsia="pt-BR"/>
        </w:rPr>
      </w:pPr>
    </w:p>
    <w:p w14:paraId="3596FB23" w14:textId="5D09F654" w:rsidR="00F533BC" w:rsidRPr="00C44C87" w:rsidRDefault="00F533BC" w:rsidP="00F533BC">
      <w:pPr>
        <w:keepNext/>
        <w:rPr>
          <w:sz w:val="24"/>
          <w:szCs w:val="24"/>
          <w:lang w:val="en-GB" w:eastAsia="pt-BR"/>
        </w:rPr>
      </w:pPr>
      <w:r w:rsidRPr="00C44C87">
        <w:rPr>
          <w:sz w:val="24"/>
          <w:szCs w:val="24"/>
          <w:lang w:val="en-GB" w:eastAsia="pt-BR"/>
        </w:rPr>
        <w:t xml:space="preserve">ITU has offices in the six BDT regions: </w:t>
      </w:r>
    </w:p>
    <w:p w14:paraId="7C2D30B3" w14:textId="22A92A25" w:rsidR="00F533BC" w:rsidRPr="00C44C87" w:rsidRDefault="00B36C6F" w:rsidP="004C7B58">
      <w:pPr>
        <w:pStyle w:val="ListParagraph"/>
        <w:numPr>
          <w:ilvl w:val="0"/>
          <w:numId w:val="1"/>
        </w:numPr>
        <w:spacing w:before="120" w:line="234" w:lineRule="atLeast"/>
        <w:ind w:hanging="720"/>
        <w:textAlignment w:val="baseline"/>
        <w:rPr>
          <w:sz w:val="24"/>
          <w:szCs w:val="24"/>
        </w:rPr>
      </w:pPr>
      <w:hyperlink r:id="rId12" w:history="1">
        <w:r w:rsidR="00F533BC" w:rsidRPr="00371F39">
          <w:rPr>
            <w:rStyle w:val="Hyperlink"/>
            <w:sz w:val="24"/>
            <w:szCs w:val="24"/>
            <w:bdr w:val="none" w:sz="0" w:space="0" w:color="auto" w:frame="1"/>
          </w:rPr>
          <w:t>Africa</w:t>
        </w:r>
      </w:hyperlink>
    </w:p>
    <w:p w14:paraId="6CB22BB3" w14:textId="77777777" w:rsidR="00F533BC" w:rsidRPr="00C44C87" w:rsidRDefault="00B36C6F" w:rsidP="004C7B58">
      <w:pPr>
        <w:pStyle w:val="ListParagraph"/>
        <w:numPr>
          <w:ilvl w:val="0"/>
          <w:numId w:val="1"/>
        </w:numPr>
        <w:spacing w:line="234" w:lineRule="atLeast"/>
        <w:ind w:hanging="720"/>
        <w:textAlignment w:val="baseline"/>
        <w:rPr>
          <w:sz w:val="24"/>
          <w:szCs w:val="24"/>
        </w:rPr>
      </w:pPr>
      <w:hyperlink r:id="rId13" w:history="1">
        <w:proofErr w:type="spellStart"/>
        <w:r w:rsidR="00F533BC" w:rsidRPr="00C44C87">
          <w:rPr>
            <w:rStyle w:val="Hyperlink"/>
            <w:sz w:val="24"/>
            <w:szCs w:val="24"/>
            <w:bdr w:val="none" w:sz="0" w:space="0" w:color="auto" w:frame="1"/>
          </w:rPr>
          <w:t>Americas</w:t>
        </w:r>
        <w:proofErr w:type="spellEnd"/>
      </w:hyperlink>
    </w:p>
    <w:p w14:paraId="0A4368CB" w14:textId="77777777" w:rsidR="00F533BC" w:rsidRPr="00C44C87" w:rsidRDefault="00B36C6F" w:rsidP="004C7B58">
      <w:pPr>
        <w:pStyle w:val="ListParagraph"/>
        <w:numPr>
          <w:ilvl w:val="0"/>
          <w:numId w:val="1"/>
        </w:numPr>
        <w:spacing w:line="234" w:lineRule="atLeast"/>
        <w:ind w:hanging="720"/>
        <w:textAlignment w:val="baseline"/>
        <w:rPr>
          <w:sz w:val="24"/>
          <w:szCs w:val="24"/>
        </w:rPr>
      </w:pPr>
      <w:hyperlink r:id="rId14" w:history="1">
        <w:r w:rsidR="00F533BC" w:rsidRPr="00C44C87">
          <w:rPr>
            <w:rStyle w:val="Hyperlink"/>
            <w:sz w:val="24"/>
            <w:szCs w:val="24"/>
            <w:bdr w:val="none" w:sz="0" w:space="0" w:color="auto" w:frame="1"/>
          </w:rPr>
          <w:t xml:space="preserve">Arab </w:t>
        </w:r>
        <w:proofErr w:type="gramStart"/>
        <w:r w:rsidR="00F533BC" w:rsidRPr="00C44C87">
          <w:rPr>
            <w:rStyle w:val="Hyperlink"/>
            <w:sz w:val="24"/>
            <w:szCs w:val="24"/>
            <w:bdr w:val="none" w:sz="0" w:space="0" w:color="auto" w:frame="1"/>
          </w:rPr>
          <w:t>states</w:t>
        </w:r>
        <w:proofErr w:type="gramEnd"/>
      </w:hyperlink>
    </w:p>
    <w:p w14:paraId="5717E379" w14:textId="77777777" w:rsidR="00F533BC" w:rsidRPr="00C44C87" w:rsidRDefault="00B36C6F" w:rsidP="004C7B58">
      <w:pPr>
        <w:pStyle w:val="ListParagraph"/>
        <w:numPr>
          <w:ilvl w:val="0"/>
          <w:numId w:val="1"/>
        </w:numPr>
        <w:spacing w:line="234" w:lineRule="atLeast"/>
        <w:ind w:hanging="720"/>
        <w:textAlignment w:val="baseline"/>
        <w:rPr>
          <w:sz w:val="24"/>
          <w:szCs w:val="24"/>
        </w:rPr>
      </w:pPr>
      <w:hyperlink r:id="rId15" w:history="1">
        <w:r w:rsidR="00F533BC" w:rsidRPr="00C44C87">
          <w:rPr>
            <w:rStyle w:val="Hyperlink"/>
            <w:sz w:val="24"/>
            <w:szCs w:val="24"/>
            <w:bdr w:val="none" w:sz="0" w:space="0" w:color="auto" w:frame="1"/>
          </w:rPr>
          <w:t xml:space="preserve">Asia and the Pacific </w:t>
        </w:r>
      </w:hyperlink>
    </w:p>
    <w:p w14:paraId="4A7E8DD8" w14:textId="77777777" w:rsidR="00F533BC" w:rsidRPr="00C44C87" w:rsidRDefault="00B36C6F" w:rsidP="004C7B58">
      <w:pPr>
        <w:pStyle w:val="ListParagraph"/>
        <w:numPr>
          <w:ilvl w:val="0"/>
          <w:numId w:val="1"/>
        </w:numPr>
        <w:spacing w:line="234" w:lineRule="atLeast"/>
        <w:ind w:hanging="720"/>
        <w:textAlignment w:val="baseline"/>
        <w:rPr>
          <w:sz w:val="24"/>
          <w:szCs w:val="24"/>
        </w:rPr>
      </w:pPr>
      <w:hyperlink r:id="rId16" w:history="1">
        <w:r w:rsidR="00F533BC" w:rsidRPr="00C44C87">
          <w:rPr>
            <w:rStyle w:val="Hyperlink"/>
            <w:sz w:val="24"/>
            <w:szCs w:val="24"/>
            <w:bdr w:val="none" w:sz="0" w:space="0" w:color="auto" w:frame="1"/>
          </w:rPr>
          <w:t xml:space="preserve">Commonwealth of Independent States </w:t>
        </w:r>
      </w:hyperlink>
    </w:p>
    <w:p w14:paraId="74147F17" w14:textId="77777777" w:rsidR="00F533BC" w:rsidRPr="00C44C87" w:rsidRDefault="00B36C6F" w:rsidP="004C7B58">
      <w:pPr>
        <w:pStyle w:val="ListParagraph"/>
        <w:numPr>
          <w:ilvl w:val="0"/>
          <w:numId w:val="1"/>
        </w:numPr>
        <w:spacing w:line="234" w:lineRule="atLeast"/>
        <w:ind w:hanging="720"/>
        <w:textAlignment w:val="baseline"/>
        <w:rPr>
          <w:sz w:val="24"/>
          <w:szCs w:val="24"/>
        </w:rPr>
      </w:pPr>
      <w:hyperlink r:id="rId17" w:history="1">
        <w:r w:rsidR="00F533BC" w:rsidRPr="00C44C87">
          <w:rPr>
            <w:rStyle w:val="Hyperlink"/>
            <w:sz w:val="24"/>
            <w:szCs w:val="24"/>
            <w:bdr w:val="none" w:sz="0" w:space="0" w:color="auto" w:frame="1"/>
          </w:rPr>
          <w:t>Europe</w:t>
        </w:r>
      </w:hyperlink>
    </w:p>
    <w:p w14:paraId="515C9D93" w14:textId="77777777" w:rsidR="00F533BC" w:rsidRPr="00C44C87" w:rsidRDefault="00B36C6F" w:rsidP="00F533BC">
      <w:pPr>
        <w:pStyle w:val="Headingb"/>
        <w:rPr>
          <w:rFonts w:eastAsiaTheme="minorEastAsia"/>
          <w:b w:val="0"/>
          <w:szCs w:val="24"/>
          <w:lang w:eastAsia="pt-BR"/>
        </w:rPr>
      </w:pPr>
      <w:hyperlink r:id="rId18" w:history="1">
        <w:r w:rsidR="00F533BC" w:rsidRPr="00C44C87">
          <w:rPr>
            <w:rStyle w:val="Hyperlink"/>
            <w:rFonts w:eastAsiaTheme="minorEastAsia"/>
            <w:b w:val="0"/>
            <w:szCs w:val="24"/>
            <w:lang w:eastAsia="pt-BR"/>
          </w:rPr>
          <w:t>ITU Regional presence</w:t>
        </w:r>
      </w:hyperlink>
      <w:r w:rsidR="00F533BC" w:rsidRPr="00C44C87">
        <w:rPr>
          <w:rFonts w:eastAsiaTheme="minorEastAsia"/>
          <w:b w:val="0"/>
          <w:szCs w:val="24"/>
          <w:lang w:eastAsia="pt-BR"/>
        </w:rPr>
        <w:t xml:space="preserve"> counts as of today an overall of thirteen field offices, which include five regional offices in Addis Ababa (Africa), Bangkok (Asia and the Pacific), Brasilia (Americas), Cairo (Arab States), Moscow (CIS countries), and the ITU office for Europe at ITU headquarters, as well as eight area offices, located in Africa, Americas and Asia and the Pacific. </w:t>
      </w:r>
    </w:p>
    <w:p w14:paraId="6915F2EE" w14:textId="1DFF27AB" w:rsidR="00F533BC" w:rsidRPr="00C44C87" w:rsidRDefault="00F533BC" w:rsidP="00F533BC">
      <w:pPr>
        <w:pStyle w:val="Headingb"/>
        <w:rPr>
          <w:rFonts w:eastAsiaTheme="minorEastAsia"/>
          <w:b w:val="0"/>
          <w:szCs w:val="24"/>
          <w:lang w:eastAsia="pt-BR"/>
        </w:rPr>
      </w:pPr>
      <w:r w:rsidRPr="00C44C87">
        <w:rPr>
          <w:rFonts w:eastAsiaTheme="minorEastAsia"/>
          <w:b w:val="0"/>
          <w:szCs w:val="24"/>
          <w:lang w:eastAsia="pt-BR"/>
        </w:rPr>
        <w:t xml:space="preserve">The revised Resolution 25 </w:t>
      </w:r>
      <w:r w:rsidR="003E590B" w:rsidRPr="00C44C87">
        <w:rPr>
          <w:rFonts w:eastAsiaTheme="minorEastAsia"/>
          <w:b w:val="0"/>
          <w:szCs w:val="24"/>
          <w:lang w:eastAsia="pt-BR"/>
        </w:rPr>
        <w:t xml:space="preserve">(Rev. Bucharest, 2022) </w:t>
      </w:r>
      <w:r w:rsidRPr="00C44C87">
        <w:rPr>
          <w:rFonts w:eastAsiaTheme="minorEastAsia"/>
          <w:b w:val="0"/>
          <w:szCs w:val="24"/>
          <w:lang w:eastAsia="pt-BR"/>
        </w:rPr>
        <w:t xml:space="preserve">on strengthening the </w:t>
      </w:r>
      <w:r w:rsidR="003E590B" w:rsidRPr="00C44C87">
        <w:rPr>
          <w:rFonts w:eastAsiaTheme="minorEastAsia"/>
          <w:b w:val="0"/>
          <w:szCs w:val="24"/>
          <w:lang w:eastAsia="pt-BR"/>
        </w:rPr>
        <w:t xml:space="preserve">ITU </w:t>
      </w:r>
      <w:r w:rsidRPr="00C44C87">
        <w:rPr>
          <w:rFonts w:eastAsiaTheme="minorEastAsia"/>
          <w:b w:val="0"/>
          <w:szCs w:val="24"/>
          <w:lang w:eastAsia="pt-BR"/>
        </w:rPr>
        <w:t xml:space="preserve">regional presence, mentioned in section 1 below, has enhanced the need for a stronger regional presence. </w:t>
      </w:r>
    </w:p>
    <w:p w14:paraId="0A158F32" w14:textId="77777777" w:rsidR="00F533BC" w:rsidRPr="00C44C87" w:rsidRDefault="00F533BC" w:rsidP="00F533BC">
      <w:pPr>
        <w:pStyle w:val="Headingb"/>
        <w:rPr>
          <w:rFonts w:eastAsiaTheme="minorEastAsia"/>
          <w:b w:val="0"/>
          <w:szCs w:val="24"/>
          <w:lang w:eastAsia="pt-BR"/>
        </w:rPr>
      </w:pPr>
      <w:r w:rsidRPr="00C44C87">
        <w:rPr>
          <w:rFonts w:eastAsiaTheme="minorEastAsia"/>
          <w:b w:val="0"/>
          <w:szCs w:val="24"/>
          <w:lang w:eastAsia="pt-BR"/>
        </w:rPr>
        <w:t>Regional and area offices play a key role in facilitating discussions on regional matters and in the dissemination of information and results of activities of all three Sectors of the Union and the General Secretariat, while avoiding the duplication of such functions with headquarters, and collaborating with the regional telecommunication organizations to make synergies and avoid duplication of activities and efforts.</w:t>
      </w:r>
    </w:p>
    <w:p w14:paraId="782338DE" w14:textId="77777777" w:rsidR="00F533BC" w:rsidRPr="00C44C87" w:rsidRDefault="00F533BC" w:rsidP="00F533BC">
      <w:pPr>
        <w:rPr>
          <w:sz w:val="24"/>
          <w:szCs w:val="24"/>
          <w:lang w:val="en-GB" w:eastAsia="pt-BR"/>
        </w:rPr>
      </w:pPr>
    </w:p>
    <w:p w14:paraId="7A499654" w14:textId="07D063C9" w:rsidR="00F533BC" w:rsidRPr="00C44C87" w:rsidRDefault="00F533BC" w:rsidP="00F533BC">
      <w:pPr>
        <w:pStyle w:val="Headingb"/>
        <w:rPr>
          <w:szCs w:val="24"/>
        </w:rPr>
      </w:pPr>
      <w:r w:rsidRPr="00C44C87">
        <w:rPr>
          <w:szCs w:val="24"/>
        </w:rPr>
        <w:t>2</w:t>
      </w:r>
      <w:r w:rsidRPr="00C44C87">
        <w:rPr>
          <w:szCs w:val="24"/>
        </w:rPr>
        <w:tab/>
        <w:t xml:space="preserve">ITU Plenipotentiary Resolution 25 (Rev. </w:t>
      </w:r>
      <w:r w:rsidR="00E50ECA" w:rsidRPr="00C44C87">
        <w:rPr>
          <w:szCs w:val="24"/>
        </w:rPr>
        <w:t xml:space="preserve">Bucharest, </w:t>
      </w:r>
      <w:r w:rsidRPr="00C44C87">
        <w:rPr>
          <w:szCs w:val="24"/>
        </w:rPr>
        <w:t>20</w:t>
      </w:r>
      <w:r w:rsidR="00E50ECA" w:rsidRPr="00C44C87">
        <w:rPr>
          <w:szCs w:val="24"/>
        </w:rPr>
        <w:t>22</w:t>
      </w:r>
      <w:r w:rsidRPr="00C44C87">
        <w:rPr>
          <w:szCs w:val="24"/>
        </w:rPr>
        <w:t>)</w:t>
      </w:r>
    </w:p>
    <w:p w14:paraId="27562EFA" w14:textId="77777777" w:rsidR="002D2EB7" w:rsidRPr="00C44C87" w:rsidRDefault="002D2EB7" w:rsidP="00F533BC">
      <w:pPr>
        <w:rPr>
          <w:sz w:val="24"/>
          <w:szCs w:val="24"/>
          <w:lang w:val="en-GB" w:eastAsia="pt-BR"/>
        </w:rPr>
      </w:pPr>
      <w:bookmarkStart w:id="9" w:name="_Toc406757651"/>
    </w:p>
    <w:p w14:paraId="7419141E" w14:textId="0121389C" w:rsidR="00F533BC" w:rsidRPr="00C44C87" w:rsidRDefault="00F533BC" w:rsidP="00F533BC">
      <w:pPr>
        <w:rPr>
          <w:sz w:val="24"/>
          <w:szCs w:val="24"/>
          <w:lang w:val="en-GB"/>
        </w:rPr>
      </w:pPr>
      <w:r w:rsidRPr="00C44C87">
        <w:rPr>
          <w:sz w:val="24"/>
          <w:szCs w:val="24"/>
          <w:lang w:val="en-GB" w:eastAsia="pt-BR"/>
        </w:rPr>
        <w:t>ITU Plenipotentiary Resolution 25 (Rev. </w:t>
      </w:r>
      <w:r w:rsidR="00E50ECA" w:rsidRPr="00C44C87">
        <w:rPr>
          <w:sz w:val="24"/>
          <w:szCs w:val="24"/>
          <w:lang w:val="en-GB" w:eastAsia="pt-BR"/>
        </w:rPr>
        <w:t>Bucharest</w:t>
      </w:r>
      <w:r w:rsidRPr="00C44C87">
        <w:rPr>
          <w:sz w:val="24"/>
          <w:szCs w:val="24"/>
          <w:lang w:val="en-GB" w:eastAsia="pt-BR"/>
        </w:rPr>
        <w:t>, 20</w:t>
      </w:r>
      <w:r w:rsidR="00E50ECA" w:rsidRPr="00C44C87">
        <w:rPr>
          <w:sz w:val="24"/>
          <w:szCs w:val="24"/>
          <w:lang w:val="en-GB" w:eastAsia="pt-BR"/>
        </w:rPr>
        <w:t>22</w:t>
      </w:r>
      <w:r w:rsidRPr="00C44C87">
        <w:rPr>
          <w:sz w:val="24"/>
          <w:szCs w:val="24"/>
          <w:lang w:val="en-GB" w:eastAsia="pt-BR"/>
        </w:rPr>
        <w:t>)</w:t>
      </w:r>
      <w:bookmarkEnd w:id="9"/>
      <w:r w:rsidRPr="00C44C87">
        <w:rPr>
          <w:sz w:val="24"/>
          <w:szCs w:val="24"/>
          <w:lang w:val="en-GB" w:eastAsia="pt-BR"/>
        </w:rPr>
        <w:t xml:space="preserve"> “</w:t>
      </w:r>
      <w:bookmarkStart w:id="10" w:name="_Toc406757652"/>
      <w:r w:rsidRPr="00C44C87">
        <w:rPr>
          <w:sz w:val="24"/>
          <w:szCs w:val="24"/>
          <w:lang w:val="en-GB" w:eastAsia="pt-BR"/>
        </w:rPr>
        <w:t xml:space="preserve">Strengthening the </w:t>
      </w:r>
      <w:r w:rsidR="002D2EB7" w:rsidRPr="00C44C87">
        <w:rPr>
          <w:sz w:val="24"/>
          <w:szCs w:val="24"/>
          <w:lang w:val="en-GB" w:eastAsia="pt-BR"/>
        </w:rPr>
        <w:t xml:space="preserve">ITU </w:t>
      </w:r>
      <w:r w:rsidRPr="00C44C87">
        <w:rPr>
          <w:sz w:val="24"/>
          <w:szCs w:val="24"/>
          <w:lang w:val="en-GB" w:eastAsia="pt-BR"/>
        </w:rPr>
        <w:t>regional presence</w:t>
      </w:r>
      <w:bookmarkEnd w:id="10"/>
      <w:r w:rsidRPr="00C44C87">
        <w:rPr>
          <w:sz w:val="24"/>
          <w:szCs w:val="24"/>
          <w:lang w:val="en-GB" w:eastAsia="pt-BR"/>
        </w:rPr>
        <w:t xml:space="preserve">” </w:t>
      </w:r>
      <w:r w:rsidR="002D2EB7" w:rsidRPr="00C44C87">
        <w:rPr>
          <w:sz w:val="24"/>
          <w:szCs w:val="24"/>
          <w:lang w:val="en-GB" w:eastAsia="pt-BR"/>
        </w:rPr>
        <w:t xml:space="preserve">confirms the </w:t>
      </w:r>
      <w:r w:rsidRPr="00C44C87">
        <w:rPr>
          <w:sz w:val="24"/>
          <w:szCs w:val="24"/>
          <w:lang w:val="en-GB"/>
        </w:rPr>
        <w:t>reporting mandates for the Regional and Area offices to the advisory groups of each Sectors:</w:t>
      </w:r>
    </w:p>
    <w:p w14:paraId="747486CA" w14:textId="68C97347" w:rsidR="003E590B" w:rsidRPr="00C44C87" w:rsidRDefault="00F533BC" w:rsidP="00405FF0">
      <w:pPr>
        <w:pStyle w:val="Call"/>
        <w:tabs>
          <w:tab w:val="left" w:pos="3693"/>
        </w:tabs>
        <w:rPr>
          <w:rFonts w:ascii="Times New Roman" w:hAnsi="Times New Roman"/>
          <w:lang w:val="en-GB" w:eastAsia="pt-BR"/>
        </w:rPr>
      </w:pPr>
      <w:r w:rsidRPr="00C44C87">
        <w:rPr>
          <w:rFonts w:ascii="Times New Roman" w:hAnsi="Times New Roman"/>
          <w:lang w:val="en-GB" w:eastAsia="pt-BR"/>
        </w:rPr>
        <w:lastRenderedPageBreak/>
        <w:t>“</w:t>
      </w:r>
      <w:proofErr w:type="gramStart"/>
      <w:r w:rsidRPr="00C44C87">
        <w:rPr>
          <w:rFonts w:ascii="Times New Roman" w:hAnsi="Times New Roman"/>
          <w:lang w:val="en-GB" w:eastAsia="pt-BR"/>
        </w:rPr>
        <w:t>further</w:t>
      </w:r>
      <w:proofErr w:type="gramEnd"/>
      <w:r w:rsidRPr="00C44C87">
        <w:rPr>
          <w:rFonts w:ascii="Times New Roman" w:hAnsi="Times New Roman"/>
          <w:lang w:val="en-GB" w:eastAsia="pt-BR"/>
        </w:rPr>
        <w:t xml:space="preserve"> resolves</w:t>
      </w:r>
      <w:r w:rsidR="001F089D">
        <w:rPr>
          <w:rFonts w:ascii="Times New Roman" w:hAnsi="Times New Roman"/>
          <w:lang w:val="en-GB" w:eastAsia="pt-BR"/>
        </w:rPr>
        <w:br/>
      </w:r>
    </w:p>
    <w:p w14:paraId="2E0AEB0C" w14:textId="77777777" w:rsidR="003E590B" w:rsidRPr="001F089D" w:rsidRDefault="003E590B" w:rsidP="003E590B">
      <w:pPr>
        <w:rPr>
          <w:i/>
          <w:iCs/>
          <w:sz w:val="24"/>
          <w:szCs w:val="24"/>
          <w:lang w:val="en-GB"/>
        </w:rPr>
      </w:pPr>
      <w:r w:rsidRPr="001F089D">
        <w:rPr>
          <w:i/>
          <w:iCs/>
          <w:sz w:val="24"/>
          <w:szCs w:val="24"/>
          <w:lang w:val="en-GB"/>
        </w:rPr>
        <w:t>3</w:t>
      </w:r>
      <w:r w:rsidRPr="001F089D">
        <w:rPr>
          <w:i/>
          <w:iCs/>
          <w:sz w:val="24"/>
          <w:szCs w:val="24"/>
          <w:lang w:val="en-GB"/>
        </w:rPr>
        <w:tab/>
        <w:t>that regional and area offices shall regularly provide reports to the Sector advisory groups, as appropriate, and to inform the Directors of BR, TSB and BDT on regional activities related to their respective Sectors,</w:t>
      </w:r>
    </w:p>
    <w:p w14:paraId="5C4E9568" w14:textId="77777777" w:rsidR="00F533BC" w:rsidRPr="00C44C87" w:rsidRDefault="00F533BC" w:rsidP="00F533BC">
      <w:pPr>
        <w:tabs>
          <w:tab w:val="left" w:pos="567"/>
        </w:tabs>
        <w:rPr>
          <w:sz w:val="24"/>
          <w:szCs w:val="24"/>
          <w:lang w:val="en-GB"/>
        </w:rPr>
      </w:pPr>
    </w:p>
    <w:p w14:paraId="4DC6903F" w14:textId="77777777" w:rsidR="00F533BC" w:rsidRPr="00C44C87" w:rsidRDefault="00F533BC" w:rsidP="00F533BC">
      <w:pPr>
        <w:pStyle w:val="Headingb"/>
        <w:rPr>
          <w:szCs w:val="24"/>
        </w:rPr>
      </w:pPr>
      <w:r w:rsidRPr="00C44C87">
        <w:rPr>
          <w:szCs w:val="24"/>
        </w:rPr>
        <w:t>3</w:t>
      </w:r>
      <w:r w:rsidRPr="00C44C87">
        <w:rPr>
          <w:szCs w:val="24"/>
        </w:rPr>
        <w:tab/>
        <w:t xml:space="preserve">TSB mechanisms of coordination with the Regions </w:t>
      </w:r>
    </w:p>
    <w:p w14:paraId="17EF1C36" w14:textId="77777777" w:rsidR="002D2EB7" w:rsidRPr="00C44C87" w:rsidRDefault="002D2EB7" w:rsidP="00F533BC">
      <w:pPr>
        <w:jc w:val="both"/>
        <w:rPr>
          <w:sz w:val="24"/>
          <w:szCs w:val="24"/>
          <w:lang w:val="en-GB"/>
        </w:rPr>
      </w:pPr>
    </w:p>
    <w:p w14:paraId="55989614" w14:textId="2F1CB0B0" w:rsidR="00F533BC" w:rsidRPr="00C44C87" w:rsidRDefault="00F533BC" w:rsidP="00F533BC">
      <w:pPr>
        <w:jc w:val="both"/>
        <w:rPr>
          <w:sz w:val="24"/>
          <w:szCs w:val="24"/>
          <w:lang w:val="en-GB"/>
        </w:rPr>
      </w:pPr>
      <w:r w:rsidRPr="00C44C87">
        <w:rPr>
          <w:sz w:val="24"/>
          <w:szCs w:val="24"/>
          <w:lang w:val="en-GB"/>
        </w:rPr>
        <w:t xml:space="preserve">At the initiative of the TSB Director, conference calls and face-to-face meetings were organized </w:t>
      </w:r>
      <w:r w:rsidR="002D2EB7" w:rsidRPr="00C44C87">
        <w:rPr>
          <w:sz w:val="24"/>
          <w:szCs w:val="24"/>
          <w:lang w:val="en-GB"/>
        </w:rPr>
        <w:t xml:space="preserve">whenever possible, </w:t>
      </w:r>
      <w:r w:rsidRPr="00C44C87">
        <w:rPr>
          <w:sz w:val="24"/>
          <w:szCs w:val="24"/>
          <w:lang w:val="en-GB"/>
        </w:rPr>
        <w:t xml:space="preserve">on a regular basis between the regional and areas offices and the TSB senior management, covering each time overviews, updates, and briefings of activities organized by each TSB department in the various regions. </w:t>
      </w:r>
    </w:p>
    <w:p w14:paraId="59C26B42" w14:textId="017F5BE5" w:rsidR="00F533BC" w:rsidRPr="00C44C87" w:rsidRDefault="00F533BC" w:rsidP="00AB2955">
      <w:pPr>
        <w:pStyle w:val="Call"/>
        <w:ind w:left="0"/>
        <w:jc w:val="both"/>
        <w:rPr>
          <w:lang w:val="en-GB"/>
        </w:rPr>
      </w:pPr>
      <w:r w:rsidRPr="00C44C87">
        <w:rPr>
          <w:rFonts w:ascii="Times New Roman" w:eastAsia="Times New Roman" w:hAnsi="Times New Roman"/>
          <w:i w:val="0"/>
          <w:iCs w:val="0"/>
          <w:lang w:val="en-GB"/>
        </w:rPr>
        <w:t>These coordination activities, as well as the establishment of a TSB Focal Point for the Regions</w:t>
      </w:r>
      <w:r w:rsidR="002D2EB7" w:rsidRPr="00C44C87">
        <w:rPr>
          <w:rFonts w:ascii="Times New Roman" w:eastAsia="Times New Roman" w:hAnsi="Times New Roman"/>
          <w:i w:val="0"/>
          <w:iCs w:val="0"/>
          <w:lang w:val="en-GB"/>
        </w:rPr>
        <w:t xml:space="preserve"> (reference to the </w:t>
      </w:r>
      <w:r w:rsidR="002D2EB7" w:rsidRPr="00AB2955">
        <w:rPr>
          <w:rFonts w:ascii="Times New Roman" w:eastAsia="Times New Roman" w:hAnsi="Times New Roman"/>
          <w:lang w:val="en-GB"/>
        </w:rPr>
        <w:t>instruct</w:t>
      </w:r>
      <w:r w:rsidR="00AB2955" w:rsidRPr="00AB2955">
        <w:rPr>
          <w:rFonts w:ascii="Times New Roman" w:eastAsia="Times New Roman" w:hAnsi="Times New Roman"/>
          <w:lang w:val="en-GB"/>
        </w:rPr>
        <w:t>s</w:t>
      </w:r>
      <w:r w:rsidR="002D2EB7" w:rsidRPr="00AB2955">
        <w:rPr>
          <w:rFonts w:ascii="Times New Roman" w:eastAsia="Times New Roman" w:hAnsi="Times New Roman"/>
          <w:lang w:val="en-GB"/>
        </w:rPr>
        <w:t xml:space="preserve"> the Directors of the Radiocommunication Bureau and the Telecommunication Standardization Bureau</w:t>
      </w:r>
      <w:r w:rsidR="00DF71EB">
        <w:rPr>
          <w:rFonts w:ascii="Times New Roman" w:eastAsia="Times New Roman" w:hAnsi="Times New Roman"/>
          <w:i w:val="0"/>
          <w:iCs w:val="0"/>
          <w:lang w:val="en-GB"/>
        </w:rPr>
        <w:t>), were</w:t>
      </w:r>
      <w:r w:rsidRPr="00AB2955">
        <w:rPr>
          <w:rFonts w:ascii="Times New Roman" w:eastAsia="Times New Roman" w:hAnsi="Times New Roman"/>
          <w:i w:val="0"/>
          <w:iCs w:val="0"/>
          <w:lang w:val="en-GB"/>
        </w:rPr>
        <w:t xml:space="preserve"> conducted keeping in mind the </w:t>
      </w:r>
      <w:r w:rsidR="002D2EB7" w:rsidRPr="00AB2955">
        <w:rPr>
          <w:rFonts w:ascii="Times New Roman" w:eastAsia="Times New Roman" w:hAnsi="Times New Roman"/>
          <w:i w:val="0"/>
          <w:iCs w:val="0"/>
          <w:lang w:val="en-GB"/>
        </w:rPr>
        <w:t xml:space="preserve">One ITU concept and implementation, with the </w:t>
      </w:r>
      <w:r w:rsidRPr="00AB2955">
        <w:rPr>
          <w:rFonts w:ascii="Times New Roman" w:eastAsia="Times New Roman" w:hAnsi="Times New Roman"/>
          <w:i w:val="0"/>
          <w:iCs w:val="0"/>
          <w:lang w:val="en-GB"/>
        </w:rPr>
        <w:t xml:space="preserve">goal of improving coordination and increasing the efficiency of the overall operations, </w:t>
      </w:r>
      <w:proofErr w:type="gramStart"/>
      <w:r w:rsidRPr="00AB2955">
        <w:rPr>
          <w:rFonts w:ascii="Times New Roman" w:eastAsia="Times New Roman" w:hAnsi="Times New Roman"/>
          <w:i w:val="0"/>
          <w:iCs w:val="0"/>
          <w:lang w:val="en-GB"/>
        </w:rPr>
        <w:t>events</w:t>
      </w:r>
      <w:proofErr w:type="gramEnd"/>
      <w:r w:rsidRPr="00AB2955">
        <w:rPr>
          <w:rFonts w:ascii="Times New Roman" w:eastAsia="Times New Roman" w:hAnsi="Times New Roman"/>
          <w:i w:val="0"/>
          <w:iCs w:val="0"/>
          <w:lang w:val="en-GB"/>
        </w:rPr>
        <w:t xml:space="preserve"> and activities in the Standardization Sector in each of the Regions.</w:t>
      </w:r>
      <w:r w:rsidRPr="00C44C87">
        <w:rPr>
          <w:lang w:val="en-GB"/>
        </w:rPr>
        <w:t xml:space="preserve"> </w:t>
      </w:r>
    </w:p>
    <w:p w14:paraId="5FB1CD0B" w14:textId="77777777" w:rsidR="00AB2955" w:rsidRDefault="00AB2955" w:rsidP="00F533BC">
      <w:pPr>
        <w:rPr>
          <w:sz w:val="24"/>
          <w:szCs w:val="24"/>
          <w:lang w:val="en-GB"/>
        </w:rPr>
      </w:pPr>
    </w:p>
    <w:p w14:paraId="1299B5B2" w14:textId="08AC93E1" w:rsidR="00F533BC" w:rsidRPr="00C44C87" w:rsidRDefault="00F533BC" w:rsidP="00F533BC">
      <w:pPr>
        <w:rPr>
          <w:sz w:val="24"/>
          <w:szCs w:val="24"/>
          <w:lang w:val="en-GB"/>
        </w:rPr>
      </w:pPr>
      <w:r w:rsidRPr="00C44C87">
        <w:rPr>
          <w:sz w:val="24"/>
          <w:szCs w:val="24"/>
          <w:lang w:val="en-GB"/>
        </w:rPr>
        <w:t>The use of this coordination mechanism is a tool that has led to a significant improvement in the overall coordination with regional and areas offices in terms of events and activities.</w:t>
      </w:r>
    </w:p>
    <w:p w14:paraId="2DDC24AA" w14:textId="77777777" w:rsidR="00F533BC" w:rsidRPr="00C44C87" w:rsidRDefault="00F533BC" w:rsidP="00F533BC">
      <w:pPr>
        <w:spacing w:after="160" w:line="259" w:lineRule="auto"/>
        <w:rPr>
          <w:sz w:val="24"/>
          <w:szCs w:val="24"/>
          <w:lang w:val="en-GB"/>
        </w:rPr>
      </w:pPr>
      <w:r w:rsidRPr="00C44C87">
        <w:rPr>
          <w:sz w:val="24"/>
          <w:szCs w:val="24"/>
          <w:lang w:val="en-GB"/>
        </w:rPr>
        <w:br w:type="page"/>
      </w:r>
    </w:p>
    <w:p w14:paraId="645A5B87" w14:textId="0CAAC89C" w:rsidR="002D2EB7" w:rsidRDefault="00F533BC" w:rsidP="002D2EB7">
      <w:pPr>
        <w:pStyle w:val="Headingb"/>
        <w:rPr>
          <w:szCs w:val="24"/>
        </w:rPr>
      </w:pPr>
      <w:r w:rsidRPr="00C44C87">
        <w:rPr>
          <w:szCs w:val="24"/>
        </w:rPr>
        <w:lastRenderedPageBreak/>
        <w:t>4</w:t>
      </w:r>
      <w:r w:rsidRPr="00C44C87">
        <w:rPr>
          <w:szCs w:val="24"/>
        </w:rPr>
        <w:tab/>
        <w:t>Africa – Regional Office for Africa</w:t>
      </w:r>
    </w:p>
    <w:p w14:paraId="12AE066D" w14:textId="77777777" w:rsidR="003A0FDC" w:rsidRDefault="003A0FDC" w:rsidP="003A0FDC">
      <w:pPr>
        <w:rPr>
          <w:lang w:val="en-GB" w:eastAsia="en-US"/>
        </w:rPr>
      </w:pPr>
    </w:p>
    <w:p w14:paraId="72593B29" w14:textId="5B1B3135" w:rsidR="003A0FDC" w:rsidRPr="003A0FDC" w:rsidRDefault="003A0FDC" w:rsidP="003A0FDC">
      <w:pPr>
        <w:spacing w:before="240"/>
        <w:jc w:val="both"/>
        <w:rPr>
          <w:rFonts w:eastAsia="SimSun"/>
          <w:color w:val="000000"/>
          <w:sz w:val="24"/>
          <w:szCs w:val="24"/>
          <w:lang w:val="en-GB" w:eastAsia="en-GB"/>
        </w:rPr>
      </w:pPr>
      <w:r w:rsidRPr="003A0FDC">
        <w:rPr>
          <w:rFonts w:eastAsia="SimSun"/>
          <w:color w:val="000000"/>
          <w:sz w:val="24"/>
          <w:szCs w:val="24"/>
          <w:lang w:val="en-GB" w:eastAsia="en-GB"/>
        </w:rPr>
        <w:t xml:space="preserve">In collaboration with the Standardization Bureau (TSB), the ITU Regional Office for Africa has engaged with different countries and regulators to create awareness on the ITU Digital Financial Services (DFS) Security Lab, delivery of Security Clinics, and related capacity building activities for knowledge transfer to facilitate the setup of DFS Security Labs. Countries engaged so far include but are not limited to; Zimbabwe, Malawi, Kingdom of Eswatini, Nigeria, The Gambia, Uganda, Tanzania, </w:t>
      </w:r>
      <w:r w:rsidR="00A449D4" w:rsidRPr="003A0FDC">
        <w:rPr>
          <w:rFonts w:eastAsia="SimSun"/>
          <w:color w:val="000000"/>
          <w:sz w:val="24"/>
          <w:szCs w:val="24"/>
          <w:lang w:val="en-GB" w:eastAsia="en-GB"/>
        </w:rPr>
        <w:t>Rwanda, East</w:t>
      </w:r>
      <w:r w:rsidRPr="003A0FDC">
        <w:rPr>
          <w:rFonts w:eastAsia="SimSun"/>
          <w:color w:val="000000"/>
          <w:sz w:val="24"/>
          <w:szCs w:val="24"/>
          <w:lang w:val="en-GB" w:eastAsia="en-GB"/>
        </w:rPr>
        <w:t xml:space="preserve"> African Communications Organisation (EACO), Communication Regulators Association of Southern Africa (CRASA), West Africa Telecommunications Regulators Assembly (WATRA) and further discussions are ongoing to engage additional countries.</w:t>
      </w:r>
    </w:p>
    <w:p w14:paraId="73A6117B" w14:textId="675DBC67" w:rsidR="003A0FDC" w:rsidRPr="003A0FDC" w:rsidRDefault="003A0FDC" w:rsidP="003A0FDC">
      <w:pPr>
        <w:spacing w:before="240"/>
        <w:jc w:val="both"/>
        <w:rPr>
          <w:rFonts w:eastAsia="SimSun"/>
          <w:color w:val="000000"/>
          <w:sz w:val="24"/>
          <w:szCs w:val="24"/>
          <w:lang w:val="en-GB" w:eastAsia="en-GB"/>
        </w:rPr>
      </w:pPr>
      <w:r w:rsidRPr="003A0FDC">
        <w:rPr>
          <w:rFonts w:eastAsia="SimSun"/>
          <w:color w:val="000000"/>
          <w:sz w:val="24"/>
          <w:szCs w:val="24"/>
          <w:lang w:val="en-GB" w:eastAsia="en-GB"/>
        </w:rPr>
        <w:t>Supporting and encouraging collaboration on work of the ITU-T Focus Groups on; Artificial Intelligence for Health (FG-AI4H), Artificial Intelligence (AI) and Internet of Things (IoT) for Digital Agriculture (FG-AI4A) with different Partners that include WHO, FAO among others.</w:t>
      </w:r>
    </w:p>
    <w:p w14:paraId="37653F36" w14:textId="4C0183D3" w:rsidR="003A0FDC" w:rsidRPr="003A0FDC" w:rsidRDefault="003A0FDC" w:rsidP="003A0FDC">
      <w:pPr>
        <w:spacing w:before="240"/>
        <w:jc w:val="both"/>
        <w:rPr>
          <w:rFonts w:eastAsia="SimSun"/>
          <w:color w:val="000000"/>
          <w:sz w:val="24"/>
          <w:szCs w:val="24"/>
          <w:lang w:val="en-GB" w:eastAsia="en-GB"/>
        </w:rPr>
      </w:pPr>
      <w:r w:rsidRPr="003A0FDC">
        <w:rPr>
          <w:rFonts w:eastAsia="SimSun"/>
          <w:color w:val="000000"/>
          <w:sz w:val="24"/>
          <w:szCs w:val="24"/>
          <w:lang w:val="en-GB" w:eastAsia="en-GB"/>
        </w:rPr>
        <w:t xml:space="preserve">ITU ROA is contributing to the successful preparation of the upcoming TSB workshop on 11 May 2023 in Bangalore, India, on the theme "The Future of Television for South Asia, Arab, and Africa regions". Typically, Africa Region will be contributing to the high-level roundtable that will be focusing on the policy enablers for the successful and impactful future television services. It will also be </w:t>
      </w:r>
      <w:proofErr w:type="spellStart"/>
      <w:r w:rsidRPr="003A0FDC">
        <w:rPr>
          <w:rFonts w:eastAsia="SimSun"/>
          <w:color w:val="000000"/>
          <w:sz w:val="24"/>
          <w:szCs w:val="24"/>
          <w:lang w:val="en-GB" w:eastAsia="en-GB"/>
        </w:rPr>
        <w:t>analyzing</w:t>
      </w:r>
      <w:proofErr w:type="spellEnd"/>
      <w:r w:rsidRPr="003A0FDC">
        <w:rPr>
          <w:rFonts w:eastAsia="SimSun"/>
          <w:color w:val="000000"/>
          <w:sz w:val="24"/>
          <w:szCs w:val="24"/>
          <w:lang w:val="en-GB" w:eastAsia="en-GB"/>
        </w:rPr>
        <w:t xml:space="preserve"> emerging trends, government policies, industry challenges and opportunities will be discussed with government institutions from South Asia, </w:t>
      </w:r>
      <w:proofErr w:type="gramStart"/>
      <w:r w:rsidRPr="003A0FDC">
        <w:rPr>
          <w:rFonts w:eastAsia="SimSun"/>
          <w:color w:val="000000"/>
          <w:sz w:val="24"/>
          <w:szCs w:val="24"/>
          <w:lang w:val="en-GB" w:eastAsia="en-GB"/>
        </w:rPr>
        <w:t>Africa</w:t>
      </w:r>
      <w:proofErr w:type="gramEnd"/>
      <w:r w:rsidRPr="003A0FDC">
        <w:rPr>
          <w:rFonts w:eastAsia="SimSun"/>
          <w:color w:val="000000"/>
          <w:sz w:val="24"/>
          <w:szCs w:val="24"/>
          <w:lang w:val="en-GB" w:eastAsia="en-GB"/>
        </w:rPr>
        <w:t xml:space="preserve"> and Arab regions. A first speaker from Africa Telecommunications Union (ATU) and possibly a second one from Africa Union of Broadcasting (AUB) will be taking part in that roundtable to voice Africa's vision while contributing to enrich the debates.</w:t>
      </w:r>
    </w:p>
    <w:p w14:paraId="65B48689" w14:textId="1AADD594" w:rsidR="003A0FDC" w:rsidRPr="003A0FDC" w:rsidRDefault="003A0FDC" w:rsidP="003A0FDC">
      <w:pPr>
        <w:spacing w:before="240"/>
        <w:jc w:val="both"/>
        <w:rPr>
          <w:rFonts w:eastAsia="SimSun"/>
          <w:color w:val="000000"/>
          <w:sz w:val="24"/>
          <w:szCs w:val="24"/>
          <w:lang w:val="en-GB" w:eastAsia="en-GB"/>
        </w:rPr>
      </w:pPr>
      <w:r w:rsidRPr="003A0FDC">
        <w:rPr>
          <w:rFonts w:eastAsia="SimSun"/>
          <w:color w:val="000000"/>
          <w:sz w:val="24"/>
          <w:szCs w:val="24"/>
          <w:lang w:val="en-GB" w:eastAsia="en-GB"/>
        </w:rPr>
        <w:t xml:space="preserve">Additionally, Africa Region will be actively taking part in the second session on "The enabling role of regulators" aiming at presenting regional case studies and regulatory approaches for successful and impactful television services highlighting the importance of analogue to digital conversion, new </w:t>
      </w:r>
      <w:proofErr w:type="gramStart"/>
      <w:r w:rsidRPr="003A0FDC">
        <w:rPr>
          <w:rFonts w:eastAsia="SimSun"/>
          <w:color w:val="000000"/>
          <w:sz w:val="24"/>
          <w:szCs w:val="24"/>
          <w:lang w:val="en-GB" w:eastAsia="en-GB"/>
        </w:rPr>
        <w:t>applications</w:t>
      </w:r>
      <w:proofErr w:type="gramEnd"/>
      <w:r w:rsidRPr="003A0FDC">
        <w:rPr>
          <w:rFonts w:eastAsia="SimSun"/>
          <w:color w:val="000000"/>
          <w:sz w:val="24"/>
          <w:szCs w:val="24"/>
          <w:lang w:val="en-GB" w:eastAsia="en-GB"/>
        </w:rPr>
        <w:t xml:space="preserve"> and spectrum management.  That session will </w:t>
      </w:r>
      <w:proofErr w:type="spellStart"/>
      <w:r w:rsidRPr="003A0FDC">
        <w:rPr>
          <w:rFonts w:eastAsia="SimSun"/>
          <w:color w:val="000000"/>
          <w:sz w:val="24"/>
          <w:szCs w:val="24"/>
          <w:lang w:val="en-GB" w:eastAsia="en-GB"/>
        </w:rPr>
        <w:t>analyze</w:t>
      </w:r>
      <w:proofErr w:type="spellEnd"/>
      <w:r w:rsidRPr="003A0FDC">
        <w:rPr>
          <w:rFonts w:eastAsia="SimSun"/>
          <w:color w:val="000000"/>
          <w:sz w:val="24"/>
          <w:szCs w:val="24"/>
          <w:lang w:val="en-GB" w:eastAsia="en-GB"/>
        </w:rPr>
        <w:t xml:space="preserve"> the supporting role played by regulatory frameworks and the impact of digital TV services on future growth through regulatory models and the amendments to the licenses of digital TV broadcasters mindful of privacy, </w:t>
      </w:r>
      <w:proofErr w:type="gramStart"/>
      <w:r w:rsidRPr="003A0FDC">
        <w:rPr>
          <w:rFonts w:eastAsia="SimSun"/>
          <w:color w:val="000000"/>
          <w:sz w:val="24"/>
          <w:szCs w:val="24"/>
          <w:lang w:val="en-GB" w:eastAsia="en-GB"/>
        </w:rPr>
        <w:t>piracy</w:t>
      </w:r>
      <w:proofErr w:type="gramEnd"/>
      <w:r w:rsidRPr="003A0FDC">
        <w:rPr>
          <w:rFonts w:eastAsia="SimSun"/>
          <w:color w:val="000000"/>
          <w:sz w:val="24"/>
          <w:szCs w:val="24"/>
          <w:lang w:val="en-GB" w:eastAsia="en-GB"/>
        </w:rPr>
        <w:t xml:space="preserve"> and copyright considerations. A speaker from one of the regulatory authorities in Africa (PURA from The Gambia) will be representing the continent in that session.</w:t>
      </w:r>
    </w:p>
    <w:p w14:paraId="078657A4" w14:textId="77777777" w:rsidR="003A0FDC" w:rsidRDefault="003A0FDC" w:rsidP="003A0FDC">
      <w:pPr>
        <w:rPr>
          <w:lang w:val="en-GB" w:eastAsia="en-US"/>
        </w:rPr>
      </w:pPr>
    </w:p>
    <w:p w14:paraId="7F39B3F3" w14:textId="7976254D" w:rsidR="00F533BC" w:rsidRPr="00C44C87" w:rsidRDefault="00F533BC" w:rsidP="002D2EB7">
      <w:pPr>
        <w:spacing w:before="120" w:line="259" w:lineRule="auto"/>
        <w:rPr>
          <w:bCs/>
          <w:sz w:val="24"/>
          <w:szCs w:val="24"/>
          <w:lang w:val="en-GB"/>
        </w:rPr>
      </w:pPr>
      <w:r w:rsidRPr="00C44C87">
        <w:rPr>
          <w:b/>
          <w:sz w:val="24"/>
          <w:szCs w:val="24"/>
          <w:highlight w:val="cyan"/>
          <w:lang w:val="en-GB"/>
        </w:rPr>
        <w:br w:type="page"/>
      </w:r>
    </w:p>
    <w:p w14:paraId="2BC53C8F" w14:textId="3B38C274" w:rsidR="00F533BC" w:rsidRPr="00C44C87" w:rsidRDefault="00F533BC" w:rsidP="002D2EB7">
      <w:pPr>
        <w:pStyle w:val="Headingb"/>
        <w:rPr>
          <w:szCs w:val="24"/>
        </w:rPr>
      </w:pPr>
      <w:r w:rsidRPr="00C44C87">
        <w:rPr>
          <w:szCs w:val="24"/>
        </w:rPr>
        <w:lastRenderedPageBreak/>
        <w:t>5</w:t>
      </w:r>
      <w:r w:rsidRPr="00C44C87">
        <w:rPr>
          <w:szCs w:val="24"/>
        </w:rPr>
        <w:tab/>
        <w:t xml:space="preserve">Americas – Regional Office for the Americas  </w:t>
      </w:r>
    </w:p>
    <w:p w14:paraId="6D140541" w14:textId="77777777" w:rsidR="00421013" w:rsidRDefault="00421013" w:rsidP="00F533BC">
      <w:pPr>
        <w:rPr>
          <w:sz w:val="24"/>
          <w:szCs w:val="24"/>
          <w:highlight w:val="yellow"/>
          <w:lang w:val="en-GB"/>
        </w:rPr>
      </w:pPr>
    </w:p>
    <w:p w14:paraId="1FE772AE" w14:textId="77777777" w:rsidR="00421013" w:rsidRPr="004D765F" w:rsidRDefault="00421013" w:rsidP="00421013">
      <w:pPr>
        <w:spacing w:before="240"/>
        <w:jc w:val="both"/>
        <w:rPr>
          <w:rFonts w:eastAsia="SimSun"/>
          <w:color w:val="000000"/>
          <w:sz w:val="24"/>
          <w:szCs w:val="24"/>
          <w:lang w:val="en-GB" w:eastAsia="en-GB"/>
        </w:rPr>
      </w:pPr>
      <w:r w:rsidRPr="004D765F">
        <w:rPr>
          <w:rFonts w:eastAsia="SimSun"/>
          <w:color w:val="000000"/>
          <w:sz w:val="24"/>
          <w:szCs w:val="24"/>
          <w:lang w:val="en-GB" w:eastAsia="en-GB"/>
        </w:rPr>
        <w:t>The ITU Regional Office for the Americas and its Area Offices, in Chile (South America), Honduras (Central America) &amp; Barbados (Caribbean), have continued close coordination with TSB on all activities carried out in the Americas region.</w:t>
      </w:r>
    </w:p>
    <w:p w14:paraId="0D27393B" w14:textId="77777777" w:rsidR="00421013" w:rsidRPr="004D765F" w:rsidRDefault="00421013" w:rsidP="00421013">
      <w:pPr>
        <w:spacing w:before="240"/>
        <w:jc w:val="both"/>
        <w:rPr>
          <w:rFonts w:eastAsia="SimSun"/>
          <w:color w:val="000000"/>
          <w:sz w:val="24"/>
          <w:szCs w:val="24"/>
          <w:lang w:val="en-GB" w:eastAsia="en-GB"/>
        </w:rPr>
      </w:pPr>
      <w:r w:rsidRPr="004D765F">
        <w:rPr>
          <w:rFonts w:eastAsia="SimSun"/>
          <w:color w:val="000000"/>
          <w:sz w:val="24"/>
          <w:szCs w:val="24"/>
          <w:lang w:val="en-GB" w:eastAsia="en-GB"/>
        </w:rPr>
        <w:t>Monthly coordination calls with the TSB Director and TSB Management team have been held. They were supplemented by consultations at the operational level, wherever relevant or needed.</w:t>
      </w:r>
    </w:p>
    <w:p w14:paraId="34CB52DE" w14:textId="77777777" w:rsidR="00421013" w:rsidRPr="004D765F" w:rsidRDefault="00421013" w:rsidP="00421013">
      <w:pPr>
        <w:spacing w:before="240"/>
        <w:jc w:val="both"/>
        <w:rPr>
          <w:rFonts w:eastAsia="SimSun"/>
          <w:color w:val="000000"/>
          <w:sz w:val="24"/>
          <w:szCs w:val="24"/>
          <w:lang w:val="en-GB" w:eastAsia="en-GB"/>
        </w:rPr>
      </w:pPr>
      <w:r w:rsidRPr="004D765F">
        <w:rPr>
          <w:rFonts w:eastAsia="SimSun"/>
          <w:color w:val="000000"/>
          <w:sz w:val="24"/>
          <w:szCs w:val="24"/>
          <w:lang w:val="en-GB" w:eastAsia="en-GB"/>
        </w:rPr>
        <w:t>The following activities are planned or have already been implemented by the ITU Office for the Americas in collaboration with TSB:</w:t>
      </w:r>
    </w:p>
    <w:p w14:paraId="7736DE98" w14:textId="77777777" w:rsidR="00421013" w:rsidRPr="004D765F" w:rsidRDefault="00421013" w:rsidP="00421013">
      <w:pPr>
        <w:spacing w:before="240"/>
        <w:jc w:val="both"/>
        <w:rPr>
          <w:rFonts w:eastAsia="SimSun"/>
          <w:b/>
          <w:bCs/>
          <w:color w:val="000000"/>
          <w:sz w:val="24"/>
          <w:szCs w:val="24"/>
          <w:lang w:val="en-GB" w:eastAsia="en-GB"/>
        </w:rPr>
      </w:pPr>
      <w:r w:rsidRPr="004D765F">
        <w:rPr>
          <w:rFonts w:eastAsia="SimSun"/>
          <w:b/>
          <w:bCs/>
          <w:color w:val="000000"/>
          <w:sz w:val="24"/>
          <w:szCs w:val="24"/>
          <w:lang w:val="en-GB" w:eastAsia="en-GB"/>
        </w:rPr>
        <w:t>Coordination meeting with subregional telecom organizations</w:t>
      </w:r>
    </w:p>
    <w:p w14:paraId="0F066628" w14:textId="77777777" w:rsidR="00421013" w:rsidRDefault="00421013" w:rsidP="00421013">
      <w:pPr>
        <w:numPr>
          <w:ilvl w:val="0"/>
          <w:numId w:val="2"/>
        </w:numPr>
        <w:spacing w:before="120"/>
        <w:contextualSpacing/>
        <w:jc w:val="both"/>
        <w:rPr>
          <w:rFonts w:eastAsia="SimSun"/>
          <w:sz w:val="24"/>
          <w:szCs w:val="24"/>
          <w:lang w:val="en-GB" w:eastAsia="ja-JP"/>
        </w:rPr>
      </w:pPr>
      <w:r w:rsidRPr="004D765F">
        <w:rPr>
          <w:rFonts w:eastAsia="SimSun"/>
          <w:sz w:val="24"/>
          <w:szCs w:val="24"/>
          <w:lang w:val="en-GB" w:eastAsia="ja-JP"/>
        </w:rPr>
        <w:t xml:space="preserve">COMTELCA: July 2022; Telecom authorities of Mexico, Guatemala, El Salvador, Honduras, Nicaragua, Costa Rica, Panama, and Dominican Republic to exchange views on the ways to strengthening the relationship between </w:t>
      </w:r>
      <w:r>
        <w:rPr>
          <w:rFonts w:eastAsia="SimSun"/>
          <w:sz w:val="24"/>
          <w:szCs w:val="24"/>
          <w:lang w:val="en-GB" w:eastAsia="ja-JP"/>
        </w:rPr>
        <w:t>TSB</w:t>
      </w:r>
      <w:r w:rsidRPr="004D765F">
        <w:rPr>
          <w:rFonts w:eastAsia="SimSun"/>
          <w:sz w:val="24"/>
          <w:szCs w:val="24"/>
          <w:lang w:val="en-GB" w:eastAsia="ja-JP"/>
        </w:rPr>
        <w:t xml:space="preserve"> and COMTELCA and bilaterally between </w:t>
      </w:r>
      <w:r>
        <w:rPr>
          <w:rFonts w:eastAsia="SimSun"/>
          <w:sz w:val="24"/>
          <w:szCs w:val="24"/>
          <w:lang w:val="en-GB" w:eastAsia="ja-JP"/>
        </w:rPr>
        <w:t>TSB</w:t>
      </w:r>
      <w:r w:rsidRPr="004D765F">
        <w:rPr>
          <w:rFonts w:eastAsia="SimSun"/>
          <w:sz w:val="24"/>
          <w:szCs w:val="24"/>
          <w:lang w:val="en-GB" w:eastAsia="ja-JP"/>
        </w:rPr>
        <w:t xml:space="preserve"> and each country of the listed above.</w:t>
      </w:r>
    </w:p>
    <w:p w14:paraId="0389C69B" w14:textId="77777777" w:rsidR="00421013" w:rsidRPr="00EE58DB" w:rsidRDefault="00421013" w:rsidP="00421013">
      <w:pPr>
        <w:numPr>
          <w:ilvl w:val="0"/>
          <w:numId w:val="2"/>
        </w:numPr>
        <w:spacing w:before="120"/>
        <w:contextualSpacing/>
        <w:jc w:val="both"/>
        <w:rPr>
          <w:rFonts w:eastAsia="SimSun"/>
          <w:sz w:val="24"/>
          <w:szCs w:val="24"/>
          <w:lang w:val="en-GB" w:eastAsia="ja-JP"/>
        </w:rPr>
      </w:pPr>
      <w:r>
        <w:rPr>
          <w:rFonts w:eastAsia="SimSun"/>
          <w:sz w:val="24"/>
          <w:szCs w:val="24"/>
          <w:lang w:val="en-GB" w:eastAsia="ja-JP"/>
        </w:rPr>
        <w:t>ITU field offices</w:t>
      </w:r>
      <w:r w:rsidRPr="00EE58DB">
        <w:rPr>
          <w:rFonts w:eastAsia="SimSun"/>
          <w:sz w:val="24"/>
          <w:szCs w:val="24"/>
          <w:lang w:val="en-GB" w:eastAsia="ja-JP"/>
        </w:rPr>
        <w:t xml:space="preserve"> </w:t>
      </w:r>
      <w:r>
        <w:rPr>
          <w:rFonts w:eastAsia="SimSun"/>
          <w:sz w:val="24"/>
          <w:szCs w:val="24"/>
          <w:lang w:val="en-GB" w:eastAsia="ja-JP"/>
        </w:rPr>
        <w:t xml:space="preserve">in the Americas </w:t>
      </w:r>
      <w:r w:rsidRPr="00EE58DB">
        <w:rPr>
          <w:rFonts w:eastAsia="SimSun"/>
          <w:sz w:val="24"/>
          <w:szCs w:val="24"/>
          <w:lang w:val="en-GB" w:eastAsia="ja-JP"/>
        </w:rPr>
        <w:t xml:space="preserve">continue to coordinate outreach, promotion, and support activities for the three ITU sectors, including the TSB in alliance with </w:t>
      </w:r>
      <w:r>
        <w:rPr>
          <w:rFonts w:eastAsia="SimSun"/>
          <w:sz w:val="24"/>
          <w:szCs w:val="24"/>
          <w:lang w:val="en-GB" w:eastAsia="ja-JP"/>
        </w:rPr>
        <w:t xml:space="preserve">regional and subregional organizations, like CITEL, </w:t>
      </w:r>
      <w:r w:rsidRPr="00EE58DB">
        <w:rPr>
          <w:rFonts w:eastAsia="SimSun"/>
          <w:sz w:val="24"/>
          <w:szCs w:val="24"/>
          <w:lang w:val="en-GB" w:eastAsia="ja-JP"/>
        </w:rPr>
        <w:t>COMTELCA</w:t>
      </w:r>
      <w:r>
        <w:rPr>
          <w:rFonts w:eastAsia="SimSun"/>
          <w:sz w:val="24"/>
          <w:szCs w:val="24"/>
          <w:lang w:val="en-GB" w:eastAsia="ja-JP"/>
        </w:rPr>
        <w:t xml:space="preserve"> and CTU</w:t>
      </w:r>
      <w:r w:rsidRPr="00EE58DB">
        <w:rPr>
          <w:rFonts w:eastAsia="SimSun"/>
          <w:sz w:val="24"/>
          <w:szCs w:val="24"/>
          <w:lang w:val="en-GB" w:eastAsia="ja-JP"/>
        </w:rPr>
        <w:t>.</w:t>
      </w:r>
    </w:p>
    <w:p w14:paraId="5794D304" w14:textId="77777777" w:rsidR="00421013" w:rsidRDefault="00421013" w:rsidP="00421013">
      <w:pPr>
        <w:numPr>
          <w:ilvl w:val="0"/>
          <w:numId w:val="2"/>
        </w:numPr>
        <w:spacing w:before="120"/>
        <w:contextualSpacing/>
        <w:jc w:val="both"/>
        <w:rPr>
          <w:rFonts w:eastAsia="SimSun"/>
          <w:sz w:val="24"/>
          <w:szCs w:val="24"/>
          <w:lang w:val="en-GB" w:eastAsia="ja-JP"/>
        </w:rPr>
      </w:pPr>
      <w:r w:rsidRPr="00EE58DB">
        <w:rPr>
          <w:rFonts w:eastAsia="SimSun"/>
          <w:sz w:val="24"/>
          <w:szCs w:val="24"/>
          <w:lang w:val="en-GB" w:eastAsia="ja-JP"/>
        </w:rPr>
        <w:t>The Regional Office of the Americas has carried out permanent monitoring and supported the coordination</w:t>
      </w:r>
      <w:r>
        <w:rPr>
          <w:rFonts w:eastAsia="SimSun"/>
          <w:sz w:val="24"/>
          <w:szCs w:val="24"/>
          <w:lang w:val="en-GB" w:eastAsia="ja-JP"/>
        </w:rPr>
        <w:t>, started in 2022, for</w:t>
      </w:r>
      <w:r w:rsidRPr="00EE58DB">
        <w:rPr>
          <w:rFonts w:eastAsia="SimSun"/>
          <w:sz w:val="24"/>
          <w:szCs w:val="24"/>
          <w:lang w:val="en-GB" w:eastAsia="ja-JP"/>
        </w:rPr>
        <w:t xml:space="preserve"> the meeting of Study Group 9 in the city of Bogotá Colombia at the end of 2023 and the organization on the same date of the seminar on the future of television for the Americas</w:t>
      </w:r>
      <w:r>
        <w:rPr>
          <w:rFonts w:eastAsia="SimSun"/>
          <w:sz w:val="24"/>
          <w:szCs w:val="24"/>
          <w:lang w:val="en-GB" w:eastAsia="ja-JP"/>
        </w:rPr>
        <w:t>. Also, there are ongoing efforts to host a Week of Innovation and Deployment of New Technologies, including ITU-T Study Group 20.</w:t>
      </w:r>
    </w:p>
    <w:p w14:paraId="03702ED4" w14:textId="77777777" w:rsidR="00421013" w:rsidRPr="00A805FD" w:rsidRDefault="00421013" w:rsidP="00421013">
      <w:pPr>
        <w:numPr>
          <w:ilvl w:val="0"/>
          <w:numId w:val="2"/>
        </w:numPr>
        <w:spacing w:before="120"/>
        <w:contextualSpacing/>
        <w:jc w:val="both"/>
        <w:rPr>
          <w:rFonts w:eastAsia="SimSun"/>
          <w:sz w:val="24"/>
          <w:szCs w:val="24"/>
          <w:lang w:val="en-GB" w:eastAsia="ja-JP"/>
        </w:rPr>
      </w:pPr>
      <w:r w:rsidRPr="00A805FD">
        <w:rPr>
          <w:rFonts w:eastAsia="SimSun"/>
          <w:sz w:val="24"/>
          <w:szCs w:val="24"/>
          <w:lang w:val="en-GB" w:eastAsia="ja-JP"/>
        </w:rPr>
        <w:t>The Regional Office has been supporting the implementation of the TSB Digital Financial Services (DFS) Security in the countries of the Americas, mainly in Mexico, Brazil, Peru, and Guatemala.  Also, Dominican Republic expressed their interest to implement the ITU Digital Financial Services Security.</w:t>
      </w:r>
    </w:p>
    <w:p w14:paraId="01C11D7D" w14:textId="77777777" w:rsidR="00421013" w:rsidRPr="004D765F" w:rsidRDefault="00421013" w:rsidP="00421013">
      <w:pPr>
        <w:numPr>
          <w:ilvl w:val="0"/>
          <w:numId w:val="2"/>
        </w:numPr>
        <w:spacing w:before="120"/>
        <w:contextualSpacing/>
        <w:jc w:val="both"/>
        <w:rPr>
          <w:rFonts w:eastAsia="SimSun"/>
          <w:sz w:val="24"/>
          <w:szCs w:val="24"/>
          <w:lang w:val="en-GB" w:eastAsia="ja-JP"/>
        </w:rPr>
      </w:pPr>
      <w:r w:rsidRPr="004D765F">
        <w:rPr>
          <w:rFonts w:eastAsia="SimSun"/>
          <w:sz w:val="24"/>
          <w:szCs w:val="24"/>
          <w:lang w:val="en-GB" w:eastAsia="ja-JP"/>
        </w:rPr>
        <w:t xml:space="preserve">WTSA: Communications between CITEL and the TSB were managed by the </w:t>
      </w:r>
      <w:r>
        <w:rPr>
          <w:rFonts w:eastAsia="SimSun"/>
          <w:sz w:val="24"/>
          <w:szCs w:val="24"/>
          <w:lang w:val="en-GB" w:eastAsia="ja-JP"/>
        </w:rPr>
        <w:t xml:space="preserve">Americas Regional Director </w:t>
      </w:r>
      <w:r w:rsidRPr="004D765F">
        <w:rPr>
          <w:rFonts w:eastAsia="SimSun"/>
          <w:sz w:val="24"/>
          <w:szCs w:val="24"/>
          <w:lang w:val="en-GB" w:eastAsia="ja-JP"/>
        </w:rPr>
        <w:t>during WTSA</w:t>
      </w:r>
      <w:r>
        <w:rPr>
          <w:rFonts w:eastAsia="SimSun"/>
          <w:sz w:val="24"/>
          <w:szCs w:val="24"/>
          <w:lang w:val="en-GB" w:eastAsia="ja-JP"/>
        </w:rPr>
        <w:t xml:space="preserve"> 2022</w:t>
      </w:r>
      <w:r w:rsidRPr="004D765F">
        <w:rPr>
          <w:rFonts w:eastAsia="SimSun"/>
          <w:sz w:val="24"/>
          <w:szCs w:val="24"/>
          <w:lang w:val="en-GB" w:eastAsia="ja-JP"/>
        </w:rPr>
        <w:t>. CITEL meetings were attended, and relevant information was passed to WTSA Coordination meetings. Bilateral meetings between the TSB Director and delegations from the region were coordinated and informed.</w:t>
      </w:r>
    </w:p>
    <w:p w14:paraId="6894E6CD" w14:textId="77777777" w:rsidR="00421013" w:rsidRPr="004D765F" w:rsidRDefault="00421013" w:rsidP="00421013">
      <w:pPr>
        <w:spacing w:before="240"/>
        <w:jc w:val="both"/>
        <w:rPr>
          <w:rFonts w:eastAsia="SimSun"/>
          <w:b/>
          <w:bCs/>
          <w:color w:val="000000"/>
          <w:sz w:val="24"/>
          <w:szCs w:val="24"/>
          <w:lang w:val="en-GB" w:eastAsia="en-GB"/>
        </w:rPr>
      </w:pPr>
      <w:r w:rsidRPr="004D765F">
        <w:rPr>
          <w:rFonts w:eastAsia="SimSun"/>
          <w:b/>
          <w:bCs/>
          <w:color w:val="000000"/>
          <w:sz w:val="24"/>
          <w:szCs w:val="24"/>
          <w:lang w:val="en-GB" w:eastAsia="en-GB"/>
        </w:rPr>
        <w:t>Accessibility</w:t>
      </w:r>
    </w:p>
    <w:p w14:paraId="33672EA0" w14:textId="77777777" w:rsidR="00421013" w:rsidRPr="004D765F" w:rsidRDefault="00421013" w:rsidP="00421013">
      <w:pPr>
        <w:numPr>
          <w:ilvl w:val="0"/>
          <w:numId w:val="2"/>
        </w:numPr>
        <w:spacing w:before="120"/>
        <w:contextualSpacing/>
        <w:jc w:val="both"/>
        <w:rPr>
          <w:rFonts w:eastAsia="SimSun"/>
          <w:sz w:val="24"/>
          <w:szCs w:val="24"/>
          <w:lang w:val="en-GB" w:eastAsia="ja-JP"/>
        </w:rPr>
      </w:pPr>
      <w:r w:rsidRPr="004D765F">
        <w:rPr>
          <w:rFonts w:eastAsia="SimSun"/>
          <w:sz w:val="24"/>
          <w:szCs w:val="24"/>
          <w:lang w:val="en-GB" w:eastAsia="ja-JP"/>
        </w:rPr>
        <w:t>The regional event “Accessible Americas: ICTs for ALL” takes place every year in November and represents a knowledge sharing platform on the development of ICT accessibility in benefit of countries and institutions and provides good practices in digital inclusion. TSB supported the event by providing expertise to the event particularly in the field of Accessibility standards for products and services”.</w:t>
      </w:r>
    </w:p>
    <w:p w14:paraId="18748D0A" w14:textId="77777777" w:rsidR="00421013" w:rsidRPr="004D765F" w:rsidRDefault="00421013" w:rsidP="00421013">
      <w:pPr>
        <w:numPr>
          <w:ilvl w:val="0"/>
          <w:numId w:val="2"/>
        </w:numPr>
        <w:spacing w:before="120"/>
        <w:contextualSpacing/>
        <w:jc w:val="both"/>
        <w:rPr>
          <w:rFonts w:eastAsia="SimSun"/>
          <w:sz w:val="24"/>
          <w:szCs w:val="24"/>
          <w:lang w:val="en-GB" w:eastAsia="ja-JP"/>
        </w:rPr>
      </w:pPr>
      <w:r w:rsidRPr="004D765F">
        <w:rPr>
          <w:rFonts w:eastAsia="SimSun"/>
          <w:sz w:val="24"/>
          <w:szCs w:val="24"/>
          <w:lang w:val="en-GB" w:eastAsia="ja-JP"/>
        </w:rPr>
        <w:t>In 2022 “Accessible Americas: ICT for ALL” was carried out in Brasilia, Brazil, from 16 November to 18 November 2022, as a presential event.</w:t>
      </w:r>
    </w:p>
    <w:p w14:paraId="4A53751A" w14:textId="77777777" w:rsidR="00421013" w:rsidRPr="003039DB" w:rsidRDefault="00421013" w:rsidP="00421013">
      <w:pPr>
        <w:spacing w:before="240"/>
        <w:jc w:val="both"/>
        <w:rPr>
          <w:rFonts w:eastAsia="SimSun"/>
          <w:b/>
          <w:bCs/>
          <w:color w:val="000000"/>
          <w:sz w:val="24"/>
          <w:szCs w:val="24"/>
          <w:lang w:val="en-GB" w:eastAsia="en-GB"/>
        </w:rPr>
      </w:pPr>
      <w:r w:rsidRPr="003039DB">
        <w:rPr>
          <w:rFonts w:eastAsia="SimSun"/>
          <w:b/>
          <w:bCs/>
          <w:color w:val="000000"/>
          <w:sz w:val="24"/>
          <w:szCs w:val="24"/>
          <w:lang w:val="en-GB" w:eastAsia="en-GB"/>
        </w:rPr>
        <w:t>Rural Connectivity</w:t>
      </w:r>
    </w:p>
    <w:p w14:paraId="7EC03052" w14:textId="77777777" w:rsidR="00421013" w:rsidRPr="007A6937" w:rsidRDefault="00421013" w:rsidP="00421013">
      <w:pPr>
        <w:numPr>
          <w:ilvl w:val="0"/>
          <w:numId w:val="2"/>
        </w:numPr>
        <w:spacing w:before="120"/>
        <w:contextualSpacing/>
        <w:jc w:val="both"/>
        <w:rPr>
          <w:sz w:val="24"/>
          <w:szCs w:val="24"/>
          <w:lang w:val="en-GB"/>
        </w:rPr>
      </w:pPr>
      <w:r w:rsidRPr="003039DB">
        <w:rPr>
          <w:rFonts w:eastAsia="SimSun"/>
          <w:sz w:val="24"/>
          <w:szCs w:val="24"/>
          <w:lang w:val="en-GB" w:eastAsia="ja-JP"/>
        </w:rPr>
        <w:t>A presentation on Rural Connectivity, Smart Cities and Smart Villages was given to Universidad Nacional del Altiplano, Peru, in the framework of a Symposium, October 27 and 28, 2022.</w:t>
      </w:r>
    </w:p>
    <w:p w14:paraId="2E0ABDBD" w14:textId="77777777" w:rsidR="00421013" w:rsidRPr="007A6937" w:rsidRDefault="00421013" w:rsidP="00421013">
      <w:pPr>
        <w:numPr>
          <w:ilvl w:val="0"/>
          <w:numId w:val="2"/>
        </w:numPr>
        <w:spacing w:before="120"/>
        <w:contextualSpacing/>
        <w:jc w:val="both"/>
        <w:rPr>
          <w:rFonts w:eastAsia="SimSun"/>
          <w:sz w:val="24"/>
          <w:szCs w:val="24"/>
          <w:lang w:val="en-GB" w:eastAsia="ja-JP"/>
        </w:rPr>
      </w:pPr>
      <w:r w:rsidRPr="007A6937">
        <w:rPr>
          <w:rFonts w:eastAsia="SimSun"/>
          <w:b/>
          <w:bCs/>
          <w:sz w:val="24"/>
          <w:szCs w:val="24"/>
          <w:lang w:val="en-GB" w:eastAsia="ja-JP"/>
        </w:rPr>
        <w:t>Youth Digital Inclusion.</w:t>
      </w:r>
      <w:r w:rsidRPr="007A6937">
        <w:rPr>
          <w:rFonts w:eastAsia="SimSun"/>
          <w:sz w:val="24"/>
          <w:szCs w:val="24"/>
          <w:lang w:val="en-GB" w:eastAsia="ja-JP"/>
        </w:rPr>
        <w:t xml:space="preserve"> Signed December 2021, in 2022 the ITU together with its partner “Fundación Gran Chaco” (FGC) began implementing the project entitled “Youth Digital Inclusion” to promote ICT capacity development activities in benefit of youth from the Gran Chaco region, a remote territory in Argentina, Bolivia and Paraguay, home to vulnerable rural </w:t>
      </w:r>
      <w:r w:rsidRPr="007A6937">
        <w:rPr>
          <w:rFonts w:eastAsia="SimSun"/>
          <w:sz w:val="24"/>
          <w:szCs w:val="24"/>
          <w:lang w:val="en-GB" w:eastAsia="ja-JP"/>
        </w:rPr>
        <w:lastRenderedPageBreak/>
        <w:t>and indigenous communities, as well as to support these countries with the development of national strategies to build an enabling environment for youth innovation and entrepreneurship. In doing so, the project will use diverse outcomes from ITU-T Study Group 20.</w:t>
      </w:r>
    </w:p>
    <w:p w14:paraId="48B1174F" w14:textId="3C7845A1" w:rsidR="00F533BC" w:rsidRPr="00C44C87" w:rsidRDefault="00F533BC" w:rsidP="00F533BC">
      <w:pPr>
        <w:rPr>
          <w:sz w:val="24"/>
          <w:szCs w:val="24"/>
          <w:highlight w:val="yellow"/>
          <w:lang w:val="en-GB" w:eastAsia="en-US"/>
        </w:rPr>
      </w:pPr>
      <w:r w:rsidRPr="00C44C87">
        <w:rPr>
          <w:sz w:val="24"/>
          <w:szCs w:val="24"/>
          <w:highlight w:val="yellow"/>
          <w:lang w:val="en-GB"/>
        </w:rPr>
        <w:br w:type="page"/>
      </w:r>
    </w:p>
    <w:p w14:paraId="4D4E297F" w14:textId="77777777" w:rsidR="00FC4590" w:rsidRDefault="00F533BC" w:rsidP="00405FF0">
      <w:pPr>
        <w:pStyle w:val="Heading4"/>
        <w:ind w:left="709" w:hanging="709"/>
        <w:rPr>
          <w:sz w:val="24"/>
          <w:szCs w:val="24"/>
          <w:lang w:val="en-GB"/>
        </w:rPr>
      </w:pPr>
      <w:r w:rsidRPr="00C44C87">
        <w:rPr>
          <w:sz w:val="24"/>
          <w:szCs w:val="24"/>
          <w:lang w:val="en-GB"/>
        </w:rPr>
        <w:lastRenderedPageBreak/>
        <w:t>6</w:t>
      </w:r>
      <w:r w:rsidRPr="00C44C87">
        <w:rPr>
          <w:sz w:val="24"/>
          <w:szCs w:val="24"/>
          <w:lang w:val="en-GB"/>
        </w:rPr>
        <w:tab/>
        <w:t>Arab States - Regional Office for the Arab States</w:t>
      </w:r>
    </w:p>
    <w:p w14:paraId="72FB10CB" w14:textId="77777777" w:rsidR="00AE3C4D" w:rsidRPr="00845CD4" w:rsidRDefault="00AE3C4D" w:rsidP="00AE3C4D">
      <w:pPr>
        <w:spacing w:before="240"/>
        <w:jc w:val="both"/>
        <w:rPr>
          <w:rFonts w:eastAsia="SimSun"/>
          <w:sz w:val="24"/>
          <w:szCs w:val="24"/>
          <w:lang w:val="en-GB" w:eastAsia="ja-JP"/>
        </w:rPr>
      </w:pPr>
      <w:r w:rsidRPr="00845CD4">
        <w:rPr>
          <w:rFonts w:eastAsia="SimSun"/>
          <w:sz w:val="24"/>
          <w:szCs w:val="24"/>
          <w:lang w:val="en-GB" w:eastAsia="ja-JP"/>
        </w:rPr>
        <w:t>The ITU Regional Office for the Arab have continued close coordination with TSB on all activities carried out in the Arab region.</w:t>
      </w:r>
    </w:p>
    <w:p w14:paraId="24C03C8D" w14:textId="77777777" w:rsidR="00AE3C4D" w:rsidRPr="00845CD4" w:rsidRDefault="00AE3C4D" w:rsidP="00AE3C4D">
      <w:pPr>
        <w:spacing w:before="240"/>
        <w:jc w:val="both"/>
        <w:rPr>
          <w:rFonts w:eastAsia="SimSun"/>
          <w:sz w:val="24"/>
          <w:szCs w:val="24"/>
          <w:lang w:val="en-GB" w:eastAsia="ja-JP"/>
        </w:rPr>
      </w:pPr>
      <w:r w:rsidRPr="00845CD4">
        <w:rPr>
          <w:rFonts w:eastAsia="SimSun"/>
          <w:sz w:val="24"/>
          <w:szCs w:val="24"/>
          <w:lang w:val="en-GB" w:eastAsia="ja-JP"/>
        </w:rPr>
        <w:t>Monthly coordination calls with the TSB Director and TSB Management team have been held. They were supplemented by consultations at the operational level, wherever relevant or needed.</w:t>
      </w:r>
    </w:p>
    <w:p w14:paraId="7DDFA9FC" w14:textId="77777777" w:rsidR="00AE3C4D" w:rsidRPr="00845CD4" w:rsidRDefault="00AE3C4D" w:rsidP="00AE3C4D">
      <w:pPr>
        <w:spacing w:before="240"/>
        <w:jc w:val="both"/>
        <w:rPr>
          <w:rFonts w:eastAsia="SimSun"/>
          <w:sz w:val="24"/>
          <w:szCs w:val="24"/>
          <w:lang w:val="en-GB" w:eastAsia="ja-JP"/>
        </w:rPr>
      </w:pPr>
      <w:r w:rsidRPr="00845CD4">
        <w:rPr>
          <w:rFonts w:eastAsia="SimSun"/>
          <w:sz w:val="24"/>
          <w:szCs w:val="24"/>
          <w:lang w:val="en-GB" w:eastAsia="ja-JP"/>
        </w:rPr>
        <w:t>ITU Arab regional office have regular coordination with Arab League of Arab States’s Standardization Team (AST) and TSB for WTSA-20 preparations. In this regard, the following meetings have been coordinated by ITU Arab regional office in collaboration with TSB:</w:t>
      </w:r>
    </w:p>
    <w:p w14:paraId="088934AB" w14:textId="77777777" w:rsidR="00AE3C4D" w:rsidRPr="00845CD4" w:rsidRDefault="00AE3C4D" w:rsidP="00AE3C4D">
      <w:pPr>
        <w:pStyle w:val="ListParagraph"/>
        <w:numPr>
          <w:ilvl w:val="0"/>
          <w:numId w:val="4"/>
        </w:numPr>
        <w:spacing w:before="240"/>
        <w:jc w:val="both"/>
        <w:rPr>
          <w:rFonts w:eastAsia="SimSun"/>
          <w:sz w:val="24"/>
          <w:szCs w:val="24"/>
          <w:lang w:val="en-GB" w:eastAsia="ja-JP"/>
        </w:rPr>
      </w:pPr>
      <w:r w:rsidRPr="00845CD4">
        <w:rPr>
          <w:rFonts w:eastAsia="SimSun"/>
          <w:sz w:val="24"/>
          <w:szCs w:val="24"/>
          <w:lang w:val="en-GB" w:eastAsia="ja-JP"/>
        </w:rPr>
        <w:t>The 15th of Arab Standardization Team (AST) meeting for Preparation of WTSA-20, 15-16 April 2020</w:t>
      </w:r>
    </w:p>
    <w:p w14:paraId="12B62B03" w14:textId="77777777" w:rsidR="00AE3C4D" w:rsidRPr="00845CD4" w:rsidRDefault="00AE3C4D" w:rsidP="00AE3C4D">
      <w:pPr>
        <w:pStyle w:val="ListParagraph"/>
        <w:numPr>
          <w:ilvl w:val="0"/>
          <w:numId w:val="4"/>
        </w:numPr>
        <w:spacing w:before="240"/>
        <w:jc w:val="both"/>
        <w:rPr>
          <w:rFonts w:eastAsia="SimSun"/>
          <w:sz w:val="24"/>
          <w:szCs w:val="24"/>
          <w:lang w:val="en-GB" w:eastAsia="ja-JP"/>
        </w:rPr>
      </w:pPr>
      <w:r w:rsidRPr="00845CD4">
        <w:rPr>
          <w:rFonts w:eastAsia="SimSun"/>
          <w:sz w:val="24"/>
          <w:szCs w:val="24"/>
          <w:lang w:val="en-GB" w:eastAsia="ja-JP"/>
        </w:rPr>
        <w:t>Arab Standardization Team (AST) working groups meetings, April- Sept 2020</w:t>
      </w:r>
    </w:p>
    <w:p w14:paraId="719CCFFA" w14:textId="77777777" w:rsidR="00AE3C4D" w:rsidRPr="00845CD4" w:rsidRDefault="00AE3C4D" w:rsidP="00AE3C4D">
      <w:pPr>
        <w:pStyle w:val="ListParagraph"/>
        <w:numPr>
          <w:ilvl w:val="0"/>
          <w:numId w:val="4"/>
        </w:numPr>
        <w:spacing w:before="240"/>
        <w:jc w:val="both"/>
        <w:rPr>
          <w:rFonts w:eastAsia="SimSun"/>
          <w:sz w:val="24"/>
          <w:szCs w:val="24"/>
          <w:lang w:val="en-GB" w:eastAsia="ja-JP"/>
        </w:rPr>
      </w:pPr>
      <w:r w:rsidRPr="00845CD4">
        <w:rPr>
          <w:rFonts w:eastAsia="SimSun"/>
          <w:sz w:val="24"/>
          <w:szCs w:val="24"/>
          <w:lang w:val="en-GB" w:eastAsia="ja-JP"/>
        </w:rPr>
        <w:t>Arab Standardization Team (AST) participation in the Interregional Meeting for Preparation of WTSA-20, 18 September 2020</w:t>
      </w:r>
    </w:p>
    <w:p w14:paraId="27E3AB60" w14:textId="77777777" w:rsidR="00AE3C4D" w:rsidRPr="00845CD4" w:rsidRDefault="00AE3C4D" w:rsidP="00AE3C4D">
      <w:pPr>
        <w:pStyle w:val="ListParagraph"/>
        <w:numPr>
          <w:ilvl w:val="0"/>
          <w:numId w:val="4"/>
        </w:numPr>
        <w:spacing w:before="240"/>
        <w:jc w:val="both"/>
        <w:rPr>
          <w:rFonts w:eastAsia="SimSun"/>
          <w:sz w:val="24"/>
          <w:szCs w:val="24"/>
          <w:lang w:val="en-GB" w:eastAsia="ja-JP"/>
        </w:rPr>
      </w:pPr>
      <w:r w:rsidRPr="00845CD4">
        <w:rPr>
          <w:rFonts w:eastAsia="SimSun"/>
          <w:sz w:val="24"/>
          <w:szCs w:val="24"/>
          <w:lang w:val="en-GB" w:eastAsia="ja-JP"/>
        </w:rPr>
        <w:t xml:space="preserve">The 16th of Arab Standardization Team (AST) meeting for Preparation of WTSA-20, 2 Sept 2021  </w:t>
      </w:r>
    </w:p>
    <w:p w14:paraId="64323799" w14:textId="77777777" w:rsidR="00AE3C4D" w:rsidRPr="00845CD4" w:rsidRDefault="00AE3C4D" w:rsidP="00AE3C4D">
      <w:pPr>
        <w:spacing w:before="240"/>
        <w:rPr>
          <w:rFonts w:eastAsia="SimSun"/>
          <w:sz w:val="24"/>
          <w:szCs w:val="24"/>
          <w:lang w:val="en-GB" w:eastAsia="ja-JP"/>
        </w:rPr>
      </w:pPr>
      <w:r w:rsidRPr="00845CD4">
        <w:rPr>
          <w:rFonts w:eastAsia="SimSun"/>
          <w:sz w:val="24"/>
          <w:szCs w:val="24"/>
          <w:lang w:val="en-GB" w:eastAsia="ja-JP"/>
        </w:rPr>
        <w:t>ITU Arab regional office is promoting TSB activities in the Arab Region and on regular basis through all the regional communications channels including but not limited to, the official regional twitter account and regional member states what’s-up group. In addition, the following activities are planned or have already been implemented by the ITU Office for the Arab in collaboration with TSB:</w:t>
      </w:r>
    </w:p>
    <w:p w14:paraId="758BCB7C" w14:textId="77777777" w:rsidR="00AE3C4D" w:rsidRPr="00845CD4" w:rsidRDefault="00AE3C4D" w:rsidP="00AE3C4D">
      <w:pPr>
        <w:pStyle w:val="ListParagraph"/>
        <w:numPr>
          <w:ilvl w:val="0"/>
          <w:numId w:val="4"/>
        </w:numPr>
        <w:spacing w:after="160" w:line="259" w:lineRule="auto"/>
        <w:rPr>
          <w:rFonts w:eastAsia="SimSun"/>
          <w:sz w:val="24"/>
          <w:szCs w:val="24"/>
          <w:lang w:val="en-GB" w:eastAsia="ja-JP"/>
        </w:rPr>
      </w:pPr>
      <w:r w:rsidRPr="00845CD4">
        <w:rPr>
          <w:rFonts w:eastAsia="SimSun"/>
          <w:sz w:val="24"/>
          <w:szCs w:val="24"/>
          <w:lang w:val="en-GB" w:eastAsia="ja-JP"/>
        </w:rPr>
        <w:t>ITU Global Event on Emerging Technology for Connectivity: Accelerating Digital Transformation in LDCs, LLDCs, and SIDS webinar from 5-9 July: Regional Sessions on:</w:t>
      </w:r>
    </w:p>
    <w:p w14:paraId="0F0A4B43" w14:textId="77777777" w:rsidR="00AE3C4D" w:rsidRPr="00845CD4" w:rsidRDefault="00AE3C4D" w:rsidP="00AE3C4D">
      <w:pPr>
        <w:pStyle w:val="ListParagraph"/>
        <w:numPr>
          <w:ilvl w:val="0"/>
          <w:numId w:val="5"/>
        </w:numPr>
        <w:spacing w:after="160" w:line="259" w:lineRule="auto"/>
        <w:rPr>
          <w:rFonts w:eastAsia="SimSun"/>
          <w:sz w:val="24"/>
          <w:szCs w:val="24"/>
          <w:lang w:val="en-GB" w:eastAsia="ja-JP"/>
        </w:rPr>
      </w:pPr>
      <w:r w:rsidRPr="00845CD4">
        <w:rPr>
          <w:rFonts w:eastAsia="SimSun"/>
          <w:sz w:val="24"/>
          <w:szCs w:val="24"/>
          <w:lang w:val="en-GB" w:eastAsia="ja-JP"/>
        </w:rPr>
        <w:t>Blockchain and cybersecurity challenges and opportunities for digital finance</w:t>
      </w:r>
    </w:p>
    <w:p w14:paraId="18F5FC85" w14:textId="77777777" w:rsidR="00AE3C4D" w:rsidRPr="00845CD4" w:rsidRDefault="00AE3C4D" w:rsidP="00AE3C4D">
      <w:pPr>
        <w:pStyle w:val="ListParagraph"/>
        <w:numPr>
          <w:ilvl w:val="0"/>
          <w:numId w:val="5"/>
        </w:numPr>
        <w:spacing w:after="160" w:line="259" w:lineRule="auto"/>
        <w:rPr>
          <w:rFonts w:eastAsia="SimSun"/>
          <w:sz w:val="24"/>
          <w:szCs w:val="24"/>
          <w:lang w:val="en-GB" w:eastAsia="ja-JP"/>
        </w:rPr>
      </w:pPr>
      <w:r w:rsidRPr="00845CD4">
        <w:rPr>
          <w:rFonts w:eastAsia="SimSun"/>
          <w:sz w:val="24"/>
          <w:szCs w:val="24"/>
          <w:lang w:val="en-GB" w:eastAsia="ja-JP"/>
        </w:rPr>
        <w:t>Smart Cities and Communities</w:t>
      </w:r>
    </w:p>
    <w:p w14:paraId="2FE5301E" w14:textId="77777777" w:rsidR="00AE3C4D" w:rsidRPr="00AE3C4D" w:rsidRDefault="00AE3C4D" w:rsidP="00AE3C4D">
      <w:pPr>
        <w:pStyle w:val="ListParagraph"/>
        <w:numPr>
          <w:ilvl w:val="0"/>
          <w:numId w:val="4"/>
        </w:numPr>
        <w:spacing w:after="160" w:line="259" w:lineRule="auto"/>
        <w:rPr>
          <w:rFonts w:eastAsia="SimSun"/>
          <w:sz w:val="24"/>
          <w:szCs w:val="24"/>
          <w:lang w:val="es-ES" w:eastAsia="ja-JP"/>
        </w:rPr>
      </w:pPr>
      <w:r w:rsidRPr="00AE3C4D">
        <w:rPr>
          <w:rFonts w:eastAsia="SimSun"/>
          <w:sz w:val="24"/>
          <w:szCs w:val="24"/>
          <w:lang w:val="es-ES" w:eastAsia="ja-JP"/>
        </w:rPr>
        <w:t xml:space="preserve">GSR-21 Arab Regional </w:t>
      </w:r>
      <w:proofErr w:type="spellStart"/>
      <w:r w:rsidRPr="00AE3C4D">
        <w:rPr>
          <w:rFonts w:eastAsia="SimSun"/>
          <w:sz w:val="24"/>
          <w:szCs w:val="24"/>
          <w:lang w:val="es-ES" w:eastAsia="ja-JP"/>
        </w:rPr>
        <w:t>Economic</w:t>
      </w:r>
      <w:proofErr w:type="spellEnd"/>
      <w:r w:rsidRPr="00AE3C4D">
        <w:rPr>
          <w:rFonts w:eastAsia="SimSun"/>
          <w:sz w:val="24"/>
          <w:szCs w:val="24"/>
          <w:lang w:val="es-ES" w:eastAsia="ja-JP"/>
        </w:rPr>
        <w:t xml:space="preserve"> Dialogue (Arab RED21), 3 June 2021 </w:t>
      </w:r>
    </w:p>
    <w:p w14:paraId="0673B26A" w14:textId="77777777" w:rsidR="00AE3C4D" w:rsidRPr="00845CD4" w:rsidRDefault="00AE3C4D" w:rsidP="00AE3C4D">
      <w:pPr>
        <w:pStyle w:val="ListParagraph"/>
        <w:numPr>
          <w:ilvl w:val="0"/>
          <w:numId w:val="4"/>
        </w:numPr>
        <w:spacing w:after="160" w:line="259" w:lineRule="auto"/>
        <w:rPr>
          <w:rFonts w:eastAsia="SimSun"/>
          <w:sz w:val="24"/>
          <w:szCs w:val="24"/>
          <w:lang w:val="en-GB" w:eastAsia="ja-JP"/>
        </w:rPr>
      </w:pPr>
      <w:r w:rsidRPr="00845CD4">
        <w:rPr>
          <w:rFonts w:eastAsia="SimSun"/>
          <w:sz w:val="24"/>
          <w:szCs w:val="24"/>
          <w:lang w:val="en-GB" w:eastAsia="ja-JP"/>
        </w:rPr>
        <w:t xml:space="preserve">Training on DFS Security Lab, Oct-Nov 2021 </w:t>
      </w:r>
    </w:p>
    <w:p w14:paraId="1F9032E0" w14:textId="77777777" w:rsidR="00AE3C4D" w:rsidRPr="00845CD4" w:rsidRDefault="00AE3C4D" w:rsidP="00AE3C4D">
      <w:pPr>
        <w:pStyle w:val="ListParagraph"/>
        <w:numPr>
          <w:ilvl w:val="0"/>
          <w:numId w:val="4"/>
        </w:numPr>
        <w:spacing w:after="160" w:line="259" w:lineRule="auto"/>
        <w:rPr>
          <w:rFonts w:eastAsia="SimSun"/>
          <w:sz w:val="24"/>
          <w:szCs w:val="24"/>
          <w:lang w:val="en-GB" w:eastAsia="ja-JP"/>
        </w:rPr>
      </w:pPr>
      <w:r w:rsidRPr="00845CD4">
        <w:rPr>
          <w:rFonts w:eastAsia="SimSun"/>
          <w:sz w:val="24"/>
          <w:szCs w:val="24"/>
          <w:lang w:val="en-GB" w:eastAsia="ja-JP"/>
        </w:rPr>
        <w:t>Establishment of a Regional ITU IPv6 and IoT Expertise Centre for Arab region in collaboration and with support of Telecommunication and Post Regulatory Authority of Sudan (TPRA), Dec 2021</w:t>
      </w:r>
    </w:p>
    <w:p w14:paraId="79FC6ED9" w14:textId="77777777" w:rsidR="00AE3C4D" w:rsidRPr="00845CD4" w:rsidRDefault="00AE3C4D" w:rsidP="00AE3C4D">
      <w:pPr>
        <w:pStyle w:val="ListParagraph"/>
        <w:numPr>
          <w:ilvl w:val="0"/>
          <w:numId w:val="4"/>
        </w:numPr>
        <w:spacing w:after="160" w:line="259" w:lineRule="auto"/>
        <w:rPr>
          <w:rFonts w:eastAsia="SimSun"/>
          <w:sz w:val="24"/>
          <w:szCs w:val="24"/>
          <w:lang w:val="en-GB" w:eastAsia="ja-JP"/>
        </w:rPr>
      </w:pPr>
      <w:r w:rsidRPr="00845CD4">
        <w:rPr>
          <w:rFonts w:eastAsia="SimSun"/>
          <w:sz w:val="24"/>
          <w:szCs w:val="24"/>
          <w:lang w:val="en-GB" w:eastAsia="ja-JP"/>
        </w:rPr>
        <w:t>Regional Training Workshop on IPv6 and IoT Strategy, Policy and Implementation for Arab States, Khartoum, Sudan, 17-19 May 2022</w:t>
      </w:r>
    </w:p>
    <w:p w14:paraId="643572DE" w14:textId="77777777" w:rsidR="00AE3C4D" w:rsidRPr="00845CD4" w:rsidRDefault="00AE3C4D" w:rsidP="00AE3C4D">
      <w:pPr>
        <w:pStyle w:val="ListParagraph"/>
        <w:numPr>
          <w:ilvl w:val="0"/>
          <w:numId w:val="4"/>
        </w:numPr>
        <w:spacing w:after="160" w:line="259" w:lineRule="auto"/>
        <w:rPr>
          <w:rFonts w:eastAsia="SimSun"/>
          <w:sz w:val="24"/>
          <w:szCs w:val="24"/>
          <w:lang w:val="en-GB" w:eastAsia="ja-JP"/>
        </w:rPr>
      </w:pPr>
      <w:r w:rsidRPr="00845CD4">
        <w:rPr>
          <w:rFonts w:eastAsia="SimSun"/>
          <w:sz w:val="24"/>
          <w:szCs w:val="24"/>
          <w:lang w:val="en-GB" w:eastAsia="ja-JP"/>
        </w:rPr>
        <w:t>Training courses on certified IPv6 and IoT for Arab Region-Silver level, 30 Oct-03 Nov 2022</w:t>
      </w:r>
    </w:p>
    <w:p w14:paraId="7184882F" w14:textId="77777777" w:rsidR="00AE3C4D" w:rsidRPr="00845CD4" w:rsidRDefault="00AE3C4D" w:rsidP="00AE3C4D">
      <w:pPr>
        <w:pStyle w:val="ListParagraph"/>
        <w:numPr>
          <w:ilvl w:val="0"/>
          <w:numId w:val="4"/>
        </w:numPr>
        <w:spacing w:after="160" w:line="259" w:lineRule="auto"/>
        <w:rPr>
          <w:rFonts w:eastAsia="SimSun"/>
          <w:sz w:val="24"/>
          <w:szCs w:val="24"/>
          <w:lang w:val="en-GB" w:eastAsia="ja-JP"/>
        </w:rPr>
      </w:pPr>
      <w:r w:rsidRPr="00845CD4">
        <w:rPr>
          <w:rFonts w:eastAsia="SimSun"/>
          <w:sz w:val="24"/>
          <w:szCs w:val="24"/>
          <w:lang w:val="en-GB" w:eastAsia="ja-JP"/>
        </w:rPr>
        <w:t>Training courses on certified IPv6 and IoT for Arab Region-Gold level, 27 Nov-01 Dec 2022</w:t>
      </w:r>
    </w:p>
    <w:p w14:paraId="0469759A" w14:textId="77777777" w:rsidR="00AE3C4D" w:rsidRPr="00845CD4" w:rsidRDefault="00AE3C4D" w:rsidP="00AE3C4D">
      <w:pPr>
        <w:pStyle w:val="ListParagraph"/>
        <w:numPr>
          <w:ilvl w:val="0"/>
          <w:numId w:val="4"/>
        </w:numPr>
        <w:spacing w:after="160" w:line="259" w:lineRule="auto"/>
        <w:rPr>
          <w:rFonts w:eastAsia="SimSun"/>
          <w:sz w:val="24"/>
          <w:szCs w:val="24"/>
          <w:lang w:val="en-GB" w:eastAsia="ja-JP"/>
        </w:rPr>
      </w:pPr>
      <w:r w:rsidRPr="00845CD4">
        <w:rPr>
          <w:rFonts w:eastAsia="SimSun"/>
          <w:sz w:val="24"/>
          <w:szCs w:val="24"/>
          <w:lang w:val="en-GB" w:eastAsia="ja-JP"/>
        </w:rPr>
        <w:t xml:space="preserve">ITU and NTRA-Egypt project </w:t>
      </w:r>
      <w:r>
        <w:rPr>
          <w:rFonts w:eastAsia="SimSun"/>
          <w:sz w:val="24"/>
          <w:szCs w:val="24"/>
          <w:lang w:val="en-GB" w:eastAsia="ja-JP"/>
        </w:rPr>
        <w:t>titled “</w:t>
      </w:r>
      <w:r w:rsidRPr="00845CD4">
        <w:rPr>
          <w:rFonts w:eastAsia="SimSun"/>
          <w:sz w:val="24"/>
          <w:szCs w:val="24"/>
          <w:lang w:val="en-GB" w:eastAsia="ja-JP"/>
        </w:rPr>
        <w:t>Promote development of Smart Sustainable Cities &amp; Communities Telecom Infrastructure in Egypt</w:t>
      </w:r>
      <w:r>
        <w:rPr>
          <w:rFonts w:eastAsia="SimSun"/>
          <w:sz w:val="24"/>
          <w:szCs w:val="24"/>
          <w:lang w:val="en-GB" w:eastAsia="ja-JP"/>
        </w:rPr>
        <w:t xml:space="preserve">”. The project document development is under finalization. </w:t>
      </w:r>
    </w:p>
    <w:p w14:paraId="53500738" w14:textId="2E711182" w:rsidR="00F533BC" w:rsidRPr="00C44C87" w:rsidRDefault="00F533BC" w:rsidP="00405FF0">
      <w:pPr>
        <w:pStyle w:val="Heading4"/>
        <w:ind w:left="709" w:hanging="709"/>
        <w:rPr>
          <w:b w:val="0"/>
          <w:sz w:val="24"/>
          <w:szCs w:val="24"/>
          <w:highlight w:val="cyan"/>
          <w:lang w:val="en-GB" w:eastAsia="en-US"/>
        </w:rPr>
      </w:pPr>
      <w:r w:rsidRPr="00C44C87">
        <w:rPr>
          <w:sz w:val="24"/>
          <w:szCs w:val="24"/>
          <w:highlight w:val="cyan"/>
          <w:lang w:val="en-GB" w:eastAsia="en-US"/>
        </w:rPr>
        <w:br w:type="page"/>
      </w:r>
    </w:p>
    <w:p w14:paraId="1CF384C6" w14:textId="77777777" w:rsidR="0093030A" w:rsidRDefault="00F533BC" w:rsidP="00405FF0">
      <w:pPr>
        <w:pStyle w:val="Heading4"/>
        <w:ind w:left="709" w:hanging="709"/>
        <w:rPr>
          <w:sz w:val="24"/>
          <w:szCs w:val="24"/>
          <w:lang w:val="en-GB"/>
        </w:rPr>
      </w:pPr>
      <w:r w:rsidRPr="00C44C87">
        <w:rPr>
          <w:sz w:val="24"/>
          <w:szCs w:val="24"/>
          <w:lang w:val="en-GB"/>
        </w:rPr>
        <w:lastRenderedPageBreak/>
        <w:t>7</w:t>
      </w:r>
      <w:r w:rsidRPr="00C44C87">
        <w:rPr>
          <w:sz w:val="24"/>
          <w:szCs w:val="24"/>
          <w:lang w:val="en-GB"/>
        </w:rPr>
        <w:tab/>
        <w:t>Asia and the Pacific - Regional Office for Asia and the Pacific</w:t>
      </w:r>
    </w:p>
    <w:p w14:paraId="7FABB9C6" w14:textId="77777777" w:rsidR="0093030A" w:rsidRPr="00D403E5" w:rsidRDefault="0093030A" w:rsidP="0093030A">
      <w:pPr>
        <w:pStyle w:val="Heading4"/>
        <w:jc w:val="both"/>
        <w:rPr>
          <w:b w:val="0"/>
          <w:bCs w:val="0"/>
          <w:sz w:val="24"/>
          <w:szCs w:val="24"/>
          <w:lang w:val="en-GB"/>
        </w:rPr>
      </w:pPr>
      <w:r w:rsidRPr="00D403E5">
        <w:rPr>
          <w:b w:val="0"/>
          <w:bCs w:val="0"/>
          <w:sz w:val="24"/>
          <w:szCs w:val="24"/>
          <w:lang w:val="en-GB"/>
        </w:rPr>
        <w:t xml:space="preserve">The ITU Regional Office for Asia and the Pacific coordinates closely with TSB on activities carried out in the Asia-Pacific region. </w:t>
      </w:r>
      <w:r>
        <w:rPr>
          <w:b w:val="0"/>
          <w:bCs w:val="0"/>
          <w:sz w:val="24"/>
          <w:szCs w:val="24"/>
          <w:lang w:val="en-GB"/>
        </w:rPr>
        <w:t>Consultations are held</w:t>
      </w:r>
      <w:r w:rsidRPr="00D403E5">
        <w:rPr>
          <w:b w:val="0"/>
          <w:bCs w:val="0"/>
          <w:sz w:val="24"/>
          <w:szCs w:val="24"/>
          <w:lang w:val="en-GB"/>
        </w:rPr>
        <w:t xml:space="preserve"> at the operational level, wherever relevant or needed. The ITU Regional Office for Asia and the Pacific has also been providing support to the TSB with APT and with regional standardization bodies. </w:t>
      </w:r>
    </w:p>
    <w:p w14:paraId="7A02D896" w14:textId="77777777" w:rsidR="0093030A" w:rsidRDefault="0093030A" w:rsidP="0093030A">
      <w:pPr>
        <w:pStyle w:val="Heading4"/>
        <w:jc w:val="both"/>
        <w:rPr>
          <w:b w:val="0"/>
          <w:bCs w:val="0"/>
          <w:sz w:val="24"/>
          <w:szCs w:val="24"/>
          <w:lang w:val="en-GB"/>
        </w:rPr>
      </w:pPr>
      <w:r w:rsidRPr="00D403E5">
        <w:rPr>
          <w:b w:val="0"/>
          <w:bCs w:val="0"/>
          <w:sz w:val="24"/>
          <w:szCs w:val="24"/>
          <w:lang w:val="en-GB"/>
        </w:rPr>
        <w:t>What follows are some of the specific activities that the Regional Office coordinated/assisted TSB with:</w:t>
      </w:r>
    </w:p>
    <w:p w14:paraId="5A3BF5D7" w14:textId="3C58A1FB" w:rsidR="0093030A" w:rsidRPr="00D403E5" w:rsidRDefault="0093030A" w:rsidP="0093030A">
      <w:pPr>
        <w:rPr>
          <w:sz w:val="24"/>
          <w:szCs w:val="24"/>
          <w:lang w:val="en-GB"/>
        </w:rPr>
      </w:pPr>
    </w:p>
    <w:p w14:paraId="495322FB" w14:textId="77777777" w:rsidR="0093030A" w:rsidRPr="00D403E5" w:rsidRDefault="0093030A" w:rsidP="0093030A">
      <w:pPr>
        <w:rPr>
          <w:b/>
          <w:bCs/>
          <w:sz w:val="24"/>
          <w:szCs w:val="24"/>
          <w:lang w:val="en-GB"/>
        </w:rPr>
      </w:pPr>
      <w:r w:rsidRPr="00D403E5">
        <w:rPr>
          <w:b/>
          <w:bCs/>
          <w:sz w:val="24"/>
          <w:szCs w:val="24"/>
          <w:lang w:val="en-GB"/>
        </w:rPr>
        <w:t xml:space="preserve">Smart Sustainable Cities </w:t>
      </w:r>
    </w:p>
    <w:p w14:paraId="1571C3EA" w14:textId="77777777" w:rsidR="0093030A" w:rsidRPr="00D403E5" w:rsidRDefault="0093030A" w:rsidP="0093030A">
      <w:pPr>
        <w:numPr>
          <w:ilvl w:val="0"/>
          <w:numId w:val="13"/>
        </w:numPr>
        <w:rPr>
          <w:sz w:val="24"/>
          <w:szCs w:val="24"/>
          <w:lang w:val="en-GB"/>
        </w:rPr>
      </w:pPr>
      <w:r w:rsidRPr="00D403E5">
        <w:rPr>
          <w:sz w:val="24"/>
          <w:szCs w:val="24"/>
          <w:lang w:val="en-GB"/>
        </w:rPr>
        <w:t>ITU Regional Office presented in December 2022 at the ‘</w:t>
      </w:r>
      <w:r w:rsidRPr="00D403E5">
        <w:rPr>
          <w:b/>
          <w:bCs/>
          <w:sz w:val="24"/>
          <w:szCs w:val="24"/>
          <w:lang w:val="en-GB"/>
        </w:rPr>
        <w:t xml:space="preserve">International Conference on Innovation, Technology Transfer and Cooperation for Addressing Climate Change’ </w:t>
      </w:r>
      <w:r w:rsidRPr="00D403E5">
        <w:rPr>
          <w:sz w:val="24"/>
          <w:szCs w:val="24"/>
          <w:lang w:val="en-GB"/>
        </w:rPr>
        <w:t xml:space="preserve">hosted by Asian and Pacific Centre for Transfer of Technology (APCTT), a regional institution of the United Nations Economic and Social Commission for Asia and the Pacific (UNESCAP). The presentation featured an overview of ITU-T’s work under </w:t>
      </w:r>
      <w:r w:rsidRPr="00B36C6F">
        <w:rPr>
          <w:sz w:val="24"/>
          <w:szCs w:val="24"/>
          <w:lang w:val="en-GB"/>
        </w:rPr>
        <w:t>Study Group</w:t>
      </w:r>
      <w:r w:rsidRPr="00D403E5">
        <w:rPr>
          <w:sz w:val="24"/>
          <w:szCs w:val="24"/>
          <w:lang w:val="en-GB"/>
        </w:rPr>
        <w:t>s 5 and 20, as well as U4SSC.</w:t>
      </w:r>
    </w:p>
    <w:p w14:paraId="6B4C4728" w14:textId="77777777" w:rsidR="001F5003" w:rsidRDefault="001F5003" w:rsidP="0093030A">
      <w:pPr>
        <w:rPr>
          <w:b/>
          <w:bCs/>
          <w:sz w:val="24"/>
          <w:szCs w:val="24"/>
          <w:lang w:val="en-GB"/>
        </w:rPr>
      </w:pPr>
    </w:p>
    <w:p w14:paraId="48759B7C" w14:textId="2F4B0003" w:rsidR="0093030A" w:rsidRPr="00D403E5" w:rsidRDefault="0093030A" w:rsidP="0093030A">
      <w:pPr>
        <w:rPr>
          <w:b/>
          <w:sz w:val="24"/>
          <w:szCs w:val="24"/>
          <w:lang w:val="en-US"/>
        </w:rPr>
      </w:pPr>
      <w:r w:rsidRPr="00D403E5">
        <w:rPr>
          <w:b/>
          <w:bCs/>
          <w:sz w:val="24"/>
          <w:szCs w:val="24"/>
          <w:lang w:val="en-GB"/>
        </w:rPr>
        <w:t xml:space="preserve">Project on Enhancing the Development of Standards and Frameworks for Critical Technologies in </w:t>
      </w:r>
      <w:r w:rsidRPr="00D403E5">
        <w:rPr>
          <w:b/>
          <w:sz w:val="24"/>
          <w:szCs w:val="24"/>
          <w:lang w:val="en-US"/>
        </w:rPr>
        <w:t>Southeast Asia</w:t>
      </w:r>
    </w:p>
    <w:p w14:paraId="62DAB5B8" w14:textId="77777777" w:rsidR="0093030A" w:rsidRPr="00D403E5" w:rsidRDefault="0093030A" w:rsidP="0093030A">
      <w:pPr>
        <w:numPr>
          <w:ilvl w:val="0"/>
          <w:numId w:val="12"/>
        </w:numPr>
        <w:rPr>
          <w:b/>
          <w:bCs/>
          <w:sz w:val="24"/>
          <w:szCs w:val="24"/>
          <w:lang w:val="en-US"/>
        </w:rPr>
      </w:pPr>
      <w:r w:rsidRPr="00D403E5">
        <w:rPr>
          <w:sz w:val="24"/>
          <w:szCs w:val="24"/>
          <w:lang w:val="en-US"/>
        </w:rPr>
        <w:t>Following consultations with TSB and discussions with the Government of Australia’s Department for Foreign Affairs and Trade (DFAT), the ITU team successfully signed a grant agreement on 4 June 2021 with DFAT on this project, under its Cyber and Critical Tech Cooperation Program. This project was successfully extended in 2022 for the full four-year duration and is now slated to end in June 2024.</w:t>
      </w:r>
    </w:p>
    <w:p w14:paraId="7B7A2D3B" w14:textId="00C2B586" w:rsidR="0093030A" w:rsidRPr="00D403E5" w:rsidRDefault="0093030A" w:rsidP="0093030A">
      <w:pPr>
        <w:numPr>
          <w:ilvl w:val="0"/>
          <w:numId w:val="12"/>
        </w:numPr>
        <w:rPr>
          <w:sz w:val="24"/>
          <w:szCs w:val="24"/>
          <w:lang w:val="en-US"/>
        </w:rPr>
      </w:pPr>
      <w:r w:rsidRPr="00D403E5">
        <w:rPr>
          <w:sz w:val="24"/>
          <w:szCs w:val="24"/>
          <w:lang w:val="en-US"/>
        </w:rPr>
        <w:t xml:space="preserve">The project focuses on Artificial Intelligence (AI) and the potential gender and social biases linked with them. The project will enhance the development and implementation of AI standards, frameworks, policies, and initiatives at regional and national levels across Southeast Asia, which </w:t>
      </w:r>
      <w:r w:rsidR="00AD35B2" w:rsidRPr="00D403E5">
        <w:rPr>
          <w:sz w:val="24"/>
          <w:szCs w:val="24"/>
          <w:lang w:val="en-US"/>
        </w:rPr>
        <w:t>considers</w:t>
      </w:r>
      <w:r w:rsidRPr="00D403E5">
        <w:rPr>
          <w:sz w:val="24"/>
          <w:szCs w:val="24"/>
          <w:lang w:val="en-US"/>
        </w:rPr>
        <w:t xml:space="preserve"> diverse stakeholders needs. The project’s initial focus will be on the Indonesia, Malaysia. The Philippines, and Thailand, and will also look at the regional context in Southeast Asia.</w:t>
      </w:r>
    </w:p>
    <w:p w14:paraId="19262506" w14:textId="77777777" w:rsidR="0093030A" w:rsidRPr="00D403E5" w:rsidRDefault="0093030A" w:rsidP="0093030A">
      <w:pPr>
        <w:numPr>
          <w:ilvl w:val="0"/>
          <w:numId w:val="12"/>
        </w:numPr>
        <w:rPr>
          <w:sz w:val="24"/>
          <w:szCs w:val="24"/>
          <w:lang w:val="en-US"/>
        </w:rPr>
      </w:pPr>
      <w:r w:rsidRPr="00D403E5">
        <w:rPr>
          <w:sz w:val="24"/>
          <w:szCs w:val="24"/>
          <w:lang w:val="en-GB"/>
        </w:rPr>
        <w:t>The Project is built on four outputs:</w:t>
      </w:r>
    </w:p>
    <w:p w14:paraId="676722EE" w14:textId="77777777" w:rsidR="0093030A" w:rsidRPr="00D403E5" w:rsidRDefault="0093030A" w:rsidP="0093030A">
      <w:pPr>
        <w:numPr>
          <w:ilvl w:val="1"/>
          <w:numId w:val="12"/>
        </w:numPr>
        <w:rPr>
          <w:sz w:val="24"/>
          <w:szCs w:val="24"/>
          <w:lang w:val="en-GB"/>
        </w:rPr>
      </w:pPr>
      <w:r w:rsidRPr="00D403E5">
        <w:rPr>
          <w:b/>
          <w:bCs/>
          <w:sz w:val="24"/>
          <w:szCs w:val="24"/>
          <w:u w:val="single"/>
          <w:lang w:val="en-GB"/>
        </w:rPr>
        <w:t>Indicative Output 1</w:t>
      </w:r>
      <w:r w:rsidRPr="00D403E5">
        <w:rPr>
          <w:sz w:val="24"/>
          <w:szCs w:val="24"/>
          <w:lang w:val="en-GB"/>
        </w:rPr>
        <w:t>: Research outputs on the state of critical technology standards, frameworks, policies, and initiatives, including the capacity gaps among stakeholders, in Southeast Asia.</w:t>
      </w:r>
    </w:p>
    <w:p w14:paraId="7AB3F6CC" w14:textId="77777777" w:rsidR="0093030A" w:rsidRPr="00D403E5" w:rsidRDefault="0093030A" w:rsidP="0093030A">
      <w:pPr>
        <w:numPr>
          <w:ilvl w:val="1"/>
          <w:numId w:val="12"/>
        </w:numPr>
        <w:rPr>
          <w:sz w:val="24"/>
          <w:szCs w:val="24"/>
          <w:lang w:val="en-GB"/>
        </w:rPr>
      </w:pPr>
      <w:r w:rsidRPr="00D403E5">
        <w:rPr>
          <w:b/>
          <w:bCs/>
          <w:sz w:val="24"/>
          <w:szCs w:val="24"/>
          <w:u w:val="single"/>
          <w:lang w:val="en-GB"/>
        </w:rPr>
        <w:t>Indicative Output 2:</w:t>
      </w:r>
      <w:r w:rsidRPr="00D403E5">
        <w:rPr>
          <w:sz w:val="24"/>
          <w:szCs w:val="24"/>
          <w:lang w:val="en-GB"/>
        </w:rPr>
        <w:t xml:space="preserve"> Training/Workshops and knowledge sharing activities on Critical Technologies for policymakers in primary beneficiary countries in Southeast Asia.</w:t>
      </w:r>
    </w:p>
    <w:p w14:paraId="650FF75A" w14:textId="77777777" w:rsidR="0093030A" w:rsidRPr="00D403E5" w:rsidRDefault="0093030A" w:rsidP="0093030A">
      <w:pPr>
        <w:numPr>
          <w:ilvl w:val="1"/>
          <w:numId w:val="12"/>
        </w:numPr>
        <w:rPr>
          <w:sz w:val="24"/>
          <w:szCs w:val="24"/>
          <w:lang w:val="en-GB"/>
        </w:rPr>
      </w:pPr>
      <w:r w:rsidRPr="00D403E5">
        <w:rPr>
          <w:b/>
          <w:bCs/>
          <w:sz w:val="24"/>
          <w:szCs w:val="24"/>
          <w:u w:val="single"/>
          <w:lang w:val="en-GB"/>
        </w:rPr>
        <w:t>Indicative Output 3:</w:t>
      </w:r>
      <w:r w:rsidRPr="00D403E5">
        <w:rPr>
          <w:sz w:val="24"/>
          <w:szCs w:val="24"/>
          <w:lang w:val="en-GB"/>
        </w:rPr>
        <w:t xml:space="preserve"> Multi-stakeholder Network of Female Policy Makers created at the subregional, </w:t>
      </w:r>
      <w:proofErr w:type="gramStart"/>
      <w:r w:rsidRPr="00D403E5">
        <w:rPr>
          <w:sz w:val="24"/>
          <w:szCs w:val="24"/>
          <w:lang w:val="en-GB"/>
        </w:rPr>
        <w:t>regional</w:t>
      </w:r>
      <w:proofErr w:type="gramEnd"/>
      <w:r w:rsidRPr="00D403E5">
        <w:rPr>
          <w:sz w:val="24"/>
          <w:szCs w:val="24"/>
          <w:lang w:val="en-GB"/>
        </w:rPr>
        <w:t xml:space="preserve"> and global levels.</w:t>
      </w:r>
    </w:p>
    <w:p w14:paraId="309132A7" w14:textId="2B9FDC4E" w:rsidR="0093030A" w:rsidRPr="00D403E5" w:rsidRDefault="0093030A" w:rsidP="0093030A">
      <w:pPr>
        <w:numPr>
          <w:ilvl w:val="1"/>
          <w:numId w:val="12"/>
        </w:numPr>
        <w:rPr>
          <w:sz w:val="24"/>
          <w:szCs w:val="24"/>
          <w:lang w:val="en-GB"/>
        </w:rPr>
      </w:pPr>
      <w:r w:rsidRPr="00D403E5">
        <w:rPr>
          <w:b/>
          <w:bCs/>
          <w:sz w:val="24"/>
          <w:szCs w:val="24"/>
          <w:u w:val="single"/>
          <w:lang w:val="en-GB"/>
        </w:rPr>
        <w:t>Indicative Output 4:</w:t>
      </w:r>
      <w:r w:rsidRPr="00D403E5">
        <w:rPr>
          <w:sz w:val="24"/>
          <w:szCs w:val="24"/>
          <w:lang w:val="en-GB"/>
        </w:rPr>
        <w:t xml:space="preserve"> Country-specific support provided to assist the policymakers and regulators in the development and implementation of standards, frameworks, policies, and </w:t>
      </w:r>
      <w:r w:rsidR="00AD35B2" w:rsidRPr="00D403E5">
        <w:rPr>
          <w:sz w:val="24"/>
          <w:szCs w:val="24"/>
          <w:lang w:val="en-GB"/>
        </w:rPr>
        <w:t>initiatives.</w:t>
      </w:r>
    </w:p>
    <w:p w14:paraId="4D510D47" w14:textId="77777777" w:rsidR="0093030A" w:rsidRDefault="0093030A" w:rsidP="0093030A">
      <w:pPr>
        <w:rPr>
          <w:b/>
          <w:bCs/>
          <w:sz w:val="24"/>
          <w:szCs w:val="24"/>
          <w:lang w:val="en-US"/>
        </w:rPr>
      </w:pPr>
    </w:p>
    <w:p w14:paraId="39774A1D" w14:textId="77777777" w:rsidR="0093030A" w:rsidRDefault="0093030A" w:rsidP="0093030A">
      <w:pPr>
        <w:rPr>
          <w:b/>
          <w:bCs/>
          <w:sz w:val="24"/>
          <w:szCs w:val="24"/>
          <w:lang w:val="en-US"/>
        </w:rPr>
      </w:pPr>
      <w:r w:rsidRPr="00D403E5">
        <w:rPr>
          <w:b/>
          <w:bCs/>
          <w:sz w:val="24"/>
          <w:szCs w:val="24"/>
          <w:lang w:val="en-US"/>
        </w:rPr>
        <w:t>ITU-T SG</w:t>
      </w:r>
      <w:r>
        <w:rPr>
          <w:b/>
          <w:bCs/>
          <w:sz w:val="24"/>
          <w:szCs w:val="24"/>
          <w:lang w:val="en-US"/>
        </w:rPr>
        <w:t xml:space="preserve">9 Meeting and </w:t>
      </w:r>
      <w:r w:rsidRPr="00BA0DDE">
        <w:rPr>
          <w:b/>
          <w:bCs/>
          <w:sz w:val="24"/>
          <w:szCs w:val="24"/>
          <w:lang w:val="en-US"/>
        </w:rPr>
        <w:t>ITU Workshop on "The Future of Television for South Asia, Arab and Africa Regions</w:t>
      </w:r>
      <w:r>
        <w:rPr>
          <w:b/>
          <w:bCs/>
          <w:sz w:val="24"/>
          <w:szCs w:val="24"/>
          <w:lang w:val="en-US"/>
        </w:rPr>
        <w:t xml:space="preserve"> “(9 – 18 May 2023)</w:t>
      </w:r>
    </w:p>
    <w:p w14:paraId="306314E6" w14:textId="77777777" w:rsidR="0093030A" w:rsidRDefault="0093030A" w:rsidP="0093030A">
      <w:pPr>
        <w:pStyle w:val="ListParagraph"/>
        <w:numPr>
          <w:ilvl w:val="0"/>
          <w:numId w:val="14"/>
        </w:numPr>
        <w:rPr>
          <w:sz w:val="24"/>
          <w:szCs w:val="24"/>
          <w:lang w:val="en-US"/>
        </w:rPr>
      </w:pPr>
      <w:r w:rsidRPr="00BA0DDE">
        <w:rPr>
          <w:sz w:val="24"/>
          <w:szCs w:val="24"/>
          <w:lang w:val="en-US"/>
        </w:rPr>
        <w:t>ITU Regional Office for Asia and the Pacific</w:t>
      </w:r>
      <w:r>
        <w:rPr>
          <w:sz w:val="24"/>
          <w:szCs w:val="24"/>
          <w:lang w:val="en-US"/>
        </w:rPr>
        <w:t xml:space="preserve"> served on the Programme Committee of </w:t>
      </w:r>
      <w:proofErr w:type="gramStart"/>
      <w:r>
        <w:rPr>
          <w:sz w:val="24"/>
          <w:szCs w:val="24"/>
          <w:lang w:val="en-US"/>
        </w:rPr>
        <w:t>the  ITU</w:t>
      </w:r>
      <w:proofErr w:type="gramEnd"/>
      <w:r>
        <w:rPr>
          <w:sz w:val="24"/>
          <w:szCs w:val="24"/>
          <w:lang w:val="en-US"/>
        </w:rPr>
        <w:t xml:space="preserve">-T workshop on </w:t>
      </w:r>
      <w:r w:rsidRPr="00BA0DDE">
        <w:rPr>
          <w:sz w:val="24"/>
          <w:szCs w:val="24"/>
          <w:lang w:val="en-US"/>
        </w:rPr>
        <w:t>The Future of Television for South Asia, Arab and Africa Regions</w:t>
      </w:r>
      <w:r>
        <w:rPr>
          <w:sz w:val="24"/>
          <w:szCs w:val="24"/>
          <w:lang w:val="en-US"/>
        </w:rPr>
        <w:t xml:space="preserve">, scheduled for 11 May 2023. The ITU Regional Office facilitated the inclusion of speakers from South Asia ministries and regulators at the workshop. </w:t>
      </w:r>
    </w:p>
    <w:p w14:paraId="2075331C" w14:textId="77777777" w:rsidR="00AD35B2" w:rsidRDefault="00AD35B2" w:rsidP="0093030A">
      <w:pPr>
        <w:rPr>
          <w:b/>
          <w:bCs/>
          <w:sz w:val="24"/>
          <w:szCs w:val="24"/>
          <w:lang w:val="en-GB"/>
        </w:rPr>
      </w:pPr>
    </w:p>
    <w:p w14:paraId="42B52796" w14:textId="77777777" w:rsidR="00C2793E" w:rsidRDefault="00C2793E" w:rsidP="0093030A">
      <w:pPr>
        <w:rPr>
          <w:b/>
          <w:bCs/>
          <w:sz w:val="24"/>
          <w:szCs w:val="24"/>
          <w:lang w:val="en-GB"/>
        </w:rPr>
      </w:pPr>
    </w:p>
    <w:p w14:paraId="642597A4" w14:textId="747EE21B" w:rsidR="0093030A" w:rsidRPr="00D403E5" w:rsidRDefault="0093030A" w:rsidP="0093030A">
      <w:pPr>
        <w:rPr>
          <w:b/>
          <w:bCs/>
          <w:sz w:val="24"/>
          <w:szCs w:val="24"/>
          <w:lang w:val="en-GB"/>
        </w:rPr>
      </w:pPr>
      <w:r w:rsidRPr="00D403E5">
        <w:rPr>
          <w:b/>
          <w:bCs/>
          <w:sz w:val="24"/>
          <w:szCs w:val="24"/>
          <w:lang w:val="en-GB"/>
        </w:rPr>
        <w:t xml:space="preserve">Co-ordination regarding ITU-T events and Participation in TSB related </w:t>
      </w:r>
      <w:proofErr w:type="gramStart"/>
      <w:r w:rsidRPr="00D403E5">
        <w:rPr>
          <w:b/>
          <w:bCs/>
          <w:sz w:val="24"/>
          <w:szCs w:val="24"/>
          <w:lang w:val="en-GB"/>
        </w:rPr>
        <w:t>meetings</w:t>
      </w:r>
      <w:proofErr w:type="gramEnd"/>
    </w:p>
    <w:p w14:paraId="1137517D" w14:textId="77777777" w:rsidR="0093030A" w:rsidRPr="00D403E5" w:rsidRDefault="0093030A" w:rsidP="0093030A">
      <w:pPr>
        <w:numPr>
          <w:ilvl w:val="0"/>
          <w:numId w:val="13"/>
        </w:numPr>
        <w:rPr>
          <w:sz w:val="24"/>
          <w:szCs w:val="24"/>
          <w:lang w:val="fr-CH"/>
        </w:rPr>
      </w:pPr>
      <w:r w:rsidRPr="00D403E5">
        <w:rPr>
          <w:sz w:val="24"/>
          <w:szCs w:val="24"/>
          <w:lang w:val="en-GB"/>
        </w:rPr>
        <w:t xml:space="preserve">The ITU regional focal point participated in various WTSA prep meetings and other meetings as required. </w:t>
      </w:r>
      <w:r>
        <w:rPr>
          <w:sz w:val="24"/>
          <w:szCs w:val="24"/>
          <w:lang w:val="en-GB"/>
        </w:rPr>
        <w:t>In this reporting period, this included:</w:t>
      </w:r>
    </w:p>
    <w:p w14:paraId="123DD2E6" w14:textId="77777777" w:rsidR="0093030A" w:rsidRDefault="0093030A" w:rsidP="0093030A">
      <w:pPr>
        <w:numPr>
          <w:ilvl w:val="1"/>
          <w:numId w:val="13"/>
        </w:numPr>
        <w:rPr>
          <w:sz w:val="24"/>
          <w:szCs w:val="24"/>
          <w:lang w:val="en-GB"/>
        </w:rPr>
      </w:pPr>
      <w:r w:rsidRPr="009D36F4">
        <w:rPr>
          <w:sz w:val="24"/>
          <w:szCs w:val="24"/>
          <w:lang w:val="en-GB"/>
        </w:rPr>
        <w:t>35th APT Standardization Program Forum (ASTAP-35</w:t>
      </w:r>
      <w:r>
        <w:rPr>
          <w:sz w:val="24"/>
          <w:szCs w:val="24"/>
          <w:lang w:val="en-GB"/>
        </w:rPr>
        <w:t xml:space="preserve">), Bangkok, Thailand, 17 – 20 April 2023 </w:t>
      </w:r>
    </w:p>
    <w:p w14:paraId="68D074A7" w14:textId="77777777" w:rsidR="0093030A" w:rsidRPr="00D403E5" w:rsidRDefault="0093030A" w:rsidP="0093030A">
      <w:pPr>
        <w:numPr>
          <w:ilvl w:val="1"/>
          <w:numId w:val="13"/>
        </w:numPr>
        <w:rPr>
          <w:sz w:val="24"/>
          <w:szCs w:val="24"/>
          <w:lang w:val="en-GB"/>
        </w:rPr>
      </w:pPr>
      <w:r w:rsidRPr="009D36F4">
        <w:rPr>
          <w:sz w:val="24"/>
          <w:szCs w:val="24"/>
          <w:lang w:val="en-GB"/>
        </w:rPr>
        <w:t>1st Meeting of APT Preparatory Group for WTSA-24 (APT WTSA24-1)</w:t>
      </w:r>
      <w:r>
        <w:rPr>
          <w:sz w:val="24"/>
          <w:szCs w:val="24"/>
          <w:lang w:val="en-GB"/>
        </w:rPr>
        <w:t>, Bangkok, Thailand, 21 April 2023</w:t>
      </w:r>
    </w:p>
    <w:p w14:paraId="657CCC05" w14:textId="77777777" w:rsidR="0093030A" w:rsidRDefault="0093030A" w:rsidP="00405FF0">
      <w:pPr>
        <w:pStyle w:val="Heading4"/>
        <w:ind w:left="709" w:hanging="709"/>
        <w:rPr>
          <w:sz w:val="24"/>
          <w:szCs w:val="24"/>
          <w:lang w:val="en-GB"/>
        </w:rPr>
      </w:pPr>
    </w:p>
    <w:p w14:paraId="2507EBB5" w14:textId="2C80D51F" w:rsidR="00F533BC" w:rsidRPr="00C44C87" w:rsidRDefault="00F533BC" w:rsidP="00405FF0">
      <w:pPr>
        <w:pStyle w:val="Heading4"/>
        <w:ind w:left="709" w:hanging="709"/>
        <w:rPr>
          <w:sz w:val="24"/>
          <w:szCs w:val="24"/>
          <w:lang w:val="en-GB" w:eastAsia="en-US"/>
        </w:rPr>
      </w:pPr>
      <w:r w:rsidRPr="00C44C87">
        <w:rPr>
          <w:sz w:val="24"/>
          <w:szCs w:val="24"/>
          <w:lang w:val="en-GB" w:eastAsia="en-US"/>
        </w:rPr>
        <w:br w:type="page"/>
      </w:r>
    </w:p>
    <w:p w14:paraId="386E86B8" w14:textId="77777777" w:rsidR="00AD35B2" w:rsidRDefault="00F533BC" w:rsidP="00405FF0">
      <w:pPr>
        <w:pStyle w:val="Heading4"/>
        <w:rPr>
          <w:sz w:val="24"/>
          <w:szCs w:val="24"/>
          <w:lang w:val="en-GB"/>
        </w:rPr>
      </w:pPr>
      <w:r w:rsidRPr="00C44C87">
        <w:rPr>
          <w:sz w:val="24"/>
          <w:szCs w:val="24"/>
          <w:lang w:val="en-GB"/>
        </w:rPr>
        <w:lastRenderedPageBreak/>
        <w:t>8</w:t>
      </w:r>
      <w:r w:rsidRPr="00C44C87">
        <w:rPr>
          <w:sz w:val="24"/>
          <w:szCs w:val="24"/>
          <w:lang w:val="en-GB"/>
        </w:rPr>
        <w:tab/>
        <w:t xml:space="preserve">Commonwealth of Independent States (CIS) - Regional Office for the CIS Region </w:t>
      </w:r>
    </w:p>
    <w:p w14:paraId="677B8D27" w14:textId="77777777" w:rsidR="00930606" w:rsidRPr="00930606" w:rsidRDefault="00930606" w:rsidP="00930606">
      <w:pPr>
        <w:pStyle w:val="Heading4"/>
        <w:jc w:val="both"/>
        <w:rPr>
          <w:b w:val="0"/>
          <w:bCs w:val="0"/>
          <w:sz w:val="24"/>
          <w:szCs w:val="24"/>
          <w:lang w:val="en-GB"/>
        </w:rPr>
      </w:pPr>
      <w:r w:rsidRPr="00930606">
        <w:rPr>
          <w:b w:val="0"/>
          <w:bCs w:val="0"/>
          <w:sz w:val="24"/>
          <w:szCs w:val="24"/>
          <w:lang w:val="en-GB"/>
        </w:rPr>
        <w:t>1.</w:t>
      </w:r>
      <w:r w:rsidRPr="00930606">
        <w:rPr>
          <w:b w:val="0"/>
          <w:bCs w:val="0"/>
          <w:sz w:val="24"/>
          <w:szCs w:val="24"/>
          <w:lang w:val="en-GB"/>
        </w:rPr>
        <w:tab/>
        <w:t>In February 2023 Municipality of Bishkek, the capital of Kyrgyzstan, adopted a Smart City programme 2023-2033 which is based on the U4SSC studies and ITU-T Recommendations provided by the RO CIS in the previous year.</w:t>
      </w:r>
    </w:p>
    <w:p w14:paraId="09E31053" w14:textId="77777777" w:rsidR="00930606" w:rsidRPr="00930606" w:rsidRDefault="00930606" w:rsidP="00930606">
      <w:pPr>
        <w:pStyle w:val="Heading4"/>
        <w:jc w:val="both"/>
        <w:rPr>
          <w:b w:val="0"/>
          <w:bCs w:val="0"/>
          <w:sz w:val="24"/>
          <w:szCs w:val="24"/>
          <w:lang w:val="en-GB"/>
        </w:rPr>
      </w:pPr>
      <w:r w:rsidRPr="00930606">
        <w:rPr>
          <w:b w:val="0"/>
          <w:bCs w:val="0"/>
          <w:sz w:val="24"/>
          <w:szCs w:val="24"/>
          <w:lang w:val="en-GB"/>
        </w:rPr>
        <w:t>2.</w:t>
      </w:r>
      <w:r w:rsidRPr="00930606">
        <w:rPr>
          <w:b w:val="0"/>
          <w:bCs w:val="0"/>
          <w:sz w:val="24"/>
          <w:szCs w:val="24"/>
          <w:lang w:val="en-GB"/>
        </w:rPr>
        <w:tab/>
        <w:t>On 19-20 April ITU-D organized a Forum “Smart Sustainable Cities: past, present and future” in Minsk, Belarus with the participation of TSB colleagues, who made a presentation on the role of international organizations in creating Smart Sustainable Cities.</w:t>
      </w:r>
    </w:p>
    <w:p w14:paraId="5C0C0C4E" w14:textId="66F5FCFE" w:rsidR="00AD35B2" w:rsidRPr="00930606" w:rsidRDefault="00930606" w:rsidP="00930606">
      <w:pPr>
        <w:pStyle w:val="Heading4"/>
        <w:jc w:val="both"/>
        <w:rPr>
          <w:b w:val="0"/>
          <w:bCs w:val="0"/>
          <w:sz w:val="24"/>
          <w:szCs w:val="24"/>
          <w:lang w:val="en-GB"/>
        </w:rPr>
      </w:pPr>
      <w:r w:rsidRPr="00930606">
        <w:rPr>
          <w:b w:val="0"/>
          <w:bCs w:val="0"/>
          <w:sz w:val="24"/>
          <w:szCs w:val="24"/>
          <w:lang w:val="en-GB"/>
        </w:rPr>
        <w:t>3.</w:t>
      </w:r>
      <w:r w:rsidRPr="00930606">
        <w:rPr>
          <w:b w:val="0"/>
          <w:bCs w:val="0"/>
          <w:sz w:val="24"/>
          <w:szCs w:val="24"/>
          <w:lang w:val="en-GB"/>
        </w:rPr>
        <w:tab/>
        <w:t>On 23-25 May ITU-D is organizing a Forum on Future Networks in Tashkent, Uzbekistan in close cooperation with TSB staff and ITU-T experts. The Forum includes training on C&amp;I and BSG and is held back-to-back with the ITU-T Regional Group of the SG11.</w:t>
      </w:r>
    </w:p>
    <w:p w14:paraId="1CC521F9" w14:textId="77777777" w:rsidR="00AD35B2" w:rsidRDefault="00AD35B2" w:rsidP="00405FF0">
      <w:pPr>
        <w:pStyle w:val="Heading4"/>
        <w:rPr>
          <w:sz w:val="24"/>
          <w:szCs w:val="24"/>
          <w:lang w:val="en-GB"/>
        </w:rPr>
      </w:pPr>
    </w:p>
    <w:p w14:paraId="3D4BE5B7" w14:textId="428C55D2" w:rsidR="00F533BC" w:rsidRPr="00C44C87" w:rsidRDefault="00F533BC" w:rsidP="00405FF0">
      <w:pPr>
        <w:pStyle w:val="Heading4"/>
        <w:rPr>
          <w:b w:val="0"/>
          <w:sz w:val="24"/>
          <w:szCs w:val="24"/>
          <w:highlight w:val="cyan"/>
          <w:lang w:val="en-GB" w:eastAsia="en-US"/>
        </w:rPr>
      </w:pPr>
      <w:r w:rsidRPr="00C44C87">
        <w:rPr>
          <w:sz w:val="24"/>
          <w:szCs w:val="24"/>
          <w:highlight w:val="cyan"/>
          <w:lang w:val="en-GB"/>
        </w:rPr>
        <w:br w:type="page"/>
      </w:r>
    </w:p>
    <w:p w14:paraId="23B869FC" w14:textId="77777777" w:rsidR="00F533BC" w:rsidRDefault="00F533BC" w:rsidP="00F533BC">
      <w:pPr>
        <w:pStyle w:val="Heading4"/>
        <w:rPr>
          <w:sz w:val="24"/>
          <w:szCs w:val="24"/>
          <w:lang w:val="en-GB"/>
        </w:rPr>
      </w:pPr>
      <w:r w:rsidRPr="00C44C87">
        <w:rPr>
          <w:sz w:val="24"/>
          <w:szCs w:val="24"/>
          <w:lang w:val="en-GB"/>
        </w:rPr>
        <w:lastRenderedPageBreak/>
        <w:t>9</w:t>
      </w:r>
      <w:r w:rsidRPr="00C44C87">
        <w:rPr>
          <w:sz w:val="24"/>
          <w:szCs w:val="24"/>
          <w:lang w:val="en-GB"/>
        </w:rPr>
        <w:tab/>
        <w:t>Europe - ITU Office for Europe</w:t>
      </w:r>
    </w:p>
    <w:p w14:paraId="17D9B20C" w14:textId="77777777" w:rsidR="00CA74A0" w:rsidRDefault="00CA74A0" w:rsidP="00CA74A0">
      <w:pPr>
        <w:rPr>
          <w:lang w:val="en-GB"/>
        </w:rPr>
      </w:pPr>
    </w:p>
    <w:p w14:paraId="6EAA96EE" w14:textId="651D73C0" w:rsidR="00CA74A0" w:rsidRDefault="00CA74A0" w:rsidP="00CA74A0">
      <w:pPr>
        <w:spacing w:before="240"/>
        <w:jc w:val="both"/>
        <w:rPr>
          <w:rFonts w:eastAsia="SimSun"/>
          <w:color w:val="000000"/>
          <w:sz w:val="24"/>
          <w:szCs w:val="24"/>
          <w:lang w:val="en-GB" w:eastAsia="en-GB"/>
        </w:rPr>
      </w:pPr>
      <w:r w:rsidRPr="004D765F">
        <w:rPr>
          <w:rFonts w:eastAsia="SimSun"/>
          <w:color w:val="000000"/>
          <w:sz w:val="24"/>
          <w:szCs w:val="24"/>
          <w:lang w:val="en-GB" w:eastAsia="en-GB"/>
        </w:rPr>
        <w:t xml:space="preserve">The ITU Regional Office for </w:t>
      </w:r>
      <w:r>
        <w:rPr>
          <w:rFonts w:eastAsia="SimSun"/>
          <w:color w:val="000000"/>
          <w:sz w:val="24"/>
          <w:szCs w:val="24"/>
          <w:lang w:val="en-GB" w:eastAsia="en-GB"/>
        </w:rPr>
        <w:t xml:space="preserve">Europe has </w:t>
      </w:r>
      <w:r w:rsidRPr="004D765F">
        <w:rPr>
          <w:rFonts w:eastAsia="SimSun"/>
          <w:color w:val="000000"/>
          <w:sz w:val="24"/>
          <w:szCs w:val="24"/>
          <w:lang w:val="en-GB" w:eastAsia="en-GB"/>
        </w:rPr>
        <w:t xml:space="preserve">continued close coordination with TSB on all activities carried out in the </w:t>
      </w:r>
      <w:r>
        <w:rPr>
          <w:rFonts w:eastAsia="SimSun"/>
          <w:color w:val="000000"/>
          <w:sz w:val="24"/>
          <w:szCs w:val="24"/>
          <w:lang w:val="en-GB" w:eastAsia="en-GB"/>
        </w:rPr>
        <w:t xml:space="preserve">Europe </w:t>
      </w:r>
      <w:r w:rsidRPr="004D765F">
        <w:rPr>
          <w:rFonts w:eastAsia="SimSun"/>
          <w:color w:val="000000"/>
          <w:sz w:val="24"/>
          <w:szCs w:val="24"/>
          <w:lang w:val="en-GB" w:eastAsia="en-GB"/>
        </w:rPr>
        <w:t>region.</w:t>
      </w:r>
      <w:r>
        <w:rPr>
          <w:rFonts w:eastAsia="SimSun"/>
          <w:color w:val="000000"/>
          <w:sz w:val="24"/>
          <w:szCs w:val="24"/>
          <w:lang w:val="en-GB" w:eastAsia="en-GB"/>
        </w:rPr>
        <w:t xml:space="preserve"> </w:t>
      </w:r>
      <w:r w:rsidRPr="004D765F">
        <w:rPr>
          <w:rFonts w:eastAsia="SimSun"/>
          <w:color w:val="000000"/>
          <w:sz w:val="24"/>
          <w:szCs w:val="24"/>
          <w:lang w:val="en-GB" w:eastAsia="en-GB"/>
        </w:rPr>
        <w:t>Monthly coordination calls with the TSB Director and TSB Management team have been held. They were supplemented by consultations at the operational level, wherever relevant or needed.</w:t>
      </w:r>
      <w:r>
        <w:rPr>
          <w:rFonts w:eastAsia="SimSun"/>
          <w:color w:val="000000"/>
          <w:sz w:val="24"/>
          <w:szCs w:val="24"/>
          <w:lang w:val="en-GB" w:eastAsia="en-GB"/>
        </w:rPr>
        <w:t xml:space="preserve"> </w:t>
      </w:r>
      <w:r w:rsidRPr="004D765F">
        <w:rPr>
          <w:rFonts w:eastAsia="SimSun"/>
          <w:color w:val="000000"/>
          <w:sz w:val="24"/>
          <w:szCs w:val="24"/>
          <w:lang w:val="en-GB" w:eastAsia="en-GB"/>
        </w:rPr>
        <w:t xml:space="preserve">The following </w:t>
      </w:r>
      <w:r>
        <w:rPr>
          <w:rFonts w:eastAsia="SimSun"/>
          <w:color w:val="000000"/>
          <w:sz w:val="24"/>
          <w:szCs w:val="24"/>
          <w:lang w:val="en-GB" w:eastAsia="en-GB"/>
        </w:rPr>
        <w:t xml:space="preserve">presents the sample of activities have been carried out in close coordination and contribution by TSB: </w:t>
      </w:r>
    </w:p>
    <w:p w14:paraId="380A9001" w14:textId="4301CC3C" w:rsidR="000605B2" w:rsidRDefault="000605B2" w:rsidP="00CA74A0">
      <w:pPr>
        <w:pStyle w:val="ListParagraph"/>
        <w:numPr>
          <w:ilvl w:val="0"/>
          <w:numId w:val="15"/>
        </w:numPr>
        <w:spacing w:before="240"/>
        <w:jc w:val="both"/>
        <w:rPr>
          <w:rFonts w:eastAsia="SimSun"/>
          <w:color w:val="000000"/>
          <w:sz w:val="24"/>
          <w:szCs w:val="24"/>
          <w:lang w:val="en-GB" w:eastAsia="en-GB"/>
        </w:rPr>
      </w:pPr>
      <w:r>
        <w:rPr>
          <w:rFonts w:eastAsia="SimSun"/>
          <w:color w:val="000000"/>
          <w:sz w:val="24"/>
          <w:szCs w:val="24"/>
          <w:lang w:val="en-GB" w:eastAsia="en-GB"/>
        </w:rPr>
        <w:t>Strengthened coordination with UNOPS Serbia leading towards roll out of a special national project focusing on Smart Cities (2022/2023)</w:t>
      </w:r>
    </w:p>
    <w:p w14:paraId="78DA6E62" w14:textId="1E582EDD" w:rsidR="0093183A" w:rsidRDefault="0093183A" w:rsidP="00CA74A0">
      <w:pPr>
        <w:pStyle w:val="ListParagraph"/>
        <w:numPr>
          <w:ilvl w:val="0"/>
          <w:numId w:val="15"/>
        </w:numPr>
        <w:spacing w:before="240"/>
        <w:jc w:val="both"/>
        <w:rPr>
          <w:rFonts w:eastAsia="SimSun"/>
          <w:color w:val="000000"/>
          <w:sz w:val="24"/>
          <w:szCs w:val="24"/>
          <w:lang w:val="en-GB" w:eastAsia="en-GB"/>
        </w:rPr>
      </w:pPr>
      <w:r>
        <w:rPr>
          <w:rFonts w:eastAsia="SimSun"/>
          <w:color w:val="000000"/>
          <w:sz w:val="24"/>
          <w:szCs w:val="24"/>
          <w:lang w:val="en-GB" w:eastAsia="en-GB"/>
        </w:rPr>
        <w:t xml:space="preserve">5G </w:t>
      </w:r>
      <w:proofErr w:type="spellStart"/>
      <w:r>
        <w:rPr>
          <w:rFonts w:eastAsia="SimSun"/>
          <w:color w:val="000000"/>
          <w:sz w:val="24"/>
          <w:szCs w:val="24"/>
          <w:lang w:val="en-GB" w:eastAsia="en-GB"/>
        </w:rPr>
        <w:t>Techritory</w:t>
      </w:r>
      <w:proofErr w:type="spellEnd"/>
      <w:r>
        <w:rPr>
          <w:rFonts w:eastAsia="SimSun"/>
          <w:color w:val="000000"/>
          <w:sz w:val="24"/>
          <w:szCs w:val="24"/>
          <w:lang w:val="en-GB" w:eastAsia="en-GB"/>
        </w:rPr>
        <w:t xml:space="preserve"> (October 2022)</w:t>
      </w:r>
    </w:p>
    <w:p w14:paraId="045ADBA1" w14:textId="1E247CF4" w:rsidR="0093183A" w:rsidRDefault="0093183A" w:rsidP="00CA74A0">
      <w:pPr>
        <w:pStyle w:val="ListParagraph"/>
        <w:numPr>
          <w:ilvl w:val="0"/>
          <w:numId w:val="15"/>
        </w:numPr>
        <w:spacing w:before="240"/>
        <w:jc w:val="both"/>
        <w:rPr>
          <w:rFonts w:eastAsia="SimSun"/>
          <w:color w:val="000000"/>
          <w:sz w:val="24"/>
          <w:szCs w:val="24"/>
          <w:lang w:val="en-GB" w:eastAsia="en-GB"/>
        </w:rPr>
      </w:pPr>
      <w:r>
        <w:rPr>
          <w:rFonts w:eastAsia="SimSun"/>
          <w:color w:val="000000"/>
          <w:sz w:val="24"/>
          <w:szCs w:val="24"/>
          <w:lang w:val="en-GB" w:eastAsia="en-GB"/>
        </w:rPr>
        <w:t>Accessible Europe (December 2022)</w:t>
      </w:r>
    </w:p>
    <w:p w14:paraId="6F12A905" w14:textId="0048CFDC" w:rsidR="00CA74A0" w:rsidRDefault="00CA74A0" w:rsidP="00CA74A0">
      <w:pPr>
        <w:pStyle w:val="ListParagraph"/>
        <w:numPr>
          <w:ilvl w:val="0"/>
          <w:numId w:val="15"/>
        </w:numPr>
        <w:spacing w:before="240"/>
        <w:jc w:val="both"/>
        <w:rPr>
          <w:rFonts w:eastAsia="SimSun"/>
          <w:color w:val="000000"/>
          <w:sz w:val="24"/>
          <w:szCs w:val="24"/>
          <w:lang w:val="en-GB" w:eastAsia="en-GB"/>
        </w:rPr>
      </w:pPr>
      <w:proofErr w:type="spellStart"/>
      <w:r>
        <w:rPr>
          <w:rFonts w:eastAsia="SimSun"/>
          <w:color w:val="000000"/>
          <w:sz w:val="24"/>
          <w:szCs w:val="24"/>
          <w:lang w:val="en-GB" w:eastAsia="en-GB"/>
        </w:rPr>
        <w:t>EaPeReg</w:t>
      </w:r>
      <w:proofErr w:type="spellEnd"/>
      <w:r>
        <w:rPr>
          <w:rFonts w:eastAsia="SimSun"/>
          <w:color w:val="000000"/>
          <w:sz w:val="24"/>
          <w:szCs w:val="24"/>
          <w:lang w:val="en-GB" w:eastAsia="en-GB"/>
        </w:rPr>
        <w:t xml:space="preserve"> workshops on spectrum management and broadband development</w:t>
      </w:r>
      <w:r w:rsidR="0093183A">
        <w:rPr>
          <w:rFonts w:eastAsia="SimSun"/>
          <w:color w:val="000000"/>
          <w:sz w:val="24"/>
          <w:szCs w:val="24"/>
          <w:lang w:val="en-GB" w:eastAsia="en-GB"/>
        </w:rPr>
        <w:t xml:space="preserve"> (March 2023) </w:t>
      </w:r>
    </w:p>
    <w:p w14:paraId="0B14454A" w14:textId="30178ADC" w:rsidR="0093183A" w:rsidRPr="00BC46A3" w:rsidRDefault="00CA74A0" w:rsidP="0093183A">
      <w:pPr>
        <w:pStyle w:val="ListParagraph"/>
        <w:numPr>
          <w:ilvl w:val="0"/>
          <w:numId w:val="15"/>
        </w:numPr>
        <w:spacing w:before="240"/>
        <w:jc w:val="both"/>
        <w:rPr>
          <w:rFonts w:eastAsia="SimSun"/>
          <w:color w:val="000000"/>
          <w:sz w:val="24"/>
          <w:szCs w:val="24"/>
          <w:lang w:val="en-GB" w:eastAsia="en-GB"/>
        </w:rPr>
      </w:pPr>
      <w:r>
        <w:rPr>
          <w:rFonts w:eastAsia="SimSun"/>
          <w:color w:val="000000"/>
          <w:sz w:val="24"/>
          <w:szCs w:val="24"/>
          <w:lang w:val="en-GB" w:eastAsia="en-GB"/>
        </w:rPr>
        <w:t>Strengthened dialogue with the European Commission aiming at identification of areas of cooperation (meeting at EU Delegation</w:t>
      </w:r>
      <w:r w:rsidR="0093183A">
        <w:rPr>
          <w:rFonts w:eastAsia="SimSun"/>
          <w:color w:val="000000"/>
          <w:sz w:val="24"/>
          <w:szCs w:val="24"/>
          <w:lang w:val="en-GB" w:eastAsia="en-GB"/>
        </w:rPr>
        <w:t>, bilateral meetings; April/May 2023</w:t>
      </w:r>
      <w:r>
        <w:rPr>
          <w:rFonts w:eastAsia="SimSun"/>
          <w:color w:val="000000"/>
          <w:sz w:val="24"/>
          <w:szCs w:val="24"/>
          <w:lang w:val="en-GB" w:eastAsia="en-GB"/>
        </w:rPr>
        <w:t xml:space="preserve">) </w:t>
      </w:r>
    </w:p>
    <w:p w14:paraId="62AFEE7A" w14:textId="0A6A9DD6" w:rsidR="00CA74A0" w:rsidRDefault="00CA74A0" w:rsidP="00BC46A3">
      <w:pPr>
        <w:pStyle w:val="ListParagraph"/>
        <w:numPr>
          <w:ilvl w:val="0"/>
          <w:numId w:val="15"/>
        </w:numPr>
        <w:spacing w:before="240"/>
        <w:jc w:val="both"/>
        <w:rPr>
          <w:rFonts w:eastAsia="SimSun"/>
          <w:color w:val="000000"/>
          <w:sz w:val="24"/>
          <w:szCs w:val="24"/>
          <w:lang w:val="en-GB" w:eastAsia="en-GB"/>
        </w:rPr>
      </w:pPr>
      <w:r>
        <w:rPr>
          <w:rFonts w:eastAsia="SimSun"/>
          <w:color w:val="000000"/>
          <w:sz w:val="24"/>
          <w:szCs w:val="24"/>
          <w:lang w:val="en-GB" w:eastAsia="en-GB"/>
        </w:rPr>
        <w:t xml:space="preserve">ITU Regional Development Forum </w:t>
      </w:r>
      <w:r w:rsidR="0093183A">
        <w:rPr>
          <w:rFonts w:eastAsia="SimSun"/>
          <w:color w:val="000000"/>
          <w:sz w:val="24"/>
          <w:szCs w:val="24"/>
          <w:lang w:val="en-GB" w:eastAsia="en-GB"/>
        </w:rPr>
        <w:t xml:space="preserve">(May 2023) </w:t>
      </w:r>
    </w:p>
    <w:p w14:paraId="25BE0DCE" w14:textId="10878448" w:rsidR="00C86F22" w:rsidRPr="00BC46A3" w:rsidRDefault="00C86F22" w:rsidP="00C86F22">
      <w:pPr>
        <w:pStyle w:val="ListParagraph"/>
        <w:spacing w:before="240"/>
        <w:jc w:val="center"/>
        <w:rPr>
          <w:rFonts w:eastAsia="SimSun"/>
          <w:color w:val="000000"/>
          <w:sz w:val="24"/>
          <w:szCs w:val="24"/>
          <w:lang w:val="en-GB" w:eastAsia="en-GB"/>
        </w:rPr>
      </w:pPr>
      <w:r>
        <w:rPr>
          <w:rFonts w:eastAsia="SimSun"/>
          <w:color w:val="000000"/>
          <w:sz w:val="24"/>
          <w:szCs w:val="24"/>
          <w:lang w:val="en-GB" w:eastAsia="en-GB"/>
        </w:rPr>
        <w:t>_______________</w:t>
      </w:r>
    </w:p>
    <w:p w14:paraId="14974E42" w14:textId="77777777" w:rsidR="00CA74A0" w:rsidRPr="00BC46A3" w:rsidRDefault="00CA74A0" w:rsidP="00BC46A3">
      <w:pPr>
        <w:rPr>
          <w:lang w:val="en-GB"/>
        </w:rPr>
      </w:pPr>
    </w:p>
    <w:sectPr w:rsidR="00CA74A0" w:rsidRPr="00BC46A3" w:rsidSect="00B36C6F">
      <w:headerReference w:type="default" r:id="rId19"/>
      <w:footnotePr>
        <w:numFmt w:val="chicago"/>
      </w:footnotePr>
      <w:pgSz w:w="11907" w:h="16840" w:code="9"/>
      <w:pgMar w:top="1134" w:right="1134" w:bottom="1134"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D649C" w14:textId="77777777" w:rsidR="00084E1A" w:rsidRDefault="00084E1A">
      <w:r>
        <w:separator/>
      </w:r>
    </w:p>
  </w:endnote>
  <w:endnote w:type="continuationSeparator" w:id="0">
    <w:p w14:paraId="64421CDC" w14:textId="77777777" w:rsidR="00084E1A" w:rsidRDefault="0008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quot;Courier New&quot;">
    <w:altName w:val="Cambria"/>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C66C8" w14:textId="77777777" w:rsidR="00084E1A" w:rsidRDefault="00084E1A">
      <w:r>
        <w:separator/>
      </w:r>
    </w:p>
  </w:footnote>
  <w:footnote w:type="continuationSeparator" w:id="0">
    <w:p w14:paraId="764A823A" w14:textId="77777777" w:rsidR="00084E1A" w:rsidRDefault="00084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00E4" w14:textId="114DFD7E" w:rsidR="00BE79F5" w:rsidRPr="00B36C6F" w:rsidRDefault="00B36C6F" w:rsidP="00B36C6F">
    <w:pPr>
      <w:pStyle w:val="Header"/>
      <w:jc w:val="center"/>
      <w:rPr>
        <w:sz w:val="18"/>
      </w:rPr>
    </w:pPr>
    <w:r w:rsidRPr="00B36C6F">
      <w:rPr>
        <w:sz w:val="18"/>
      </w:rPr>
      <w:t xml:space="preserve">- </w:t>
    </w:r>
    <w:r w:rsidRPr="00B36C6F">
      <w:rPr>
        <w:sz w:val="18"/>
      </w:rPr>
      <w:fldChar w:fldCharType="begin"/>
    </w:r>
    <w:r w:rsidRPr="00B36C6F">
      <w:rPr>
        <w:sz w:val="18"/>
      </w:rPr>
      <w:instrText xml:space="preserve"> PAGE  \* MERGEFORMAT </w:instrText>
    </w:r>
    <w:r w:rsidRPr="00B36C6F">
      <w:rPr>
        <w:sz w:val="18"/>
      </w:rPr>
      <w:fldChar w:fldCharType="separate"/>
    </w:r>
    <w:r w:rsidRPr="00B36C6F">
      <w:rPr>
        <w:noProof/>
        <w:sz w:val="18"/>
      </w:rPr>
      <w:t>1</w:t>
    </w:r>
    <w:r w:rsidRPr="00B36C6F">
      <w:rPr>
        <w:sz w:val="18"/>
      </w:rPr>
      <w:fldChar w:fldCharType="end"/>
    </w:r>
    <w:r w:rsidRPr="00B36C6F">
      <w:rPr>
        <w:sz w:val="18"/>
      </w:rPr>
      <w:t xml:space="preserve"> -</w:t>
    </w:r>
  </w:p>
  <w:p w14:paraId="12EBAC57" w14:textId="67C2BD84" w:rsidR="00B36C6F" w:rsidRPr="00B36C6F" w:rsidRDefault="00B36C6F" w:rsidP="00B36C6F">
    <w:pPr>
      <w:pStyle w:val="Header"/>
      <w:spacing w:after="240"/>
      <w:jc w:val="center"/>
      <w:rPr>
        <w:sz w:val="18"/>
      </w:rPr>
    </w:pPr>
    <w:r>
      <w:rPr>
        <w:sz w:val="18"/>
      </w:rPr>
      <w:t>TSAG-TD190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3FF"/>
    <w:multiLevelType w:val="hybridMultilevel"/>
    <w:tmpl w:val="F6B2B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70A11"/>
    <w:multiLevelType w:val="hybridMultilevel"/>
    <w:tmpl w:val="E24E5C82"/>
    <w:lvl w:ilvl="0" w:tplc="4D008110">
      <w:start w:val="9"/>
      <w:numFmt w:val="bullet"/>
      <w:lvlText w:val="-"/>
      <w:lvlJc w:val="left"/>
      <w:pPr>
        <w:ind w:left="720" w:hanging="360"/>
      </w:pPr>
      <w:rPr>
        <w:rFonts w:ascii="Times New Roman" w:eastAsia="SimSu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202B2E"/>
    <w:multiLevelType w:val="hybridMultilevel"/>
    <w:tmpl w:val="792E5718"/>
    <w:lvl w:ilvl="0" w:tplc="0809000D">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15:restartNumberingAfterBreak="0">
    <w:nsid w:val="0A35516B"/>
    <w:multiLevelType w:val="hybridMultilevel"/>
    <w:tmpl w:val="5CD6E8B0"/>
    <w:lvl w:ilvl="0" w:tplc="C5CCD8CC">
      <w:start w:val="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2737E"/>
    <w:multiLevelType w:val="hybridMultilevel"/>
    <w:tmpl w:val="F2540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D29BC"/>
    <w:multiLevelType w:val="hybridMultilevel"/>
    <w:tmpl w:val="7A905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653B70"/>
    <w:multiLevelType w:val="hybridMultilevel"/>
    <w:tmpl w:val="D83E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02716"/>
    <w:multiLevelType w:val="hybridMultilevel"/>
    <w:tmpl w:val="F0EE8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3C5998"/>
    <w:multiLevelType w:val="hybridMultilevel"/>
    <w:tmpl w:val="FFFFFFFF"/>
    <w:lvl w:ilvl="0" w:tplc="EEACEDDA">
      <w:start w:val="1"/>
      <w:numFmt w:val="bullet"/>
      <w:lvlText w:val="·"/>
      <w:lvlJc w:val="left"/>
      <w:pPr>
        <w:ind w:left="720" w:hanging="360"/>
      </w:pPr>
      <w:rPr>
        <w:rFonts w:ascii="Symbol" w:hAnsi="Symbol" w:hint="default"/>
      </w:rPr>
    </w:lvl>
    <w:lvl w:ilvl="1" w:tplc="53BA5750">
      <w:start w:val="1"/>
      <w:numFmt w:val="bullet"/>
      <w:lvlText w:val="o"/>
      <w:lvlJc w:val="left"/>
      <w:pPr>
        <w:ind w:left="1440" w:hanging="360"/>
      </w:pPr>
      <w:rPr>
        <w:rFonts w:ascii="&quot;Courier New&quot;" w:hAnsi="&quot;Courier New&quot;" w:hint="default"/>
      </w:rPr>
    </w:lvl>
    <w:lvl w:ilvl="2" w:tplc="F800C34A">
      <w:start w:val="1"/>
      <w:numFmt w:val="bullet"/>
      <w:lvlText w:val=""/>
      <w:lvlJc w:val="left"/>
      <w:pPr>
        <w:ind w:left="2160" w:hanging="360"/>
      </w:pPr>
      <w:rPr>
        <w:rFonts w:ascii="Wingdings" w:hAnsi="Wingdings" w:hint="default"/>
      </w:rPr>
    </w:lvl>
    <w:lvl w:ilvl="3" w:tplc="8F206994">
      <w:start w:val="1"/>
      <w:numFmt w:val="bullet"/>
      <w:lvlText w:val=""/>
      <w:lvlJc w:val="left"/>
      <w:pPr>
        <w:ind w:left="2880" w:hanging="360"/>
      </w:pPr>
      <w:rPr>
        <w:rFonts w:ascii="Symbol" w:hAnsi="Symbol" w:hint="default"/>
      </w:rPr>
    </w:lvl>
    <w:lvl w:ilvl="4" w:tplc="AA309EA0">
      <w:start w:val="1"/>
      <w:numFmt w:val="bullet"/>
      <w:lvlText w:val="o"/>
      <w:lvlJc w:val="left"/>
      <w:pPr>
        <w:ind w:left="3600" w:hanging="360"/>
      </w:pPr>
      <w:rPr>
        <w:rFonts w:ascii="Courier New" w:hAnsi="Courier New" w:hint="default"/>
      </w:rPr>
    </w:lvl>
    <w:lvl w:ilvl="5" w:tplc="EB4A1234">
      <w:start w:val="1"/>
      <w:numFmt w:val="bullet"/>
      <w:lvlText w:val=""/>
      <w:lvlJc w:val="left"/>
      <w:pPr>
        <w:ind w:left="4320" w:hanging="360"/>
      </w:pPr>
      <w:rPr>
        <w:rFonts w:ascii="Wingdings" w:hAnsi="Wingdings" w:hint="default"/>
      </w:rPr>
    </w:lvl>
    <w:lvl w:ilvl="6" w:tplc="D20EE354">
      <w:start w:val="1"/>
      <w:numFmt w:val="bullet"/>
      <w:lvlText w:val=""/>
      <w:lvlJc w:val="left"/>
      <w:pPr>
        <w:ind w:left="5040" w:hanging="360"/>
      </w:pPr>
      <w:rPr>
        <w:rFonts w:ascii="Symbol" w:hAnsi="Symbol" w:hint="default"/>
      </w:rPr>
    </w:lvl>
    <w:lvl w:ilvl="7" w:tplc="A6B29586">
      <w:start w:val="1"/>
      <w:numFmt w:val="bullet"/>
      <w:lvlText w:val="o"/>
      <w:lvlJc w:val="left"/>
      <w:pPr>
        <w:ind w:left="5760" w:hanging="360"/>
      </w:pPr>
      <w:rPr>
        <w:rFonts w:ascii="Courier New" w:hAnsi="Courier New" w:hint="default"/>
      </w:rPr>
    </w:lvl>
    <w:lvl w:ilvl="8" w:tplc="BA54A64A">
      <w:start w:val="1"/>
      <w:numFmt w:val="bullet"/>
      <w:lvlText w:val=""/>
      <w:lvlJc w:val="left"/>
      <w:pPr>
        <w:ind w:left="6480" w:hanging="360"/>
      </w:pPr>
      <w:rPr>
        <w:rFonts w:ascii="Wingdings" w:hAnsi="Wingdings" w:hint="default"/>
      </w:rPr>
    </w:lvl>
  </w:abstractNum>
  <w:abstractNum w:abstractNumId="9" w15:restartNumberingAfterBreak="0">
    <w:nsid w:val="2D1A00E6"/>
    <w:multiLevelType w:val="hybridMultilevel"/>
    <w:tmpl w:val="376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F545EC"/>
    <w:multiLevelType w:val="hybridMultilevel"/>
    <w:tmpl w:val="5C4EA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3D7208"/>
    <w:multiLevelType w:val="hybridMultilevel"/>
    <w:tmpl w:val="9B8CF55E"/>
    <w:lvl w:ilvl="0" w:tplc="D8E68EF4">
      <w:numFmt w:val="bullet"/>
      <w:lvlText w:val=""/>
      <w:lvlJc w:val="left"/>
      <w:pPr>
        <w:ind w:left="720" w:hanging="360"/>
      </w:pPr>
      <w:rPr>
        <w:rFonts w:ascii="Symbol" w:eastAsia="Times New Roman" w:hAnsi="Symbol" w:cs="Segoe U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943D52"/>
    <w:multiLevelType w:val="hybridMultilevel"/>
    <w:tmpl w:val="6010B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0E0303"/>
    <w:multiLevelType w:val="hybridMultilevel"/>
    <w:tmpl w:val="FFFFFFFF"/>
    <w:lvl w:ilvl="0" w:tplc="82580DEA">
      <w:start w:val="1"/>
      <w:numFmt w:val="bullet"/>
      <w:lvlText w:val="·"/>
      <w:lvlJc w:val="left"/>
      <w:pPr>
        <w:ind w:left="720" w:hanging="360"/>
      </w:pPr>
      <w:rPr>
        <w:rFonts w:ascii="Symbol" w:hAnsi="Symbol" w:hint="default"/>
      </w:rPr>
    </w:lvl>
    <w:lvl w:ilvl="1" w:tplc="3B86D650">
      <w:start w:val="1"/>
      <w:numFmt w:val="bullet"/>
      <w:lvlText w:val="o"/>
      <w:lvlJc w:val="left"/>
      <w:pPr>
        <w:ind w:left="1440" w:hanging="360"/>
      </w:pPr>
      <w:rPr>
        <w:rFonts w:ascii="&quot;Courier New&quot;" w:hAnsi="&quot;Courier New&quot;" w:hint="default"/>
      </w:rPr>
    </w:lvl>
    <w:lvl w:ilvl="2" w:tplc="66460FAA">
      <w:start w:val="1"/>
      <w:numFmt w:val="bullet"/>
      <w:lvlText w:val=""/>
      <w:lvlJc w:val="left"/>
      <w:pPr>
        <w:ind w:left="2160" w:hanging="360"/>
      </w:pPr>
      <w:rPr>
        <w:rFonts w:ascii="Wingdings" w:hAnsi="Wingdings" w:hint="default"/>
      </w:rPr>
    </w:lvl>
    <w:lvl w:ilvl="3" w:tplc="5776B988">
      <w:start w:val="1"/>
      <w:numFmt w:val="bullet"/>
      <w:lvlText w:val=""/>
      <w:lvlJc w:val="left"/>
      <w:pPr>
        <w:ind w:left="2880" w:hanging="360"/>
      </w:pPr>
      <w:rPr>
        <w:rFonts w:ascii="Symbol" w:hAnsi="Symbol" w:hint="default"/>
      </w:rPr>
    </w:lvl>
    <w:lvl w:ilvl="4" w:tplc="0B24D91C">
      <w:start w:val="1"/>
      <w:numFmt w:val="bullet"/>
      <w:lvlText w:val="o"/>
      <w:lvlJc w:val="left"/>
      <w:pPr>
        <w:ind w:left="3600" w:hanging="360"/>
      </w:pPr>
      <w:rPr>
        <w:rFonts w:ascii="Courier New" w:hAnsi="Courier New" w:hint="default"/>
      </w:rPr>
    </w:lvl>
    <w:lvl w:ilvl="5" w:tplc="9E860004">
      <w:start w:val="1"/>
      <w:numFmt w:val="bullet"/>
      <w:lvlText w:val=""/>
      <w:lvlJc w:val="left"/>
      <w:pPr>
        <w:ind w:left="4320" w:hanging="360"/>
      </w:pPr>
      <w:rPr>
        <w:rFonts w:ascii="Wingdings" w:hAnsi="Wingdings" w:hint="default"/>
      </w:rPr>
    </w:lvl>
    <w:lvl w:ilvl="6" w:tplc="0A581AEE">
      <w:start w:val="1"/>
      <w:numFmt w:val="bullet"/>
      <w:lvlText w:val=""/>
      <w:lvlJc w:val="left"/>
      <w:pPr>
        <w:ind w:left="5040" w:hanging="360"/>
      </w:pPr>
      <w:rPr>
        <w:rFonts w:ascii="Symbol" w:hAnsi="Symbol" w:hint="default"/>
      </w:rPr>
    </w:lvl>
    <w:lvl w:ilvl="7" w:tplc="882C6894">
      <w:start w:val="1"/>
      <w:numFmt w:val="bullet"/>
      <w:lvlText w:val="o"/>
      <w:lvlJc w:val="left"/>
      <w:pPr>
        <w:ind w:left="5760" w:hanging="360"/>
      </w:pPr>
      <w:rPr>
        <w:rFonts w:ascii="Courier New" w:hAnsi="Courier New" w:hint="default"/>
      </w:rPr>
    </w:lvl>
    <w:lvl w:ilvl="8" w:tplc="6E86A11A">
      <w:start w:val="1"/>
      <w:numFmt w:val="bullet"/>
      <w:lvlText w:val=""/>
      <w:lvlJc w:val="left"/>
      <w:pPr>
        <w:ind w:left="6480" w:hanging="360"/>
      </w:pPr>
      <w:rPr>
        <w:rFonts w:ascii="Wingdings" w:hAnsi="Wingdings" w:hint="default"/>
      </w:rPr>
    </w:lvl>
  </w:abstractNum>
  <w:abstractNum w:abstractNumId="14" w15:restartNumberingAfterBreak="0">
    <w:nsid w:val="6DFD44B6"/>
    <w:multiLevelType w:val="hybridMultilevel"/>
    <w:tmpl w:val="692C1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2735845">
    <w:abstractNumId w:val="9"/>
  </w:num>
  <w:num w:numId="2" w16cid:durableId="985816217">
    <w:abstractNumId w:val="4"/>
  </w:num>
  <w:num w:numId="3" w16cid:durableId="754325934">
    <w:abstractNumId w:val="11"/>
  </w:num>
  <w:num w:numId="4" w16cid:durableId="689457043">
    <w:abstractNumId w:val="3"/>
  </w:num>
  <w:num w:numId="5" w16cid:durableId="177352311">
    <w:abstractNumId w:val="2"/>
  </w:num>
  <w:num w:numId="6" w16cid:durableId="1241988764">
    <w:abstractNumId w:val="10"/>
  </w:num>
  <w:num w:numId="7" w16cid:durableId="684944800">
    <w:abstractNumId w:val="12"/>
  </w:num>
  <w:num w:numId="8" w16cid:durableId="1771270556">
    <w:abstractNumId w:val="5"/>
  </w:num>
  <w:num w:numId="9" w16cid:durableId="858350636">
    <w:abstractNumId w:val="7"/>
  </w:num>
  <w:num w:numId="10" w16cid:durableId="1218666691">
    <w:abstractNumId w:val="0"/>
  </w:num>
  <w:num w:numId="11" w16cid:durableId="1017855874">
    <w:abstractNumId w:val="14"/>
  </w:num>
  <w:num w:numId="12" w16cid:durableId="348289301">
    <w:abstractNumId w:val="8"/>
  </w:num>
  <w:num w:numId="13" w16cid:durableId="1637953434">
    <w:abstractNumId w:val="13"/>
  </w:num>
  <w:num w:numId="14" w16cid:durableId="1726634389">
    <w:abstractNumId w:val="6"/>
  </w:num>
  <w:num w:numId="15" w16cid:durableId="202801695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QwNjIyNrOwMDE3NjNV0lEKTi0uzszPAykwrAUAuloD0SwAAAA="/>
  </w:docVars>
  <w:rsids>
    <w:rsidRoot w:val="002D6891"/>
    <w:rsid w:val="00000B93"/>
    <w:rsid w:val="00000D1C"/>
    <w:rsid w:val="00001DA0"/>
    <w:rsid w:val="000121BA"/>
    <w:rsid w:val="00017BCD"/>
    <w:rsid w:val="000210D4"/>
    <w:rsid w:val="000274DD"/>
    <w:rsid w:val="00030FC0"/>
    <w:rsid w:val="000310D2"/>
    <w:rsid w:val="00031E13"/>
    <w:rsid w:val="000327CB"/>
    <w:rsid w:val="000354CC"/>
    <w:rsid w:val="00036658"/>
    <w:rsid w:val="00037933"/>
    <w:rsid w:val="00037B2B"/>
    <w:rsid w:val="00037B58"/>
    <w:rsid w:val="00041840"/>
    <w:rsid w:val="00043BB8"/>
    <w:rsid w:val="00043C3B"/>
    <w:rsid w:val="0004440F"/>
    <w:rsid w:val="00046F1B"/>
    <w:rsid w:val="00047843"/>
    <w:rsid w:val="00050497"/>
    <w:rsid w:val="00050810"/>
    <w:rsid w:val="0005135B"/>
    <w:rsid w:val="000521D6"/>
    <w:rsid w:val="000605B2"/>
    <w:rsid w:val="000617CF"/>
    <w:rsid w:val="0006489F"/>
    <w:rsid w:val="000649D6"/>
    <w:rsid w:val="000707BD"/>
    <w:rsid w:val="00071021"/>
    <w:rsid w:val="00071F73"/>
    <w:rsid w:val="000765D1"/>
    <w:rsid w:val="000813EB"/>
    <w:rsid w:val="00082ACE"/>
    <w:rsid w:val="0008409F"/>
    <w:rsid w:val="00084ABF"/>
    <w:rsid w:val="00084E1A"/>
    <w:rsid w:val="000879EF"/>
    <w:rsid w:val="00090B89"/>
    <w:rsid w:val="00096B34"/>
    <w:rsid w:val="0009713E"/>
    <w:rsid w:val="00097D43"/>
    <w:rsid w:val="000A6C07"/>
    <w:rsid w:val="000B1999"/>
    <w:rsid w:val="000B1A15"/>
    <w:rsid w:val="000B2675"/>
    <w:rsid w:val="000B3E10"/>
    <w:rsid w:val="000C150E"/>
    <w:rsid w:val="000C20BC"/>
    <w:rsid w:val="000C3099"/>
    <w:rsid w:val="000C30AE"/>
    <w:rsid w:val="000C52BB"/>
    <w:rsid w:val="000C6F1C"/>
    <w:rsid w:val="000C7EEA"/>
    <w:rsid w:val="000E0967"/>
    <w:rsid w:val="000E1518"/>
    <w:rsid w:val="000F161E"/>
    <w:rsid w:val="000F5741"/>
    <w:rsid w:val="001020B8"/>
    <w:rsid w:val="00104E4F"/>
    <w:rsid w:val="00115AAB"/>
    <w:rsid w:val="00116BF1"/>
    <w:rsid w:val="001235E9"/>
    <w:rsid w:val="00133853"/>
    <w:rsid w:val="00133ED9"/>
    <w:rsid w:val="0013401E"/>
    <w:rsid w:val="00136158"/>
    <w:rsid w:val="00145591"/>
    <w:rsid w:val="00145639"/>
    <w:rsid w:val="00146B8A"/>
    <w:rsid w:val="00153EE1"/>
    <w:rsid w:val="00156F43"/>
    <w:rsid w:val="00165841"/>
    <w:rsid w:val="001701BE"/>
    <w:rsid w:val="0017032A"/>
    <w:rsid w:val="001706AA"/>
    <w:rsid w:val="00173094"/>
    <w:rsid w:val="001738A2"/>
    <w:rsid w:val="001741D8"/>
    <w:rsid w:val="00181012"/>
    <w:rsid w:val="00183FD2"/>
    <w:rsid w:val="001855E7"/>
    <w:rsid w:val="00187BE4"/>
    <w:rsid w:val="001952ED"/>
    <w:rsid w:val="001A3613"/>
    <w:rsid w:val="001A65B0"/>
    <w:rsid w:val="001B11E9"/>
    <w:rsid w:val="001B2058"/>
    <w:rsid w:val="001B65AA"/>
    <w:rsid w:val="001B78F9"/>
    <w:rsid w:val="001C35C9"/>
    <w:rsid w:val="001C3F07"/>
    <w:rsid w:val="001C449E"/>
    <w:rsid w:val="001C6B87"/>
    <w:rsid w:val="001D0CF4"/>
    <w:rsid w:val="001E0480"/>
    <w:rsid w:val="001E1043"/>
    <w:rsid w:val="001E56DF"/>
    <w:rsid w:val="001E74D0"/>
    <w:rsid w:val="001F089D"/>
    <w:rsid w:val="001F098C"/>
    <w:rsid w:val="001F0AA6"/>
    <w:rsid w:val="001F2266"/>
    <w:rsid w:val="001F2D68"/>
    <w:rsid w:val="001F43C6"/>
    <w:rsid w:val="001F4CC0"/>
    <w:rsid w:val="001F5003"/>
    <w:rsid w:val="002044DE"/>
    <w:rsid w:val="00206118"/>
    <w:rsid w:val="00212DF7"/>
    <w:rsid w:val="00215DBF"/>
    <w:rsid w:val="00216E2D"/>
    <w:rsid w:val="00220A85"/>
    <w:rsid w:val="00220C61"/>
    <w:rsid w:val="002228F6"/>
    <w:rsid w:val="00224BA0"/>
    <w:rsid w:val="0022547D"/>
    <w:rsid w:val="00225A58"/>
    <w:rsid w:val="00233899"/>
    <w:rsid w:val="002357E6"/>
    <w:rsid w:val="00236305"/>
    <w:rsid w:val="00237906"/>
    <w:rsid w:val="002430EF"/>
    <w:rsid w:val="0024457A"/>
    <w:rsid w:val="00244836"/>
    <w:rsid w:val="00246B81"/>
    <w:rsid w:val="00247628"/>
    <w:rsid w:val="00253710"/>
    <w:rsid w:val="002542A2"/>
    <w:rsid w:val="002633F4"/>
    <w:rsid w:val="00263F3F"/>
    <w:rsid w:val="00272623"/>
    <w:rsid w:val="00272FAB"/>
    <w:rsid w:val="00274CA2"/>
    <w:rsid w:val="00281E7C"/>
    <w:rsid w:val="002822F7"/>
    <w:rsid w:val="002823BE"/>
    <w:rsid w:val="002844F2"/>
    <w:rsid w:val="00285B98"/>
    <w:rsid w:val="00295038"/>
    <w:rsid w:val="00296372"/>
    <w:rsid w:val="00296D1B"/>
    <w:rsid w:val="002A3877"/>
    <w:rsid w:val="002A4E7A"/>
    <w:rsid w:val="002B4D84"/>
    <w:rsid w:val="002B5D89"/>
    <w:rsid w:val="002C41DC"/>
    <w:rsid w:val="002C710D"/>
    <w:rsid w:val="002D02C6"/>
    <w:rsid w:val="002D16D3"/>
    <w:rsid w:val="002D2EB7"/>
    <w:rsid w:val="002D2F8D"/>
    <w:rsid w:val="002D34A2"/>
    <w:rsid w:val="002D60B6"/>
    <w:rsid w:val="002D6891"/>
    <w:rsid w:val="002E0999"/>
    <w:rsid w:val="002E14B3"/>
    <w:rsid w:val="002E25BA"/>
    <w:rsid w:val="002E430D"/>
    <w:rsid w:val="002E46D1"/>
    <w:rsid w:val="002E5198"/>
    <w:rsid w:val="002F7DAC"/>
    <w:rsid w:val="00300277"/>
    <w:rsid w:val="00301101"/>
    <w:rsid w:val="0030369B"/>
    <w:rsid w:val="003044C8"/>
    <w:rsid w:val="00305558"/>
    <w:rsid w:val="00305B49"/>
    <w:rsid w:val="00306FD5"/>
    <w:rsid w:val="00311075"/>
    <w:rsid w:val="00314A5D"/>
    <w:rsid w:val="00322D03"/>
    <w:rsid w:val="003242C5"/>
    <w:rsid w:val="00332A0A"/>
    <w:rsid w:val="0033335F"/>
    <w:rsid w:val="00336B67"/>
    <w:rsid w:val="003371D3"/>
    <w:rsid w:val="003402DB"/>
    <w:rsid w:val="003466DC"/>
    <w:rsid w:val="00357BF0"/>
    <w:rsid w:val="00370B7E"/>
    <w:rsid w:val="00371F39"/>
    <w:rsid w:val="00374294"/>
    <w:rsid w:val="0037534E"/>
    <w:rsid w:val="003771C8"/>
    <w:rsid w:val="003822BB"/>
    <w:rsid w:val="0038512B"/>
    <w:rsid w:val="00391165"/>
    <w:rsid w:val="003920FE"/>
    <w:rsid w:val="00394370"/>
    <w:rsid w:val="003A0FDC"/>
    <w:rsid w:val="003A245E"/>
    <w:rsid w:val="003A2CDE"/>
    <w:rsid w:val="003A3099"/>
    <w:rsid w:val="003A79E8"/>
    <w:rsid w:val="003C5852"/>
    <w:rsid w:val="003D4718"/>
    <w:rsid w:val="003D6D8F"/>
    <w:rsid w:val="003E1EBD"/>
    <w:rsid w:val="003E590B"/>
    <w:rsid w:val="003E655E"/>
    <w:rsid w:val="003F50D8"/>
    <w:rsid w:val="003F5AE6"/>
    <w:rsid w:val="003F6331"/>
    <w:rsid w:val="003F65BF"/>
    <w:rsid w:val="00401904"/>
    <w:rsid w:val="00401F10"/>
    <w:rsid w:val="0040286A"/>
    <w:rsid w:val="00405FF0"/>
    <w:rsid w:val="00413A69"/>
    <w:rsid w:val="00414190"/>
    <w:rsid w:val="00417288"/>
    <w:rsid w:val="00417E5D"/>
    <w:rsid w:val="00420D28"/>
    <w:rsid w:val="00420EB1"/>
    <w:rsid w:val="00421013"/>
    <w:rsid w:val="00422C1F"/>
    <w:rsid w:val="004321A4"/>
    <w:rsid w:val="004336C6"/>
    <w:rsid w:val="00450305"/>
    <w:rsid w:val="004534DA"/>
    <w:rsid w:val="00453D65"/>
    <w:rsid w:val="004541FA"/>
    <w:rsid w:val="00454769"/>
    <w:rsid w:val="0045497B"/>
    <w:rsid w:val="0047001E"/>
    <w:rsid w:val="00473857"/>
    <w:rsid w:val="00477AC4"/>
    <w:rsid w:val="004833A5"/>
    <w:rsid w:val="0048452C"/>
    <w:rsid w:val="00487231"/>
    <w:rsid w:val="00487441"/>
    <w:rsid w:val="00493A97"/>
    <w:rsid w:val="00494672"/>
    <w:rsid w:val="00496E0D"/>
    <w:rsid w:val="004A0964"/>
    <w:rsid w:val="004A570C"/>
    <w:rsid w:val="004A7578"/>
    <w:rsid w:val="004B16BF"/>
    <w:rsid w:val="004B1D26"/>
    <w:rsid w:val="004B76E0"/>
    <w:rsid w:val="004B7AD8"/>
    <w:rsid w:val="004C1182"/>
    <w:rsid w:val="004C23A3"/>
    <w:rsid w:val="004C4C78"/>
    <w:rsid w:val="004C53EF"/>
    <w:rsid w:val="004C630F"/>
    <w:rsid w:val="004C7B58"/>
    <w:rsid w:val="004C7D99"/>
    <w:rsid w:val="004D1BF6"/>
    <w:rsid w:val="004D31BA"/>
    <w:rsid w:val="004E49F8"/>
    <w:rsid w:val="004E4AE9"/>
    <w:rsid w:val="004E610D"/>
    <w:rsid w:val="004E62A5"/>
    <w:rsid w:val="004F477B"/>
    <w:rsid w:val="004F5693"/>
    <w:rsid w:val="004F76A3"/>
    <w:rsid w:val="004F770B"/>
    <w:rsid w:val="00503796"/>
    <w:rsid w:val="00503B08"/>
    <w:rsid w:val="00504417"/>
    <w:rsid w:val="0050579B"/>
    <w:rsid w:val="00505A0F"/>
    <w:rsid w:val="00506E3F"/>
    <w:rsid w:val="00507AF9"/>
    <w:rsid w:val="00515513"/>
    <w:rsid w:val="00515C99"/>
    <w:rsid w:val="00515EDB"/>
    <w:rsid w:val="00516166"/>
    <w:rsid w:val="005239FA"/>
    <w:rsid w:val="0052754F"/>
    <w:rsid w:val="00530D8F"/>
    <w:rsid w:val="0053248B"/>
    <w:rsid w:val="0053452B"/>
    <w:rsid w:val="00545041"/>
    <w:rsid w:val="0054704E"/>
    <w:rsid w:val="00552207"/>
    <w:rsid w:val="00552858"/>
    <w:rsid w:val="00560C43"/>
    <w:rsid w:val="00560E94"/>
    <w:rsid w:val="00563068"/>
    <w:rsid w:val="00563D6C"/>
    <w:rsid w:val="00563ED0"/>
    <w:rsid w:val="00564FAE"/>
    <w:rsid w:val="00567607"/>
    <w:rsid w:val="00572469"/>
    <w:rsid w:val="00574B37"/>
    <w:rsid w:val="005756A2"/>
    <w:rsid w:val="005761E9"/>
    <w:rsid w:val="0057744B"/>
    <w:rsid w:val="005802FA"/>
    <w:rsid w:val="005809C1"/>
    <w:rsid w:val="005816C9"/>
    <w:rsid w:val="0058190B"/>
    <w:rsid w:val="0058263E"/>
    <w:rsid w:val="00583479"/>
    <w:rsid w:val="005840A5"/>
    <w:rsid w:val="00584BCA"/>
    <w:rsid w:val="00584CD0"/>
    <w:rsid w:val="00593E76"/>
    <w:rsid w:val="005969E5"/>
    <w:rsid w:val="005A027B"/>
    <w:rsid w:val="005A45CE"/>
    <w:rsid w:val="005B0BEC"/>
    <w:rsid w:val="005B14F7"/>
    <w:rsid w:val="005B3B4D"/>
    <w:rsid w:val="005C07AB"/>
    <w:rsid w:val="005C180C"/>
    <w:rsid w:val="005C3BE0"/>
    <w:rsid w:val="005D1258"/>
    <w:rsid w:val="005E018D"/>
    <w:rsid w:val="005E07D4"/>
    <w:rsid w:val="005E1863"/>
    <w:rsid w:val="005E4FBC"/>
    <w:rsid w:val="005F1541"/>
    <w:rsid w:val="005F6E5B"/>
    <w:rsid w:val="006001C3"/>
    <w:rsid w:val="00600A9E"/>
    <w:rsid w:val="006014F9"/>
    <w:rsid w:val="0060323E"/>
    <w:rsid w:val="006055AC"/>
    <w:rsid w:val="00606B9B"/>
    <w:rsid w:val="006127DA"/>
    <w:rsid w:val="00612837"/>
    <w:rsid w:val="00615BDD"/>
    <w:rsid w:val="00620799"/>
    <w:rsid w:val="006338B6"/>
    <w:rsid w:val="00635BCD"/>
    <w:rsid w:val="00636650"/>
    <w:rsid w:val="00636955"/>
    <w:rsid w:val="0064011D"/>
    <w:rsid w:val="006404C5"/>
    <w:rsid w:val="0064051E"/>
    <w:rsid w:val="00643C9B"/>
    <w:rsid w:val="006613CC"/>
    <w:rsid w:val="006617AA"/>
    <w:rsid w:val="00662901"/>
    <w:rsid w:val="00663953"/>
    <w:rsid w:val="00663E6E"/>
    <w:rsid w:val="0066522B"/>
    <w:rsid w:val="00666274"/>
    <w:rsid w:val="00666464"/>
    <w:rsid w:val="00672202"/>
    <w:rsid w:val="00673303"/>
    <w:rsid w:val="006735FD"/>
    <w:rsid w:val="00674E08"/>
    <w:rsid w:val="006759B6"/>
    <w:rsid w:val="00676440"/>
    <w:rsid w:val="00683285"/>
    <w:rsid w:val="00684DF4"/>
    <w:rsid w:val="006878FA"/>
    <w:rsid w:val="0069273B"/>
    <w:rsid w:val="00693354"/>
    <w:rsid w:val="0069478C"/>
    <w:rsid w:val="00695D42"/>
    <w:rsid w:val="006962A4"/>
    <w:rsid w:val="00696DBF"/>
    <w:rsid w:val="00696EAB"/>
    <w:rsid w:val="006A1459"/>
    <w:rsid w:val="006A1954"/>
    <w:rsid w:val="006A1D7E"/>
    <w:rsid w:val="006A236A"/>
    <w:rsid w:val="006A2371"/>
    <w:rsid w:val="006B138A"/>
    <w:rsid w:val="006B2886"/>
    <w:rsid w:val="006B312C"/>
    <w:rsid w:val="006B3F77"/>
    <w:rsid w:val="006C572E"/>
    <w:rsid w:val="006C6C97"/>
    <w:rsid w:val="006D031E"/>
    <w:rsid w:val="006D0704"/>
    <w:rsid w:val="006D1C94"/>
    <w:rsid w:val="006D3891"/>
    <w:rsid w:val="006D77F4"/>
    <w:rsid w:val="006E16DA"/>
    <w:rsid w:val="006E3474"/>
    <w:rsid w:val="006E72BD"/>
    <w:rsid w:val="006F301A"/>
    <w:rsid w:val="006F51AF"/>
    <w:rsid w:val="006F61EB"/>
    <w:rsid w:val="0070056A"/>
    <w:rsid w:val="00703D1B"/>
    <w:rsid w:val="007054CC"/>
    <w:rsid w:val="00705DDA"/>
    <w:rsid w:val="0071066E"/>
    <w:rsid w:val="00711257"/>
    <w:rsid w:val="00715FB6"/>
    <w:rsid w:val="007202D8"/>
    <w:rsid w:val="00722013"/>
    <w:rsid w:val="00723D1B"/>
    <w:rsid w:val="00726E88"/>
    <w:rsid w:val="007274A7"/>
    <w:rsid w:val="00731B80"/>
    <w:rsid w:val="00736A1E"/>
    <w:rsid w:val="00752C67"/>
    <w:rsid w:val="007567B8"/>
    <w:rsid w:val="00760434"/>
    <w:rsid w:val="00764BB5"/>
    <w:rsid w:val="007668A7"/>
    <w:rsid w:val="00767E07"/>
    <w:rsid w:val="00771259"/>
    <w:rsid w:val="007730B6"/>
    <w:rsid w:val="007740AB"/>
    <w:rsid w:val="0077478D"/>
    <w:rsid w:val="0077793A"/>
    <w:rsid w:val="00780B4D"/>
    <w:rsid w:val="00781F90"/>
    <w:rsid w:val="007849B7"/>
    <w:rsid w:val="0078589F"/>
    <w:rsid w:val="00785E0E"/>
    <w:rsid w:val="00790061"/>
    <w:rsid w:val="007918DD"/>
    <w:rsid w:val="00795818"/>
    <w:rsid w:val="007A1877"/>
    <w:rsid w:val="007A3151"/>
    <w:rsid w:val="007A4908"/>
    <w:rsid w:val="007A4F5E"/>
    <w:rsid w:val="007B232E"/>
    <w:rsid w:val="007B26FB"/>
    <w:rsid w:val="007B2EAB"/>
    <w:rsid w:val="007B5A31"/>
    <w:rsid w:val="007C0EF5"/>
    <w:rsid w:val="007C1527"/>
    <w:rsid w:val="007C26CE"/>
    <w:rsid w:val="007C3B57"/>
    <w:rsid w:val="007C3BB0"/>
    <w:rsid w:val="007C5FD3"/>
    <w:rsid w:val="007C7405"/>
    <w:rsid w:val="007D1058"/>
    <w:rsid w:val="007D130B"/>
    <w:rsid w:val="007D19F6"/>
    <w:rsid w:val="007D58E7"/>
    <w:rsid w:val="007D7BA6"/>
    <w:rsid w:val="007E113F"/>
    <w:rsid w:val="007E16CC"/>
    <w:rsid w:val="007E1ADD"/>
    <w:rsid w:val="007E44F9"/>
    <w:rsid w:val="007E4B3F"/>
    <w:rsid w:val="007E7D22"/>
    <w:rsid w:val="007F178A"/>
    <w:rsid w:val="007F30D9"/>
    <w:rsid w:val="007F416B"/>
    <w:rsid w:val="00800534"/>
    <w:rsid w:val="00804F84"/>
    <w:rsid w:val="00810169"/>
    <w:rsid w:val="0081298C"/>
    <w:rsid w:val="00812EA5"/>
    <w:rsid w:val="00816435"/>
    <w:rsid w:val="00820D1B"/>
    <w:rsid w:val="00820D2C"/>
    <w:rsid w:val="008211FA"/>
    <w:rsid w:val="008214B6"/>
    <w:rsid w:val="00822EEF"/>
    <w:rsid w:val="00824F5D"/>
    <w:rsid w:val="00827B71"/>
    <w:rsid w:val="008312A6"/>
    <w:rsid w:val="00831C46"/>
    <w:rsid w:val="00837A19"/>
    <w:rsid w:val="0084066E"/>
    <w:rsid w:val="00840922"/>
    <w:rsid w:val="00844759"/>
    <w:rsid w:val="00844DBB"/>
    <w:rsid w:val="008460D3"/>
    <w:rsid w:val="008506C4"/>
    <w:rsid w:val="00855682"/>
    <w:rsid w:val="00857CD5"/>
    <w:rsid w:val="008605BA"/>
    <w:rsid w:val="00862242"/>
    <w:rsid w:val="00867D81"/>
    <w:rsid w:val="00870A26"/>
    <w:rsid w:val="00872960"/>
    <w:rsid w:val="00876666"/>
    <w:rsid w:val="00880F20"/>
    <w:rsid w:val="00881396"/>
    <w:rsid w:val="00882201"/>
    <w:rsid w:val="0088362C"/>
    <w:rsid w:val="008846EB"/>
    <w:rsid w:val="00890C86"/>
    <w:rsid w:val="008931BC"/>
    <w:rsid w:val="00895490"/>
    <w:rsid w:val="008A3A83"/>
    <w:rsid w:val="008A5029"/>
    <w:rsid w:val="008A5233"/>
    <w:rsid w:val="008A629C"/>
    <w:rsid w:val="008A7E92"/>
    <w:rsid w:val="008C782D"/>
    <w:rsid w:val="008D2C40"/>
    <w:rsid w:val="008D3CEA"/>
    <w:rsid w:val="008E07DA"/>
    <w:rsid w:val="008E1DB1"/>
    <w:rsid w:val="008E6676"/>
    <w:rsid w:val="00901933"/>
    <w:rsid w:val="009075D7"/>
    <w:rsid w:val="00911DAD"/>
    <w:rsid w:val="00912F2B"/>
    <w:rsid w:val="00913170"/>
    <w:rsid w:val="00913D7C"/>
    <w:rsid w:val="00914C9E"/>
    <w:rsid w:val="009208C0"/>
    <w:rsid w:val="00922F86"/>
    <w:rsid w:val="009233C0"/>
    <w:rsid w:val="00925212"/>
    <w:rsid w:val="009260F8"/>
    <w:rsid w:val="00927B93"/>
    <w:rsid w:val="0093030A"/>
    <w:rsid w:val="00930606"/>
    <w:rsid w:val="0093183A"/>
    <w:rsid w:val="009324FE"/>
    <w:rsid w:val="00932B12"/>
    <w:rsid w:val="0093303C"/>
    <w:rsid w:val="0093390C"/>
    <w:rsid w:val="009437B1"/>
    <w:rsid w:val="00943B02"/>
    <w:rsid w:val="009459B2"/>
    <w:rsid w:val="0095038D"/>
    <w:rsid w:val="009527D4"/>
    <w:rsid w:val="009537F3"/>
    <w:rsid w:val="009545D8"/>
    <w:rsid w:val="009562BC"/>
    <w:rsid w:val="009570DB"/>
    <w:rsid w:val="00960F43"/>
    <w:rsid w:val="00962EA2"/>
    <w:rsid w:val="009733F9"/>
    <w:rsid w:val="00980363"/>
    <w:rsid w:val="00982979"/>
    <w:rsid w:val="00983ABF"/>
    <w:rsid w:val="009905C9"/>
    <w:rsid w:val="00992161"/>
    <w:rsid w:val="00993C2C"/>
    <w:rsid w:val="00994C60"/>
    <w:rsid w:val="009A446B"/>
    <w:rsid w:val="009A4CFA"/>
    <w:rsid w:val="009A53D7"/>
    <w:rsid w:val="009A6A21"/>
    <w:rsid w:val="009B3B96"/>
    <w:rsid w:val="009B3FFE"/>
    <w:rsid w:val="009B4D49"/>
    <w:rsid w:val="009B562E"/>
    <w:rsid w:val="009B7455"/>
    <w:rsid w:val="009B774F"/>
    <w:rsid w:val="009C1CFB"/>
    <w:rsid w:val="009D3B7E"/>
    <w:rsid w:val="009D457A"/>
    <w:rsid w:val="009E05FD"/>
    <w:rsid w:val="009E3422"/>
    <w:rsid w:val="009E3B66"/>
    <w:rsid w:val="009F1E81"/>
    <w:rsid w:val="009F373D"/>
    <w:rsid w:val="00A01206"/>
    <w:rsid w:val="00A04E15"/>
    <w:rsid w:val="00A120FE"/>
    <w:rsid w:val="00A12AAE"/>
    <w:rsid w:val="00A12B3A"/>
    <w:rsid w:val="00A15010"/>
    <w:rsid w:val="00A15EB8"/>
    <w:rsid w:val="00A21825"/>
    <w:rsid w:val="00A31D0D"/>
    <w:rsid w:val="00A42339"/>
    <w:rsid w:val="00A437B0"/>
    <w:rsid w:val="00A449D4"/>
    <w:rsid w:val="00A46414"/>
    <w:rsid w:val="00A46BE8"/>
    <w:rsid w:val="00A47F75"/>
    <w:rsid w:val="00A51E80"/>
    <w:rsid w:val="00A5212B"/>
    <w:rsid w:val="00A56E18"/>
    <w:rsid w:val="00A61F50"/>
    <w:rsid w:val="00A63806"/>
    <w:rsid w:val="00A7389F"/>
    <w:rsid w:val="00A73909"/>
    <w:rsid w:val="00A842A1"/>
    <w:rsid w:val="00A867AA"/>
    <w:rsid w:val="00A96E75"/>
    <w:rsid w:val="00A97E5E"/>
    <w:rsid w:val="00AA1B81"/>
    <w:rsid w:val="00AA6B2B"/>
    <w:rsid w:val="00AB12A4"/>
    <w:rsid w:val="00AB191E"/>
    <w:rsid w:val="00AB2955"/>
    <w:rsid w:val="00AB2B9F"/>
    <w:rsid w:val="00AB42B5"/>
    <w:rsid w:val="00AB43D8"/>
    <w:rsid w:val="00AB48E3"/>
    <w:rsid w:val="00AB6A4D"/>
    <w:rsid w:val="00AC119E"/>
    <w:rsid w:val="00AC37A8"/>
    <w:rsid w:val="00AC6A17"/>
    <w:rsid w:val="00AD1622"/>
    <w:rsid w:val="00AD3416"/>
    <w:rsid w:val="00AD35B2"/>
    <w:rsid w:val="00AD3CBA"/>
    <w:rsid w:val="00AE02E0"/>
    <w:rsid w:val="00AE3C4D"/>
    <w:rsid w:val="00AE76EB"/>
    <w:rsid w:val="00B00D2C"/>
    <w:rsid w:val="00B03B73"/>
    <w:rsid w:val="00B069A6"/>
    <w:rsid w:val="00B1275A"/>
    <w:rsid w:val="00B138AC"/>
    <w:rsid w:val="00B17731"/>
    <w:rsid w:val="00B24D3B"/>
    <w:rsid w:val="00B24F8B"/>
    <w:rsid w:val="00B27FFA"/>
    <w:rsid w:val="00B32393"/>
    <w:rsid w:val="00B34E78"/>
    <w:rsid w:val="00B35554"/>
    <w:rsid w:val="00B36C6F"/>
    <w:rsid w:val="00B3779E"/>
    <w:rsid w:val="00B4283C"/>
    <w:rsid w:val="00B431B8"/>
    <w:rsid w:val="00B449E2"/>
    <w:rsid w:val="00B50CBF"/>
    <w:rsid w:val="00B515A8"/>
    <w:rsid w:val="00B518E2"/>
    <w:rsid w:val="00B54513"/>
    <w:rsid w:val="00B560D8"/>
    <w:rsid w:val="00B66661"/>
    <w:rsid w:val="00B67EA5"/>
    <w:rsid w:val="00B7250D"/>
    <w:rsid w:val="00B73212"/>
    <w:rsid w:val="00B772F8"/>
    <w:rsid w:val="00B81644"/>
    <w:rsid w:val="00B83437"/>
    <w:rsid w:val="00B85B3C"/>
    <w:rsid w:val="00B9541A"/>
    <w:rsid w:val="00B97236"/>
    <w:rsid w:val="00BA0204"/>
    <w:rsid w:val="00BA1AF3"/>
    <w:rsid w:val="00BA1B30"/>
    <w:rsid w:val="00BA1EAA"/>
    <w:rsid w:val="00BA2565"/>
    <w:rsid w:val="00BA278E"/>
    <w:rsid w:val="00BA4BF4"/>
    <w:rsid w:val="00BA577F"/>
    <w:rsid w:val="00BA6A88"/>
    <w:rsid w:val="00BC46A3"/>
    <w:rsid w:val="00BD096F"/>
    <w:rsid w:val="00BD70F5"/>
    <w:rsid w:val="00BE4753"/>
    <w:rsid w:val="00BE53D9"/>
    <w:rsid w:val="00BE79F5"/>
    <w:rsid w:val="00BF40C2"/>
    <w:rsid w:val="00C015F5"/>
    <w:rsid w:val="00C031D8"/>
    <w:rsid w:val="00C06323"/>
    <w:rsid w:val="00C108BD"/>
    <w:rsid w:val="00C1138B"/>
    <w:rsid w:val="00C11DD1"/>
    <w:rsid w:val="00C157D4"/>
    <w:rsid w:val="00C15D86"/>
    <w:rsid w:val="00C17950"/>
    <w:rsid w:val="00C17F55"/>
    <w:rsid w:val="00C26334"/>
    <w:rsid w:val="00C2793E"/>
    <w:rsid w:val="00C31258"/>
    <w:rsid w:val="00C336B1"/>
    <w:rsid w:val="00C4054A"/>
    <w:rsid w:val="00C405FC"/>
    <w:rsid w:val="00C43AA5"/>
    <w:rsid w:val="00C44C87"/>
    <w:rsid w:val="00C47314"/>
    <w:rsid w:val="00C536F8"/>
    <w:rsid w:val="00C5422C"/>
    <w:rsid w:val="00C554B2"/>
    <w:rsid w:val="00C62A02"/>
    <w:rsid w:val="00C654B7"/>
    <w:rsid w:val="00C67729"/>
    <w:rsid w:val="00C70CEB"/>
    <w:rsid w:val="00C744EE"/>
    <w:rsid w:val="00C81F1E"/>
    <w:rsid w:val="00C84EFD"/>
    <w:rsid w:val="00C86C59"/>
    <w:rsid w:val="00C86F22"/>
    <w:rsid w:val="00C914BD"/>
    <w:rsid w:val="00C93064"/>
    <w:rsid w:val="00C93279"/>
    <w:rsid w:val="00C93482"/>
    <w:rsid w:val="00C93A35"/>
    <w:rsid w:val="00C93CBC"/>
    <w:rsid w:val="00CA6B66"/>
    <w:rsid w:val="00CA74A0"/>
    <w:rsid w:val="00CB1D65"/>
    <w:rsid w:val="00CC504C"/>
    <w:rsid w:val="00CC535F"/>
    <w:rsid w:val="00CC53FC"/>
    <w:rsid w:val="00CD035D"/>
    <w:rsid w:val="00CD1E0B"/>
    <w:rsid w:val="00CD27BF"/>
    <w:rsid w:val="00CF38B4"/>
    <w:rsid w:val="00CF3C54"/>
    <w:rsid w:val="00CF5338"/>
    <w:rsid w:val="00CF55B1"/>
    <w:rsid w:val="00CF6839"/>
    <w:rsid w:val="00D006E0"/>
    <w:rsid w:val="00D01207"/>
    <w:rsid w:val="00D017D3"/>
    <w:rsid w:val="00D04571"/>
    <w:rsid w:val="00D11A08"/>
    <w:rsid w:val="00D14794"/>
    <w:rsid w:val="00D14CF3"/>
    <w:rsid w:val="00D31C49"/>
    <w:rsid w:val="00D33E68"/>
    <w:rsid w:val="00D3680F"/>
    <w:rsid w:val="00D37765"/>
    <w:rsid w:val="00D443D7"/>
    <w:rsid w:val="00D6200E"/>
    <w:rsid w:val="00D65E03"/>
    <w:rsid w:val="00D67396"/>
    <w:rsid w:val="00D704D7"/>
    <w:rsid w:val="00D71FCD"/>
    <w:rsid w:val="00D7320F"/>
    <w:rsid w:val="00D75DC0"/>
    <w:rsid w:val="00D8286F"/>
    <w:rsid w:val="00D84FCD"/>
    <w:rsid w:val="00D8556B"/>
    <w:rsid w:val="00D85D96"/>
    <w:rsid w:val="00D86F9D"/>
    <w:rsid w:val="00D93F85"/>
    <w:rsid w:val="00D94C6B"/>
    <w:rsid w:val="00DA25A2"/>
    <w:rsid w:val="00DB0464"/>
    <w:rsid w:val="00DB1304"/>
    <w:rsid w:val="00DB2CEB"/>
    <w:rsid w:val="00DB59E0"/>
    <w:rsid w:val="00DB6C0A"/>
    <w:rsid w:val="00DD02C4"/>
    <w:rsid w:val="00DD600E"/>
    <w:rsid w:val="00DD75F1"/>
    <w:rsid w:val="00DE0A4D"/>
    <w:rsid w:val="00DE6E1E"/>
    <w:rsid w:val="00DF1126"/>
    <w:rsid w:val="00DF2E45"/>
    <w:rsid w:val="00DF5665"/>
    <w:rsid w:val="00DF7084"/>
    <w:rsid w:val="00DF71EB"/>
    <w:rsid w:val="00E03494"/>
    <w:rsid w:val="00E04B15"/>
    <w:rsid w:val="00E04FD7"/>
    <w:rsid w:val="00E1166A"/>
    <w:rsid w:val="00E1172A"/>
    <w:rsid w:val="00E17BD6"/>
    <w:rsid w:val="00E222E3"/>
    <w:rsid w:val="00E2798E"/>
    <w:rsid w:val="00E354CF"/>
    <w:rsid w:val="00E36027"/>
    <w:rsid w:val="00E40FDE"/>
    <w:rsid w:val="00E412F2"/>
    <w:rsid w:val="00E47409"/>
    <w:rsid w:val="00E47609"/>
    <w:rsid w:val="00E50ECA"/>
    <w:rsid w:val="00E531CF"/>
    <w:rsid w:val="00E54E6F"/>
    <w:rsid w:val="00E5572B"/>
    <w:rsid w:val="00E57A7F"/>
    <w:rsid w:val="00E57FEE"/>
    <w:rsid w:val="00E731CD"/>
    <w:rsid w:val="00E800D3"/>
    <w:rsid w:val="00E9030A"/>
    <w:rsid w:val="00E9183F"/>
    <w:rsid w:val="00E94851"/>
    <w:rsid w:val="00E95AAB"/>
    <w:rsid w:val="00E967E2"/>
    <w:rsid w:val="00EA013E"/>
    <w:rsid w:val="00EA0D77"/>
    <w:rsid w:val="00EA3DFB"/>
    <w:rsid w:val="00EA5565"/>
    <w:rsid w:val="00EA6968"/>
    <w:rsid w:val="00EB19F1"/>
    <w:rsid w:val="00EC104D"/>
    <w:rsid w:val="00EC1E15"/>
    <w:rsid w:val="00EC5736"/>
    <w:rsid w:val="00EC60B1"/>
    <w:rsid w:val="00EC70CC"/>
    <w:rsid w:val="00ED2BD7"/>
    <w:rsid w:val="00ED7AA1"/>
    <w:rsid w:val="00ED7CB4"/>
    <w:rsid w:val="00EE5142"/>
    <w:rsid w:val="00EF150C"/>
    <w:rsid w:val="00EF3F8C"/>
    <w:rsid w:val="00EF4FD4"/>
    <w:rsid w:val="00EF64CD"/>
    <w:rsid w:val="00EF6A2F"/>
    <w:rsid w:val="00F140CA"/>
    <w:rsid w:val="00F2139B"/>
    <w:rsid w:val="00F251A0"/>
    <w:rsid w:val="00F260C2"/>
    <w:rsid w:val="00F27FD7"/>
    <w:rsid w:val="00F3087F"/>
    <w:rsid w:val="00F34FAB"/>
    <w:rsid w:val="00F4033C"/>
    <w:rsid w:val="00F45112"/>
    <w:rsid w:val="00F45F60"/>
    <w:rsid w:val="00F50E6F"/>
    <w:rsid w:val="00F533BC"/>
    <w:rsid w:val="00F53791"/>
    <w:rsid w:val="00F647BF"/>
    <w:rsid w:val="00F66EFA"/>
    <w:rsid w:val="00F72D4B"/>
    <w:rsid w:val="00F82442"/>
    <w:rsid w:val="00F82BE7"/>
    <w:rsid w:val="00F86019"/>
    <w:rsid w:val="00F90B85"/>
    <w:rsid w:val="00F9163F"/>
    <w:rsid w:val="00F968E6"/>
    <w:rsid w:val="00FA1676"/>
    <w:rsid w:val="00FA61C6"/>
    <w:rsid w:val="00FB043D"/>
    <w:rsid w:val="00FB3600"/>
    <w:rsid w:val="00FC06AC"/>
    <w:rsid w:val="00FC28D5"/>
    <w:rsid w:val="00FC3E3E"/>
    <w:rsid w:val="00FC4590"/>
    <w:rsid w:val="00FD0A88"/>
    <w:rsid w:val="00FD2C4E"/>
    <w:rsid w:val="00FD73A3"/>
    <w:rsid w:val="00FE000B"/>
    <w:rsid w:val="00FE2D29"/>
    <w:rsid w:val="00FE31EF"/>
    <w:rsid w:val="00FE39CA"/>
    <w:rsid w:val="00FE6CDE"/>
    <w:rsid w:val="00FE731E"/>
    <w:rsid w:val="00FE7C9B"/>
    <w:rsid w:val="00FF63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0BB26"/>
  <w15:docId w15:val="{D063C7D7-7614-43DD-8282-0C0001F1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8E7"/>
    <w:rPr>
      <w:rFonts w:eastAsia="Times New Roman"/>
      <w:lang w:val="fr-FR"/>
    </w:rPr>
  </w:style>
  <w:style w:type="paragraph" w:styleId="Heading1">
    <w:name w:val="heading 1"/>
    <w:basedOn w:val="Normal"/>
    <w:next w:val="Normal"/>
    <w:qFormat/>
    <w:rsid w:val="007D58E7"/>
    <w:pPr>
      <w:keepNext/>
      <w:spacing w:before="240" w:after="60"/>
      <w:outlineLvl w:val="0"/>
    </w:pPr>
    <w:rPr>
      <w:b/>
      <w:bCs/>
      <w:kern w:val="28"/>
    </w:rPr>
  </w:style>
  <w:style w:type="paragraph" w:styleId="Heading2">
    <w:name w:val="heading 2"/>
    <w:basedOn w:val="Normal"/>
    <w:next w:val="Normal"/>
    <w:qFormat/>
    <w:rsid w:val="007D58E7"/>
    <w:pPr>
      <w:keepNext/>
      <w:spacing w:before="240" w:after="60"/>
      <w:outlineLvl w:val="1"/>
    </w:pPr>
    <w:rPr>
      <w:b/>
      <w:bCs/>
    </w:rPr>
  </w:style>
  <w:style w:type="paragraph" w:styleId="Heading3">
    <w:name w:val="heading 3"/>
    <w:basedOn w:val="Normal"/>
    <w:next w:val="Normal"/>
    <w:qFormat/>
    <w:rsid w:val="007D58E7"/>
    <w:pPr>
      <w:keepNext/>
      <w:spacing w:before="240" w:after="60"/>
      <w:outlineLvl w:val="2"/>
    </w:pPr>
    <w:rPr>
      <w:b/>
      <w:bCs/>
    </w:rPr>
  </w:style>
  <w:style w:type="paragraph" w:styleId="Heading4">
    <w:name w:val="heading 4"/>
    <w:basedOn w:val="Normal"/>
    <w:next w:val="Normal"/>
    <w:qFormat/>
    <w:rsid w:val="007D58E7"/>
    <w:pPr>
      <w:keepNext/>
      <w:spacing w:before="240" w:after="60"/>
      <w:outlineLvl w:val="3"/>
    </w:pPr>
    <w:rPr>
      <w:b/>
      <w:bCs/>
    </w:rPr>
  </w:style>
  <w:style w:type="paragraph" w:styleId="Heading5">
    <w:name w:val="heading 5"/>
    <w:basedOn w:val="Normal"/>
    <w:next w:val="Normal"/>
    <w:qFormat/>
    <w:rsid w:val="007D58E7"/>
    <w:pPr>
      <w:keepNext/>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58E7"/>
    <w:pPr>
      <w:tabs>
        <w:tab w:val="center" w:pos="4536"/>
        <w:tab w:val="right" w:pos="9072"/>
      </w:tabs>
    </w:pPr>
  </w:style>
  <w:style w:type="paragraph" w:styleId="Footer">
    <w:name w:val="footer"/>
    <w:basedOn w:val="Normal"/>
    <w:link w:val="FooterChar"/>
    <w:uiPriority w:val="99"/>
    <w:rsid w:val="007D58E7"/>
    <w:pPr>
      <w:tabs>
        <w:tab w:val="center" w:pos="4536"/>
        <w:tab w:val="right" w:pos="9072"/>
      </w:tabs>
    </w:pPr>
  </w:style>
  <w:style w:type="character" w:styleId="PageNumber">
    <w:name w:val="page number"/>
    <w:basedOn w:val="DefaultParagraphFont"/>
    <w:rsid w:val="007D58E7"/>
    <w:rPr>
      <w:rFonts w:ascii="Arial" w:hAnsi="Arial"/>
      <w:sz w:val="22"/>
      <w:szCs w:val="22"/>
    </w:rPr>
  </w:style>
  <w:style w:type="table" w:styleId="TableGrid">
    <w:name w:val="Table Grid"/>
    <w:basedOn w:val="TableNormal"/>
    <w:uiPriority w:val="59"/>
    <w:rsid w:val="00850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075D7"/>
    <w:rPr>
      <w:rFonts w:ascii="Tahoma" w:hAnsi="Tahoma" w:cs="Tahoma"/>
      <w:sz w:val="16"/>
      <w:szCs w:val="16"/>
    </w:rPr>
  </w:style>
  <w:style w:type="character" w:customStyle="1" w:styleId="BalloonTextChar">
    <w:name w:val="Balloon Text Char"/>
    <w:basedOn w:val="DefaultParagraphFont"/>
    <w:link w:val="BalloonText"/>
    <w:rsid w:val="009075D7"/>
    <w:rPr>
      <w:rFonts w:ascii="Tahoma" w:eastAsia="Times New Roman" w:hAnsi="Tahoma" w:cs="Tahoma"/>
      <w:sz w:val="16"/>
      <w:szCs w:val="16"/>
      <w:lang w:val="fr-FR"/>
    </w:rPr>
  </w:style>
  <w:style w:type="paragraph" w:styleId="ListParagraph">
    <w:name w:val="List Paragraph"/>
    <w:aliases w:val="List Paragraph1,Recommendation,List Paragraph11"/>
    <w:basedOn w:val="Normal"/>
    <w:link w:val="ListParagraphChar"/>
    <w:uiPriority w:val="34"/>
    <w:qFormat/>
    <w:rsid w:val="00071021"/>
    <w:pPr>
      <w:ind w:left="720"/>
      <w:contextualSpacing/>
    </w:pPr>
  </w:style>
  <w:style w:type="paragraph" w:styleId="FootnoteText">
    <w:name w:val="footnote text"/>
    <w:basedOn w:val="Normal"/>
    <w:link w:val="FootnoteTextChar"/>
    <w:rsid w:val="00E354CF"/>
  </w:style>
  <w:style w:type="character" w:customStyle="1" w:styleId="FootnoteTextChar">
    <w:name w:val="Footnote Text Char"/>
    <w:basedOn w:val="DefaultParagraphFont"/>
    <w:link w:val="FootnoteText"/>
    <w:rsid w:val="00E354CF"/>
    <w:rPr>
      <w:rFonts w:eastAsia="Times New Roman"/>
      <w:lang w:val="fr-FR"/>
    </w:rPr>
  </w:style>
  <w:style w:type="character" w:styleId="FootnoteReference">
    <w:name w:val="footnote reference"/>
    <w:basedOn w:val="DefaultParagraphFont"/>
    <w:rsid w:val="00E354CF"/>
    <w:rPr>
      <w:vertAlign w:val="superscript"/>
    </w:rPr>
  </w:style>
  <w:style w:type="character" w:styleId="CommentReference">
    <w:name w:val="annotation reference"/>
    <w:basedOn w:val="DefaultParagraphFont"/>
    <w:rsid w:val="004D31BA"/>
    <w:rPr>
      <w:sz w:val="16"/>
      <w:szCs w:val="16"/>
    </w:rPr>
  </w:style>
  <w:style w:type="paragraph" w:styleId="CommentText">
    <w:name w:val="annotation text"/>
    <w:basedOn w:val="Normal"/>
    <w:link w:val="CommentTextChar"/>
    <w:rsid w:val="004D31BA"/>
  </w:style>
  <w:style w:type="character" w:customStyle="1" w:styleId="CommentTextChar">
    <w:name w:val="Comment Text Char"/>
    <w:basedOn w:val="DefaultParagraphFont"/>
    <w:link w:val="CommentText"/>
    <w:rsid w:val="004D31BA"/>
    <w:rPr>
      <w:rFonts w:eastAsia="Times New Roman"/>
      <w:lang w:val="fr-FR"/>
    </w:rPr>
  </w:style>
  <w:style w:type="paragraph" w:styleId="CommentSubject">
    <w:name w:val="annotation subject"/>
    <w:basedOn w:val="CommentText"/>
    <w:next w:val="CommentText"/>
    <w:link w:val="CommentSubjectChar"/>
    <w:rsid w:val="004D31BA"/>
    <w:rPr>
      <w:b/>
      <w:bCs/>
    </w:rPr>
  </w:style>
  <w:style w:type="character" w:customStyle="1" w:styleId="CommentSubjectChar">
    <w:name w:val="Comment Subject Char"/>
    <w:basedOn w:val="CommentTextChar"/>
    <w:link w:val="CommentSubject"/>
    <w:rsid w:val="004D31BA"/>
    <w:rPr>
      <w:rFonts w:eastAsia="Times New Roman"/>
      <w:b/>
      <w:bCs/>
      <w:lang w:val="fr-FR"/>
    </w:rPr>
  </w:style>
  <w:style w:type="paragraph" w:customStyle="1" w:styleId="Default">
    <w:name w:val="Default"/>
    <w:rsid w:val="00E17BD6"/>
    <w:pPr>
      <w:autoSpaceDE w:val="0"/>
      <w:autoSpaceDN w:val="0"/>
      <w:adjustRightInd w:val="0"/>
    </w:pPr>
    <w:rPr>
      <w:rFonts w:ascii="Arial" w:hAnsi="Arial" w:cs="Arial"/>
      <w:color w:val="000000"/>
      <w:sz w:val="24"/>
      <w:szCs w:val="24"/>
      <w:lang w:val="en-GB"/>
    </w:rPr>
  </w:style>
  <w:style w:type="paragraph" w:customStyle="1" w:styleId="Filet">
    <w:name w:val="Filet"/>
    <w:basedOn w:val="Normal"/>
    <w:next w:val="Normal"/>
    <w:rsid w:val="00F82BE7"/>
    <w:pPr>
      <w:pBdr>
        <w:top w:val="single" w:sz="6" w:space="1" w:color="auto"/>
        <w:between w:val="single" w:sz="6" w:space="1" w:color="auto"/>
      </w:pBdr>
      <w:spacing w:after="360" w:line="240" w:lineRule="atLeast"/>
    </w:pPr>
    <w:rPr>
      <w:rFonts w:ascii="Arial" w:hAnsi="Arial"/>
      <w:sz w:val="22"/>
      <w:lang w:val="en-GB" w:eastAsia="en-US"/>
    </w:rPr>
  </w:style>
  <w:style w:type="paragraph" w:styleId="Revision">
    <w:name w:val="Revision"/>
    <w:hidden/>
    <w:uiPriority w:val="99"/>
    <w:semiHidden/>
    <w:rsid w:val="00BA2565"/>
    <w:rPr>
      <w:rFonts w:eastAsia="Times New Roman"/>
      <w:lang w:val="fr-FR"/>
    </w:rPr>
  </w:style>
  <w:style w:type="character" w:styleId="Hyperlink">
    <w:name w:val="Hyperlink"/>
    <w:aliases w:val="超级链接,超?级链,CEO_Hyperlink,Style 58,超????,하이퍼링크2,超链接1"/>
    <w:basedOn w:val="DefaultParagraphFont"/>
    <w:uiPriority w:val="99"/>
    <w:qFormat/>
    <w:rsid w:val="00296D1B"/>
    <w:rPr>
      <w:color w:val="0000FF" w:themeColor="hyperlink"/>
      <w:u w:val="single"/>
    </w:rPr>
  </w:style>
  <w:style w:type="character" w:styleId="FollowedHyperlink">
    <w:name w:val="FollowedHyperlink"/>
    <w:basedOn w:val="DefaultParagraphFont"/>
    <w:rsid w:val="00296D1B"/>
    <w:rPr>
      <w:color w:val="800080" w:themeColor="followedHyperlink"/>
      <w:u w:val="single"/>
    </w:rPr>
  </w:style>
  <w:style w:type="paragraph" w:customStyle="1" w:styleId="default0">
    <w:name w:val="default"/>
    <w:basedOn w:val="Normal"/>
    <w:rsid w:val="001855E7"/>
    <w:pPr>
      <w:spacing w:before="100" w:beforeAutospacing="1" w:after="100" w:afterAutospacing="1"/>
    </w:pPr>
    <w:rPr>
      <w:rFonts w:eastAsiaTheme="minorHAnsi"/>
      <w:sz w:val="24"/>
      <w:szCs w:val="24"/>
      <w:lang w:val="en-US" w:eastAsia="en-US"/>
    </w:rPr>
  </w:style>
  <w:style w:type="table" w:styleId="PlainTable1">
    <w:name w:val="Plain Table 1"/>
    <w:basedOn w:val="TableNormal"/>
    <w:uiPriority w:val="41"/>
    <w:rsid w:val="00AB42B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B42B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000D1C"/>
    <w:pPr>
      <w:widowControl w:val="0"/>
      <w:ind w:left="112"/>
    </w:pPr>
    <w:rPr>
      <w:rFonts w:ascii="Arial" w:eastAsia="Arial" w:hAnsi="Arial" w:cstheme="minorBidi"/>
      <w:sz w:val="22"/>
      <w:szCs w:val="22"/>
      <w:lang w:val="en-US" w:eastAsia="en-US"/>
    </w:rPr>
  </w:style>
  <w:style w:type="character" w:customStyle="1" w:styleId="BodyTextChar">
    <w:name w:val="Body Text Char"/>
    <w:basedOn w:val="DefaultParagraphFont"/>
    <w:link w:val="BodyText"/>
    <w:uiPriority w:val="1"/>
    <w:rsid w:val="00000D1C"/>
    <w:rPr>
      <w:rFonts w:ascii="Arial" w:eastAsia="Arial" w:hAnsi="Arial" w:cstheme="minorBidi"/>
      <w:sz w:val="22"/>
      <w:szCs w:val="22"/>
      <w:lang w:eastAsia="en-US"/>
    </w:rPr>
  </w:style>
  <w:style w:type="paragraph" w:styleId="NormalWeb">
    <w:name w:val="Normal (Web)"/>
    <w:basedOn w:val="Normal"/>
    <w:uiPriority w:val="99"/>
    <w:semiHidden/>
    <w:unhideWhenUsed/>
    <w:rsid w:val="006617AA"/>
    <w:pPr>
      <w:spacing w:before="100" w:beforeAutospacing="1" w:after="100" w:afterAutospacing="1"/>
    </w:pPr>
    <w:rPr>
      <w:sz w:val="24"/>
      <w:szCs w:val="24"/>
      <w:lang w:val="en-GB" w:eastAsia="en-GB"/>
    </w:rPr>
  </w:style>
  <w:style w:type="character" w:customStyle="1" w:styleId="FooterChar">
    <w:name w:val="Footer Char"/>
    <w:basedOn w:val="DefaultParagraphFont"/>
    <w:link w:val="Footer"/>
    <w:uiPriority w:val="99"/>
    <w:rsid w:val="00DF1126"/>
    <w:rPr>
      <w:rFonts w:eastAsia="Times New Roman"/>
      <w:lang w:val="fr-FR"/>
    </w:rPr>
  </w:style>
  <w:style w:type="character" w:customStyle="1" w:styleId="DocnumberChar">
    <w:name w:val="Docnumber Char"/>
    <w:link w:val="Docnumber"/>
    <w:locked/>
    <w:rsid w:val="00BE79F5"/>
    <w:rPr>
      <w:b/>
      <w:bCs/>
      <w:sz w:val="40"/>
      <w:lang w:eastAsia="en-US"/>
    </w:rPr>
  </w:style>
  <w:style w:type="paragraph" w:customStyle="1" w:styleId="Docnumber">
    <w:name w:val="Docnumber"/>
    <w:basedOn w:val="Normal"/>
    <w:link w:val="DocnumberChar"/>
    <w:qFormat/>
    <w:rsid w:val="00BE79F5"/>
    <w:pPr>
      <w:tabs>
        <w:tab w:val="left" w:pos="794"/>
        <w:tab w:val="left" w:pos="1191"/>
        <w:tab w:val="left" w:pos="1588"/>
        <w:tab w:val="left" w:pos="1985"/>
      </w:tabs>
      <w:overflowPunct w:val="0"/>
      <w:autoSpaceDE w:val="0"/>
      <w:autoSpaceDN w:val="0"/>
      <w:adjustRightInd w:val="0"/>
      <w:spacing w:before="120"/>
      <w:jc w:val="right"/>
    </w:pPr>
    <w:rPr>
      <w:rFonts w:eastAsia="SimSun"/>
      <w:b/>
      <w:bCs/>
      <w:sz w:val="40"/>
      <w:lang w:val="en-US" w:eastAsia="en-US"/>
    </w:rPr>
  </w:style>
  <w:style w:type="character" w:customStyle="1" w:styleId="HeaderChar">
    <w:name w:val="Header Char"/>
    <w:basedOn w:val="DefaultParagraphFont"/>
    <w:link w:val="Header"/>
    <w:uiPriority w:val="99"/>
    <w:rsid w:val="00BE79F5"/>
    <w:rPr>
      <w:rFonts w:eastAsia="Times New Roman"/>
      <w:lang w:val="fr-FR"/>
    </w:rPr>
  </w:style>
  <w:style w:type="character" w:styleId="UnresolvedMention">
    <w:name w:val="Unresolved Mention"/>
    <w:basedOn w:val="DefaultParagraphFont"/>
    <w:uiPriority w:val="99"/>
    <w:semiHidden/>
    <w:unhideWhenUsed/>
    <w:rsid w:val="0078589F"/>
    <w:rPr>
      <w:color w:val="605E5C"/>
      <w:shd w:val="clear" w:color="auto" w:fill="E1DFDD"/>
    </w:rPr>
  </w:style>
  <w:style w:type="character" w:styleId="PlaceholderText">
    <w:name w:val="Placeholder Text"/>
    <w:basedOn w:val="DefaultParagraphFont"/>
    <w:uiPriority w:val="99"/>
    <w:semiHidden/>
    <w:rsid w:val="00D04571"/>
    <w:rPr>
      <w:rFonts w:ascii="Times New Roman" w:hAnsi="Times New Roman"/>
      <w:color w:val="808080"/>
    </w:rPr>
  </w:style>
  <w:style w:type="character" w:customStyle="1" w:styleId="ListParagraphChar">
    <w:name w:val="List Paragraph Char"/>
    <w:aliases w:val="List Paragraph1 Char,Recommendation Char,List Paragraph11 Char"/>
    <w:basedOn w:val="DefaultParagraphFont"/>
    <w:link w:val="ListParagraph"/>
    <w:uiPriority w:val="34"/>
    <w:rsid w:val="00487231"/>
    <w:rPr>
      <w:rFonts w:eastAsia="Times New Roman"/>
      <w:lang w:val="fr-FR"/>
    </w:rPr>
  </w:style>
  <w:style w:type="paragraph" w:customStyle="1" w:styleId="Headingb">
    <w:name w:val="Heading_b"/>
    <w:basedOn w:val="Normal"/>
    <w:next w:val="Normal"/>
    <w:qFormat/>
    <w:rsid w:val="00F533BC"/>
    <w:pPr>
      <w:keepNext/>
      <w:tabs>
        <w:tab w:val="left" w:pos="794"/>
        <w:tab w:val="left" w:pos="1191"/>
        <w:tab w:val="left" w:pos="1588"/>
        <w:tab w:val="left" w:pos="1985"/>
      </w:tabs>
      <w:overflowPunct w:val="0"/>
      <w:autoSpaceDE w:val="0"/>
      <w:autoSpaceDN w:val="0"/>
      <w:adjustRightInd w:val="0"/>
      <w:spacing w:before="160"/>
      <w:textAlignment w:val="baseline"/>
    </w:pPr>
    <w:rPr>
      <w:b/>
      <w:sz w:val="24"/>
      <w:lang w:val="en-GB" w:eastAsia="en-US"/>
    </w:rPr>
  </w:style>
  <w:style w:type="character" w:styleId="Strong">
    <w:name w:val="Strong"/>
    <w:basedOn w:val="DefaultParagraphFont"/>
    <w:uiPriority w:val="22"/>
    <w:qFormat/>
    <w:rsid w:val="00F533BC"/>
    <w:rPr>
      <w:b/>
      <w:bCs/>
    </w:rPr>
  </w:style>
  <w:style w:type="paragraph" w:customStyle="1" w:styleId="Call">
    <w:name w:val="Call"/>
    <w:basedOn w:val="Normal"/>
    <w:rsid w:val="00F533BC"/>
    <w:pPr>
      <w:keepNext/>
      <w:overflowPunct w:val="0"/>
      <w:autoSpaceDE w:val="0"/>
      <w:autoSpaceDN w:val="0"/>
      <w:spacing w:before="160"/>
      <w:ind w:left="567"/>
    </w:pPr>
    <w:rPr>
      <w:rFonts w:ascii="Calibri" w:eastAsiaTheme="minorEastAsia" w:hAnsi="Calibri"/>
      <w:i/>
      <w:iCs/>
      <w:sz w:val="24"/>
      <w:szCs w:val="24"/>
      <w:lang w:val="en-US"/>
    </w:rPr>
  </w:style>
  <w:style w:type="paragraph" w:customStyle="1" w:styleId="TSBHeaderQuestion">
    <w:name w:val="TSBHeaderQuestion"/>
    <w:basedOn w:val="Normal"/>
    <w:qFormat/>
    <w:rsid w:val="00B36C6F"/>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eastAsia="en-US"/>
    </w:rPr>
  </w:style>
  <w:style w:type="paragraph" w:customStyle="1" w:styleId="TSBHeaderSource">
    <w:name w:val="TSBHeaderSource"/>
    <w:basedOn w:val="Normal"/>
    <w:qFormat/>
    <w:rsid w:val="00B36C6F"/>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eastAsia="en-US"/>
    </w:rPr>
  </w:style>
  <w:style w:type="paragraph" w:customStyle="1" w:styleId="TSBHeaderTitle">
    <w:name w:val="TSBHeaderTitle"/>
    <w:basedOn w:val="Normal"/>
    <w:qFormat/>
    <w:rsid w:val="00B36C6F"/>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eastAsia="en-US"/>
    </w:rPr>
  </w:style>
  <w:style w:type="paragraph" w:customStyle="1" w:styleId="TSBHeaderRight14">
    <w:name w:val="TSBHeaderRight14"/>
    <w:basedOn w:val="Normal"/>
    <w:qFormat/>
    <w:rsid w:val="00B36C6F"/>
    <w:pPr>
      <w:tabs>
        <w:tab w:val="left" w:pos="794"/>
        <w:tab w:val="left" w:pos="1191"/>
        <w:tab w:val="left" w:pos="1588"/>
        <w:tab w:val="left" w:pos="1985"/>
      </w:tabs>
      <w:overflowPunct w:val="0"/>
      <w:autoSpaceDE w:val="0"/>
      <w:autoSpaceDN w:val="0"/>
      <w:adjustRightInd w:val="0"/>
      <w:spacing w:before="120"/>
      <w:jc w:val="right"/>
      <w:textAlignment w:val="baseline"/>
    </w:pPr>
    <w:rPr>
      <w:b/>
      <w:bCs/>
      <w:sz w:val="28"/>
      <w:szCs w:val="28"/>
      <w:lang w:val="en-GB" w:eastAsia="en-US"/>
    </w:rPr>
  </w:style>
  <w:style w:type="paragraph" w:customStyle="1" w:styleId="VenueDate">
    <w:name w:val="VenueDate"/>
    <w:basedOn w:val="Normal"/>
    <w:qFormat/>
    <w:rsid w:val="00B36C6F"/>
    <w:pPr>
      <w:tabs>
        <w:tab w:val="left" w:pos="794"/>
        <w:tab w:val="left" w:pos="1191"/>
        <w:tab w:val="left" w:pos="1588"/>
        <w:tab w:val="left" w:pos="1985"/>
      </w:tabs>
      <w:overflowPunct w:val="0"/>
      <w:autoSpaceDE w:val="0"/>
      <w:autoSpaceDN w:val="0"/>
      <w:adjustRightInd w:val="0"/>
      <w:spacing w:before="120"/>
      <w:jc w:val="right"/>
      <w:textAlignment w:val="baseline"/>
    </w:pPr>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260">
      <w:bodyDiv w:val="1"/>
      <w:marLeft w:val="0"/>
      <w:marRight w:val="0"/>
      <w:marTop w:val="0"/>
      <w:marBottom w:val="0"/>
      <w:divBdr>
        <w:top w:val="none" w:sz="0" w:space="0" w:color="auto"/>
        <w:left w:val="none" w:sz="0" w:space="0" w:color="auto"/>
        <w:bottom w:val="none" w:sz="0" w:space="0" w:color="auto"/>
        <w:right w:val="none" w:sz="0" w:space="0" w:color="auto"/>
      </w:divBdr>
    </w:div>
    <w:div w:id="251203484">
      <w:bodyDiv w:val="1"/>
      <w:marLeft w:val="0"/>
      <w:marRight w:val="0"/>
      <w:marTop w:val="0"/>
      <w:marBottom w:val="0"/>
      <w:divBdr>
        <w:top w:val="none" w:sz="0" w:space="0" w:color="auto"/>
        <w:left w:val="none" w:sz="0" w:space="0" w:color="auto"/>
        <w:bottom w:val="none" w:sz="0" w:space="0" w:color="auto"/>
        <w:right w:val="none" w:sz="0" w:space="0" w:color="auto"/>
      </w:divBdr>
    </w:div>
    <w:div w:id="306013014">
      <w:bodyDiv w:val="1"/>
      <w:marLeft w:val="0"/>
      <w:marRight w:val="0"/>
      <w:marTop w:val="0"/>
      <w:marBottom w:val="0"/>
      <w:divBdr>
        <w:top w:val="none" w:sz="0" w:space="0" w:color="auto"/>
        <w:left w:val="none" w:sz="0" w:space="0" w:color="auto"/>
        <w:bottom w:val="none" w:sz="0" w:space="0" w:color="auto"/>
        <w:right w:val="none" w:sz="0" w:space="0" w:color="auto"/>
      </w:divBdr>
    </w:div>
    <w:div w:id="716783082">
      <w:bodyDiv w:val="1"/>
      <w:marLeft w:val="0"/>
      <w:marRight w:val="0"/>
      <w:marTop w:val="0"/>
      <w:marBottom w:val="0"/>
      <w:divBdr>
        <w:top w:val="none" w:sz="0" w:space="0" w:color="auto"/>
        <w:left w:val="none" w:sz="0" w:space="0" w:color="auto"/>
        <w:bottom w:val="none" w:sz="0" w:space="0" w:color="auto"/>
        <w:right w:val="none" w:sz="0" w:space="0" w:color="auto"/>
      </w:divBdr>
    </w:div>
    <w:div w:id="742679623">
      <w:bodyDiv w:val="1"/>
      <w:marLeft w:val="0"/>
      <w:marRight w:val="0"/>
      <w:marTop w:val="0"/>
      <w:marBottom w:val="0"/>
      <w:divBdr>
        <w:top w:val="none" w:sz="0" w:space="0" w:color="auto"/>
        <w:left w:val="none" w:sz="0" w:space="0" w:color="auto"/>
        <w:bottom w:val="none" w:sz="0" w:space="0" w:color="auto"/>
        <w:right w:val="none" w:sz="0" w:space="0" w:color="auto"/>
      </w:divBdr>
    </w:div>
    <w:div w:id="860584312">
      <w:bodyDiv w:val="1"/>
      <w:marLeft w:val="0"/>
      <w:marRight w:val="0"/>
      <w:marTop w:val="0"/>
      <w:marBottom w:val="0"/>
      <w:divBdr>
        <w:top w:val="none" w:sz="0" w:space="0" w:color="auto"/>
        <w:left w:val="none" w:sz="0" w:space="0" w:color="auto"/>
        <w:bottom w:val="none" w:sz="0" w:space="0" w:color="auto"/>
        <w:right w:val="none" w:sz="0" w:space="0" w:color="auto"/>
      </w:divBdr>
    </w:div>
    <w:div w:id="1234121785">
      <w:bodyDiv w:val="1"/>
      <w:marLeft w:val="0"/>
      <w:marRight w:val="0"/>
      <w:marTop w:val="0"/>
      <w:marBottom w:val="0"/>
      <w:divBdr>
        <w:top w:val="none" w:sz="0" w:space="0" w:color="auto"/>
        <w:left w:val="none" w:sz="0" w:space="0" w:color="auto"/>
        <w:bottom w:val="none" w:sz="0" w:space="0" w:color="auto"/>
        <w:right w:val="none" w:sz="0" w:space="0" w:color="auto"/>
      </w:divBdr>
    </w:div>
    <w:div w:id="1276520901">
      <w:bodyDiv w:val="1"/>
      <w:marLeft w:val="0"/>
      <w:marRight w:val="0"/>
      <w:marTop w:val="0"/>
      <w:marBottom w:val="0"/>
      <w:divBdr>
        <w:top w:val="none" w:sz="0" w:space="0" w:color="auto"/>
        <w:left w:val="none" w:sz="0" w:space="0" w:color="auto"/>
        <w:bottom w:val="none" w:sz="0" w:space="0" w:color="auto"/>
        <w:right w:val="none" w:sz="0" w:space="0" w:color="auto"/>
      </w:divBdr>
    </w:div>
    <w:div w:id="1392268870">
      <w:bodyDiv w:val="1"/>
      <w:marLeft w:val="0"/>
      <w:marRight w:val="0"/>
      <w:marTop w:val="0"/>
      <w:marBottom w:val="0"/>
      <w:divBdr>
        <w:top w:val="none" w:sz="0" w:space="0" w:color="auto"/>
        <w:left w:val="none" w:sz="0" w:space="0" w:color="auto"/>
        <w:bottom w:val="none" w:sz="0" w:space="0" w:color="auto"/>
        <w:right w:val="none" w:sz="0" w:space="0" w:color="auto"/>
      </w:divBdr>
    </w:div>
    <w:div w:id="1606571634">
      <w:bodyDiv w:val="1"/>
      <w:marLeft w:val="0"/>
      <w:marRight w:val="0"/>
      <w:marTop w:val="0"/>
      <w:marBottom w:val="0"/>
      <w:divBdr>
        <w:top w:val="none" w:sz="0" w:space="0" w:color="auto"/>
        <w:left w:val="none" w:sz="0" w:space="0" w:color="auto"/>
        <w:bottom w:val="none" w:sz="0" w:space="0" w:color="auto"/>
        <w:right w:val="none" w:sz="0" w:space="0" w:color="auto"/>
      </w:divBdr>
    </w:div>
    <w:div w:id="1610776460">
      <w:bodyDiv w:val="1"/>
      <w:marLeft w:val="0"/>
      <w:marRight w:val="0"/>
      <w:marTop w:val="0"/>
      <w:marBottom w:val="0"/>
      <w:divBdr>
        <w:top w:val="none" w:sz="0" w:space="0" w:color="auto"/>
        <w:left w:val="none" w:sz="0" w:space="0" w:color="auto"/>
        <w:bottom w:val="none" w:sz="0" w:space="0" w:color="auto"/>
        <w:right w:val="none" w:sz="0" w:space="0" w:color="auto"/>
      </w:divBdr>
    </w:div>
    <w:div w:id="1665040246">
      <w:bodyDiv w:val="1"/>
      <w:marLeft w:val="0"/>
      <w:marRight w:val="0"/>
      <w:marTop w:val="0"/>
      <w:marBottom w:val="0"/>
      <w:divBdr>
        <w:top w:val="none" w:sz="0" w:space="0" w:color="auto"/>
        <w:left w:val="none" w:sz="0" w:space="0" w:color="auto"/>
        <w:bottom w:val="none" w:sz="0" w:space="0" w:color="auto"/>
        <w:right w:val="none" w:sz="0" w:space="0" w:color="auto"/>
      </w:divBdr>
    </w:div>
    <w:div w:id="1686133631">
      <w:bodyDiv w:val="1"/>
      <w:marLeft w:val="0"/>
      <w:marRight w:val="0"/>
      <w:marTop w:val="0"/>
      <w:marBottom w:val="0"/>
      <w:divBdr>
        <w:top w:val="none" w:sz="0" w:space="0" w:color="auto"/>
        <w:left w:val="none" w:sz="0" w:space="0" w:color="auto"/>
        <w:bottom w:val="none" w:sz="0" w:space="0" w:color="auto"/>
        <w:right w:val="none" w:sz="0" w:space="0" w:color="auto"/>
      </w:divBdr>
    </w:div>
    <w:div w:id="1787694228">
      <w:bodyDiv w:val="1"/>
      <w:marLeft w:val="0"/>
      <w:marRight w:val="0"/>
      <w:marTop w:val="0"/>
      <w:marBottom w:val="0"/>
      <w:divBdr>
        <w:top w:val="none" w:sz="0" w:space="0" w:color="auto"/>
        <w:left w:val="none" w:sz="0" w:space="0" w:color="auto"/>
        <w:bottom w:val="none" w:sz="0" w:space="0" w:color="auto"/>
        <w:right w:val="none" w:sz="0" w:space="0" w:color="auto"/>
      </w:divBdr>
    </w:div>
    <w:div w:id="1902448717">
      <w:bodyDiv w:val="1"/>
      <w:marLeft w:val="0"/>
      <w:marRight w:val="0"/>
      <w:marTop w:val="0"/>
      <w:marBottom w:val="0"/>
      <w:divBdr>
        <w:top w:val="none" w:sz="0" w:space="0" w:color="auto"/>
        <w:left w:val="none" w:sz="0" w:space="0" w:color="auto"/>
        <w:bottom w:val="none" w:sz="0" w:space="0" w:color="auto"/>
        <w:right w:val="none" w:sz="0" w:space="0" w:color="auto"/>
      </w:divBdr>
    </w:div>
    <w:div w:id="194002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D/Regional-Presence/Americas/Pages/default.aspx" TargetMode="External"/><Relationship Id="rId18" Type="http://schemas.openxmlformats.org/officeDocument/2006/relationships/hyperlink" Target="https://www.itu.int/en/ITU-D/Pages/Regional-Presence.aspx"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itu.int/itu-d/sites/africa/" TargetMode="External"/><Relationship Id="rId17" Type="http://schemas.openxmlformats.org/officeDocument/2006/relationships/hyperlink" Target="https://www.itu.int/en/ITU-D/Regional-Presence/Europe/Pages/default.aspx" TargetMode="External"/><Relationship Id="rId2" Type="http://schemas.openxmlformats.org/officeDocument/2006/relationships/customXml" Target="../customXml/item2.xml"/><Relationship Id="rId16" Type="http://schemas.openxmlformats.org/officeDocument/2006/relationships/hyperlink" Target="https://www.itu.int/en/ITU-D/Regional-Presence/CIS/Pages/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en/ITU-D/Regional-Presence/asiapacific/Pages/default.asp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Regional-Presence/ArabStates/Pages/default.asp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IECtemplates\Standard\3LOGO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BA47D631F0415993D40FD49917596B"/>
        <w:category>
          <w:name w:val="General"/>
          <w:gallery w:val="placeholder"/>
        </w:category>
        <w:types>
          <w:type w:val="bbPlcHdr"/>
        </w:types>
        <w:behaviors>
          <w:behavior w:val="content"/>
        </w:behaviors>
        <w:guid w:val="{D1E5C149-B0A6-42D3-AC67-6AC08372A617}"/>
      </w:docPartPr>
      <w:docPartBody>
        <w:p w:rsidR="00F557DD" w:rsidRDefault="00C0572D" w:rsidP="00C0572D">
          <w:pPr>
            <w:pStyle w:val="FEBA47D631F0415993D40FD49917596B"/>
          </w:pPr>
          <w:r>
            <w:rPr>
              <w:rStyle w:val="PlaceholderText"/>
            </w:rPr>
            <w:t>Click here to enter text.</w:t>
          </w:r>
        </w:p>
      </w:docPartBody>
    </w:docPart>
    <w:docPart>
      <w:docPartPr>
        <w:name w:val="339423C449584AC4A0704F4CBC87FC1B"/>
        <w:category>
          <w:name w:val="General"/>
          <w:gallery w:val="placeholder"/>
        </w:category>
        <w:types>
          <w:type w:val="bbPlcHdr"/>
        </w:types>
        <w:behaviors>
          <w:behavior w:val="content"/>
        </w:behaviors>
        <w:guid w:val="{2BA57D99-0C5E-4FCE-874C-17CB976A250C}"/>
      </w:docPartPr>
      <w:docPartBody>
        <w:p w:rsidR="00F557DD" w:rsidRDefault="00C0572D" w:rsidP="00C0572D">
          <w:pPr>
            <w:pStyle w:val="339423C449584AC4A0704F4CBC87FC1B"/>
          </w:pPr>
          <w:r>
            <w:rPr>
              <w:rStyle w:val="PlaceholderText"/>
            </w:rPr>
            <w:t>Click here to enter text.</w:t>
          </w:r>
        </w:p>
      </w:docPartBody>
    </w:docPart>
    <w:docPart>
      <w:docPartPr>
        <w:name w:val="5E92454009E64649B16FD6915630C11C"/>
        <w:category>
          <w:name w:val="General"/>
          <w:gallery w:val="placeholder"/>
        </w:category>
        <w:types>
          <w:type w:val="bbPlcHdr"/>
        </w:types>
        <w:behaviors>
          <w:behavior w:val="content"/>
        </w:behaviors>
        <w:guid w:val="{46A8044B-E513-46A4-BF6E-9AF48A1A75F3}"/>
      </w:docPartPr>
      <w:docPartBody>
        <w:p w:rsidR="00F557DD" w:rsidRDefault="00C0572D" w:rsidP="00C0572D">
          <w:pPr>
            <w:pStyle w:val="5E92454009E64649B16FD6915630C11C"/>
          </w:pPr>
          <w:r w:rsidRPr="00543D41">
            <w:rPr>
              <w:rStyle w:val="PlaceholderText"/>
              <w:highlight w:val="yellow"/>
            </w:rPr>
            <w:t>Insert abstract under 200 words. See Rec.A.2, clause I.1.12 for guidance.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quot;Courier New&quot;">
    <w:altName w:val="Cambria"/>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32E"/>
    <w:rsid w:val="00196EC5"/>
    <w:rsid w:val="001A381B"/>
    <w:rsid w:val="0034732E"/>
    <w:rsid w:val="00467C74"/>
    <w:rsid w:val="0059374A"/>
    <w:rsid w:val="00C0572D"/>
    <w:rsid w:val="00F557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572D"/>
    <w:rPr>
      <w:rFonts w:ascii="Times New Roman" w:hAnsi="Times New Roman"/>
      <w:color w:val="808080"/>
    </w:rPr>
  </w:style>
  <w:style w:type="paragraph" w:customStyle="1" w:styleId="E276A55C280942CF88FBEDB2A561BC3C">
    <w:name w:val="E276A55C280942CF88FBEDB2A561BC3C"/>
    <w:rsid w:val="0034732E"/>
  </w:style>
  <w:style w:type="paragraph" w:customStyle="1" w:styleId="D14B52B517CD4129BEBFD1C02283954A">
    <w:name w:val="D14B52B517CD4129BEBFD1C02283954A"/>
    <w:rsid w:val="0034732E"/>
  </w:style>
  <w:style w:type="paragraph" w:customStyle="1" w:styleId="FEBA47D631F0415993D40FD49917596B">
    <w:name w:val="FEBA47D631F0415993D40FD49917596B"/>
    <w:rsid w:val="00C0572D"/>
  </w:style>
  <w:style w:type="paragraph" w:customStyle="1" w:styleId="339423C449584AC4A0704F4CBC87FC1B">
    <w:name w:val="339423C449584AC4A0704F4CBC87FC1B"/>
    <w:rsid w:val="00C0572D"/>
  </w:style>
  <w:style w:type="paragraph" w:customStyle="1" w:styleId="5E92454009E64649B16FD6915630C11C">
    <w:name w:val="5E92454009E64649B16FD6915630C11C"/>
    <w:rsid w:val="00C057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E2011685E409408A5E886FA9500CDE" ma:contentTypeVersion="13" ma:contentTypeDescription="Create a new document." ma:contentTypeScope="" ma:versionID="b5298337822dd3832529af440eb2ba80">
  <xsd:schema xmlns:xsd="http://www.w3.org/2001/XMLSchema" xmlns:xs="http://www.w3.org/2001/XMLSchema" xmlns:p="http://schemas.microsoft.com/office/2006/metadata/properties" xmlns:ns3="2ace4c6c-08d7-4276-8a58-3192ba9bb551" xmlns:ns4="e7475014-9825-4b19-8012-afbf711054e8" targetNamespace="http://schemas.microsoft.com/office/2006/metadata/properties" ma:root="true" ma:fieldsID="b6071adc2e96b253d4c2b9bff5d8e41f" ns3:_="" ns4:_="">
    <xsd:import namespace="2ace4c6c-08d7-4276-8a58-3192ba9bb551"/>
    <xsd:import namespace="e7475014-9825-4b19-8012-afbf711054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e4c6c-08d7-4276-8a58-3192ba9bb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75014-9825-4b19-8012-afbf711054e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9A3D94-0C65-43D7-AC6A-237F6BA79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e4c6c-08d7-4276-8a58-3192ba9bb551"/>
    <ds:schemaRef ds:uri="e7475014-9825-4b19-8012-afbf71105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70F218-B514-410E-A893-BF91E5D4DD02}">
  <ds:schemaRefs>
    <ds:schemaRef ds:uri="http://schemas.microsoft.com/sharepoint/v3/contenttype/forms"/>
  </ds:schemaRefs>
</ds:datastoreItem>
</file>

<file path=customXml/itemProps3.xml><?xml version="1.0" encoding="utf-8"?>
<ds:datastoreItem xmlns:ds="http://schemas.openxmlformats.org/officeDocument/2006/customXml" ds:itemID="{4B383E11-DA11-46D6-A55B-7B49C35ED0E7}">
  <ds:schemaRefs>
    <ds:schemaRef ds:uri="http://schemas.openxmlformats.org/officeDocument/2006/bibliography"/>
  </ds:schemaRefs>
</ds:datastoreItem>
</file>

<file path=customXml/itemProps4.xml><?xml version="1.0" encoding="utf-8"?>
<ds:datastoreItem xmlns:ds="http://schemas.openxmlformats.org/officeDocument/2006/customXml" ds:itemID="{727B9248-6311-4AEB-95D1-1403A598F1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3LOGOS.DOT</Template>
  <TotalTime>9</TotalTime>
  <Pages>10</Pages>
  <Words>2626</Words>
  <Characters>15541</Characters>
  <Application>Microsoft Office Word</Application>
  <DocSecurity>0</DocSecurity>
  <Lines>323</Lines>
  <Paragraphs>148</Paragraphs>
  <ScaleCrop>false</ScaleCrop>
  <HeadingPairs>
    <vt:vector size="2" baseType="variant">
      <vt:variant>
        <vt:lpstr>Title</vt:lpstr>
      </vt:variant>
      <vt:variant>
        <vt:i4>1</vt:i4>
      </vt:variant>
    </vt:vector>
  </HeadingPairs>
  <TitlesOfParts>
    <vt:vector size="1" baseType="lpstr">
      <vt:lpstr>DRAFT Contribution of the ITU Regional Offices to the ITU-T Operational Plan and Coordination activities with TSB (December 2022 – May 2023)</vt:lpstr>
    </vt:vector>
  </TitlesOfParts>
  <Manager>ITU-T</Manager>
  <Company>International Telecommunication Union (ITU)</Company>
  <LinksUpToDate>false</LinksUpToDate>
  <CharactersWithSpaces>18019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of the ITU Regional Offices to the ITU-T Operational Plan and Coordination activities with TSB (December 2022 – May 2023)</dc:title>
  <dc:creator>ITU Regional Office Directors</dc:creator>
  <cp:keywords/>
  <dc:description>TSAG-TD190  For: Geneva, 30 May – 2 June 2023_x000d_Document date: _x000d_Saved by ITU51014254 at 14:47:29 on 31.05.2023</dc:description>
  <cp:lastModifiedBy>Al-Mnini, Lara</cp:lastModifiedBy>
  <cp:revision>3</cp:revision>
  <cp:lastPrinted>2020-01-17T07:16:00Z</cp:lastPrinted>
  <dcterms:created xsi:type="dcterms:W3CDTF">2023-05-31T12:45:00Z</dcterms:created>
  <dcterms:modified xsi:type="dcterms:W3CDTF">2023-05-31T12:50:00Z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-814666752</vt:i4>
  </property>
  <property fmtid="{D5CDD505-2E9C-101B-9397-08002B2CF9AE}" pid="3" name="ContentTypeId">
    <vt:lpwstr>0x0101006EE2011685E409408A5E886FA9500CDE</vt:lpwstr>
  </property>
  <property fmtid="{D5CDD505-2E9C-101B-9397-08002B2CF9AE}" pid="4" name="Docnum">
    <vt:lpwstr>TSAG-TD190</vt:lpwstr>
  </property>
  <property fmtid="{D5CDD505-2E9C-101B-9397-08002B2CF9AE}" pid="5" name="Docdate">
    <vt:lpwstr/>
  </property>
  <property fmtid="{D5CDD505-2E9C-101B-9397-08002B2CF9AE}" pid="6" name="Docorlang">
    <vt:lpwstr/>
  </property>
  <property fmtid="{D5CDD505-2E9C-101B-9397-08002B2CF9AE}" pid="7" name="Docbluepink">
    <vt:lpwstr>N/A</vt:lpwstr>
  </property>
  <property fmtid="{D5CDD505-2E9C-101B-9397-08002B2CF9AE}" pid="8" name="Docdest">
    <vt:lpwstr>Geneva, 30 May – 2 June 2023</vt:lpwstr>
  </property>
  <property fmtid="{D5CDD505-2E9C-101B-9397-08002B2CF9AE}" pid="9" name="Docauthor">
    <vt:lpwstr>ITU Regional Office Directors</vt:lpwstr>
  </property>
</Properties>
</file>