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61B300B9" w:rsidR="001B13F5" w:rsidRPr="0068196C" w:rsidRDefault="001B13F5" w:rsidP="001A4296">
            <w:pPr>
              <w:pStyle w:val="Docnumber"/>
            </w:pPr>
            <w:r w:rsidRPr="0068196C">
              <w:t>TSAG-TD</w:t>
            </w:r>
            <w:r w:rsidR="00DA351B">
              <w:t>1</w:t>
            </w:r>
            <w:r w:rsidR="00D37335">
              <w:t>86</w:t>
            </w:r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1929E4A1" w:rsidR="001B13F5" w:rsidRPr="0068196C" w:rsidRDefault="00D37335" w:rsidP="001A4296">
            <w:pPr>
              <w:pStyle w:val="VenueDate"/>
            </w:pPr>
            <w:r w:rsidRPr="00247045">
              <w:t xml:space="preserve">Geneva, </w:t>
            </w:r>
            <w:r>
              <w:t>30 May – 2 June 2023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458B55B3" w:rsidR="001B13F5" w:rsidRPr="00F91FF0" w:rsidRDefault="00DA351B" w:rsidP="001A4296">
            <w:pPr>
              <w:pStyle w:val="TSBHeaderSource"/>
              <w:rPr>
                <w:highlight w:val="yellow"/>
              </w:rPr>
            </w:pPr>
            <w:r>
              <w:t>Rapporteur, RG-WPR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7D0A4F6F" w:rsidR="001B13F5" w:rsidRPr="0068196C" w:rsidRDefault="00DA351B" w:rsidP="001A4296">
            <w:pPr>
              <w:pStyle w:val="TSBHeaderTitle"/>
            </w:pPr>
            <w:r>
              <w:t xml:space="preserve">Report </w:t>
            </w:r>
            <w:r w:rsidR="00111945">
              <w:t>of</w:t>
            </w:r>
            <w:r w:rsidRPr="00C57466">
              <w:t xml:space="preserve"> the Rapporteur Group on </w:t>
            </w:r>
            <w:bookmarkStart w:id="10" w:name="_Hlk121934101"/>
            <w:r>
              <w:t>Work Programme and Restructuring, SG work, SG coordination (RG-WPR)</w:t>
            </w:r>
            <w:bookmarkEnd w:id="10"/>
            <w:r w:rsidRPr="00C57466">
              <w:t xml:space="preserve"> (</w:t>
            </w:r>
            <w:r w:rsidR="00D37335" w:rsidRPr="00247045">
              <w:t xml:space="preserve">Geneva, </w:t>
            </w:r>
            <w:r w:rsidR="00D37335">
              <w:t>30 May – 2 June 2023</w:t>
            </w:r>
            <w:r w:rsidRPr="00C57466">
              <w:t>)</w:t>
            </w:r>
          </w:p>
        </w:tc>
      </w:tr>
      <w:tr w:rsidR="00DA351B" w:rsidRPr="00B00D72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DA351B" w:rsidRPr="0068196C" w:rsidRDefault="00DA351B" w:rsidP="00DA351B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2"/>
            <w:bookmarkEnd w:id="9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3CF19DA" w:rsidR="00DA351B" w:rsidRPr="0068196C" w:rsidRDefault="00DA351B" w:rsidP="00DA351B"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09220251" w:rsidR="00DA351B" w:rsidRPr="00DA4466" w:rsidRDefault="00DA351B" w:rsidP="00DA351B">
            <w:pPr>
              <w:tabs>
                <w:tab w:val="left" w:pos="794"/>
              </w:tabs>
              <w:rPr>
                <w:lang w:val="de-DE"/>
              </w:rPr>
            </w:pPr>
            <w:r w:rsidRPr="00B00D72">
              <w:rPr>
                <w:lang w:val="de-DE"/>
              </w:rPr>
              <w:t>Tel:</w:t>
            </w:r>
            <w:r w:rsidR="002E1D07" w:rsidRPr="00B00D72">
              <w:rPr>
                <w:lang w:val="de-DE"/>
              </w:rPr>
              <w:t xml:space="preserve"> </w:t>
            </w:r>
            <w:r w:rsidRPr="00B00D72">
              <w:rPr>
                <w:lang w:val="de-DE"/>
              </w:rPr>
              <w:t>+81 70 1000 7370</w:t>
            </w:r>
            <w:r w:rsidRPr="00B00D72">
              <w:rPr>
                <w:lang w:val="de-DE"/>
              </w:rPr>
              <w:br/>
              <w:t>E-mail: m_naganuma@nec.com</w:t>
            </w:r>
          </w:p>
        </w:tc>
      </w:tr>
      <w:tr w:rsidR="00D37335" w:rsidRPr="00DF4500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D37335" w:rsidRPr="0068196C" w:rsidRDefault="00D37335" w:rsidP="00D37335">
            <w:pPr>
              <w:rPr>
                <w:b/>
                <w:bCs/>
              </w:rPr>
            </w:pPr>
            <w:bookmarkStart w:id="15" w:name="dcontent" w:colFirst="1" w:colLast="1"/>
            <w:bookmarkStart w:id="16" w:name="dcontact2"/>
            <w:bookmarkStart w:id="17" w:name="dcontent2" w:colFirst="1" w:colLast="1"/>
            <w:bookmarkEnd w:id="11"/>
            <w:bookmarkEnd w:id="12"/>
            <w:bookmarkEnd w:id="13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181DD843" w:rsidR="00D37335" w:rsidRPr="0068196C" w:rsidRDefault="00D37335" w:rsidP="00D37335">
            <w:r w:rsidRPr="00B13E29">
              <w:t>Greg Ratta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752964A7" w:rsidR="00D37335" w:rsidRPr="00DA4466" w:rsidRDefault="00D37335" w:rsidP="00D37335">
            <w:pPr>
              <w:tabs>
                <w:tab w:val="left" w:pos="794"/>
              </w:tabs>
              <w:rPr>
                <w:lang w:val="de-DE"/>
              </w:rPr>
            </w:pPr>
            <w:r>
              <w:t>Tel:</w:t>
            </w:r>
            <w:r>
              <w:tab/>
              <w:t>+1 202 482 0499</w:t>
            </w:r>
            <w:r>
              <w:br/>
              <w:t>E-mail:</w:t>
            </w:r>
            <w:r>
              <w:tab/>
            </w:r>
            <w:hyperlink r:id="rId12" w:history="1">
              <w:r w:rsidRPr="00FB5039">
                <w:rPr>
                  <w:rStyle w:val="Hyperlink"/>
                </w:rPr>
                <w:t>gratta@ntia.gov</w:t>
              </w:r>
            </w:hyperlink>
            <w:r>
              <w:t xml:space="preserve"> </w:t>
            </w:r>
          </w:p>
        </w:tc>
      </w:tr>
      <w:bookmarkEnd w:id="15"/>
      <w:bookmarkEnd w:id="16"/>
      <w:bookmarkEnd w:id="17"/>
    </w:tbl>
    <w:p w14:paraId="46864CFF" w14:textId="77777777" w:rsidR="00DB0706" w:rsidRPr="00DA446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1205F740" w:rsidR="0089088E" w:rsidRPr="0068196C" w:rsidRDefault="00DA351B" w:rsidP="001A4296">
            <w:pPr>
              <w:pStyle w:val="TSBHeaderSummary"/>
            </w:pPr>
            <w:r w:rsidRPr="00C57466">
              <w:t xml:space="preserve">This TD contains the </w:t>
            </w:r>
            <w:r>
              <w:t>report of</w:t>
            </w:r>
            <w:r w:rsidRPr="00C57466">
              <w:t xml:space="preserve">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  <w:bookmarkEnd w:id="14"/>
    </w:tbl>
    <w:p w14:paraId="75E1ABEE" w14:textId="5E7D747B" w:rsidR="004C1FCF" w:rsidRPr="00111945" w:rsidRDefault="004C1FCF" w:rsidP="004C1FCF">
      <w:pPr>
        <w:rPr>
          <w:bCs/>
        </w:rPr>
      </w:pPr>
    </w:p>
    <w:p w14:paraId="2B92CACC" w14:textId="77777777" w:rsidR="00111945" w:rsidRPr="001D14A0" w:rsidRDefault="00111945" w:rsidP="00111945">
      <w:pPr>
        <w:spacing w:before="240"/>
        <w:rPr>
          <w:b/>
          <w:bCs/>
          <w:lang w:val="en-US"/>
        </w:rPr>
      </w:pPr>
      <w:r w:rsidRPr="001D14A0">
        <w:rPr>
          <w:b/>
          <w:bCs/>
          <w:lang w:val="en-US"/>
        </w:rPr>
        <w:t>Executive Summary:</w:t>
      </w:r>
    </w:p>
    <w:p w14:paraId="6C3A64C5" w14:textId="1C6DE846" w:rsidR="003E1925" w:rsidRPr="001D14A0" w:rsidRDefault="003E1925" w:rsidP="003E1925">
      <w:pPr>
        <w:rPr>
          <w:lang w:val="en-US"/>
        </w:rPr>
      </w:pPr>
      <w:r w:rsidRPr="001D14A0">
        <w:rPr>
          <w:lang w:val="en-US"/>
        </w:rPr>
        <w:t xml:space="preserve">The meeting was chaired by the Rapporteur, Ms Miho Naganuma (NEC, Japan) </w:t>
      </w:r>
      <w:r>
        <w:rPr>
          <w:lang w:val="en-US"/>
        </w:rPr>
        <w:t xml:space="preserve">assisted by the Associate Rapporteur, Mr Greg Ratta (USA) and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 w:rsidR="00D37335">
        <w:rPr>
          <w:lang w:val="en-US"/>
        </w:rPr>
        <w:t>1</w:t>
      </w:r>
      <w:r w:rsidRPr="001D14A0">
        <w:rPr>
          <w:lang w:val="en-US"/>
        </w:rPr>
        <w:t>:</w:t>
      </w:r>
      <w:r w:rsidR="00D37335">
        <w:rPr>
          <w:lang w:val="en-US"/>
        </w:rPr>
        <w:t>15</w:t>
      </w:r>
      <w:r w:rsidRPr="001D14A0">
        <w:rPr>
          <w:lang w:val="en-US"/>
        </w:rPr>
        <w:t>-1</w:t>
      </w:r>
      <w:r w:rsidR="00D37335">
        <w:rPr>
          <w:lang w:val="en-US"/>
        </w:rPr>
        <w:t>2</w:t>
      </w:r>
      <w:r w:rsidRPr="001D14A0">
        <w:rPr>
          <w:lang w:val="en-US"/>
        </w:rPr>
        <w:t>:</w:t>
      </w:r>
      <w:r w:rsidR="00D37335">
        <w:rPr>
          <w:lang w:val="en-US"/>
        </w:rPr>
        <w:t>30</w:t>
      </w:r>
      <w:r w:rsidRPr="001D14A0">
        <w:rPr>
          <w:lang w:val="en-US"/>
        </w:rPr>
        <w:t xml:space="preserve"> on </w:t>
      </w:r>
      <w:r w:rsidR="00D37335">
        <w:rPr>
          <w:lang w:val="en-US"/>
        </w:rPr>
        <w:t>31 May and 14:30-15:45 on 1 June</w:t>
      </w:r>
      <w:r>
        <w:rPr>
          <w:lang w:val="en-US"/>
        </w:rPr>
        <w:t xml:space="preserve"> 202</w:t>
      </w:r>
      <w:r w:rsidR="00D37335">
        <w:rPr>
          <w:lang w:val="en-US"/>
        </w:rPr>
        <w:t>3</w:t>
      </w:r>
      <w:r>
        <w:rPr>
          <w:lang w:val="en-US"/>
        </w:rPr>
        <w:t>.</w:t>
      </w:r>
    </w:p>
    <w:p w14:paraId="35F9C36F" w14:textId="05D723B3" w:rsidR="00111945" w:rsidRPr="001D14A0" w:rsidRDefault="00111945" w:rsidP="00111945">
      <w:pPr>
        <w:rPr>
          <w:lang w:val="en-US"/>
        </w:rPr>
      </w:pPr>
      <w:r w:rsidRPr="001D14A0">
        <w:rPr>
          <w:lang w:val="en-US"/>
        </w:rPr>
        <w:t>RG-WP</w:t>
      </w:r>
      <w:r w:rsidR="00A81AFE">
        <w:rPr>
          <w:lang w:val="en-US"/>
        </w:rPr>
        <w:t>R</w:t>
      </w:r>
      <w:r w:rsidRPr="001D14A0">
        <w:rPr>
          <w:lang w:val="en-US"/>
        </w:rPr>
        <w:t xml:space="preserve"> is pleased to bring the following actions to the attention of </w:t>
      </w:r>
      <w:r w:rsidR="00D37335">
        <w:rPr>
          <w:lang w:val="en-US"/>
        </w:rPr>
        <w:t>WP2</w:t>
      </w:r>
      <w:r w:rsidRPr="001D14A0">
        <w:rPr>
          <w:lang w:val="en-US"/>
        </w:rPr>
        <w:t>:</w:t>
      </w:r>
    </w:p>
    <w:p w14:paraId="49CB53EA" w14:textId="77777777" w:rsidR="00111945" w:rsidRPr="007161B7" w:rsidRDefault="00111945" w:rsidP="00111945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</w:p>
    <w:p w14:paraId="4F040421" w14:textId="19861757" w:rsidR="002D2D63" w:rsidRPr="001D14A0" w:rsidRDefault="002D2D63" w:rsidP="002D2D6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-1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review and </w:t>
      </w:r>
      <w:r w:rsidR="00394659">
        <w:rPr>
          <w:rFonts w:asciiTheme="majorBidi" w:hAnsiTheme="majorBidi"/>
          <w:i/>
          <w:iCs/>
          <w:noProof/>
          <w:lang w:val="en-US"/>
        </w:rPr>
        <w:t>approve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the RG-WP</w:t>
      </w:r>
      <w:r w:rsidR="00A81AFE">
        <w:rPr>
          <w:rFonts w:asciiTheme="majorBidi" w:hAnsiTheme="majorBidi"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13" w:history="1">
        <w:r w:rsidRPr="002E1D07">
          <w:rPr>
            <w:rStyle w:val="Hyperlink"/>
            <w:i/>
            <w:iCs/>
            <w:noProof/>
            <w:lang w:val="en-US"/>
          </w:rPr>
          <w:t>TD1</w:t>
        </w:r>
        <w:r w:rsidR="00D37335">
          <w:rPr>
            <w:rStyle w:val="Hyperlink"/>
            <w:i/>
            <w:iCs/>
            <w:noProof/>
            <w:lang w:val="en-US"/>
          </w:rPr>
          <w:t>86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571A3C0E" w14:textId="44F0F103" w:rsidR="00C814F7" w:rsidRPr="000F2C7D" w:rsidRDefault="00C814F7" w:rsidP="00C814F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E100E3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394659">
        <w:rPr>
          <w:rFonts w:asciiTheme="majorBidi" w:hAnsiTheme="majorBidi"/>
          <w:i/>
          <w:iCs/>
          <w:noProof/>
          <w:lang w:val="en-US"/>
        </w:rPr>
        <w:t xml:space="preserve">agree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the </w:t>
      </w:r>
      <w:r>
        <w:rPr>
          <w:rFonts w:asciiTheme="majorBidi" w:hAnsiTheme="majorBidi"/>
          <w:i/>
          <w:iCs/>
          <w:noProof/>
          <w:lang w:val="en-US"/>
        </w:rPr>
        <w:t>baseline text of the final report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in </w:t>
      </w:r>
      <w:hyperlink r:id="rId14" w:history="1">
        <w:r w:rsidRPr="00C814F7">
          <w:rPr>
            <w:rStyle w:val="Hyperlink"/>
            <w:i/>
            <w:iCs/>
            <w:szCs w:val="22"/>
          </w:rPr>
          <w:t>TD214</w:t>
        </w:r>
        <w:r w:rsidR="006E53E9" w:rsidRPr="00C814F7">
          <w:rPr>
            <w:rStyle w:val="Hyperlink"/>
            <w:i/>
            <w:iCs/>
            <w:szCs w:val="22"/>
          </w:rPr>
          <w:t>R</w:t>
        </w:r>
        <w:r w:rsidRPr="00C814F7">
          <w:rPr>
            <w:rStyle w:val="Hyperlink"/>
            <w:i/>
            <w:iCs/>
            <w:szCs w:val="22"/>
          </w:rPr>
          <w:t>1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0EB13971" w14:textId="079770AE" w:rsidR="00C814F7" w:rsidRPr="001D14A0" w:rsidRDefault="00C814F7" w:rsidP="00C814F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="00E100E3"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394659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394659">
        <w:rPr>
          <w:rFonts w:asciiTheme="majorBidi" w:hAnsiTheme="majorBidi"/>
          <w:i/>
          <w:iCs/>
          <w:noProof/>
          <w:lang w:val="en-US"/>
        </w:rPr>
        <w:t>agree</w:t>
      </w:r>
      <w:r w:rsidR="00E100E3"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the </w:t>
      </w:r>
      <w:r>
        <w:rPr>
          <w:rFonts w:asciiTheme="majorBidi" w:hAnsiTheme="majorBidi"/>
          <w:i/>
          <w:iCs/>
          <w:noProof/>
          <w:lang w:val="en-US"/>
        </w:rPr>
        <w:t>status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15" w:history="1">
        <w:r w:rsidRPr="00C814F7">
          <w:rPr>
            <w:rStyle w:val="Hyperlink"/>
            <w:i/>
            <w:iCs/>
          </w:rPr>
          <w:t>TD234</w:t>
        </w:r>
        <w:r w:rsidR="006E53E9" w:rsidRPr="00C814F7">
          <w:rPr>
            <w:rStyle w:val="Hyperlink"/>
            <w:i/>
            <w:iCs/>
          </w:rPr>
          <w:t>R</w:t>
        </w:r>
        <w:r w:rsidRPr="00C814F7">
          <w:rPr>
            <w:rStyle w:val="Hyperlink"/>
            <w:i/>
            <w:iCs/>
          </w:rPr>
          <w:t>1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3FF56E01" w14:textId="3B41948A" w:rsidR="00C814F7" w:rsidRPr="004122A5" w:rsidRDefault="00C814F7" w:rsidP="00C814F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394659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394659">
        <w:rPr>
          <w:rFonts w:asciiTheme="majorBidi" w:hAnsiTheme="majorBidi"/>
          <w:i/>
          <w:iCs/>
          <w:noProof/>
          <w:lang w:val="en-US"/>
        </w:rPr>
        <w:t>agree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the </w:t>
      </w:r>
      <w:r>
        <w:rPr>
          <w:rFonts w:asciiTheme="majorBidi" w:hAnsiTheme="majorBidi"/>
          <w:i/>
          <w:iCs/>
          <w:noProof/>
          <w:lang w:val="en-US"/>
        </w:rPr>
        <w:t>matix of work areas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in </w:t>
      </w:r>
      <w:hyperlink r:id="rId16" w:history="1">
        <w:r w:rsidRPr="00C814F7">
          <w:rPr>
            <w:rStyle w:val="Hyperlink"/>
            <w:rFonts w:eastAsia="Calibri"/>
            <w:i/>
            <w:iCs/>
          </w:rPr>
          <w:t>TD277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458A00EB" w14:textId="2013326D" w:rsidR="00C814F7" w:rsidRPr="001D14A0" w:rsidRDefault="00C814F7" w:rsidP="00C814F7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AD2E56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AD2E56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AD2E56">
        <w:rPr>
          <w:rFonts w:asciiTheme="majorBidi" w:hAnsiTheme="majorBidi"/>
          <w:i/>
          <w:iCs/>
          <w:noProof/>
          <w:lang w:val="en-US"/>
        </w:rPr>
        <w:t xml:space="preserve">WP2 is invited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>review and</w:t>
      </w:r>
      <w:r w:rsidR="00A81AFE">
        <w:rPr>
          <w:rFonts w:asciiTheme="majorBidi" w:hAnsiTheme="majorBidi"/>
          <w:i/>
          <w:iCs/>
          <w:noProof/>
          <w:lang w:val="en-US"/>
        </w:rPr>
        <w:t xml:space="preserve"> </w:t>
      </w:r>
      <w:r w:rsidR="00394659">
        <w:rPr>
          <w:rFonts w:asciiTheme="majorBidi" w:hAnsiTheme="majorBidi"/>
          <w:i/>
          <w:iCs/>
          <w:noProof/>
          <w:lang w:val="en-US"/>
        </w:rPr>
        <w:t>agree</w:t>
      </w:r>
      <w:r w:rsidRPr="00AD2E56">
        <w:rPr>
          <w:rFonts w:asciiTheme="majorBidi" w:hAnsiTheme="majorBidi"/>
          <w:i/>
          <w:iCs/>
          <w:noProof/>
          <w:lang w:val="en-US"/>
        </w:rPr>
        <w:t xml:space="preserve"> the draft Liaison Statement contained in </w:t>
      </w:r>
      <w:hyperlink r:id="rId17" w:history="1">
        <w:r w:rsidRPr="006E53E9">
          <w:rPr>
            <w:rStyle w:val="Hyperlink"/>
            <w:rFonts w:asciiTheme="majorBidi" w:hAnsiTheme="majorBidi"/>
            <w:i/>
            <w:iCs/>
            <w:noProof/>
            <w:lang w:val="en-US"/>
          </w:rPr>
          <w:t>TD</w:t>
        </w:r>
        <w:r w:rsidR="006E53E9" w:rsidRPr="006E53E9">
          <w:rPr>
            <w:rStyle w:val="Hyperlink"/>
            <w:rFonts w:asciiTheme="majorBidi" w:hAnsiTheme="majorBidi"/>
            <w:i/>
            <w:iCs/>
            <w:noProof/>
            <w:lang w:val="en-US"/>
          </w:rPr>
          <w:t>292</w:t>
        </w:r>
      </w:hyperlink>
      <w:r w:rsidRPr="00AD2E56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2A489EAE" w14:textId="00C0AE96" w:rsidR="002D2D63" w:rsidRPr="001D14A0" w:rsidRDefault="002D2D63" w:rsidP="002D2D6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2F47B4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854BF2">
        <w:rPr>
          <w:rFonts w:asciiTheme="majorBidi" w:hAnsiTheme="majorBidi"/>
          <w:b/>
          <w:bCs/>
          <w:i/>
          <w:iCs/>
          <w:noProof/>
          <w:lang w:val="en-US"/>
        </w:rPr>
        <w:t>6</w:t>
      </w:r>
      <w:r w:rsidRPr="002F47B4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WP2 is invited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>review and</w:t>
      </w:r>
      <w:r w:rsidR="00A81AFE">
        <w:rPr>
          <w:rFonts w:asciiTheme="majorBidi" w:hAnsiTheme="majorBidi"/>
          <w:i/>
          <w:iCs/>
          <w:noProof/>
          <w:lang w:val="en-US"/>
        </w:rPr>
        <w:t xml:space="preserve"> </w:t>
      </w:r>
      <w:r w:rsidR="00394659">
        <w:rPr>
          <w:rFonts w:asciiTheme="majorBidi" w:hAnsiTheme="majorBidi"/>
          <w:i/>
          <w:iCs/>
          <w:noProof/>
          <w:lang w:val="en-US"/>
        </w:rPr>
        <w:t>agree</w:t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 the interim meetings shown in clause </w:t>
      </w:r>
      <w:r w:rsidR="00B0696B">
        <w:rPr>
          <w:rFonts w:asciiTheme="majorBidi" w:hAnsiTheme="majorBidi"/>
          <w:i/>
          <w:iCs/>
          <w:noProof/>
          <w:lang w:val="en-US"/>
        </w:rPr>
        <w:t>8</w:t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 of </w:t>
      </w:r>
      <w:hyperlink r:id="rId18" w:history="1">
        <w:r w:rsidR="00D37335" w:rsidRPr="002F47B4">
          <w:rPr>
            <w:rStyle w:val="Hyperlink"/>
            <w:i/>
            <w:iCs/>
            <w:noProof/>
            <w:lang w:val="en-US"/>
          </w:rPr>
          <w:t>TD186</w:t>
        </w:r>
      </w:hyperlink>
      <w:r w:rsidRPr="002F47B4">
        <w:rPr>
          <w:rFonts w:asciiTheme="majorBidi" w:hAnsiTheme="majorBidi"/>
          <w:i/>
          <w:iCs/>
          <w:noProof/>
          <w:lang w:val="en-US"/>
        </w:rPr>
        <w:t>.</w:t>
      </w:r>
    </w:p>
    <w:p w14:paraId="7B57E0A8" w14:textId="755288BC" w:rsidR="002E1D07" w:rsidRPr="00D37335" w:rsidRDefault="002E1D07" w:rsidP="002E1D07">
      <w:pPr>
        <w:rPr>
          <w:highlight w:val="yellow"/>
          <w:lang w:val="en-US"/>
        </w:rPr>
      </w:pPr>
    </w:p>
    <w:p w14:paraId="0367ACEA" w14:textId="77777777" w:rsidR="002E1D07" w:rsidRPr="001D14A0" w:rsidRDefault="002E1D07" w:rsidP="00111945">
      <w:pPr>
        <w:rPr>
          <w:lang w:val="en-US"/>
        </w:rPr>
      </w:pPr>
    </w:p>
    <w:p w14:paraId="0DEA7C7C" w14:textId="0CCAA21F" w:rsidR="001D3AEC" w:rsidRDefault="001D3AEC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2E249A7" w14:textId="323AB425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18" w:name="_Toc32565386"/>
      <w:r>
        <w:rPr>
          <w:bCs/>
          <w:lang w:val="en-US"/>
        </w:rPr>
        <w:lastRenderedPageBreak/>
        <w:t>1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General</w:t>
      </w:r>
      <w:bookmarkEnd w:id="18"/>
    </w:p>
    <w:p w14:paraId="4E3075C4" w14:textId="2168F29B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This TD contains the report of the TSAG Rapporteur Group on </w:t>
      </w:r>
      <w:r w:rsidR="00603883" w:rsidRPr="00603883">
        <w:rPr>
          <w:lang w:val="en-US"/>
        </w:rPr>
        <w:t>Work Programme and Restructuring, SG work, SG coordination (RG-WPR)</w:t>
      </w:r>
      <w:r w:rsidRPr="001D14A0">
        <w:rPr>
          <w:lang w:val="en-US"/>
        </w:rPr>
        <w:t>.</w:t>
      </w:r>
    </w:p>
    <w:p w14:paraId="3472FC38" w14:textId="1770F559" w:rsidR="001D3AEC" w:rsidRDefault="00D37335" w:rsidP="001D3AEC">
      <w:pPr>
        <w:rPr>
          <w:lang w:val="en-US"/>
        </w:rPr>
      </w:pPr>
      <w:r w:rsidRPr="001D14A0">
        <w:rPr>
          <w:lang w:val="en-US"/>
        </w:rPr>
        <w:t xml:space="preserve">The meeting was chaired by the Rapporteur, Ms Miho Naganuma (NEC, Japan) </w:t>
      </w:r>
      <w:r>
        <w:rPr>
          <w:lang w:val="en-US"/>
        </w:rPr>
        <w:t xml:space="preserve">assisted by the Associate Rapporteur, Mr Greg Ratta (USA) and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>
        <w:rPr>
          <w:lang w:val="en-US"/>
        </w:rPr>
        <w:t>1</w:t>
      </w:r>
      <w:r w:rsidRPr="001D14A0">
        <w:rPr>
          <w:lang w:val="en-US"/>
        </w:rPr>
        <w:t>:</w:t>
      </w:r>
      <w:r>
        <w:rPr>
          <w:lang w:val="en-US"/>
        </w:rPr>
        <w:t>15</w:t>
      </w:r>
      <w:r w:rsidRPr="001D14A0">
        <w:rPr>
          <w:lang w:val="en-US"/>
        </w:rPr>
        <w:t>-1</w:t>
      </w:r>
      <w:r>
        <w:rPr>
          <w:lang w:val="en-US"/>
        </w:rPr>
        <w:t>2</w:t>
      </w:r>
      <w:r w:rsidRPr="001D14A0">
        <w:rPr>
          <w:lang w:val="en-US"/>
        </w:rPr>
        <w:t>:</w:t>
      </w:r>
      <w:r>
        <w:rPr>
          <w:lang w:val="en-US"/>
        </w:rPr>
        <w:t>30</w:t>
      </w:r>
      <w:r w:rsidRPr="001D14A0">
        <w:rPr>
          <w:lang w:val="en-US"/>
        </w:rPr>
        <w:t xml:space="preserve"> on </w:t>
      </w:r>
      <w:r>
        <w:rPr>
          <w:lang w:val="en-US"/>
        </w:rPr>
        <w:t>31 May and 14:30-15:45 on 1 June 2023.</w:t>
      </w:r>
    </w:p>
    <w:p w14:paraId="14559390" w14:textId="77777777" w:rsidR="002F47B4" w:rsidRPr="001D14A0" w:rsidRDefault="002F47B4" w:rsidP="001D3AEC">
      <w:pPr>
        <w:rPr>
          <w:lang w:val="en-US"/>
        </w:rPr>
      </w:pPr>
    </w:p>
    <w:p w14:paraId="08049816" w14:textId="3A497D7E" w:rsidR="003D15D6" w:rsidRPr="001D14A0" w:rsidRDefault="003D15D6" w:rsidP="003D15D6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-1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review and </w:t>
      </w:r>
      <w:r w:rsidR="00394659">
        <w:rPr>
          <w:rFonts w:asciiTheme="majorBidi" w:hAnsiTheme="majorBidi"/>
          <w:i/>
          <w:iCs/>
          <w:noProof/>
          <w:lang w:val="en-US"/>
        </w:rPr>
        <w:t>approve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the RG-WP</w:t>
      </w:r>
      <w:r w:rsidR="00A81AFE">
        <w:rPr>
          <w:rFonts w:asciiTheme="majorBidi" w:hAnsiTheme="majorBidi"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19" w:history="1">
        <w:r w:rsidR="00D37335" w:rsidRPr="002E1D07">
          <w:rPr>
            <w:rStyle w:val="Hyperlink"/>
            <w:i/>
            <w:iCs/>
            <w:noProof/>
            <w:lang w:val="en-US"/>
          </w:rPr>
          <w:t>TD1</w:t>
        </w:r>
        <w:r w:rsidR="00D37335">
          <w:rPr>
            <w:rStyle w:val="Hyperlink"/>
            <w:i/>
            <w:iCs/>
            <w:noProof/>
            <w:lang w:val="en-US"/>
          </w:rPr>
          <w:t>86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2E450AE7" w14:textId="77777777" w:rsidR="001D3AEC" w:rsidRPr="004C2AA6" w:rsidRDefault="001D3AEC" w:rsidP="001D3AEC">
      <w:pPr>
        <w:rPr>
          <w:lang w:val="en-US"/>
        </w:rPr>
      </w:pPr>
    </w:p>
    <w:p w14:paraId="29C01D0E" w14:textId="059E36CF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19" w:name="_Toc32565387"/>
      <w:r>
        <w:rPr>
          <w:bCs/>
          <w:lang w:val="en-US"/>
        </w:rPr>
        <w:t>2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Approval of the agenda and document allocation</w:t>
      </w:r>
      <w:bookmarkEnd w:id="19"/>
    </w:p>
    <w:p w14:paraId="4A277375" w14:textId="798E40E4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The meeting adopted the agenda in </w:t>
      </w:r>
      <w:hyperlink r:id="rId20" w:history="1">
        <w:r w:rsidR="00D37335" w:rsidRPr="00D37335">
          <w:rPr>
            <w:rStyle w:val="Hyperlink"/>
            <w:szCs w:val="22"/>
          </w:rPr>
          <w:t>TD185</w:t>
        </w:r>
      </w:hyperlink>
      <w:r w:rsidRPr="001D14A0">
        <w:rPr>
          <w:lang w:val="en-US"/>
        </w:rPr>
        <w:t xml:space="preserve"> </w:t>
      </w:r>
      <w:r w:rsidR="003E1925">
        <w:rPr>
          <w:lang w:val="en-US"/>
        </w:rPr>
        <w:t xml:space="preserve">(Rapporteur) </w:t>
      </w:r>
      <w:r w:rsidRPr="001D14A0">
        <w:rPr>
          <w:lang w:val="en-US"/>
        </w:rPr>
        <w:t>without any modification.</w:t>
      </w:r>
    </w:p>
    <w:p w14:paraId="66853362" w14:textId="25B452ED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0" w:name="_Toc32565388"/>
      <w:r>
        <w:rPr>
          <w:bCs/>
          <w:lang w:val="en-US"/>
        </w:rPr>
        <w:t>3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Documentation</w:t>
      </w:r>
      <w:bookmarkEnd w:id="20"/>
    </w:p>
    <w:p w14:paraId="1F111550" w14:textId="6DAA29FA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The allocation of documents is provided in Annex B to this TD.</w:t>
      </w:r>
    </w:p>
    <w:p w14:paraId="6D6B6850" w14:textId="20235C44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1" w:name="_Toc32565389"/>
      <w:r>
        <w:rPr>
          <w:bCs/>
          <w:lang w:val="en-US"/>
        </w:rPr>
        <w:t>4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Recap of previous discussions</w:t>
      </w:r>
      <w:bookmarkEnd w:id="21"/>
    </w:p>
    <w:p w14:paraId="4C8DC57D" w14:textId="2E6A00A1" w:rsidR="001D3AEC" w:rsidRPr="003E1925" w:rsidRDefault="001D3AEC" w:rsidP="001D3AEC">
      <w:pPr>
        <w:rPr>
          <w:lang w:val="en-US"/>
        </w:rPr>
      </w:pPr>
      <w:r w:rsidRPr="003E1925">
        <w:rPr>
          <w:lang w:val="en-US"/>
        </w:rPr>
        <w:t>The meeting noted the report</w:t>
      </w:r>
      <w:r w:rsidR="00D37335">
        <w:rPr>
          <w:lang w:val="en-US"/>
        </w:rPr>
        <w:t>s</w:t>
      </w:r>
      <w:r w:rsidRPr="003E1925">
        <w:rPr>
          <w:lang w:val="en-US"/>
        </w:rPr>
        <w:t xml:space="preserve"> of the previous </w:t>
      </w:r>
      <w:r w:rsidR="004170C6" w:rsidRPr="003E1925">
        <w:rPr>
          <w:lang w:val="en-US"/>
        </w:rPr>
        <w:t xml:space="preserve">TSAG </w:t>
      </w:r>
      <w:r w:rsidRPr="003E1925">
        <w:rPr>
          <w:lang w:val="en-US"/>
        </w:rPr>
        <w:t>meeting</w:t>
      </w:r>
      <w:r w:rsidR="0010132D" w:rsidRPr="003E1925">
        <w:rPr>
          <w:lang w:val="en-US"/>
        </w:rPr>
        <w:t xml:space="preserve">, as found in </w:t>
      </w:r>
      <w:hyperlink r:id="rId21" w:history="1">
        <w:r w:rsidR="0010132D" w:rsidRPr="00897642">
          <w:rPr>
            <w:rStyle w:val="Hyperlink"/>
            <w:szCs w:val="22"/>
          </w:rPr>
          <w:t>TSAG-R1</w:t>
        </w:r>
      </w:hyperlink>
      <w:r w:rsidR="0010132D" w:rsidRPr="0010132D">
        <w:rPr>
          <w:rStyle w:val="Hyperlink"/>
          <w:color w:val="auto"/>
          <w:szCs w:val="22"/>
          <w:u w:val="none"/>
        </w:rPr>
        <w:t>,</w:t>
      </w:r>
      <w:r w:rsidR="00D37335" w:rsidRPr="0010132D">
        <w:rPr>
          <w:lang w:val="en-US"/>
        </w:rPr>
        <w:t xml:space="preserve"> </w:t>
      </w:r>
      <w:r w:rsidR="00D37335">
        <w:rPr>
          <w:lang w:val="en-US"/>
        </w:rPr>
        <w:t xml:space="preserve">and </w:t>
      </w:r>
      <w:r w:rsidR="0010132D">
        <w:rPr>
          <w:lang w:val="en-US"/>
        </w:rPr>
        <w:t xml:space="preserve">of </w:t>
      </w:r>
      <w:r w:rsidR="00D37335">
        <w:rPr>
          <w:lang w:val="en-US"/>
        </w:rPr>
        <w:t>interim meetings</w:t>
      </w:r>
      <w:r w:rsidRPr="003E1925">
        <w:rPr>
          <w:lang w:val="en-US"/>
        </w:rPr>
        <w:t xml:space="preserve">, as found in </w:t>
      </w:r>
      <w:hyperlink r:id="rId22" w:history="1">
        <w:r w:rsidR="00D37335" w:rsidRPr="00897642">
          <w:rPr>
            <w:rStyle w:val="Hyperlink"/>
            <w:szCs w:val="22"/>
          </w:rPr>
          <w:t>TD278</w:t>
        </w:r>
      </w:hyperlink>
      <w:r w:rsidR="004170C6" w:rsidRPr="003E1925">
        <w:rPr>
          <w:lang w:val="en-US"/>
        </w:rPr>
        <w:t>.</w:t>
      </w:r>
    </w:p>
    <w:p w14:paraId="76E2D068" w14:textId="0848F762" w:rsidR="00DF647E" w:rsidRPr="00DF647E" w:rsidRDefault="0009513C" w:rsidP="00DF647E">
      <w:pPr>
        <w:pStyle w:val="Heading1"/>
        <w:spacing w:before="240" w:after="60"/>
        <w:rPr>
          <w:bCs/>
        </w:rPr>
      </w:pPr>
      <w:r>
        <w:rPr>
          <w:bCs/>
        </w:rPr>
        <w:t>5</w:t>
      </w:r>
      <w:r>
        <w:rPr>
          <w:bCs/>
        </w:rPr>
        <w:tab/>
      </w:r>
      <w:r w:rsidR="00DF647E" w:rsidRPr="00DF647E">
        <w:rPr>
          <w:bCs/>
        </w:rPr>
        <w:t>Consideration of ITU-T study group restructuring</w:t>
      </w:r>
    </w:p>
    <w:p w14:paraId="6A640524" w14:textId="74A840B9" w:rsidR="0055438B" w:rsidRDefault="00DF647E" w:rsidP="0055438B">
      <w:pPr>
        <w:jc w:val="both"/>
      </w:pPr>
      <w:r>
        <w:t xml:space="preserve">The discussion </w:t>
      </w:r>
      <w:r w:rsidR="004E51C0">
        <w:t>on</w:t>
      </w:r>
      <w:r>
        <w:t xml:space="preserve"> ITU-T </w:t>
      </w:r>
      <w:r w:rsidR="004E51C0">
        <w:t xml:space="preserve">SG </w:t>
      </w:r>
      <w:r>
        <w:t xml:space="preserve">restructuring was facilitated by the Associate Rapporteur for this topic, which occurred at </w:t>
      </w:r>
      <w:r w:rsidR="00C86004">
        <w:t>the first session</w:t>
      </w:r>
      <w:r>
        <w:t xml:space="preserve"> of RG-WPR.</w:t>
      </w:r>
      <w:r w:rsidR="00832EA4">
        <w:t xml:space="preserve"> </w:t>
      </w:r>
    </w:p>
    <w:p w14:paraId="1AACB2F0" w14:textId="4C02C0C8" w:rsidR="00114C9C" w:rsidRPr="002F47B4" w:rsidRDefault="00114C9C" w:rsidP="00114C9C">
      <w:pPr>
        <w:pStyle w:val="Heading2"/>
      </w:pPr>
      <w:r w:rsidRPr="002F47B4">
        <w:t>5.</w:t>
      </w:r>
      <w:r w:rsidR="007A1812">
        <w:t>1</w:t>
      </w:r>
      <w:r>
        <w:tab/>
        <w:t>Implementation of the action plan</w:t>
      </w:r>
      <w:r w:rsidR="00DC2B69" w:rsidRPr="00DC2B69">
        <w:t xml:space="preserve"> </w:t>
      </w:r>
      <w:r w:rsidR="00DC2B69">
        <w:t xml:space="preserve">for the </w:t>
      </w:r>
      <w:r w:rsidR="00DC2B69" w:rsidRPr="00B600C0">
        <w:rPr>
          <w:szCs w:val="22"/>
        </w:rPr>
        <w:t>analysis of ITU-T study group restructuring alternatives</w:t>
      </w:r>
    </w:p>
    <w:p w14:paraId="49AD7FB1" w14:textId="77777777" w:rsidR="00075ACB" w:rsidRDefault="00114C9C" w:rsidP="00114C9C">
      <w:r>
        <w:t xml:space="preserve">At the start of the session, the participants were reminded that </w:t>
      </w:r>
      <w:hyperlink r:id="rId23" w:history="1">
        <w:r w:rsidRPr="0055438B">
          <w:rPr>
            <w:rStyle w:val="Hyperlink"/>
          </w:rPr>
          <w:t>TD152R1</w:t>
        </w:r>
      </w:hyperlink>
      <w:r>
        <w:t xml:space="preserve"> from the last TSAG meeting shows the </w:t>
      </w:r>
      <w:r w:rsidRPr="0055438B">
        <w:t>plan</w:t>
      </w:r>
      <w:r>
        <w:t xml:space="preserve"> approved by TSAG</w:t>
      </w:r>
      <w:r w:rsidRPr="0055438B">
        <w:t xml:space="preserve"> to implement the action plan for the analysis of ITU-T study group restructuring</w:t>
      </w:r>
      <w:r>
        <w:t>.</w:t>
      </w:r>
      <w:r w:rsidR="000F207B">
        <w:t xml:space="preserve"> </w:t>
      </w:r>
      <w:r w:rsidR="00831F24">
        <w:t xml:space="preserve">The Associate Rapporteur drew the attention of the participants to </w:t>
      </w:r>
      <w:r w:rsidR="004F28DA">
        <w:t xml:space="preserve">the </w:t>
      </w:r>
      <w:r w:rsidR="00FB2DDA">
        <w:t xml:space="preserve">fact that the </w:t>
      </w:r>
      <w:r w:rsidR="009D31B3">
        <w:t xml:space="preserve">implementation plan indicates that as of May 2023, RG-WPR should have completed its </w:t>
      </w:r>
      <w:r w:rsidR="008D58EA">
        <w:t>definition of the key performance indicators and their relative importance</w:t>
      </w:r>
      <w:r w:rsidR="003B184D">
        <w:t xml:space="preserve"> as well as commenced the consideration of alternative structures</w:t>
      </w:r>
      <w:r w:rsidR="00880EC5">
        <w:t>.</w:t>
      </w:r>
    </w:p>
    <w:p w14:paraId="675C05D4" w14:textId="4E1D7414" w:rsidR="007A1812" w:rsidRDefault="00075ACB" w:rsidP="00114C9C">
      <w:r>
        <w:t>RG-WPR has not</w:t>
      </w:r>
      <w:r w:rsidR="00D24F7F">
        <w:t xml:space="preserve"> completed a definition of the key performance indicators and their relative importance.  </w:t>
      </w:r>
      <w:r w:rsidR="00C24845">
        <w:t xml:space="preserve">To date, </w:t>
      </w:r>
      <w:r w:rsidR="000644AB">
        <w:t>contributions have been submitted only by two</w:t>
      </w:r>
      <w:r w:rsidR="000644AB" w:rsidRPr="000644AB">
        <w:t xml:space="preserve"> administrations and </w:t>
      </w:r>
      <w:r w:rsidR="000644AB">
        <w:t>two</w:t>
      </w:r>
      <w:r w:rsidR="000644AB" w:rsidRPr="000644AB">
        <w:t xml:space="preserve"> sector members</w:t>
      </w:r>
      <w:r w:rsidR="000644AB">
        <w:t>, all from the same region</w:t>
      </w:r>
      <w:r w:rsidR="000644AB" w:rsidRPr="000644AB">
        <w:t>.</w:t>
      </w:r>
      <w:r w:rsidR="00D24F7F">
        <w:t xml:space="preserve"> </w:t>
      </w:r>
      <w:r w:rsidR="00D62533">
        <w:t xml:space="preserve">Contribution </w:t>
      </w:r>
      <w:hyperlink r:id="rId24" w:history="1">
        <w:r w:rsidR="00D62533" w:rsidRPr="00BF038D">
          <w:rPr>
            <w:rStyle w:val="Hyperlink"/>
          </w:rPr>
          <w:t>C33</w:t>
        </w:r>
      </w:hyperlink>
      <w:r w:rsidR="00D62533">
        <w:t xml:space="preserve"> </w:t>
      </w:r>
      <w:r w:rsidR="008349B1" w:rsidRPr="008349B1">
        <w:t>reviews the current approach</w:t>
      </w:r>
      <w:r w:rsidR="006D581D">
        <w:t xml:space="preserve"> and suggests that</w:t>
      </w:r>
      <w:r w:rsidR="00CE00E2">
        <w:t xml:space="preserve"> </w:t>
      </w:r>
      <w:r w:rsidR="006D6EB8">
        <w:t>RG-WPR should</w:t>
      </w:r>
      <w:r w:rsidR="006D6EB8" w:rsidRPr="006D6EB8">
        <w:t xml:space="preserve"> focus on candidate new structures</w:t>
      </w:r>
      <w:r w:rsidR="00CE00E2">
        <w:t xml:space="preserve">, </w:t>
      </w:r>
      <w:r w:rsidR="00CE00E2" w:rsidRPr="006D6EB8">
        <w:t xml:space="preserve">rather than focusing on KPIs, </w:t>
      </w:r>
      <w:r w:rsidR="00496EF1">
        <w:t xml:space="preserve">in light of the </w:t>
      </w:r>
      <w:r w:rsidR="00CE00E2">
        <w:t>limited time remaining in the shortened study period</w:t>
      </w:r>
      <w:r w:rsidR="008349B1" w:rsidRPr="008349B1">
        <w:t>.</w:t>
      </w:r>
      <w:r w:rsidR="00550A7A">
        <w:t xml:space="preserve">  </w:t>
      </w:r>
      <w:r w:rsidR="00BB0BD9">
        <w:t>There was sympathy expressed</w:t>
      </w:r>
      <w:r w:rsidR="00EE729B">
        <w:t xml:space="preserve"> by</w:t>
      </w:r>
      <w:r w:rsidR="00BB0BD9">
        <w:t xml:space="preserve"> some participants </w:t>
      </w:r>
      <w:r w:rsidR="00EE729B">
        <w:t xml:space="preserve">for this suggestion, but </w:t>
      </w:r>
      <w:r w:rsidR="00D77A2C">
        <w:t>there was also a desire to establish a common understanding of the criteria for evaluating the alternative structures.</w:t>
      </w:r>
      <w:r w:rsidR="001D555E">
        <w:t xml:space="preserve">  Regardless, the work will </w:t>
      </w:r>
      <w:r w:rsidR="00CA5C1F">
        <w:t>advance</w:t>
      </w:r>
      <w:r w:rsidR="001D555E">
        <w:t xml:space="preserve"> only on the basis of contributions, and participants were encouraged </w:t>
      </w:r>
      <w:r w:rsidR="00CA5C1F">
        <w:t>submit proposals to specify the KPIs, their relative importance, and candidate ITU-T study group structures.</w:t>
      </w:r>
    </w:p>
    <w:p w14:paraId="5B60E4D7" w14:textId="4002F43B" w:rsidR="009927EB" w:rsidRDefault="00B00D72" w:rsidP="009927EB">
      <w:pPr>
        <w:rPr>
          <w:rStyle w:val="Hyperlink"/>
          <w:color w:val="auto"/>
          <w:szCs w:val="22"/>
          <w:u w:val="none"/>
        </w:rPr>
      </w:pPr>
      <w:hyperlink r:id="rId25" w:history="1">
        <w:r w:rsidR="009927EB" w:rsidRPr="00B600C0">
          <w:rPr>
            <w:rStyle w:val="Hyperlink"/>
            <w:szCs w:val="22"/>
          </w:rPr>
          <w:t>TD214</w:t>
        </w:r>
      </w:hyperlink>
      <w:r w:rsidR="009927EB" w:rsidRPr="00744D27">
        <w:rPr>
          <w:rStyle w:val="Hyperlink"/>
          <w:color w:val="auto"/>
          <w:szCs w:val="22"/>
          <w:u w:val="none"/>
        </w:rPr>
        <w:t xml:space="preserve"> contains the b</w:t>
      </w:r>
      <w:r w:rsidR="009927EB" w:rsidRPr="00744D27">
        <w:rPr>
          <w:szCs w:val="22"/>
        </w:rPr>
        <w:t xml:space="preserve">aseline </w:t>
      </w:r>
      <w:r w:rsidR="009927EB" w:rsidRPr="00B600C0">
        <w:rPr>
          <w:szCs w:val="22"/>
        </w:rPr>
        <w:t>text for</w:t>
      </w:r>
      <w:r w:rsidR="009927EB">
        <w:rPr>
          <w:szCs w:val="22"/>
        </w:rPr>
        <w:t xml:space="preserve"> the proposed final</w:t>
      </w:r>
      <w:r w:rsidR="009927EB" w:rsidRPr="00B600C0">
        <w:rPr>
          <w:szCs w:val="22"/>
        </w:rPr>
        <w:t xml:space="preserve"> report of the analysis of ITU-T study group restructuring alternatives</w:t>
      </w:r>
      <w:r w:rsidR="009927EB">
        <w:rPr>
          <w:szCs w:val="22"/>
        </w:rPr>
        <w:t xml:space="preserve"> reflecting agreements reached through the April 2023 interim meeting of RG-WPR. </w:t>
      </w:r>
      <w:r w:rsidR="009927EB">
        <w:t xml:space="preserve">The Associate Rapporteur presented </w:t>
      </w:r>
      <w:hyperlink r:id="rId26" w:history="1">
        <w:r w:rsidR="009927EB" w:rsidRPr="0055438B">
          <w:rPr>
            <w:rStyle w:val="Hyperlink"/>
          </w:rPr>
          <w:t>TD265</w:t>
        </w:r>
      </w:hyperlink>
      <w:r w:rsidR="009927EB">
        <w:rPr>
          <w:rStyle w:val="Hyperlink"/>
        </w:rPr>
        <w:t>,</w:t>
      </w:r>
      <w:r w:rsidR="009927EB">
        <w:t xml:space="preserve"> “</w:t>
      </w:r>
      <w:r w:rsidR="009927EB" w:rsidRPr="00897642">
        <w:rPr>
          <w:szCs w:val="22"/>
        </w:rPr>
        <w:t xml:space="preserve">Proposed editorial revisions to baseline text for report </w:t>
      </w:r>
      <w:r w:rsidR="009927EB" w:rsidRPr="00B600C0">
        <w:rPr>
          <w:szCs w:val="22"/>
        </w:rPr>
        <w:t>of the analysis of ITU-T study group restructuring alternatives</w:t>
      </w:r>
      <w:r w:rsidR="009927EB">
        <w:rPr>
          <w:szCs w:val="22"/>
        </w:rPr>
        <w:t>”.</w:t>
      </w:r>
      <w:r w:rsidR="009927EB" w:rsidRPr="00B600C0">
        <w:rPr>
          <w:szCs w:val="22"/>
        </w:rPr>
        <w:t xml:space="preserve"> T</w:t>
      </w:r>
      <w:r w:rsidR="009927EB" w:rsidRPr="00B600C0">
        <w:t>he meeting agreed</w:t>
      </w:r>
      <w:r w:rsidR="00FB2DDA">
        <w:t xml:space="preserve"> to</w:t>
      </w:r>
      <w:r w:rsidR="009927EB" w:rsidRPr="00B600C0">
        <w:t xml:space="preserve"> th</w:t>
      </w:r>
      <w:r w:rsidR="009927EB">
        <w:t>ese</w:t>
      </w:r>
      <w:r w:rsidR="009927EB" w:rsidRPr="00B600C0">
        <w:t xml:space="preserve"> </w:t>
      </w:r>
      <w:r w:rsidR="009927EB">
        <w:t>proposals</w:t>
      </w:r>
      <w:r w:rsidR="009927EB" w:rsidRPr="00B600C0">
        <w:t>.</w:t>
      </w:r>
      <w:r w:rsidR="009927EB">
        <w:t xml:space="preserve"> </w:t>
      </w:r>
      <w:r w:rsidR="00EE093B">
        <w:t>The Asso</w:t>
      </w:r>
      <w:r w:rsidR="008933BE">
        <w:t>c</w:t>
      </w:r>
      <w:r w:rsidR="00EE093B">
        <w:t>i</w:t>
      </w:r>
      <w:r w:rsidR="008933BE">
        <w:t>a</w:t>
      </w:r>
      <w:r w:rsidR="00EE093B">
        <w:t xml:space="preserve">te Rapporteur </w:t>
      </w:r>
      <w:r w:rsidR="0047512C">
        <w:t xml:space="preserve">revised the baseline text, reflected in </w:t>
      </w:r>
      <w:hyperlink r:id="rId27" w:history="1">
        <w:r w:rsidR="00EC6E11">
          <w:rPr>
            <w:rStyle w:val="Hyperlink"/>
            <w:szCs w:val="22"/>
          </w:rPr>
          <w:t>TD214</w:t>
        </w:r>
        <w:r w:rsidR="006E53E9">
          <w:rPr>
            <w:rStyle w:val="Hyperlink"/>
            <w:szCs w:val="22"/>
          </w:rPr>
          <w:t>R</w:t>
        </w:r>
        <w:r w:rsidR="00EC6E11">
          <w:rPr>
            <w:rStyle w:val="Hyperlink"/>
            <w:szCs w:val="22"/>
          </w:rPr>
          <w:t>1</w:t>
        </w:r>
      </w:hyperlink>
      <w:r w:rsidR="0047512C" w:rsidRPr="00EC6E11">
        <w:rPr>
          <w:rStyle w:val="Hyperlink"/>
          <w:color w:val="auto"/>
          <w:szCs w:val="22"/>
          <w:u w:val="none"/>
        </w:rPr>
        <w:t xml:space="preserve">, to </w:t>
      </w:r>
      <w:r w:rsidR="00EC6E11" w:rsidRPr="00EC6E11">
        <w:rPr>
          <w:rStyle w:val="Hyperlink"/>
          <w:color w:val="auto"/>
          <w:szCs w:val="22"/>
          <w:u w:val="none"/>
        </w:rPr>
        <w:t>reflect these agreements.</w:t>
      </w:r>
    </w:p>
    <w:p w14:paraId="0FA70CBC" w14:textId="77777777" w:rsidR="000F2C7D" w:rsidRDefault="000F2C7D" w:rsidP="000F2C7D">
      <w:pPr>
        <w:pStyle w:val="TableofFigures"/>
        <w:tabs>
          <w:tab w:val="left" w:pos="2760"/>
        </w:tabs>
        <w:rPr>
          <w:rFonts w:asciiTheme="majorBidi" w:hAnsiTheme="majorBidi"/>
          <w:b/>
          <w:bCs/>
          <w:i/>
          <w:iCs/>
          <w:noProof/>
          <w:lang w:val="en-US"/>
        </w:rPr>
      </w:pPr>
    </w:p>
    <w:p w14:paraId="1FCAD4AE" w14:textId="3AAD7829" w:rsidR="006E53E9" w:rsidRDefault="00E100E3" w:rsidP="00394659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A81AFE">
        <w:rPr>
          <w:rFonts w:asciiTheme="majorBidi" w:hAnsiTheme="majorBidi"/>
          <w:i/>
          <w:iCs/>
          <w:noProof/>
          <w:lang w:val="en-US"/>
        </w:rPr>
        <w:t>agree</w:t>
      </w:r>
      <w:r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the </w:t>
      </w:r>
      <w:r>
        <w:rPr>
          <w:rFonts w:asciiTheme="majorBidi" w:hAnsiTheme="majorBidi"/>
          <w:i/>
          <w:iCs/>
          <w:noProof/>
          <w:lang w:val="en-US"/>
        </w:rPr>
        <w:t>baseline text of the final report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in </w:t>
      </w:r>
      <w:hyperlink r:id="rId28" w:history="1">
        <w:r w:rsidRPr="00C814F7">
          <w:rPr>
            <w:rStyle w:val="Hyperlink"/>
            <w:i/>
            <w:iCs/>
            <w:szCs w:val="22"/>
          </w:rPr>
          <w:t>TD214R1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65BC9413" w14:textId="77777777" w:rsidR="00394659" w:rsidRPr="00394659" w:rsidRDefault="00394659" w:rsidP="00394659">
      <w:pPr>
        <w:rPr>
          <w:lang w:val="en-US"/>
        </w:rPr>
      </w:pPr>
    </w:p>
    <w:p w14:paraId="509E83BD" w14:textId="09F169A8" w:rsidR="00DF647E" w:rsidRPr="0009513C" w:rsidRDefault="0009513C" w:rsidP="0055438B">
      <w:pPr>
        <w:pStyle w:val="Heading2"/>
      </w:pPr>
      <w:r>
        <w:t>5.</w:t>
      </w:r>
      <w:r w:rsidR="00676876">
        <w:t>2</w:t>
      </w:r>
      <w:r>
        <w:tab/>
      </w:r>
      <w:r w:rsidR="0055438B">
        <w:t>Progress report</w:t>
      </w:r>
      <w:r w:rsidR="000701F6">
        <w:t xml:space="preserve"> to TSAG</w:t>
      </w:r>
      <w:r w:rsidR="00CA5FC7">
        <w:t xml:space="preserve"> and the ITU-T study groups</w:t>
      </w:r>
    </w:p>
    <w:p w14:paraId="6C30CCCA" w14:textId="7012D23D" w:rsidR="0055438B" w:rsidRDefault="00DF647E" w:rsidP="0055438B">
      <w:r>
        <w:t xml:space="preserve">The Associate Rapporteur </w:t>
      </w:r>
      <w:r w:rsidR="00B600C0">
        <w:t>presented</w:t>
      </w:r>
      <w:r w:rsidR="0055438B" w:rsidRPr="0055438B">
        <w:t xml:space="preserve"> </w:t>
      </w:r>
      <w:hyperlink r:id="rId29" w:history="1">
        <w:r w:rsidR="0055438B" w:rsidRPr="0055438B">
          <w:rPr>
            <w:rStyle w:val="Hyperlink"/>
          </w:rPr>
          <w:t>TD234</w:t>
        </w:r>
      </w:hyperlink>
      <w:r w:rsidR="000701F6">
        <w:rPr>
          <w:rStyle w:val="Hyperlink"/>
        </w:rPr>
        <w:t>,</w:t>
      </w:r>
      <w:r w:rsidR="0055438B" w:rsidRPr="0055438B">
        <w:t xml:space="preserve"> </w:t>
      </w:r>
      <w:r w:rsidR="0055438B">
        <w:t>“</w:t>
      </w:r>
      <w:r w:rsidR="0055438B" w:rsidRPr="0055438B">
        <w:t>Report to TSAG on the implementation of the action plan for analysis of ITU-T structural alternatives</w:t>
      </w:r>
      <w:r w:rsidR="0055438B">
        <w:t>”</w:t>
      </w:r>
      <w:r w:rsidR="000701F6">
        <w:t>,</w:t>
      </w:r>
      <w:r w:rsidR="00C06807">
        <w:t xml:space="preserve"> in accordance with</w:t>
      </w:r>
      <w:r w:rsidR="000701F6">
        <w:t xml:space="preserve"> Resolution 99 (Geneva, 2022)</w:t>
      </w:r>
      <w:r w:rsidR="00E43D60">
        <w:t xml:space="preserve"> </w:t>
      </w:r>
      <w:r w:rsidR="00C06807">
        <w:t>that instructs TSAG</w:t>
      </w:r>
      <w:r w:rsidR="00CA5FC7">
        <w:t xml:space="preserve"> to provide a progress report on the analysis to the study groups after each TSAG meeting</w:t>
      </w:r>
      <w:r w:rsidR="0055438B">
        <w:t xml:space="preserve">.  </w:t>
      </w:r>
      <w:r w:rsidR="00C06807">
        <w:t xml:space="preserve">The Associate Rapporteur revised the report to </w:t>
      </w:r>
      <w:r w:rsidR="009B5F44">
        <w:t>also reflect</w:t>
      </w:r>
      <w:r w:rsidR="00C06807">
        <w:t xml:space="preserve"> the progress of the current meeting as presented in </w:t>
      </w:r>
      <w:hyperlink r:id="rId30" w:history="1">
        <w:r w:rsidR="003224B8">
          <w:rPr>
            <w:rStyle w:val="Hyperlink"/>
          </w:rPr>
          <w:t>TD234</w:t>
        </w:r>
        <w:r w:rsidR="006E53E9">
          <w:rPr>
            <w:rStyle w:val="Hyperlink"/>
          </w:rPr>
          <w:t>R</w:t>
        </w:r>
        <w:r w:rsidR="003224B8">
          <w:rPr>
            <w:rStyle w:val="Hyperlink"/>
          </w:rPr>
          <w:t>1</w:t>
        </w:r>
      </w:hyperlink>
      <w:r w:rsidR="003224B8" w:rsidRPr="003224B8">
        <w:rPr>
          <w:rStyle w:val="Hyperlink"/>
          <w:color w:val="auto"/>
          <w:u w:val="none"/>
        </w:rPr>
        <w:t xml:space="preserve">. </w:t>
      </w:r>
      <w:r w:rsidR="0055438B">
        <w:t>The meeting noted</w:t>
      </w:r>
      <w:r w:rsidR="009B5F44">
        <w:t xml:space="preserve"> the report and </w:t>
      </w:r>
      <w:r w:rsidR="001B5AED">
        <w:t xml:space="preserve">agreed to </w:t>
      </w:r>
      <w:r w:rsidR="002F47B4">
        <w:t>send a Liaison Statement to all the ITU-T SGs</w:t>
      </w:r>
      <w:r w:rsidR="00CD2284">
        <w:t xml:space="preserve"> conveying</w:t>
      </w:r>
      <w:r w:rsidR="002F47B4">
        <w:t xml:space="preserve"> this progres</w:t>
      </w:r>
      <w:r w:rsidR="00CD2284">
        <w:t>s</w:t>
      </w:r>
      <w:r w:rsidR="0051527E">
        <w:t xml:space="preserve"> report</w:t>
      </w:r>
      <w:r w:rsidR="002F47B4">
        <w:t>.</w:t>
      </w:r>
    </w:p>
    <w:p w14:paraId="6745040F" w14:textId="7D1E6D0F" w:rsidR="0051527E" w:rsidRDefault="00F5369B" w:rsidP="0055438B">
      <w:r w:rsidRPr="00F5369B">
        <w:t xml:space="preserve">As noted in the above-mentioned report, TSAG RG-WPR has reached out to the chairpersons of ITU-T study groups to review a matrix of work areas across the ITU-T Study Groups. The result of that review is presented in </w:t>
      </w:r>
      <w:hyperlink r:id="rId31" w:history="1">
        <w:r w:rsidR="008F02F5" w:rsidRPr="003961ED">
          <w:rPr>
            <w:rStyle w:val="Hyperlink"/>
            <w:rFonts w:eastAsia="Calibri"/>
          </w:rPr>
          <w:t>TSAG TD277</w:t>
        </w:r>
      </w:hyperlink>
      <w:r w:rsidRPr="00F5369B">
        <w:t>.</w:t>
      </w:r>
      <w:r w:rsidR="008F02F5">
        <w:t xml:space="preserve"> </w:t>
      </w:r>
      <w:r w:rsidR="0051527E">
        <w:t>The participants also agreed that the</w:t>
      </w:r>
      <w:r w:rsidR="008F02F5">
        <w:t xml:space="preserve"> Liaison Statement </w:t>
      </w:r>
      <w:r w:rsidR="00676876">
        <w:t>should draw the attention of the study groups to this matrix.</w:t>
      </w:r>
      <w:r w:rsidR="0051527E">
        <w:t xml:space="preserve"> </w:t>
      </w:r>
    </w:p>
    <w:p w14:paraId="203C7F88" w14:textId="77777777" w:rsidR="004122A5" w:rsidRDefault="004122A5" w:rsidP="007F3F6A">
      <w:pPr>
        <w:pStyle w:val="TableofFigures"/>
        <w:tabs>
          <w:tab w:val="left" w:pos="2760"/>
        </w:tabs>
        <w:rPr>
          <w:rFonts w:asciiTheme="majorBidi" w:hAnsiTheme="majorBidi"/>
          <w:b/>
          <w:bCs/>
          <w:i/>
          <w:iCs/>
          <w:noProof/>
          <w:lang w:val="en-US"/>
        </w:rPr>
      </w:pPr>
    </w:p>
    <w:p w14:paraId="7C888721" w14:textId="3C942687" w:rsidR="00E100E3" w:rsidRPr="001D14A0" w:rsidRDefault="00E100E3" w:rsidP="00E100E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bookmarkStart w:id="22" w:name="_Hlk136536434"/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bookmarkEnd w:id="22"/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A81AFE">
        <w:rPr>
          <w:rFonts w:asciiTheme="majorBidi" w:hAnsiTheme="majorBidi"/>
          <w:i/>
          <w:iCs/>
          <w:noProof/>
          <w:lang w:val="en-US"/>
        </w:rPr>
        <w:t>agree</w:t>
      </w:r>
      <w:r>
        <w:rPr>
          <w:rFonts w:asciiTheme="majorBidi" w:hAnsiTheme="majorBidi"/>
          <w:i/>
          <w:iCs/>
          <w:noProof/>
          <w:lang w:val="en-US"/>
        </w:rPr>
        <w:t xml:space="preserve"> 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the </w:t>
      </w:r>
      <w:r>
        <w:rPr>
          <w:rFonts w:asciiTheme="majorBidi" w:hAnsiTheme="majorBidi"/>
          <w:i/>
          <w:iCs/>
          <w:noProof/>
          <w:lang w:val="en-US"/>
        </w:rPr>
        <w:t>status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32" w:history="1">
        <w:r w:rsidRPr="00C814F7">
          <w:rPr>
            <w:rStyle w:val="Hyperlink"/>
            <w:i/>
            <w:iCs/>
          </w:rPr>
          <w:t>TD234R1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1CB4FE04" w14:textId="34B250DD" w:rsidR="00E100E3" w:rsidRPr="004122A5" w:rsidRDefault="00E100E3" w:rsidP="00E100E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>
        <w:rPr>
          <w:rFonts w:asciiTheme="majorBidi" w:hAnsiTheme="majorBidi"/>
          <w:i/>
          <w:iCs/>
          <w:noProof/>
          <w:lang w:val="en-US"/>
        </w:rPr>
        <w:t>WP2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is </w:t>
      </w:r>
      <w:r>
        <w:rPr>
          <w:rFonts w:asciiTheme="majorBidi" w:hAnsiTheme="majorBidi"/>
          <w:i/>
          <w:iCs/>
          <w:noProof/>
          <w:lang w:val="en-US"/>
        </w:rPr>
        <w:t>invited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A81AFE">
        <w:rPr>
          <w:rFonts w:asciiTheme="majorBidi" w:hAnsiTheme="majorBidi"/>
          <w:i/>
          <w:iCs/>
          <w:noProof/>
          <w:lang w:val="en-US"/>
        </w:rPr>
        <w:t>agree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the </w:t>
      </w:r>
      <w:r>
        <w:rPr>
          <w:rFonts w:asciiTheme="majorBidi" w:hAnsiTheme="majorBidi"/>
          <w:i/>
          <w:iCs/>
          <w:noProof/>
          <w:lang w:val="en-US"/>
        </w:rPr>
        <w:t>matix of work areas</w:t>
      </w:r>
      <w:r w:rsidRPr="001D14A0">
        <w:rPr>
          <w:rFonts w:asciiTheme="majorBidi" w:hAnsiTheme="majorBidi"/>
          <w:i/>
          <w:iCs/>
          <w:noProof/>
          <w:lang w:val="en-US"/>
        </w:rPr>
        <w:t xml:space="preserve"> in </w:t>
      </w:r>
      <w:hyperlink r:id="rId33" w:history="1">
        <w:r w:rsidRPr="00C814F7">
          <w:rPr>
            <w:rStyle w:val="Hyperlink"/>
            <w:rFonts w:eastAsia="Calibri"/>
            <w:i/>
            <w:iCs/>
          </w:rPr>
          <w:t>TD277</w:t>
        </w:r>
      </w:hyperlink>
      <w:r w:rsidRPr="001D14A0">
        <w:rPr>
          <w:rFonts w:asciiTheme="majorBidi" w:hAnsiTheme="majorBidi"/>
          <w:i/>
          <w:iCs/>
          <w:noProof/>
          <w:lang w:val="en-US"/>
        </w:rPr>
        <w:t>.</w:t>
      </w:r>
    </w:p>
    <w:p w14:paraId="0976C2A4" w14:textId="3AD9DA13" w:rsidR="00E100E3" w:rsidRDefault="00E100E3" w:rsidP="00394659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AD2E56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AD2E56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AD2E56">
        <w:rPr>
          <w:rFonts w:asciiTheme="majorBidi" w:hAnsiTheme="majorBidi"/>
          <w:i/>
          <w:iCs/>
          <w:noProof/>
          <w:lang w:val="en-US"/>
        </w:rPr>
        <w:t xml:space="preserve">WP2 is invited to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A81AFE">
        <w:rPr>
          <w:rFonts w:asciiTheme="majorBidi" w:hAnsiTheme="majorBidi"/>
          <w:i/>
          <w:iCs/>
          <w:noProof/>
          <w:lang w:val="en-US"/>
        </w:rPr>
        <w:t>agree</w:t>
      </w:r>
      <w:r w:rsidRPr="00AD2E56">
        <w:rPr>
          <w:rFonts w:asciiTheme="majorBidi" w:hAnsiTheme="majorBidi"/>
          <w:i/>
          <w:iCs/>
          <w:noProof/>
          <w:lang w:val="en-US"/>
        </w:rPr>
        <w:t xml:space="preserve"> the draft Liaison Statement contained in </w:t>
      </w:r>
      <w:hyperlink r:id="rId34" w:history="1">
        <w:r w:rsidRPr="006E53E9">
          <w:rPr>
            <w:rStyle w:val="Hyperlink"/>
            <w:rFonts w:asciiTheme="majorBidi" w:hAnsiTheme="majorBidi"/>
            <w:i/>
            <w:iCs/>
            <w:noProof/>
            <w:lang w:val="en-US"/>
          </w:rPr>
          <w:t>TD292</w:t>
        </w:r>
      </w:hyperlink>
      <w:r w:rsidRPr="00AD2E56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1350F918" w14:textId="77777777" w:rsidR="00394659" w:rsidRPr="00394659" w:rsidRDefault="00394659" w:rsidP="00394659">
      <w:pPr>
        <w:rPr>
          <w:lang w:val="en-US"/>
        </w:rPr>
      </w:pPr>
    </w:p>
    <w:p w14:paraId="53806882" w14:textId="343F4380" w:rsidR="007A1812" w:rsidRDefault="007A1812" w:rsidP="007A1812">
      <w:pPr>
        <w:pStyle w:val="Heading2"/>
      </w:pPr>
      <w:r>
        <w:t>5.</w:t>
      </w:r>
      <w:r w:rsidR="00D51154">
        <w:t>3</w:t>
      </w:r>
      <w:r>
        <w:tab/>
        <w:t>Terminology</w:t>
      </w:r>
    </w:p>
    <w:p w14:paraId="52835F14" w14:textId="220244F8" w:rsidR="003D15D6" w:rsidRPr="00341B30" w:rsidRDefault="007A1812" w:rsidP="003D15D6">
      <w:pPr>
        <w:rPr>
          <w:lang w:val="en-US"/>
        </w:rPr>
      </w:pPr>
      <w:r>
        <w:rPr>
          <w:rFonts w:cstheme="minorHAnsi"/>
        </w:rPr>
        <w:t xml:space="preserve">C30 </w:t>
      </w:r>
      <w:r w:rsidRPr="004E51C0">
        <w:rPr>
          <w:rFonts w:cstheme="minorHAnsi"/>
        </w:rPr>
        <w:t xml:space="preserve">proposed that a </w:t>
      </w:r>
      <w:r>
        <w:rPr>
          <w:rFonts w:cstheme="minorHAnsi"/>
        </w:rPr>
        <w:t>clarification be made to the “</w:t>
      </w:r>
      <w:r w:rsidRPr="005C27C1">
        <w:t>ITU</w:t>
      </w:r>
      <w:r w:rsidR="00CC744A">
        <w:t>-</w:t>
      </w:r>
      <w:r w:rsidRPr="005C27C1">
        <w:t>T action plan for a vibrant engagement of the industry</w:t>
      </w:r>
      <w:r w:rsidRPr="004E51C0">
        <w:rPr>
          <w:rFonts w:cstheme="minorHAnsi"/>
        </w:rPr>
        <w:t xml:space="preserve"> to indicate clearly that conceptually there is no difference between the use of the terms “Key outcome indicators” and “Key performance indicators”.</w:t>
      </w:r>
      <w:r>
        <w:rPr>
          <w:rFonts w:cstheme="minorHAnsi"/>
        </w:rPr>
        <w:t xml:space="preserve">  The meeting noted this proposal with the understanding that action on this proposal is the responsibility of RG-IEM.</w:t>
      </w:r>
    </w:p>
    <w:p w14:paraId="167249AB" w14:textId="13E0C09C" w:rsidR="001D3AEC" w:rsidRDefault="0009513C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6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Lead SG reports</w:t>
      </w:r>
    </w:p>
    <w:p w14:paraId="1C79D148" w14:textId="4E84A14E" w:rsidR="00B0696B" w:rsidRDefault="006E53E9" w:rsidP="006E53E9">
      <w:pPr>
        <w:rPr>
          <w:lang w:val="en-US" w:eastAsia="en-US"/>
        </w:rPr>
      </w:pPr>
      <w:r>
        <w:rPr>
          <w:lang w:val="en-US" w:eastAsia="en-US"/>
        </w:rPr>
        <w:t xml:space="preserve">Lead SG activities of SGs 2, 3, 9, 11, 12, 13, 15, 17 and 20 were reported.  Related information is available in </w:t>
      </w:r>
      <w:hyperlink r:id="rId35" w:history="1">
        <w:r w:rsidRPr="006E53E9">
          <w:rPr>
            <w:rStyle w:val="Hyperlink"/>
            <w:lang w:eastAsia="en-US"/>
          </w:rPr>
          <w:t>TD199</w:t>
        </w:r>
      </w:hyperlink>
      <w:r w:rsidRPr="006E53E9">
        <w:rPr>
          <w:lang w:eastAsia="en-US"/>
        </w:rPr>
        <w:t xml:space="preserve">, </w:t>
      </w:r>
      <w:hyperlink r:id="rId36" w:history="1">
        <w:r w:rsidRPr="006E53E9">
          <w:rPr>
            <w:rStyle w:val="Hyperlink"/>
            <w:lang w:eastAsia="en-US"/>
          </w:rPr>
          <w:t>TD200</w:t>
        </w:r>
      </w:hyperlink>
      <w:r w:rsidRPr="006E53E9">
        <w:rPr>
          <w:lang w:eastAsia="en-US"/>
        </w:rPr>
        <w:t xml:space="preserve">, </w:t>
      </w:r>
      <w:hyperlink r:id="rId37" w:history="1">
        <w:r w:rsidRPr="006E53E9">
          <w:rPr>
            <w:rStyle w:val="Hyperlink"/>
            <w:lang w:eastAsia="en-US"/>
          </w:rPr>
          <w:t>TD201</w:t>
        </w:r>
      </w:hyperlink>
      <w:r w:rsidRPr="006E53E9">
        <w:rPr>
          <w:lang w:eastAsia="en-US"/>
        </w:rPr>
        <w:t xml:space="preserve">, </w:t>
      </w:r>
      <w:hyperlink r:id="rId38" w:history="1">
        <w:r w:rsidRPr="006E53E9">
          <w:rPr>
            <w:rStyle w:val="Hyperlink"/>
            <w:lang w:eastAsia="en-US"/>
          </w:rPr>
          <w:t>TD202</w:t>
        </w:r>
      </w:hyperlink>
      <w:r w:rsidRPr="006E53E9">
        <w:rPr>
          <w:lang w:eastAsia="en-US"/>
        </w:rPr>
        <w:t xml:space="preserve">, </w:t>
      </w:r>
      <w:hyperlink r:id="rId39" w:history="1">
        <w:r w:rsidRPr="006E53E9">
          <w:rPr>
            <w:rStyle w:val="Hyperlink"/>
            <w:lang w:eastAsia="en-US"/>
          </w:rPr>
          <w:t>TD203</w:t>
        </w:r>
      </w:hyperlink>
      <w:r w:rsidRPr="006E53E9">
        <w:rPr>
          <w:lang w:eastAsia="en-US"/>
        </w:rPr>
        <w:t xml:space="preserve">, </w:t>
      </w:r>
      <w:hyperlink r:id="rId40" w:history="1">
        <w:r w:rsidRPr="006E53E9">
          <w:rPr>
            <w:rStyle w:val="Hyperlink"/>
            <w:lang w:eastAsia="en-US"/>
          </w:rPr>
          <w:t>TD204</w:t>
        </w:r>
      </w:hyperlink>
      <w:r w:rsidRPr="006E53E9">
        <w:rPr>
          <w:lang w:eastAsia="en-US"/>
        </w:rPr>
        <w:t xml:space="preserve">, </w:t>
      </w:r>
      <w:hyperlink r:id="rId41" w:history="1">
        <w:r w:rsidRPr="006E53E9">
          <w:rPr>
            <w:rStyle w:val="Hyperlink"/>
            <w:lang w:eastAsia="en-US"/>
          </w:rPr>
          <w:t>TD205</w:t>
        </w:r>
      </w:hyperlink>
      <w:r w:rsidRPr="006E53E9">
        <w:rPr>
          <w:lang w:eastAsia="en-US"/>
        </w:rPr>
        <w:t xml:space="preserve">, </w:t>
      </w:r>
      <w:hyperlink r:id="rId42" w:history="1">
        <w:r w:rsidRPr="006E53E9">
          <w:rPr>
            <w:rStyle w:val="Hyperlink"/>
            <w:lang w:eastAsia="en-US"/>
          </w:rPr>
          <w:t>TD206</w:t>
        </w:r>
      </w:hyperlink>
      <w:r w:rsidRPr="006E53E9">
        <w:rPr>
          <w:lang w:eastAsia="en-US"/>
        </w:rPr>
        <w:t xml:space="preserve">, </w:t>
      </w:r>
      <w:hyperlink r:id="rId43" w:history="1">
        <w:r w:rsidRPr="006E53E9">
          <w:rPr>
            <w:rStyle w:val="Hyperlink"/>
            <w:lang w:eastAsia="en-US"/>
          </w:rPr>
          <w:t>TD207</w:t>
        </w:r>
      </w:hyperlink>
      <w:r w:rsidR="00CC343A">
        <w:rPr>
          <w:lang w:val="en-US" w:eastAsia="en-US"/>
        </w:rPr>
        <w:t>, respectively.</w:t>
      </w:r>
    </w:p>
    <w:p w14:paraId="1F0AD6DE" w14:textId="1423BE47" w:rsidR="001D3AE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3" w:name="_Toc32565400"/>
      <w:r>
        <w:rPr>
          <w:bCs/>
          <w:lang w:val="en-US"/>
        </w:rPr>
        <w:t>7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Liaison Statements</w:t>
      </w:r>
    </w:p>
    <w:p w14:paraId="5AE1C7A1" w14:textId="37521CEB" w:rsidR="00CC343A" w:rsidRDefault="00B00D72" w:rsidP="00CC343A">
      <w:pPr>
        <w:rPr>
          <w:lang w:eastAsia="en-US"/>
        </w:rPr>
      </w:pPr>
      <w:hyperlink r:id="rId44" w:history="1">
        <w:r w:rsidR="00CC343A" w:rsidRPr="00CC343A">
          <w:rPr>
            <w:rStyle w:val="Hyperlink"/>
            <w:lang w:eastAsia="en-US"/>
          </w:rPr>
          <w:t>TD259</w:t>
        </w:r>
      </w:hyperlink>
      <w:r w:rsidR="00CC343A" w:rsidRPr="00CC343A">
        <w:rPr>
          <w:lang w:eastAsia="en-US"/>
        </w:rPr>
        <w:t xml:space="preserve"> </w:t>
      </w:r>
      <w:r w:rsidR="00CC343A">
        <w:rPr>
          <w:lang w:eastAsia="en-US"/>
        </w:rPr>
        <w:t>(</w:t>
      </w:r>
      <w:r w:rsidR="00CC343A" w:rsidRPr="00CC343A">
        <w:rPr>
          <w:lang w:eastAsia="en-US"/>
        </w:rPr>
        <w:t>Radiocommunication Advisory Group</w:t>
      </w:r>
      <w:r w:rsidR="00CC343A">
        <w:rPr>
          <w:lang w:eastAsia="en-US"/>
        </w:rPr>
        <w:t>) requests improved coordination between ITU-R and ITU-T.</w:t>
      </w:r>
      <w:r w:rsidR="00E27D88">
        <w:rPr>
          <w:lang w:eastAsia="en-US"/>
        </w:rPr>
        <w:t xml:space="preserve">  It was mentioned that the issue is not limited to </w:t>
      </w:r>
      <w:r w:rsidR="00E27D88" w:rsidRPr="00E27D88">
        <w:rPr>
          <w:lang w:eastAsia="en-US"/>
        </w:rPr>
        <w:t>Unmanned Aircraft Systems (UAS</w:t>
      </w:r>
      <w:proofErr w:type="gramStart"/>
      <w:r w:rsidR="00E27D88" w:rsidRPr="00E27D88">
        <w:rPr>
          <w:lang w:eastAsia="en-US"/>
        </w:rPr>
        <w:t>)</w:t>
      </w:r>
      <w:r w:rsidR="00E27D88">
        <w:rPr>
          <w:lang w:eastAsia="en-US"/>
        </w:rPr>
        <w:t>, but</w:t>
      </w:r>
      <w:proofErr w:type="gramEnd"/>
      <w:r w:rsidR="00E27D88">
        <w:rPr>
          <w:lang w:eastAsia="en-US"/>
        </w:rPr>
        <w:t xml:space="preserve"> is concerned anything related to radiocommunication.  It was also mentioned that some overlap is expected.  In that case, coordination is necessary, e.g., by using </w:t>
      </w:r>
      <w:r w:rsidR="00E27D88" w:rsidRPr="00E27D88">
        <w:rPr>
          <w:lang w:eastAsia="en-US"/>
        </w:rPr>
        <w:t>Inter-Sector Coordination Group (ISCG)</w:t>
      </w:r>
      <w:r w:rsidR="00E27D88">
        <w:rPr>
          <w:lang w:eastAsia="en-US"/>
        </w:rPr>
        <w:t xml:space="preserve"> or by chairman-to-chairman discussion.  Although ISCG does not have any authority to stop any activities of Study Groups, it was requested to share any information on this issue with ISCG.</w:t>
      </w:r>
    </w:p>
    <w:p w14:paraId="27BB41DB" w14:textId="000F84B7" w:rsidR="00E27D88" w:rsidRDefault="00E27D88" w:rsidP="00CC343A">
      <w:pPr>
        <w:rPr>
          <w:lang w:eastAsia="en-US"/>
        </w:rPr>
      </w:pPr>
      <w:r>
        <w:rPr>
          <w:lang w:eastAsia="en-US"/>
        </w:rPr>
        <w:t>The meeting noted.</w:t>
      </w:r>
      <w:r w:rsidR="00A472E9">
        <w:rPr>
          <w:lang w:eastAsia="en-US"/>
        </w:rPr>
        <w:t xml:space="preserve"> </w:t>
      </w:r>
      <w:r w:rsidR="00995CF9">
        <w:rPr>
          <w:lang w:eastAsia="en-US"/>
        </w:rPr>
        <w:t xml:space="preserve">It was also noted to consider </w:t>
      </w:r>
      <w:proofErr w:type="gramStart"/>
      <w:r w:rsidR="00995CF9">
        <w:rPr>
          <w:lang w:eastAsia="en-US"/>
        </w:rPr>
        <w:t>replying</w:t>
      </w:r>
      <w:proofErr w:type="gramEnd"/>
      <w:r w:rsidR="00995CF9">
        <w:rPr>
          <w:lang w:eastAsia="en-US"/>
        </w:rPr>
        <w:t xml:space="preserve"> back LS to ITU-R including ISCG at the next TSAG meeting onwards when ITU-R starts new Study Period.</w:t>
      </w:r>
    </w:p>
    <w:p w14:paraId="56248826" w14:textId="385DC85D" w:rsidR="00E27D88" w:rsidRDefault="00B00D72" w:rsidP="00CC343A">
      <w:pPr>
        <w:rPr>
          <w:lang w:eastAsia="en-US"/>
        </w:rPr>
      </w:pPr>
      <w:hyperlink r:id="rId45" w:history="1">
        <w:r w:rsidR="00E27D88" w:rsidRPr="00E27D88">
          <w:rPr>
            <w:rStyle w:val="Hyperlink"/>
            <w:lang w:eastAsia="en-US"/>
          </w:rPr>
          <w:t>TD237</w:t>
        </w:r>
      </w:hyperlink>
      <w:r w:rsidR="00E27D88" w:rsidRPr="00E27D88">
        <w:rPr>
          <w:lang w:eastAsia="en-US"/>
        </w:rPr>
        <w:t xml:space="preserve"> (ITU-T SG20) reported </w:t>
      </w:r>
      <w:r w:rsidR="00E27D88">
        <w:rPr>
          <w:lang w:eastAsia="en-US"/>
        </w:rPr>
        <w:t xml:space="preserve">that there </w:t>
      </w:r>
      <w:proofErr w:type="gramStart"/>
      <w:r w:rsidR="00E27D88">
        <w:rPr>
          <w:lang w:eastAsia="en-US"/>
        </w:rPr>
        <w:t>is</w:t>
      </w:r>
      <w:proofErr w:type="gramEnd"/>
      <w:r w:rsidR="00E27D88">
        <w:rPr>
          <w:lang w:eastAsia="en-US"/>
        </w:rPr>
        <w:t xml:space="preserve"> no active work items in SG20, but they published three Recommendations related to </w:t>
      </w:r>
      <w:r w:rsidR="00E27D88" w:rsidRPr="00E27D88">
        <w:rPr>
          <w:lang w:eastAsia="en-US"/>
        </w:rPr>
        <w:t>Unmanned Aircraft Systems (UAS)</w:t>
      </w:r>
      <w:r w:rsidR="00E27D88">
        <w:rPr>
          <w:lang w:eastAsia="en-US"/>
        </w:rPr>
        <w:t>.  It indicated that SG20 will coordinate with related organizations.</w:t>
      </w:r>
    </w:p>
    <w:p w14:paraId="5DC48496" w14:textId="4CFB1BBE" w:rsidR="00E27D88" w:rsidRPr="00E27D88" w:rsidRDefault="00E27D88" w:rsidP="00CC343A">
      <w:pPr>
        <w:rPr>
          <w:lang w:eastAsia="en-US"/>
        </w:rPr>
      </w:pPr>
      <w:r>
        <w:rPr>
          <w:lang w:eastAsia="en-US"/>
        </w:rPr>
        <w:t>The meeting noted.</w:t>
      </w:r>
    </w:p>
    <w:p w14:paraId="07DC452D" w14:textId="0C34112F" w:rsidR="00B0696B" w:rsidRPr="00CC343A" w:rsidRDefault="00CC343A" w:rsidP="00CC343A">
      <w:pPr>
        <w:rPr>
          <w:lang w:eastAsia="en-US"/>
        </w:rPr>
      </w:pPr>
      <w:r>
        <w:rPr>
          <w:lang w:val="en-US" w:eastAsia="en-US"/>
        </w:rPr>
        <w:lastRenderedPageBreak/>
        <w:t xml:space="preserve">The meeting </w:t>
      </w:r>
      <w:r w:rsidR="00A915DC">
        <w:rPr>
          <w:lang w:val="en-US" w:eastAsia="en-US"/>
        </w:rPr>
        <w:t xml:space="preserve">also </w:t>
      </w:r>
      <w:r>
        <w:rPr>
          <w:lang w:val="en-US" w:eastAsia="en-US"/>
        </w:rPr>
        <w:t xml:space="preserve">noted the Liaison Statements given in </w:t>
      </w:r>
      <w:hyperlink r:id="rId46">
        <w:r w:rsidRPr="00CC343A">
          <w:rPr>
            <w:rStyle w:val="Hyperlink"/>
            <w:lang w:eastAsia="en-US"/>
          </w:rPr>
          <w:t>TD212</w:t>
        </w:r>
      </w:hyperlink>
      <w:r>
        <w:rPr>
          <w:lang w:eastAsia="en-US"/>
        </w:rPr>
        <w:t xml:space="preserve"> (</w:t>
      </w:r>
      <w:r w:rsidRPr="00CC343A">
        <w:rPr>
          <w:lang w:eastAsia="en-US"/>
        </w:rPr>
        <w:t>Liaison officer to ISO/IEC JTC 1</w:t>
      </w:r>
      <w:r>
        <w:rPr>
          <w:lang w:eastAsia="en-US"/>
        </w:rPr>
        <w:t xml:space="preserve">), </w:t>
      </w:r>
      <w:hyperlink r:id="rId47" w:history="1">
        <w:r w:rsidRPr="00CC343A">
          <w:rPr>
            <w:rStyle w:val="Hyperlink"/>
            <w:lang w:eastAsia="en-US"/>
          </w:rPr>
          <w:t>TD226</w:t>
        </w:r>
      </w:hyperlink>
      <w:r w:rsidRPr="00CC343A">
        <w:rPr>
          <w:lang w:eastAsia="en-US"/>
        </w:rPr>
        <w:t xml:space="preserve"> (ITU-T SG15</w:t>
      </w:r>
      <w:r>
        <w:rPr>
          <w:lang w:eastAsia="en-US"/>
        </w:rPr>
        <w:t xml:space="preserve">), </w:t>
      </w:r>
      <w:hyperlink r:id="rId48" w:history="1">
        <w:r w:rsidRPr="00CC343A">
          <w:rPr>
            <w:rStyle w:val="Hyperlink"/>
            <w:lang w:eastAsia="en-US"/>
          </w:rPr>
          <w:t>TD244</w:t>
        </w:r>
      </w:hyperlink>
      <w:r w:rsidRPr="00CC343A">
        <w:rPr>
          <w:lang w:eastAsia="en-US"/>
        </w:rPr>
        <w:t xml:space="preserve"> (ITU-T SG2</w:t>
      </w:r>
      <w:r>
        <w:rPr>
          <w:lang w:eastAsia="en-US"/>
        </w:rPr>
        <w:t xml:space="preserve">), </w:t>
      </w:r>
      <w:hyperlink r:id="rId49" w:history="1">
        <w:r w:rsidRPr="00CC343A">
          <w:rPr>
            <w:rStyle w:val="Hyperlink"/>
            <w:lang w:eastAsia="en-US"/>
          </w:rPr>
          <w:t>TD252</w:t>
        </w:r>
      </w:hyperlink>
      <w:r w:rsidRPr="00CC343A">
        <w:rPr>
          <w:lang w:eastAsia="en-US"/>
        </w:rPr>
        <w:t xml:space="preserve"> (ITU-T SG15</w:t>
      </w:r>
      <w:r>
        <w:rPr>
          <w:lang w:eastAsia="en-US"/>
        </w:rPr>
        <w:t xml:space="preserve">), </w:t>
      </w:r>
      <w:hyperlink r:id="rId50" w:history="1">
        <w:r w:rsidRPr="00CC343A">
          <w:rPr>
            <w:rStyle w:val="Hyperlink"/>
            <w:lang w:eastAsia="en-US"/>
          </w:rPr>
          <w:t>TD253</w:t>
        </w:r>
      </w:hyperlink>
      <w:r w:rsidRPr="00CC343A">
        <w:rPr>
          <w:lang w:eastAsia="en-US"/>
        </w:rPr>
        <w:t xml:space="preserve"> (ITU-T SG15</w:t>
      </w:r>
      <w:r>
        <w:rPr>
          <w:lang w:eastAsia="en-US"/>
        </w:rPr>
        <w:t xml:space="preserve">), </w:t>
      </w:r>
      <w:hyperlink r:id="rId51" w:history="1">
        <w:r w:rsidRPr="00CC343A">
          <w:rPr>
            <w:rStyle w:val="Hyperlink"/>
            <w:lang w:eastAsia="en-US"/>
          </w:rPr>
          <w:t>TD268</w:t>
        </w:r>
      </w:hyperlink>
      <w:r w:rsidRPr="00CC343A">
        <w:rPr>
          <w:lang w:eastAsia="en-US"/>
        </w:rPr>
        <w:t xml:space="preserve"> (ITU-T SG11</w:t>
      </w:r>
      <w:r>
        <w:rPr>
          <w:lang w:eastAsia="en-US"/>
        </w:rPr>
        <w:t xml:space="preserve">), </w:t>
      </w:r>
      <w:hyperlink r:id="rId52" w:history="1">
        <w:r w:rsidRPr="00CC343A">
          <w:rPr>
            <w:rStyle w:val="Hyperlink"/>
            <w:lang w:eastAsia="en-US"/>
          </w:rPr>
          <w:t>TD269</w:t>
        </w:r>
      </w:hyperlink>
      <w:r w:rsidRPr="00CC343A">
        <w:rPr>
          <w:lang w:eastAsia="en-US"/>
        </w:rPr>
        <w:t xml:space="preserve"> (ITU-T SG11</w:t>
      </w:r>
      <w:r>
        <w:rPr>
          <w:lang w:eastAsia="en-US"/>
        </w:rPr>
        <w:t>).</w:t>
      </w:r>
    </w:p>
    <w:p w14:paraId="0E6D9C24" w14:textId="10360C2D" w:rsidR="00E93AC1" w:rsidRDefault="00B0696B" w:rsidP="00394659">
      <w:pPr>
        <w:pStyle w:val="Heading1"/>
        <w:spacing w:before="240" w:after="60"/>
        <w:rPr>
          <w:lang w:val="en-US"/>
        </w:rPr>
      </w:pPr>
      <w:r>
        <w:rPr>
          <w:bCs/>
          <w:lang w:val="en-US"/>
        </w:rPr>
        <w:t>8</w:t>
      </w:r>
      <w:r w:rsidR="00E93AC1">
        <w:rPr>
          <w:bCs/>
          <w:lang w:val="en-US"/>
        </w:rPr>
        <w:tab/>
        <w:t>Future activities</w:t>
      </w:r>
    </w:p>
    <w:p w14:paraId="0D32A615" w14:textId="6AB81907" w:rsidR="00995CF9" w:rsidRDefault="00995CF9" w:rsidP="00995CF9">
      <w:pPr>
        <w:jc w:val="both"/>
        <w:rPr>
          <w:rFonts w:cstheme="minorHAnsi"/>
          <w:highlight w:val="yellow"/>
        </w:rPr>
      </w:pPr>
      <w:r w:rsidRPr="0010132D">
        <w:rPr>
          <w:rFonts w:cstheme="minorHAnsi"/>
        </w:rPr>
        <w:t>RG-WPR proposes the following interim meetings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72"/>
        <w:gridCol w:w="2515"/>
      </w:tblGrid>
      <w:tr w:rsidR="00995CF9" w14:paraId="1AF93B4C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CE9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Meeting Date, Time (Geneva)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A11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Contributions invited on: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F17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995CF9" w14:paraId="7FF678AB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256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July 2023,</w:t>
            </w:r>
            <w:r>
              <w:rPr>
                <w:rFonts w:cstheme="minorHAnsi"/>
              </w:rPr>
              <w:br/>
              <w:t>13:00-14:30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91222" w14:textId="77777777" w:rsidR="00995CF9" w:rsidRDefault="00995CF9" w:rsidP="00E12A67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Revisions for the baseline text (TD214r1) concerning:</w:t>
            </w:r>
          </w:p>
          <w:p w14:paraId="6069639D" w14:textId="77777777" w:rsidR="00995CF9" w:rsidRDefault="00995CF9" w:rsidP="00E12A6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definitions of KPIs</w:t>
            </w:r>
          </w:p>
          <w:p w14:paraId="461F5FE4" w14:textId="77777777" w:rsidR="00995CF9" w:rsidRDefault="00995CF9" w:rsidP="00E12A6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EB042F">
              <w:rPr>
                <w:rFonts w:cstheme="minorHAnsi"/>
              </w:rPr>
              <w:t>relative priorities of KPIs</w:t>
            </w:r>
          </w:p>
          <w:p w14:paraId="3CAE9036" w14:textId="77777777" w:rsidR="00995CF9" w:rsidRPr="00DD33B2" w:rsidRDefault="00995CF9" w:rsidP="00E12A6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E47179">
              <w:rPr>
                <w:rFonts w:cstheme="minorHAnsi"/>
              </w:rPr>
              <w:t>possible new structure</w:t>
            </w:r>
            <w:r>
              <w:rPr>
                <w:rFonts w:cstheme="minorHAnsi"/>
              </w:rPr>
              <w:t>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2E0E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June 2023</w:t>
            </w:r>
          </w:p>
        </w:tc>
      </w:tr>
      <w:tr w:rsidR="00995CF9" w14:paraId="52BA9D55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10F" w14:textId="7FAB2A8B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 September 2023,</w:t>
            </w:r>
            <w:r>
              <w:rPr>
                <w:rFonts w:cstheme="minorHAnsi"/>
              </w:rPr>
              <w:br/>
              <w:t>12:00-14:00</w:t>
            </w:r>
          </w:p>
        </w:tc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C685" w14:textId="77777777" w:rsidR="00995CF9" w:rsidRDefault="00995CF9" w:rsidP="00E12A67">
            <w:pPr>
              <w:rPr>
                <w:rFonts w:cstheme="minorHAns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AD64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September 2023</w:t>
            </w:r>
          </w:p>
        </w:tc>
      </w:tr>
      <w:tr w:rsidR="00995CF9" w14:paraId="208F63FC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B512" w14:textId="2CA82E62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November 2023,</w:t>
            </w:r>
            <w:r>
              <w:rPr>
                <w:rFonts w:cstheme="minorHAnsi"/>
              </w:rPr>
              <w:br/>
              <w:t>1</w:t>
            </w:r>
            <w:r w:rsidR="00CC744A">
              <w:rPr>
                <w:rFonts w:cstheme="minorHAnsi"/>
              </w:rPr>
              <w:t>2</w:t>
            </w:r>
            <w:r>
              <w:rPr>
                <w:rFonts w:cstheme="minorHAnsi"/>
              </w:rPr>
              <w:t>:</w:t>
            </w:r>
            <w:r w:rsidR="00CC744A">
              <w:rPr>
                <w:rFonts w:cstheme="minorHAnsi"/>
              </w:rPr>
              <w:t>3</w:t>
            </w:r>
            <w:r>
              <w:rPr>
                <w:rFonts w:cstheme="minorHAnsi"/>
              </w:rPr>
              <w:t>0-1</w:t>
            </w:r>
            <w:r w:rsidR="00CC744A">
              <w:rPr>
                <w:rFonts w:cstheme="minorHAnsi"/>
              </w:rPr>
              <w:t>4</w:t>
            </w:r>
            <w:r>
              <w:rPr>
                <w:rFonts w:cstheme="minorHAnsi"/>
              </w:rPr>
              <w:t>:00</w:t>
            </w:r>
          </w:p>
        </w:tc>
        <w:tc>
          <w:tcPr>
            <w:tcW w:w="4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62A9" w14:textId="77777777" w:rsidR="00995CF9" w:rsidRDefault="00995CF9" w:rsidP="00E12A67">
            <w:pPr>
              <w:rPr>
                <w:rFonts w:cstheme="minorHAns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AF2F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November 2023</w:t>
            </w:r>
          </w:p>
        </w:tc>
      </w:tr>
      <w:tr w:rsidR="00995CF9" w14:paraId="6DD49295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8015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January 2024,</w:t>
            </w:r>
            <w:r>
              <w:rPr>
                <w:rFonts w:cstheme="minorHAnsi"/>
              </w:rPr>
              <w:br/>
              <w:t xml:space="preserve">13:00-15:00 </w:t>
            </w:r>
          </w:p>
        </w:tc>
        <w:tc>
          <w:tcPr>
            <w:tcW w:w="4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EAF" w14:textId="77777777" w:rsidR="00995CF9" w:rsidRDefault="00995CF9" w:rsidP="00E12A67">
            <w:pPr>
              <w:rPr>
                <w:rFonts w:cstheme="minorHAnsi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0D3B" w14:textId="77777777" w:rsidR="00995CF9" w:rsidRDefault="00995CF9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January 2024</w:t>
            </w:r>
          </w:p>
        </w:tc>
      </w:tr>
    </w:tbl>
    <w:p w14:paraId="31CB71BA" w14:textId="77777777" w:rsidR="00394659" w:rsidRPr="00394659" w:rsidRDefault="00394659" w:rsidP="00394659">
      <w:pPr>
        <w:rPr>
          <w:lang w:val="en-US"/>
        </w:rPr>
      </w:pPr>
    </w:p>
    <w:p w14:paraId="56193D04" w14:textId="1C08F6F2" w:rsidR="00394659" w:rsidRPr="001D14A0" w:rsidRDefault="00394659" w:rsidP="00394659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Action TSAG RG-WP</w:t>
      </w:r>
      <w:r>
        <w:rPr>
          <w:rFonts w:asciiTheme="majorBidi" w:hAnsiTheme="majorBidi"/>
          <w:b/>
          <w:bCs/>
          <w:i/>
          <w:iCs/>
          <w:noProof/>
          <w:lang w:val="en-US"/>
        </w:rPr>
        <w:t>R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>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6</w:t>
      </w:r>
      <w:r w:rsidRPr="001D14A0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2F47B4">
        <w:rPr>
          <w:rFonts w:asciiTheme="majorBidi" w:hAnsiTheme="majorBidi"/>
          <w:i/>
          <w:iCs/>
          <w:noProof/>
          <w:lang w:val="en-US"/>
        </w:rPr>
        <w:t>WP2 is invited to</w:t>
      </w:r>
      <w:r w:rsidR="00A81AFE">
        <w:rPr>
          <w:rFonts w:asciiTheme="majorBidi" w:hAnsiTheme="majorBidi"/>
          <w:i/>
          <w:iCs/>
          <w:noProof/>
          <w:lang w:val="en-US"/>
        </w:rPr>
        <w:t xml:space="preserve"> </w:t>
      </w:r>
      <w:r w:rsidR="00A81AFE" w:rsidRPr="001D14A0">
        <w:rPr>
          <w:rFonts w:asciiTheme="majorBidi" w:hAnsiTheme="majorBidi"/>
          <w:i/>
          <w:iCs/>
          <w:noProof/>
          <w:lang w:val="en-US"/>
        </w:rPr>
        <w:t>review and</w:t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 </w:t>
      </w:r>
      <w:r w:rsidR="00A81AFE">
        <w:rPr>
          <w:rFonts w:asciiTheme="majorBidi" w:hAnsiTheme="majorBidi"/>
          <w:i/>
          <w:iCs/>
          <w:noProof/>
          <w:lang w:val="en-US"/>
        </w:rPr>
        <w:t>agree</w:t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 the interim meetings shown in clause </w:t>
      </w:r>
      <w:r>
        <w:rPr>
          <w:rFonts w:asciiTheme="majorBidi" w:hAnsiTheme="majorBidi"/>
          <w:i/>
          <w:iCs/>
          <w:noProof/>
          <w:lang w:val="en-US"/>
        </w:rPr>
        <w:t>8</w:t>
      </w:r>
      <w:r w:rsidRPr="002F47B4">
        <w:rPr>
          <w:rFonts w:asciiTheme="majorBidi" w:hAnsiTheme="majorBidi"/>
          <w:i/>
          <w:iCs/>
          <w:noProof/>
          <w:lang w:val="en-US"/>
        </w:rPr>
        <w:t xml:space="preserve"> of </w:t>
      </w:r>
      <w:hyperlink r:id="rId53" w:history="1">
        <w:r w:rsidRPr="002F47B4">
          <w:rPr>
            <w:rStyle w:val="Hyperlink"/>
            <w:i/>
            <w:iCs/>
            <w:noProof/>
            <w:lang w:val="en-US"/>
          </w:rPr>
          <w:t>TD186</w:t>
        </w:r>
      </w:hyperlink>
      <w:r w:rsidRPr="002F47B4">
        <w:rPr>
          <w:rFonts w:asciiTheme="majorBidi" w:hAnsiTheme="majorBidi"/>
          <w:i/>
          <w:iCs/>
          <w:noProof/>
          <w:lang w:val="en-US"/>
        </w:rPr>
        <w:t>.</w:t>
      </w:r>
    </w:p>
    <w:p w14:paraId="05570AFD" w14:textId="77777777" w:rsidR="00394659" w:rsidRPr="00394659" w:rsidRDefault="00394659" w:rsidP="00394659">
      <w:pPr>
        <w:rPr>
          <w:lang w:val="en-US"/>
        </w:rPr>
      </w:pPr>
    </w:p>
    <w:p w14:paraId="48EF97B7" w14:textId="2D5AB1E2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AOB</w:t>
      </w:r>
      <w:bookmarkEnd w:id="23"/>
    </w:p>
    <w:p w14:paraId="2A9C27EA" w14:textId="77777777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None.</w:t>
      </w:r>
    </w:p>
    <w:p w14:paraId="43B40D15" w14:textId="6D86A5A2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4" w:name="_Toc32565401"/>
      <w:r>
        <w:rPr>
          <w:bCs/>
          <w:lang w:val="en-US"/>
        </w:rPr>
        <w:t>10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Closing</w:t>
      </w:r>
      <w:bookmarkEnd w:id="24"/>
    </w:p>
    <w:p w14:paraId="6D66A6A2" w14:textId="622122A7" w:rsidR="001D3AEC" w:rsidRPr="001D14A0" w:rsidRDefault="001D3AEC" w:rsidP="001D3AEC">
      <w:pPr>
        <w:rPr>
          <w:sz w:val="28"/>
          <w:lang w:val="en-US"/>
        </w:rPr>
      </w:pPr>
      <w:r w:rsidRPr="001D14A0">
        <w:rPr>
          <w:lang w:val="en-US"/>
        </w:rPr>
        <w:t>The TSAG RG-WP</w:t>
      </w:r>
      <w:r w:rsidR="0009513C">
        <w:rPr>
          <w:lang w:val="en-US"/>
        </w:rPr>
        <w:t>R</w:t>
      </w:r>
      <w:r w:rsidRPr="001D14A0">
        <w:rPr>
          <w:lang w:val="en-US"/>
        </w:rPr>
        <w:t xml:space="preserve"> Rapporteur</w:t>
      </w:r>
      <w:r w:rsidR="0009513C">
        <w:rPr>
          <w:lang w:val="en-US"/>
        </w:rPr>
        <w:t xml:space="preserve"> and the Associate Rapporteur</w:t>
      </w:r>
      <w:r w:rsidRPr="001D14A0">
        <w:rPr>
          <w:lang w:val="en-US"/>
        </w:rPr>
        <w:t xml:space="preserve"> thanked the </w:t>
      </w:r>
      <w:r w:rsidR="000F207B" w:rsidRPr="001D14A0">
        <w:rPr>
          <w:lang w:val="en-US"/>
        </w:rPr>
        <w:t>participants and</w:t>
      </w:r>
      <w:r w:rsidRPr="001D14A0">
        <w:rPr>
          <w:lang w:val="en-US"/>
        </w:rPr>
        <w:t xml:space="preserve"> contributors for the various proposals and constructive debates.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also thanked TSB for their assistance.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invited active participation in future activities.</w:t>
      </w:r>
      <w:r w:rsidRPr="001D14A0">
        <w:rPr>
          <w:lang w:val="en-US"/>
        </w:rPr>
        <w:br w:type="page"/>
      </w:r>
    </w:p>
    <w:p w14:paraId="4A1B71B3" w14:textId="53D3C13D" w:rsidR="001D3AEC" w:rsidRDefault="00603883" w:rsidP="00603883">
      <w:pPr>
        <w:pStyle w:val="AnnexNotitle"/>
      </w:pPr>
      <w:r>
        <w:lastRenderedPageBreak/>
        <w:t>Annex A</w:t>
      </w:r>
      <w:r>
        <w:br/>
      </w:r>
      <w:proofErr w:type="spellStart"/>
      <w:r>
        <w:t>Agneda</w:t>
      </w:r>
      <w:proofErr w:type="spellEnd"/>
    </w:p>
    <w:p w14:paraId="1F5DEF13" w14:textId="77777777" w:rsidR="001254BC" w:rsidRDefault="001254BC" w:rsidP="001254BC">
      <w:pPr>
        <w:jc w:val="center"/>
      </w:pPr>
    </w:p>
    <w:p w14:paraId="71A96179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Opening</w:t>
      </w:r>
    </w:p>
    <w:p w14:paraId="0A0D5A4B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Approval of the agenda</w:t>
      </w:r>
    </w:p>
    <w:p w14:paraId="3D4DA21F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665165E9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Recap of previous discussions</w:t>
      </w:r>
    </w:p>
    <w:p w14:paraId="5BBF9600" w14:textId="77777777" w:rsidR="001254BC" w:rsidRDefault="001254BC" w:rsidP="001254BC">
      <w:pPr>
        <w:numPr>
          <w:ilvl w:val="1"/>
          <w:numId w:val="11"/>
        </w:numPr>
        <w:spacing w:before="100"/>
        <w:ind w:left="1134" w:hanging="562"/>
      </w:pPr>
      <w:r w:rsidRPr="00C57466">
        <w:t>Previous TSAG meeting (</w:t>
      </w:r>
      <w:hyperlink r:id="rId54" w:history="1">
        <w:r w:rsidRPr="00D3151D">
          <w:rPr>
            <w:rStyle w:val="Hyperlink"/>
          </w:rPr>
          <w:t>TSAG-R</w:t>
        </w:r>
        <w:r>
          <w:rPr>
            <w:rStyle w:val="Hyperlink"/>
          </w:rPr>
          <w:t>1</w:t>
        </w:r>
      </w:hyperlink>
      <w:r w:rsidRPr="00C57466">
        <w:t>)</w:t>
      </w:r>
    </w:p>
    <w:p w14:paraId="5FEA6F97" w14:textId="77777777" w:rsidR="001254BC" w:rsidRPr="00AB5884" w:rsidRDefault="001254BC" w:rsidP="001254BC">
      <w:pPr>
        <w:numPr>
          <w:ilvl w:val="1"/>
          <w:numId w:val="11"/>
        </w:numPr>
        <w:spacing w:before="100"/>
        <w:ind w:left="1134" w:hanging="562"/>
      </w:pPr>
      <w:r w:rsidRPr="00AB5884">
        <w:t>Interim meetings (</w:t>
      </w:r>
      <w:hyperlink r:id="rId55" w:history="1">
        <w:r w:rsidRPr="00AB5884">
          <w:rPr>
            <w:rStyle w:val="Hyperlink"/>
          </w:rPr>
          <w:t>TD278</w:t>
        </w:r>
      </w:hyperlink>
      <w:r w:rsidRPr="00AB5884">
        <w:t>)</w:t>
      </w:r>
    </w:p>
    <w:p w14:paraId="3FC7DBC8" w14:textId="77777777" w:rsidR="001254BC" w:rsidRPr="00FF56A5" w:rsidRDefault="001254BC" w:rsidP="001254BC">
      <w:pPr>
        <w:numPr>
          <w:ilvl w:val="0"/>
          <w:numId w:val="11"/>
        </w:numPr>
        <w:spacing w:before="100"/>
        <w:ind w:left="567" w:hanging="562"/>
      </w:pPr>
      <w:r>
        <w:t>Restructuring</w:t>
      </w:r>
    </w:p>
    <w:p w14:paraId="71475F05" w14:textId="77777777" w:rsidR="001254BC" w:rsidRDefault="001254BC" w:rsidP="001254BC">
      <w:pPr>
        <w:numPr>
          <w:ilvl w:val="0"/>
          <w:numId w:val="11"/>
        </w:numPr>
        <w:spacing w:before="100"/>
        <w:ind w:left="567" w:hanging="562"/>
      </w:pPr>
      <w:r>
        <w:t>Work Programme</w:t>
      </w:r>
    </w:p>
    <w:p w14:paraId="5A153B13" w14:textId="77777777" w:rsidR="001254BC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Lead SG reports</w:t>
      </w:r>
    </w:p>
    <w:p w14:paraId="7B883645" w14:textId="77777777" w:rsidR="001254BC" w:rsidRDefault="001254BC" w:rsidP="001254BC">
      <w:pPr>
        <w:numPr>
          <w:ilvl w:val="0"/>
          <w:numId w:val="11"/>
        </w:numPr>
        <w:spacing w:before="100"/>
        <w:ind w:left="567" w:hanging="562"/>
      </w:pPr>
      <w:r>
        <w:t>Liaison Statements</w:t>
      </w:r>
    </w:p>
    <w:p w14:paraId="3396E443" w14:textId="77777777" w:rsidR="001254BC" w:rsidRDefault="001254BC" w:rsidP="001254BC">
      <w:pPr>
        <w:numPr>
          <w:ilvl w:val="0"/>
          <w:numId w:val="11"/>
        </w:numPr>
        <w:spacing w:before="100"/>
        <w:ind w:left="567" w:hanging="562"/>
      </w:pPr>
      <w:r>
        <w:t>Interim activities</w:t>
      </w:r>
    </w:p>
    <w:p w14:paraId="3EBFA718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AOB</w:t>
      </w:r>
    </w:p>
    <w:p w14:paraId="597A2BDE" w14:textId="77777777" w:rsidR="001254BC" w:rsidRPr="00C57466" w:rsidRDefault="001254BC" w:rsidP="001254BC">
      <w:pPr>
        <w:numPr>
          <w:ilvl w:val="0"/>
          <w:numId w:val="11"/>
        </w:numPr>
        <w:spacing w:before="100"/>
        <w:ind w:left="567" w:hanging="562"/>
      </w:pPr>
      <w:r w:rsidRPr="00C57466">
        <w:t>Closing</w:t>
      </w:r>
    </w:p>
    <w:p w14:paraId="5327A6F3" w14:textId="77777777" w:rsidR="001D3AEC" w:rsidRDefault="001D3AEC" w:rsidP="001D3AEC">
      <w:pPr>
        <w:jc w:val="center"/>
      </w:pPr>
    </w:p>
    <w:p w14:paraId="333CAC1E" w14:textId="77777777" w:rsidR="001D3AEC" w:rsidRDefault="001D3AEC" w:rsidP="001D3AEC">
      <w:pPr>
        <w:spacing w:before="0" w:after="160" w:line="259" w:lineRule="auto"/>
      </w:pPr>
      <w:r>
        <w:br w:type="page"/>
      </w:r>
    </w:p>
    <w:p w14:paraId="39A3CDB2" w14:textId="07674137" w:rsidR="001D3AEC" w:rsidRDefault="001D3AEC" w:rsidP="001D3AEC">
      <w:pPr>
        <w:pStyle w:val="AnnexNotitle"/>
      </w:pPr>
      <w:bookmarkStart w:id="25" w:name="AnnexA"/>
      <w:bookmarkStart w:id="26" w:name="_Ref505768856"/>
      <w:bookmarkStart w:id="27" w:name="_Ref505769420"/>
      <w:r w:rsidRPr="00C57466">
        <w:lastRenderedPageBreak/>
        <w:t xml:space="preserve">Annex </w:t>
      </w:r>
      <w:bookmarkEnd w:id="25"/>
      <w:r w:rsidR="00603883">
        <w:t>B</w:t>
      </w:r>
      <w:r w:rsidRPr="00C57466">
        <w:br/>
        <w:t>Allocation of documents</w:t>
      </w:r>
      <w:bookmarkEnd w:id="26"/>
      <w:bookmarkEnd w:id="27"/>
    </w:p>
    <w:p w14:paraId="1F3D908E" w14:textId="77777777" w:rsidR="00603883" w:rsidRPr="00603883" w:rsidRDefault="00603883" w:rsidP="00603883">
      <w:pPr>
        <w:rPr>
          <w:lang w:eastAsia="en-US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1254BC" w:rsidRPr="00B6244B" w14:paraId="20D58374" w14:textId="77777777" w:rsidTr="00710FD6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FE090F" w14:textId="77777777" w:rsidR="001254BC" w:rsidRPr="00B6244B" w:rsidRDefault="001254BC" w:rsidP="00710FD6">
            <w:pPr>
              <w:pStyle w:val="Tablehead"/>
              <w:rPr>
                <w:szCs w:val="22"/>
              </w:rPr>
            </w:pPr>
            <w:r w:rsidRPr="00B6244B">
              <w:rPr>
                <w:szCs w:val="22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AE5E6F" w14:textId="77777777" w:rsidR="001254BC" w:rsidRPr="00B6244B" w:rsidRDefault="001254BC" w:rsidP="00710FD6">
            <w:pPr>
              <w:pStyle w:val="Tablehead"/>
              <w:rPr>
                <w:szCs w:val="22"/>
              </w:rPr>
            </w:pPr>
            <w:r w:rsidRPr="00B6244B">
              <w:rPr>
                <w:szCs w:val="22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9CE4C" w14:textId="77777777" w:rsidR="001254BC" w:rsidRPr="00B6244B" w:rsidRDefault="001254BC" w:rsidP="00710FD6">
            <w:pPr>
              <w:pStyle w:val="Tablehead"/>
              <w:rPr>
                <w:szCs w:val="22"/>
              </w:rPr>
            </w:pPr>
            <w:r w:rsidRPr="00B6244B">
              <w:rPr>
                <w:szCs w:val="22"/>
              </w:rPr>
              <w:t>Contribution #, Source</w:t>
            </w:r>
            <w:r w:rsidRPr="00B6244B">
              <w:rPr>
                <w:szCs w:val="22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7A1C0AC1" w14:textId="77777777" w:rsidR="001254BC" w:rsidRPr="00B6244B" w:rsidRDefault="001254BC" w:rsidP="00710FD6">
            <w:pPr>
              <w:pStyle w:val="Tablehead"/>
              <w:rPr>
                <w:szCs w:val="22"/>
              </w:rPr>
            </w:pPr>
            <w:r w:rsidRPr="00B6244B">
              <w:rPr>
                <w:szCs w:val="22"/>
              </w:rPr>
              <w:t>Note</w:t>
            </w:r>
          </w:p>
        </w:tc>
      </w:tr>
      <w:tr w:rsidR="001254BC" w:rsidRPr="00B6244B" w14:paraId="571D8E44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20BE0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25DD1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proofErr w:type="spellStart"/>
            <w:r w:rsidRPr="00B6244B">
              <w:rPr>
                <w:szCs w:val="22"/>
              </w:rPr>
              <w:t>Adm</w:t>
            </w:r>
            <w:proofErr w:type="spellEnd"/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9EB18F" w14:textId="77777777" w:rsidR="001254BC" w:rsidRPr="00B6244B" w:rsidRDefault="00B00D72" w:rsidP="00710FD6">
            <w:pPr>
              <w:pStyle w:val="Tabletext"/>
              <w:rPr>
                <w:szCs w:val="22"/>
                <w:lang w:val="fr-FR"/>
              </w:rPr>
            </w:pPr>
            <w:hyperlink r:id="rId56" w:history="1">
              <w:r w:rsidR="001254BC" w:rsidRPr="00B6244B">
                <w:rPr>
                  <w:rStyle w:val="Hyperlink"/>
                  <w:szCs w:val="22"/>
                  <w:lang w:val="fr-FR"/>
                </w:rPr>
                <w:t>TD185</w:t>
              </w:r>
            </w:hyperlink>
            <w:r w:rsidR="001254BC" w:rsidRPr="00B6244B">
              <w:rPr>
                <w:szCs w:val="22"/>
                <w:lang w:val="fr-FR"/>
              </w:rPr>
              <w:t>: Rapporteur RG-WPR</w:t>
            </w:r>
          </w:p>
          <w:p w14:paraId="2B0EB9B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Draft agenda TSAG RG-WPR</w:t>
            </w:r>
          </w:p>
          <w:p w14:paraId="6EF7FB4B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57" w:history="1">
              <w:r w:rsidR="001254BC" w:rsidRPr="00B6244B">
                <w:rPr>
                  <w:rStyle w:val="Hyperlink"/>
                  <w:sz w:val="22"/>
                  <w:szCs w:val="22"/>
                </w:rPr>
                <w:t>TD228</w:t>
              </w:r>
            </w:hyperlink>
            <w:r w:rsidR="001254BC" w:rsidRPr="00B6244B">
              <w:rPr>
                <w:sz w:val="22"/>
                <w:szCs w:val="22"/>
              </w:rPr>
              <w:t>: TSB</w:t>
            </w:r>
          </w:p>
          <w:p w14:paraId="3A706D9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List of incoming and outgoing liaison statements (TSAG, Geneva, 30 May-2 June 2023)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062867A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26F928F1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E7B8A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4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A45C8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7E69CE" w14:textId="77777777" w:rsidR="001254BC" w:rsidRPr="00B6244B" w:rsidRDefault="00B00D72" w:rsidP="00710FD6">
            <w:pPr>
              <w:pStyle w:val="Tabletext"/>
              <w:rPr>
                <w:szCs w:val="22"/>
              </w:rPr>
            </w:pPr>
            <w:hyperlink r:id="rId58" w:history="1">
              <w:r w:rsidR="001254BC" w:rsidRPr="00B6244B">
                <w:rPr>
                  <w:rStyle w:val="Hyperlink"/>
                  <w:szCs w:val="22"/>
                </w:rPr>
                <w:t>TSAG-R1</w:t>
              </w:r>
            </w:hyperlink>
            <w:r w:rsidR="001254BC" w:rsidRPr="00B6244B">
              <w:rPr>
                <w:szCs w:val="22"/>
              </w:rPr>
              <w:t>: TSB</w:t>
            </w:r>
          </w:p>
          <w:p w14:paraId="7BADD79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Report of the first TSAG meeting (Geneva, 12-16 December 2022)</w:t>
            </w:r>
          </w:p>
          <w:p w14:paraId="573531FE" w14:textId="77777777" w:rsidR="001254BC" w:rsidRPr="00B6244B" w:rsidRDefault="00B00D72" w:rsidP="00710FD6">
            <w:pPr>
              <w:pStyle w:val="Tabletext"/>
              <w:rPr>
                <w:szCs w:val="22"/>
              </w:rPr>
            </w:pPr>
            <w:hyperlink r:id="rId59" w:history="1">
              <w:r w:rsidR="001254BC" w:rsidRPr="00B6244B">
                <w:rPr>
                  <w:rStyle w:val="Hyperlink"/>
                  <w:szCs w:val="22"/>
                </w:rPr>
                <w:t>TD278</w:t>
              </w:r>
            </w:hyperlink>
            <w:r w:rsidR="001254BC" w:rsidRPr="00B6244B">
              <w:rPr>
                <w:szCs w:val="22"/>
              </w:rPr>
              <w:t>: Rapporteur, RG-WPR</w:t>
            </w:r>
          </w:p>
          <w:p w14:paraId="2ECBD1A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Reports of the TSAG Rapporteur Group on Work Programme and Restructuring, SG work, SG Coordination (RG-WPR)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36376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1B342A19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F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490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4BBC" w14:textId="28FC404F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0" w:history="1">
              <w:r w:rsidR="001254BC" w:rsidRPr="00B6244B">
                <w:rPr>
                  <w:rStyle w:val="Hyperlink"/>
                  <w:sz w:val="22"/>
                  <w:szCs w:val="22"/>
                </w:rPr>
                <w:t>TD23</w:t>
              </w:r>
              <w:r w:rsidR="00E27D88" w:rsidRPr="00B6244B">
                <w:rPr>
                  <w:rStyle w:val="Hyperlink"/>
                  <w:sz w:val="22"/>
                  <w:szCs w:val="22"/>
                </w:rPr>
                <w:t>4, TD234R1</w:t>
              </w:r>
            </w:hyperlink>
            <w:r w:rsidR="001254BC" w:rsidRPr="00B6244B">
              <w:rPr>
                <w:sz w:val="22"/>
                <w:szCs w:val="22"/>
              </w:rPr>
              <w:t>: Associate Rapporteur</w:t>
            </w:r>
          </w:p>
          <w:p w14:paraId="334230C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Report to TSAG on the implementation of the action plan for analysis of ITU-T structural alternatives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449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78877E4B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B62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00E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93DA" w14:textId="54B636D2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1" w:history="1">
              <w:r w:rsidR="001254BC" w:rsidRPr="00B6244B">
                <w:rPr>
                  <w:rStyle w:val="Hyperlink"/>
                  <w:sz w:val="22"/>
                  <w:szCs w:val="22"/>
                </w:rPr>
                <w:t>TD21</w:t>
              </w:r>
              <w:r w:rsidR="00E27D88" w:rsidRPr="00B6244B">
                <w:rPr>
                  <w:rStyle w:val="Hyperlink"/>
                  <w:sz w:val="22"/>
                  <w:szCs w:val="22"/>
                </w:rPr>
                <w:t>4, TD214R1</w:t>
              </w:r>
            </w:hyperlink>
            <w:r w:rsidR="001254BC" w:rsidRPr="00B6244B">
              <w:rPr>
                <w:sz w:val="22"/>
                <w:szCs w:val="22"/>
              </w:rPr>
              <w:t>: Associate Rapporteur</w:t>
            </w:r>
          </w:p>
          <w:p w14:paraId="0E9B0EA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Baseline text for report of the analysis of ITU-T study group restructuring alternatives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D8DEB4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2C2E523F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075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9DC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B5B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2" w:history="1">
              <w:r w:rsidR="001254BC" w:rsidRPr="00B6244B">
                <w:rPr>
                  <w:rStyle w:val="Hyperlink"/>
                  <w:sz w:val="22"/>
                  <w:szCs w:val="22"/>
                </w:rPr>
                <w:t>TD265</w:t>
              </w:r>
            </w:hyperlink>
            <w:r w:rsidR="001254BC" w:rsidRPr="00B6244B">
              <w:rPr>
                <w:sz w:val="22"/>
                <w:szCs w:val="22"/>
              </w:rPr>
              <w:t>: Associate Rapporteur</w:t>
            </w:r>
          </w:p>
          <w:p w14:paraId="1B87E4BF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Proposed editorial revisions to baseline text for report of the analysis of ITU-T study group restructuring alternatives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F403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7FEEE09D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087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8A7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4ED7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3" w:history="1">
              <w:r w:rsidR="001254BC" w:rsidRPr="00B6244B">
                <w:rPr>
                  <w:rStyle w:val="Hyperlink"/>
                  <w:sz w:val="22"/>
                  <w:szCs w:val="22"/>
                </w:rPr>
                <w:t>TD238</w:t>
              </w:r>
            </w:hyperlink>
            <w:r w:rsidR="001254BC" w:rsidRPr="00B6244B">
              <w:rPr>
                <w:sz w:val="22"/>
                <w:szCs w:val="22"/>
              </w:rPr>
              <w:t>: ITU-T SG20</w:t>
            </w:r>
          </w:p>
          <w:p w14:paraId="6F3791F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LS/r on a progress report on the analysis of ITU-T study group restructuring (reply to TSAG-LS5)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8180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19E8376F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F4F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E95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9680" w14:textId="77777777" w:rsidR="001254BC" w:rsidRPr="00B6244B" w:rsidRDefault="00B00D72" w:rsidP="00710FD6">
            <w:pPr>
              <w:pStyle w:val="Tabletext"/>
              <w:rPr>
                <w:szCs w:val="22"/>
              </w:rPr>
            </w:pPr>
            <w:hyperlink r:id="rId64" w:history="1">
              <w:r w:rsidR="001254BC" w:rsidRPr="00B6244B">
                <w:rPr>
                  <w:rStyle w:val="Hyperlink"/>
                  <w:szCs w:val="22"/>
                </w:rPr>
                <w:t>TD271</w:t>
              </w:r>
            </w:hyperlink>
            <w:r w:rsidR="001254BC" w:rsidRPr="00B6244B">
              <w:rPr>
                <w:szCs w:val="22"/>
              </w:rPr>
              <w:t>: LS/r on a progress report on the analysis of ITU-T study group restructuring (TSAG-LS5)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190AF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24DF8E2D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571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1AC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51D5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5" w:history="1">
              <w:r w:rsidR="001254BC" w:rsidRPr="00B6244B">
                <w:rPr>
                  <w:rStyle w:val="Hyperlink"/>
                  <w:sz w:val="22"/>
                  <w:szCs w:val="22"/>
                </w:rPr>
                <w:t>C30</w:t>
              </w:r>
            </w:hyperlink>
            <w:r w:rsidR="001254BC" w:rsidRPr="00B6244B">
              <w:rPr>
                <w:sz w:val="22"/>
                <w:szCs w:val="22"/>
              </w:rPr>
              <w:t>: Canada, Ericsson Canada, Inc.</w:t>
            </w:r>
          </w:p>
          <w:p w14:paraId="45B936C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 xml:space="preserve">Equivalent use of the </w:t>
            </w:r>
            <w:proofErr w:type="gramStart"/>
            <w:r w:rsidRPr="00B6244B">
              <w:rPr>
                <w:szCs w:val="22"/>
              </w:rPr>
              <w:t>terms</w:t>
            </w:r>
            <w:proofErr w:type="gramEnd"/>
            <w:r w:rsidRPr="00B6244B">
              <w:rPr>
                <w:szCs w:val="22"/>
              </w:rPr>
              <w:t xml:space="preserve"> Key outcome indicators and Key performance indicators by RG-IEM and RG-WPR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7B82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Mainly discussed by RG-IEM</w:t>
            </w:r>
          </w:p>
        </w:tc>
      </w:tr>
      <w:tr w:rsidR="001254BC" w:rsidRPr="00B6244B" w14:paraId="2649E120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5E133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13E7A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AB57EC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6" w:history="1">
              <w:r w:rsidR="001254BC" w:rsidRPr="00B6244B">
                <w:rPr>
                  <w:rStyle w:val="Hyperlink"/>
                  <w:sz w:val="22"/>
                  <w:szCs w:val="22"/>
                </w:rPr>
                <w:t>C33</w:t>
              </w:r>
            </w:hyperlink>
            <w:r w:rsidR="001254BC" w:rsidRPr="00B6244B">
              <w:rPr>
                <w:sz w:val="22"/>
                <w:szCs w:val="22"/>
              </w:rPr>
              <w:t>: Broadcom Corporation (United States)</w:t>
            </w:r>
          </w:p>
          <w:p w14:paraId="0558D98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Considerations and suggestions regarding the KPIs current approach in RG-WPR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9E770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E27D88" w:rsidRPr="00B6244B" w14:paraId="0E74E47C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E6753" w14:textId="0DBDB8E2" w:rsidR="00E27D88" w:rsidRPr="00B6244B" w:rsidRDefault="00E27D88" w:rsidP="00E27D88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9ECEEA" w14:textId="426A7A10" w:rsidR="00E27D88" w:rsidRPr="00B6244B" w:rsidRDefault="00E27D88" w:rsidP="00E27D88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3EB10B" w14:textId="02DF4620" w:rsidR="00E27D88" w:rsidRPr="00B6244B" w:rsidRDefault="00B00D72" w:rsidP="00E27D88">
            <w:pPr>
              <w:spacing w:before="0"/>
              <w:rPr>
                <w:sz w:val="22"/>
                <w:szCs w:val="22"/>
              </w:rPr>
            </w:pPr>
            <w:hyperlink r:id="rId67" w:history="1">
              <w:r w:rsidR="00E27D88" w:rsidRPr="00B6244B">
                <w:rPr>
                  <w:rStyle w:val="Hyperlink"/>
                  <w:sz w:val="22"/>
                  <w:szCs w:val="22"/>
                </w:rPr>
                <w:t>TD277</w:t>
              </w:r>
            </w:hyperlink>
            <w:r w:rsidR="00E27D88" w:rsidRPr="00B6244B">
              <w:rPr>
                <w:sz w:val="22"/>
                <w:szCs w:val="22"/>
              </w:rPr>
              <w:t xml:space="preserve">: WP2 </w:t>
            </w:r>
            <w:r w:rsidR="001B61F6" w:rsidRPr="00B6244B">
              <w:rPr>
                <w:sz w:val="22"/>
                <w:szCs w:val="22"/>
              </w:rPr>
              <w:t>C</w:t>
            </w:r>
            <w:r w:rsidR="00E27D88" w:rsidRPr="00B6244B">
              <w:rPr>
                <w:sz w:val="22"/>
                <w:szCs w:val="22"/>
              </w:rPr>
              <w:t>hairman</w:t>
            </w:r>
          </w:p>
          <w:p w14:paraId="2E74D946" w14:textId="65E3BC76" w:rsidR="001B61F6" w:rsidRPr="00B6244B" w:rsidRDefault="001B61F6" w:rsidP="00E27D88">
            <w:pPr>
              <w:spacing w:before="0"/>
              <w:rPr>
                <w:sz w:val="22"/>
                <w:szCs w:val="22"/>
              </w:rPr>
            </w:pPr>
            <w:r w:rsidRPr="00B6244B">
              <w:rPr>
                <w:sz w:val="22"/>
                <w:szCs w:val="22"/>
              </w:rPr>
              <w:t>Updated matrix of work areas across the ITU-T study groups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3C02C6B" w14:textId="77777777" w:rsidR="00E27D88" w:rsidRPr="00B6244B" w:rsidRDefault="00E27D88" w:rsidP="00E27D88">
            <w:pPr>
              <w:pStyle w:val="Tabletext"/>
              <w:rPr>
                <w:szCs w:val="22"/>
              </w:rPr>
            </w:pPr>
          </w:p>
        </w:tc>
      </w:tr>
      <w:tr w:rsidR="00E27D88" w:rsidRPr="00B6244B" w14:paraId="1AAAAAA2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D291CA" w14:textId="09D987FD" w:rsidR="00E27D88" w:rsidRPr="00B6244B" w:rsidRDefault="00E27D88" w:rsidP="00E27D88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2FDBCE" w14:textId="7942B605" w:rsidR="00E27D88" w:rsidRPr="00B6244B" w:rsidRDefault="00E27D88" w:rsidP="00E27D88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0A7BAB" w14:textId="01CA16FF" w:rsidR="00E27D88" w:rsidRPr="00B6244B" w:rsidRDefault="00B00D72" w:rsidP="00E27D88">
            <w:pPr>
              <w:spacing w:before="0"/>
              <w:rPr>
                <w:sz w:val="22"/>
                <w:szCs w:val="22"/>
              </w:rPr>
            </w:pPr>
            <w:hyperlink r:id="rId68" w:history="1">
              <w:r w:rsidR="001B61F6" w:rsidRPr="00B6244B">
                <w:rPr>
                  <w:rStyle w:val="Hyperlink"/>
                  <w:sz w:val="22"/>
                  <w:szCs w:val="22"/>
                </w:rPr>
                <w:t>TD292</w:t>
              </w:r>
            </w:hyperlink>
            <w:r w:rsidR="001B61F6" w:rsidRPr="00B6244B">
              <w:rPr>
                <w:sz w:val="22"/>
                <w:szCs w:val="22"/>
              </w:rPr>
              <w:t>: WP2 Chairman</w:t>
            </w:r>
          </w:p>
          <w:p w14:paraId="0E105D7C" w14:textId="212555C4" w:rsidR="001B61F6" w:rsidRPr="00B6244B" w:rsidRDefault="001B61F6" w:rsidP="00E27D88">
            <w:pPr>
              <w:spacing w:before="0"/>
              <w:rPr>
                <w:sz w:val="22"/>
                <w:szCs w:val="22"/>
              </w:rPr>
            </w:pPr>
            <w:proofErr w:type="spellStart"/>
            <w:r w:rsidRPr="00B6244B">
              <w:rPr>
                <w:sz w:val="22"/>
                <w:szCs w:val="22"/>
              </w:rPr>
              <w:t>oLS</w:t>
            </w:r>
            <w:proofErr w:type="spellEnd"/>
            <w:r w:rsidRPr="00B6244B">
              <w:rPr>
                <w:sz w:val="22"/>
                <w:szCs w:val="22"/>
              </w:rPr>
              <w:t>: Status of the implementation of the action plan for analysis of ITU-T structural alternatives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DF040A" w14:textId="77777777" w:rsidR="00E27D88" w:rsidRPr="00B6244B" w:rsidRDefault="00E27D88" w:rsidP="00E27D88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186DB613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5353" w14:textId="1E6D4C9C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lastRenderedPageBreak/>
              <w:t>6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B0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Work Programme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965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69" w:history="1">
              <w:r w:rsidR="001254BC" w:rsidRPr="00B6244B">
                <w:rPr>
                  <w:rStyle w:val="Hyperlink"/>
                  <w:sz w:val="22"/>
                  <w:szCs w:val="22"/>
                </w:rPr>
                <w:t>TD279</w:t>
              </w:r>
            </w:hyperlink>
            <w:r w:rsidR="001254BC" w:rsidRPr="00B6244B">
              <w:rPr>
                <w:sz w:val="22"/>
                <w:szCs w:val="22"/>
              </w:rPr>
              <w:t>: Rapporteur, RG-WPR</w:t>
            </w:r>
          </w:p>
          <w:p w14:paraId="1D7FD6F8" w14:textId="77777777" w:rsidR="001254BC" w:rsidRPr="00B6244B" w:rsidRDefault="001254BC" w:rsidP="00710FD6">
            <w:pPr>
              <w:spacing w:before="0"/>
              <w:rPr>
                <w:sz w:val="22"/>
                <w:szCs w:val="22"/>
              </w:rPr>
            </w:pPr>
            <w:r w:rsidRPr="00B6244B">
              <w:rPr>
                <w:sz w:val="22"/>
                <w:szCs w:val="22"/>
              </w:rPr>
              <w:t>New Study Period discussions status of Study Groups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C66A25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56DFC976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B6A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87B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61B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0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TD199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ITU-T SG2</w:t>
            </w:r>
          </w:p>
          <w:p w14:paraId="35C8B8C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LS/i on ITU-T SG2 lead study group activities (June 2022 to March 2023)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064676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49283437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953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9D7E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CE0D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1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TD200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Study Group 3</w:t>
            </w:r>
          </w:p>
          <w:p w14:paraId="4223BC6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F35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5FF220F1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FE85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F44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2D2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2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TD201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Study Group 9</w:t>
            </w:r>
          </w:p>
          <w:p w14:paraId="2FC27E1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B8C4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2FFF0F6D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58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CC3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721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3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TD202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Study Group 11</w:t>
            </w:r>
          </w:p>
          <w:p w14:paraId="23EC7B7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A1B1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6A2AF3D1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8955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7FAE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3571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4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TD203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SG12</w:t>
            </w:r>
          </w:p>
          <w:p w14:paraId="6185F40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EE74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37DFAF58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8A25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7286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6AA8" w14:textId="77777777" w:rsidR="001254BC" w:rsidRPr="00B6244B" w:rsidRDefault="00B00D72" w:rsidP="00710FD6">
            <w:pPr>
              <w:keepNext/>
              <w:keepLines/>
              <w:spacing w:before="0"/>
              <w:rPr>
                <w:sz w:val="22"/>
                <w:szCs w:val="22"/>
                <w:lang w:eastAsia="zh-CN"/>
              </w:rPr>
            </w:pPr>
            <w:hyperlink r:id="rId75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TD204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SG13</w:t>
            </w:r>
          </w:p>
          <w:p w14:paraId="7C9E58B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57D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718470B0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8D7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3D6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B2D0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6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TD205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Chairman, ITU-T SG15</w:t>
            </w:r>
          </w:p>
          <w:p w14:paraId="57E0CA1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ITU-T SG15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261F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551C59CB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12B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C26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D4B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7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TD206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ITU-T SG17</w:t>
            </w:r>
          </w:p>
          <w:p w14:paraId="6352C88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LS/i on SG17 Lead Study Reports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4AF0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7A9C1739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931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CB1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4D96" w14:textId="77777777" w:rsidR="001254BC" w:rsidRPr="00B6244B" w:rsidRDefault="00B00D72" w:rsidP="00710FD6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78" w:history="1">
              <w:r w:rsidR="001254BC" w:rsidRPr="00B6244B">
                <w:rPr>
                  <w:rStyle w:val="Hyperlink"/>
                  <w:sz w:val="22"/>
                  <w:szCs w:val="22"/>
                  <w:lang w:eastAsia="zh-CN"/>
                </w:rPr>
                <w:t>TD207</w:t>
              </w:r>
            </w:hyperlink>
            <w:r w:rsidR="001254BC" w:rsidRPr="00B6244B">
              <w:rPr>
                <w:sz w:val="22"/>
                <w:szCs w:val="22"/>
                <w:lang w:eastAsia="zh-CN"/>
              </w:rPr>
              <w:t>: ITU-T SG20</w:t>
            </w:r>
          </w:p>
          <w:p w14:paraId="49291C4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  <w:lang w:eastAsia="zh-CN"/>
              </w:rPr>
              <w:t>LS/i on ITU-T SG20 Lead Study Group Report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DBC4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28C200AD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F17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997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A8D9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79">
              <w:r w:rsidR="001254BC" w:rsidRPr="00B6244B">
                <w:rPr>
                  <w:rStyle w:val="Hyperlink"/>
                  <w:sz w:val="22"/>
                  <w:szCs w:val="22"/>
                </w:rPr>
                <w:t>TD212</w:t>
              </w:r>
            </w:hyperlink>
            <w:r w:rsidR="001254BC" w:rsidRPr="00B6244B">
              <w:rPr>
                <w:sz w:val="22"/>
                <w:szCs w:val="22"/>
              </w:rPr>
              <w:t>: Liaison officer to ISO/IEC JTC 1</w:t>
            </w:r>
          </w:p>
          <w:p w14:paraId="4D086A44" w14:textId="77777777" w:rsidR="001254BC" w:rsidRPr="00B6244B" w:rsidRDefault="001254BC" w:rsidP="00710FD6">
            <w:pPr>
              <w:spacing w:before="0"/>
              <w:rPr>
                <w:sz w:val="22"/>
                <w:szCs w:val="22"/>
              </w:rPr>
            </w:pPr>
            <w:r w:rsidRPr="00B6244B">
              <w:rPr>
                <w:sz w:val="22"/>
                <w:szCs w:val="22"/>
              </w:rPr>
              <w:t>Report of the ISO/IEC JTC 1 Plenary (Paestum, Italy, May 2023)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6E19FF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6AB860AC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A6B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B6D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DDBF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0" w:history="1">
              <w:r w:rsidR="001254BC" w:rsidRPr="00B6244B">
                <w:rPr>
                  <w:rStyle w:val="Hyperlink"/>
                  <w:sz w:val="22"/>
                  <w:szCs w:val="22"/>
                </w:rPr>
                <w:t>TD226</w:t>
              </w:r>
            </w:hyperlink>
            <w:r w:rsidR="001254BC" w:rsidRPr="00B6244B">
              <w:rPr>
                <w:sz w:val="22"/>
                <w:szCs w:val="22"/>
              </w:rPr>
              <w:t>: ITU-T SG15</w:t>
            </w:r>
          </w:p>
          <w:p w14:paraId="0050D69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5D991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004631F3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C46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F196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DE42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1" w:history="1">
              <w:r w:rsidR="001254BC" w:rsidRPr="00B6244B">
                <w:rPr>
                  <w:rStyle w:val="Hyperlink"/>
                  <w:sz w:val="22"/>
                  <w:szCs w:val="22"/>
                </w:rPr>
                <w:t>TD244</w:t>
              </w:r>
            </w:hyperlink>
            <w:r w:rsidR="001254BC" w:rsidRPr="00B6244B">
              <w:rPr>
                <w:sz w:val="22"/>
                <w:szCs w:val="22"/>
              </w:rPr>
              <w:t>: ITU-T SG2</w:t>
            </w:r>
          </w:p>
          <w:p w14:paraId="30EF70D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LS/i on Telecommunication Management and OAM Project Plan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441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04407D88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FA0A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256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B7F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2" w:history="1">
              <w:r w:rsidR="001254BC" w:rsidRPr="00B6244B">
                <w:rPr>
                  <w:rStyle w:val="Hyperlink"/>
                  <w:sz w:val="22"/>
                  <w:szCs w:val="22"/>
                </w:rPr>
                <w:t>TD252</w:t>
              </w:r>
            </w:hyperlink>
            <w:r w:rsidR="001254BC" w:rsidRPr="00B6244B">
              <w:rPr>
                <w:sz w:val="22"/>
                <w:szCs w:val="22"/>
              </w:rPr>
              <w:t>: ITU-T SG15</w:t>
            </w:r>
          </w:p>
          <w:p w14:paraId="097169E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8A78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08862C40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B73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89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C38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3" w:history="1">
              <w:r w:rsidR="001254BC" w:rsidRPr="00B6244B">
                <w:rPr>
                  <w:rStyle w:val="Hyperlink"/>
                  <w:sz w:val="22"/>
                  <w:szCs w:val="22"/>
                </w:rPr>
                <w:t>TD253</w:t>
              </w:r>
            </w:hyperlink>
            <w:r w:rsidR="001254BC" w:rsidRPr="00B6244B">
              <w:rPr>
                <w:sz w:val="22"/>
                <w:szCs w:val="22"/>
              </w:rPr>
              <w:t>: ITU-T SG15</w:t>
            </w:r>
          </w:p>
          <w:p w14:paraId="64052F2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LS/i on OTNT Standardization Work Plan Issue 32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E0D6F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6C4D06F7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4D52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13DC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CD4B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4" w:history="1">
              <w:r w:rsidR="001254BC" w:rsidRPr="00B6244B">
                <w:rPr>
                  <w:rStyle w:val="Hyperlink"/>
                  <w:sz w:val="22"/>
                  <w:szCs w:val="22"/>
                </w:rPr>
                <w:t>TD237</w:t>
              </w:r>
            </w:hyperlink>
            <w:r w:rsidR="001254BC" w:rsidRPr="00B6244B">
              <w:rPr>
                <w:sz w:val="22"/>
                <w:szCs w:val="22"/>
              </w:rPr>
              <w:t>: ITU-T SG20</w:t>
            </w:r>
          </w:p>
          <w:p w14:paraId="2AC57F14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LS/r on work related to unmanned aircraft systems (UAS) (reply to TSAG-LS6)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8EB05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44908B56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1E26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lastRenderedPageBreak/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91B7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143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5" w:history="1">
              <w:r w:rsidR="001254BC" w:rsidRPr="00B6244B">
                <w:rPr>
                  <w:rStyle w:val="Hyperlink"/>
                  <w:sz w:val="22"/>
                  <w:szCs w:val="22"/>
                </w:rPr>
                <w:t>TD259</w:t>
              </w:r>
            </w:hyperlink>
            <w:r w:rsidR="001254BC" w:rsidRPr="00B6244B">
              <w:rPr>
                <w:sz w:val="22"/>
                <w:szCs w:val="22"/>
              </w:rPr>
              <w:t>: Radiocommunication Advisory Group (RAG)</w:t>
            </w:r>
          </w:p>
          <w:p w14:paraId="1316A1A2" w14:textId="77777777" w:rsidR="001254BC" w:rsidRPr="00B6244B" w:rsidRDefault="001254BC" w:rsidP="00710F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B6244B">
              <w:rPr>
                <w:szCs w:val="22"/>
              </w:rPr>
              <w:t>LS/r on Work related to Unmanned Aircraft Systems (UAS) and other Radiocommunication Systems [from RAG]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3729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37BCA558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32B6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7378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861B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6" w:history="1">
              <w:r w:rsidR="001254BC" w:rsidRPr="00B6244B">
                <w:rPr>
                  <w:rStyle w:val="Hyperlink"/>
                  <w:sz w:val="22"/>
                  <w:szCs w:val="22"/>
                </w:rPr>
                <w:t>TD268</w:t>
              </w:r>
            </w:hyperlink>
            <w:r w:rsidR="001254BC" w:rsidRPr="00B6244B">
              <w:rPr>
                <w:sz w:val="22"/>
                <w:szCs w:val="22"/>
              </w:rPr>
              <w:t>: ITU-T SG11</w:t>
            </w:r>
          </w:p>
          <w:p w14:paraId="3363868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 xml:space="preserve">LS/i on the new work item ITU-T </w:t>
            </w:r>
            <w:proofErr w:type="gramStart"/>
            <w:r w:rsidRPr="00B6244B">
              <w:rPr>
                <w:szCs w:val="22"/>
              </w:rPr>
              <w:t>Q.TSCA</w:t>
            </w:r>
            <w:proofErr w:type="gramEnd"/>
            <w:r w:rsidRPr="00B6244B">
              <w:rPr>
                <w:szCs w:val="22"/>
              </w:rPr>
              <w:t xml:space="preserve"> which defines procedure for issuing digital certificates for signalling security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D0F9D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  <w:tr w:rsidR="001254BC" w:rsidRPr="00B6244B" w14:paraId="79BA033D" w14:textId="77777777" w:rsidTr="00710FD6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1FFA5B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D469A5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E5D10F" w14:textId="77777777" w:rsidR="001254BC" w:rsidRPr="00B6244B" w:rsidRDefault="00B00D72" w:rsidP="00710FD6">
            <w:pPr>
              <w:spacing w:before="0"/>
              <w:rPr>
                <w:sz w:val="22"/>
                <w:szCs w:val="22"/>
              </w:rPr>
            </w:pPr>
            <w:hyperlink r:id="rId87" w:history="1">
              <w:r w:rsidR="001254BC" w:rsidRPr="00B6244B">
                <w:rPr>
                  <w:rStyle w:val="Hyperlink"/>
                  <w:sz w:val="22"/>
                  <w:szCs w:val="22"/>
                </w:rPr>
                <w:t>TD269</w:t>
              </w:r>
            </w:hyperlink>
            <w:r w:rsidR="001254BC" w:rsidRPr="00B6244B">
              <w:rPr>
                <w:sz w:val="22"/>
                <w:szCs w:val="22"/>
              </w:rPr>
              <w:t>: ITU-T SG11</w:t>
            </w:r>
          </w:p>
          <w:p w14:paraId="7291F880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  <w:r w:rsidRPr="00B6244B">
              <w:rPr>
                <w:szCs w:val="22"/>
              </w:rPr>
              <w:t>LS/i on Status of ITU TL recognition (as of April 2023)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4F72E59" w14:textId="77777777" w:rsidR="001254BC" w:rsidRPr="00B6244B" w:rsidRDefault="001254BC" w:rsidP="00710FD6">
            <w:pPr>
              <w:pStyle w:val="Tabletext"/>
              <w:rPr>
                <w:szCs w:val="22"/>
              </w:rPr>
            </w:pPr>
          </w:p>
        </w:tc>
      </w:tr>
    </w:tbl>
    <w:p w14:paraId="54BA2C38" w14:textId="77777777" w:rsidR="00111945" w:rsidRPr="001D3AEC" w:rsidRDefault="00111945" w:rsidP="004C1FCF"/>
    <w:p w14:paraId="6F8F7061" w14:textId="1D151D2C" w:rsidR="008C5A9A" w:rsidRPr="0068196C" w:rsidRDefault="008C5A9A" w:rsidP="008C5A9A"/>
    <w:p w14:paraId="74039454" w14:textId="65F8FBF4" w:rsidR="00DF4500" w:rsidRPr="0068196C" w:rsidRDefault="008C5A9A" w:rsidP="00DA4466">
      <w:pPr>
        <w:jc w:val="center"/>
      </w:pPr>
      <w:bookmarkStart w:id="28" w:name="_Hlk98856042"/>
      <w:r w:rsidRPr="00DF123C">
        <w:t>_______________________</w:t>
      </w:r>
      <w:bookmarkEnd w:id="28"/>
    </w:p>
    <w:sectPr w:rsidR="00DF4500" w:rsidRPr="0068196C" w:rsidSect="004C1FCF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F510" w14:textId="77777777" w:rsidR="00BD2C64" w:rsidRDefault="00BD2C64" w:rsidP="00C42125">
      <w:pPr>
        <w:spacing w:before="0"/>
      </w:pPr>
      <w:r>
        <w:separator/>
      </w:r>
    </w:p>
  </w:endnote>
  <w:endnote w:type="continuationSeparator" w:id="0">
    <w:p w14:paraId="76F2D20F" w14:textId="77777777" w:rsidR="00BD2C64" w:rsidRDefault="00BD2C6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B55F" w14:textId="77777777" w:rsidR="00AD2E56" w:rsidRDefault="00AD2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25F4" w14:textId="77777777" w:rsidR="00AD2E56" w:rsidRDefault="00AD2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A900" w14:textId="77777777" w:rsidR="00AD2E56" w:rsidRDefault="00AD2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FC3F" w14:textId="77777777" w:rsidR="00BD2C64" w:rsidRDefault="00BD2C64" w:rsidP="00C42125">
      <w:pPr>
        <w:spacing w:before="0"/>
      </w:pPr>
      <w:r>
        <w:separator/>
      </w:r>
    </w:p>
  </w:footnote>
  <w:footnote w:type="continuationSeparator" w:id="0">
    <w:p w14:paraId="64C53310" w14:textId="77777777" w:rsidR="00BD2C64" w:rsidRDefault="00BD2C6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E9B" w14:textId="77777777" w:rsidR="00AD2E56" w:rsidRDefault="00AD2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690850F5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B00D72">
      <w:rPr>
        <w:noProof/>
      </w:rPr>
      <w:t>TSAG-TD186</w:t>
    </w:r>
    <w:r w:rsidRPr="001B13F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838C" w14:textId="77777777" w:rsidR="00AD2E56" w:rsidRDefault="00AD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4288"/>
    <w:multiLevelType w:val="hybridMultilevel"/>
    <w:tmpl w:val="22F0D9F8"/>
    <w:lvl w:ilvl="0" w:tplc="955C6530">
      <w:start w:val="1"/>
      <w:numFmt w:val="decimal"/>
      <w:lvlText w:val="X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0280429"/>
    <w:multiLevelType w:val="hybridMultilevel"/>
    <w:tmpl w:val="9A9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4"/>
  </w:num>
  <w:num w:numId="12" w16cid:durableId="628324437">
    <w:abstractNumId w:val="20"/>
  </w:num>
  <w:num w:numId="13" w16cid:durableId="1673484047">
    <w:abstractNumId w:val="26"/>
  </w:num>
  <w:num w:numId="14" w16cid:durableId="1977877175">
    <w:abstractNumId w:val="21"/>
  </w:num>
  <w:num w:numId="15" w16cid:durableId="1208101695">
    <w:abstractNumId w:val="16"/>
  </w:num>
  <w:num w:numId="16" w16cid:durableId="1689869113">
    <w:abstractNumId w:val="17"/>
  </w:num>
  <w:num w:numId="17" w16cid:durableId="1481576085">
    <w:abstractNumId w:val="13"/>
  </w:num>
  <w:num w:numId="18" w16cid:durableId="6518632">
    <w:abstractNumId w:val="18"/>
  </w:num>
  <w:num w:numId="19" w16cid:durableId="601960827">
    <w:abstractNumId w:val="25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2"/>
  </w:num>
  <w:num w:numId="23" w16cid:durableId="1784110109">
    <w:abstractNumId w:val="23"/>
  </w:num>
  <w:num w:numId="24" w16cid:durableId="1478378992">
    <w:abstractNumId w:val="12"/>
  </w:num>
  <w:num w:numId="25" w16cid:durableId="1703163138">
    <w:abstractNumId w:val="28"/>
  </w:num>
  <w:num w:numId="26" w16cid:durableId="1508641595">
    <w:abstractNumId w:val="27"/>
  </w:num>
  <w:num w:numId="27" w16cid:durableId="56784342">
    <w:abstractNumId w:val="24"/>
  </w:num>
  <w:num w:numId="28" w16cid:durableId="2093158350">
    <w:abstractNumId w:val="29"/>
  </w:num>
  <w:num w:numId="29" w16cid:durableId="1446852832">
    <w:abstractNumId w:val="15"/>
  </w:num>
  <w:num w:numId="30" w16cid:durableId="1570340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17A7F"/>
    <w:rsid w:val="00023D9A"/>
    <w:rsid w:val="0003582E"/>
    <w:rsid w:val="00043D75"/>
    <w:rsid w:val="00057000"/>
    <w:rsid w:val="000640E0"/>
    <w:rsid w:val="000644AB"/>
    <w:rsid w:val="000701F6"/>
    <w:rsid w:val="00075ACB"/>
    <w:rsid w:val="0008530B"/>
    <w:rsid w:val="00086D80"/>
    <w:rsid w:val="0009513C"/>
    <w:rsid w:val="000966A8"/>
    <w:rsid w:val="000A0A5C"/>
    <w:rsid w:val="000A5CA2"/>
    <w:rsid w:val="000B71E3"/>
    <w:rsid w:val="000C5715"/>
    <w:rsid w:val="000E3C61"/>
    <w:rsid w:val="000E3E55"/>
    <w:rsid w:val="000E6083"/>
    <w:rsid w:val="000E6125"/>
    <w:rsid w:val="000F207B"/>
    <w:rsid w:val="000F2C7D"/>
    <w:rsid w:val="00100BAF"/>
    <w:rsid w:val="0010132D"/>
    <w:rsid w:val="00111945"/>
    <w:rsid w:val="00113DBE"/>
    <w:rsid w:val="00114C9C"/>
    <w:rsid w:val="001200A6"/>
    <w:rsid w:val="001251DA"/>
    <w:rsid w:val="00125432"/>
    <w:rsid w:val="001254BC"/>
    <w:rsid w:val="00132C98"/>
    <w:rsid w:val="00133D67"/>
    <w:rsid w:val="00136DDD"/>
    <w:rsid w:val="00137F40"/>
    <w:rsid w:val="00144BDF"/>
    <w:rsid w:val="00155DDC"/>
    <w:rsid w:val="001871EC"/>
    <w:rsid w:val="001A131B"/>
    <w:rsid w:val="001A20C3"/>
    <w:rsid w:val="001A2713"/>
    <w:rsid w:val="001A4296"/>
    <w:rsid w:val="001A670F"/>
    <w:rsid w:val="001B13F5"/>
    <w:rsid w:val="001B5AED"/>
    <w:rsid w:val="001B61F6"/>
    <w:rsid w:val="001B6A45"/>
    <w:rsid w:val="001C1003"/>
    <w:rsid w:val="001C4B91"/>
    <w:rsid w:val="001C62B8"/>
    <w:rsid w:val="001D033C"/>
    <w:rsid w:val="001D22D8"/>
    <w:rsid w:val="001D3AEC"/>
    <w:rsid w:val="001D4296"/>
    <w:rsid w:val="001D555E"/>
    <w:rsid w:val="001E54BC"/>
    <w:rsid w:val="001E7B0E"/>
    <w:rsid w:val="001F141D"/>
    <w:rsid w:val="00200A06"/>
    <w:rsid w:val="00200A98"/>
    <w:rsid w:val="00201AFA"/>
    <w:rsid w:val="00211CE7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38D5"/>
    <w:rsid w:val="002A11C4"/>
    <w:rsid w:val="002A399B"/>
    <w:rsid w:val="002C26C0"/>
    <w:rsid w:val="002C2BC5"/>
    <w:rsid w:val="002D2D63"/>
    <w:rsid w:val="002E0407"/>
    <w:rsid w:val="002E1D07"/>
    <w:rsid w:val="002E42E7"/>
    <w:rsid w:val="002E79CB"/>
    <w:rsid w:val="002F0471"/>
    <w:rsid w:val="002F1714"/>
    <w:rsid w:val="002F47B4"/>
    <w:rsid w:val="002F5CA7"/>
    <w:rsid w:val="002F7F55"/>
    <w:rsid w:val="0030745F"/>
    <w:rsid w:val="00314630"/>
    <w:rsid w:val="0032090A"/>
    <w:rsid w:val="00321CDE"/>
    <w:rsid w:val="003224B8"/>
    <w:rsid w:val="00333E15"/>
    <w:rsid w:val="00335D41"/>
    <w:rsid w:val="003416D3"/>
    <w:rsid w:val="003571BC"/>
    <w:rsid w:val="0036090C"/>
    <w:rsid w:val="00364979"/>
    <w:rsid w:val="00373FC3"/>
    <w:rsid w:val="00385B9C"/>
    <w:rsid w:val="00385FB5"/>
    <w:rsid w:val="0038715D"/>
    <w:rsid w:val="00392E84"/>
    <w:rsid w:val="00394659"/>
    <w:rsid w:val="00394B0B"/>
    <w:rsid w:val="00394DBF"/>
    <w:rsid w:val="003957A6"/>
    <w:rsid w:val="00397713"/>
    <w:rsid w:val="003A43EF"/>
    <w:rsid w:val="003B184D"/>
    <w:rsid w:val="003B60A2"/>
    <w:rsid w:val="003C7445"/>
    <w:rsid w:val="003D15D6"/>
    <w:rsid w:val="003E1925"/>
    <w:rsid w:val="003E39A2"/>
    <w:rsid w:val="003E57AB"/>
    <w:rsid w:val="003F2BED"/>
    <w:rsid w:val="003F7F15"/>
    <w:rsid w:val="00400B49"/>
    <w:rsid w:val="004017C7"/>
    <w:rsid w:val="0040415B"/>
    <w:rsid w:val="004122A5"/>
    <w:rsid w:val="004139E4"/>
    <w:rsid w:val="00415999"/>
    <w:rsid w:val="004170C6"/>
    <w:rsid w:val="00443878"/>
    <w:rsid w:val="0044402C"/>
    <w:rsid w:val="004461C9"/>
    <w:rsid w:val="004539A8"/>
    <w:rsid w:val="004646F1"/>
    <w:rsid w:val="004712CA"/>
    <w:rsid w:val="0047422E"/>
    <w:rsid w:val="0047512C"/>
    <w:rsid w:val="00494B9C"/>
    <w:rsid w:val="0049674B"/>
    <w:rsid w:val="00496EF1"/>
    <w:rsid w:val="004B1732"/>
    <w:rsid w:val="004C0673"/>
    <w:rsid w:val="004C1FCF"/>
    <w:rsid w:val="004C4E4E"/>
    <w:rsid w:val="004C57AA"/>
    <w:rsid w:val="004E08F2"/>
    <w:rsid w:val="004E51C0"/>
    <w:rsid w:val="004F28DA"/>
    <w:rsid w:val="004F3816"/>
    <w:rsid w:val="004F500A"/>
    <w:rsid w:val="005126A0"/>
    <w:rsid w:val="0051527E"/>
    <w:rsid w:val="005250B6"/>
    <w:rsid w:val="00543D41"/>
    <w:rsid w:val="00545472"/>
    <w:rsid w:val="00545B6E"/>
    <w:rsid w:val="00550A7A"/>
    <w:rsid w:val="0055438B"/>
    <w:rsid w:val="005571A4"/>
    <w:rsid w:val="005604FC"/>
    <w:rsid w:val="00566EDA"/>
    <w:rsid w:val="0057081A"/>
    <w:rsid w:val="00572654"/>
    <w:rsid w:val="005976A1"/>
    <w:rsid w:val="005A34E7"/>
    <w:rsid w:val="005A681E"/>
    <w:rsid w:val="005A69A3"/>
    <w:rsid w:val="005B5629"/>
    <w:rsid w:val="005C0300"/>
    <w:rsid w:val="005C27A2"/>
    <w:rsid w:val="005D4FEB"/>
    <w:rsid w:val="005D65ED"/>
    <w:rsid w:val="005E0E6C"/>
    <w:rsid w:val="005E156F"/>
    <w:rsid w:val="005F4B6A"/>
    <w:rsid w:val="006010F3"/>
    <w:rsid w:val="00603883"/>
    <w:rsid w:val="00615A0A"/>
    <w:rsid w:val="006333D4"/>
    <w:rsid w:val="00634872"/>
    <w:rsid w:val="006369B2"/>
    <w:rsid w:val="0063718D"/>
    <w:rsid w:val="006471F8"/>
    <w:rsid w:val="00647525"/>
    <w:rsid w:val="00647A71"/>
    <w:rsid w:val="006530A8"/>
    <w:rsid w:val="006570B0"/>
    <w:rsid w:val="0066022F"/>
    <w:rsid w:val="006725E1"/>
    <w:rsid w:val="00672AAB"/>
    <w:rsid w:val="00676876"/>
    <w:rsid w:val="0068196C"/>
    <w:rsid w:val="006823F3"/>
    <w:rsid w:val="0069210B"/>
    <w:rsid w:val="00693139"/>
    <w:rsid w:val="00695DD7"/>
    <w:rsid w:val="006A0F3F"/>
    <w:rsid w:val="006A2A02"/>
    <w:rsid w:val="006A4055"/>
    <w:rsid w:val="006A7C27"/>
    <w:rsid w:val="006B277D"/>
    <w:rsid w:val="006B2FE4"/>
    <w:rsid w:val="006B37B0"/>
    <w:rsid w:val="006B6BA2"/>
    <w:rsid w:val="006C5641"/>
    <w:rsid w:val="006D1089"/>
    <w:rsid w:val="006D1B86"/>
    <w:rsid w:val="006D4F68"/>
    <w:rsid w:val="006D581D"/>
    <w:rsid w:val="006D6EB8"/>
    <w:rsid w:val="006D7355"/>
    <w:rsid w:val="006E53E9"/>
    <w:rsid w:val="006F7DEE"/>
    <w:rsid w:val="00715CA6"/>
    <w:rsid w:val="00731135"/>
    <w:rsid w:val="007324AF"/>
    <w:rsid w:val="007409B4"/>
    <w:rsid w:val="00741974"/>
    <w:rsid w:val="00744D27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1812"/>
    <w:rsid w:val="007A1C6A"/>
    <w:rsid w:val="007B33A0"/>
    <w:rsid w:val="007C7122"/>
    <w:rsid w:val="007D077C"/>
    <w:rsid w:val="007D3F11"/>
    <w:rsid w:val="007E2C69"/>
    <w:rsid w:val="007E53E4"/>
    <w:rsid w:val="007E656A"/>
    <w:rsid w:val="007F3CAA"/>
    <w:rsid w:val="007F3F6A"/>
    <w:rsid w:val="007F664D"/>
    <w:rsid w:val="00801B42"/>
    <w:rsid w:val="008249A7"/>
    <w:rsid w:val="00831F24"/>
    <w:rsid w:val="00832EA4"/>
    <w:rsid w:val="008349B1"/>
    <w:rsid w:val="00836D45"/>
    <w:rsid w:val="00837203"/>
    <w:rsid w:val="00842137"/>
    <w:rsid w:val="00851E6C"/>
    <w:rsid w:val="00853F5F"/>
    <w:rsid w:val="00854BF2"/>
    <w:rsid w:val="00856C7A"/>
    <w:rsid w:val="008623ED"/>
    <w:rsid w:val="00866604"/>
    <w:rsid w:val="00871DAA"/>
    <w:rsid w:val="00875AA6"/>
    <w:rsid w:val="00875BDB"/>
    <w:rsid w:val="00880944"/>
    <w:rsid w:val="00880EC5"/>
    <w:rsid w:val="0089088E"/>
    <w:rsid w:val="00892297"/>
    <w:rsid w:val="008933BE"/>
    <w:rsid w:val="008964D6"/>
    <w:rsid w:val="008A35F3"/>
    <w:rsid w:val="008B5123"/>
    <w:rsid w:val="008C5A9A"/>
    <w:rsid w:val="008D1E1E"/>
    <w:rsid w:val="008D58EA"/>
    <w:rsid w:val="008E0172"/>
    <w:rsid w:val="008E3DDF"/>
    <w:rsid w:val="008E7F60"/>
    <w:rsid w:val="008F02F5"/>
    <w:rsid w:val="00920192"/>
    <w:rsid w:val="00936852"/>
    <w:rsid w:val="009373A2"/>
    <w:rsid w:val="0094045D"/>
    <w:rsid w:val="009406B5"/>
    <w:rsid w:val="0094137B"/>
    <w:rsid w:val="00946166"/>
    <w:rsid w:val="00966B5C"/>
    <w:rsid w:val="0097755D"/>
    <w:rsid w:val="00983164"/>
    <w:rsid w:val="00984252"/>
    <w:rsid w:val="009927EB"/>
    <w:rsid w:val="00995CF9"/>
    <w:rsid w:val="009972EF"/>
    <w:rsid w:val="009B5035"/>
    <w:rsid w:val="009B5F44"/>
    <w:rsid w:val="009C3160"/>
    <w:rsid w:val="009D31B3"/>
    <w:rsid w:val="009D644B"/>
    <w:rsid w:val="009E4B6B"/>
    <w:rsid w:val="009E766E"/>
    <w:rsid w:val="009E78B7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472E9"/>
    <w:rsid w:val="00A50506"/>
    <w:rsid w:val="00A51EF0"/>
    <w:rsid w:val="00A600CD"/>
    <w:rsid w:val="00A62399"/>
    <w:rsid w:val="00A67A81"/>
    <w:rsid w:val="00A730A6"/>
    <w:rsid w:val="00A81AFE"/>
    <w:rsid w:val="00A827B0"/>
    <w:rsid w:val="00A86C6C"/>
    <w:rsid w:val="00A87062"/>
    <w:rsid w:val="00A915DC"/>
    <w:rsid w:val="00A96899"/>
    <w:rsid w:val="00A971A0"/>
    <w:rsid w:val="00AA1186"/>
    <w:rsid w:val="00AA1F22"/>
    <w:rsid w:val="00AB37FB"/>
    <w:rsid w:val="00AB5884"/>
    <w:rsid w:val="00AC3E73"/>
    <w:rsid w:val="00AC63B0"/>
    <w:rsid w:val="00AD2E56"/>
    <w:rsid w:val="00AD5693"/>
    <w:rsid w:val="00AE0F14"/>
    <w:rsid w:val="00AF435C"/>
    <w:rsid w:val="00AF458B"/>
    <w:rsid w:val="00B00D72"/>
    <w:rsid w:val="00B05821"/>
    <w:rsid w:val="00B0696B"/>
    <w:rsid w:val="00B06EE6"/>
    <w:rsid w:val="00B100D6"/>
    <w:rsid w:val="00B12507"/>
    <w:rsid w:val="00B125C2"/>
    <w:rsid w:val="00B13716"/>
    <w:rsid w:val="00B164C9"/>
    <w:rsid w:val="00B26C28"/>
    <w:rsid w:val="00B4174C"/>
    <w:rsid w:val="00B453F5"/>
    <w:rsid w:val="00B4617C"/>
    <w:rsid w:val="00B5162E"/>
    <w:rsid w:val="00B600C0"/>
    <w:rsid w:val="00B61624"/>
    <w:rsid w:val="00B6244B"/>
    <w:rsid w:val="00B65093"/>
    <w:rsid w:val="00B66481"/>
    <w:rsid w:val="00B7189C"/>
    <w:rsid w:val="00B718A5"/>
    <w:rsid w:val="00B742B5"/>
    <w:rsid w:val="00B86602"/>
    <w:rsid w:val="00B95D70"/>
    <w:rsid w:val="00BA7411"/>
    <w:rsid w:val="00BA788A"/>
    <w:rsid w:val="00BB0BD9"/>
    <w:rsid w:val="00BB4120"/>
    <w:rsid w:val="00BB4983"/>
    <w:rsid w:val="00BB519D"/>
    <w:rsid w:val="00BB7597"/>
    <w:rsid w:val="00BC61E2"/>
    <w:rsid w:val="00BC62E2"/>
    <w:rsid w:val="00BD2C64"/>
    <w:rsid w:val="00BE2F2A"/>
    <w:rsid w:val="00BE4AC3"/>
    <w:rsid w:val="00BF038D"/>
    <w:rsid w:val="00BF56AC"/>
    <w:rsid w:val="00C06807"/>
    <w:rsid w:val="00C21D03"/>
    <w:rsid w:val="00C24845"/>
    <w:rsid w:val="00C42125"/>
    <w:rsid w:val="00C443FE"/>
    <w:rsid w:val="00C47120"/>
    <w:rsid w:val="00C52462"/>
    <w:rsid w:val="00C557CE"/>
    <w:rsid w:val="00C62814"/>
    <w:rsid w:val="00C64CFB"/>
    <w:rsid w:val="00C66441"/>
    <w:rsid w:val="00C67B25"/>
    <w:rsid w:val="00C748F7"/>
    <w:rsid w:val="00C74937"/>
    <w:rsid w:val="00C80143"/>
    <w:rsid w:val="00C814F7"/>
    <w:rsid w:val="00C86004"/>
    <w:rsid w:val="00C97757"/>
    <w:rsid w:val="00CA4538"/>
    <w:rsid w:val="00CA5C1F"/>
    <w:rsid w:val="00CA5FC7"/>
    <w:rsid w:val="00CB2599"/>
    <w:rsid w:val="00CC343A"/>
    <w:rsid w:val="00CC386F"/>
    <w:rsid w:val="00CC744A"/>
    <w:rsid w:val="00CD2139"/>
    <w:rsid w:val="00CD2284"/>
    <w:rsid w:val="00CE00E2"/>
    <w:rsid w:val="00CE5986"/>
    <w:rsid w:val="00CE6AC9"/>
    <w:rsid w:val="00D10A47"/>
    <w:rsid w:val="00D24F7F"/>
    <w:rsid w:val="00D26477"/>
    <w:rsid w:val="00D3521B"/>
    <w:rsid w:val="00D37335"/>
    <w:rsid w:val="00D51154"/>
    <w:rsid w:val="00D56CC3"/>
    <w:rsid w:val="00D62533"/>
    <w:rsid w:val="00D647EF"/>
    <w:rsid w:val="00D73137"/>
    <w:rsid w:val="00D77A2C"/>
    <w:rsid w:val="00D8022D"/>
    <w:rsid w:val="00D83DD5"/>
    <w:rsid w:val="00D94325"/>
    <w:rsid w:val="00D977A2"/>
    <w:rsid w:val="00DA1D47"/>
    <w:rsid w:val="00DA351B"/>
    <w:rsid w:val="00DA4466"/>
    <w:rsid w:val="00DB0706"/>
    <w:rsid w:val="00DB7B14"/>
    <w:rsid w:val="00DC2B69"/>
    <w:rsid w:val="00DC5278"/>
    <w:rsid w:val="00DD33B2"/>
    <w:rsid w:val="00DD50DE"/>
    <w:rsid w:val="00DE1204"/>
    <w:rsid w:val="00DE3062"/>
    <w:rsid w:val="00DF123C"/>
    <w:rsid w:val="00DF4500"/>
    <w:rsid w:val="00DF647E"/>
    <w:rsid w:val="00DF7D3F"/>
    <w:rsid w:val="00E0581D"/>
    <w:rsid w:val="00E100E3"/>
    <w:rsid w:val="00E10F66"/>
    <w:rsid w:val="00E1590B"/>
    <w:rsid w:val="00E204DD"/>
    <w:rsid w:val="00E228B7"/>
    <w:rsid w:val="00E257CC"/>
    <w:rsid w:val="00E27D88"/>
    <w:rsid w:val="00E353EC"/>
    <w:rsid w:val="00E43D60"/>
    <w:rsid w:val="00E47179"/>
    <w:rsid w:val="00E51F61"/>
    <w:rsid w:val="00E53C24"/>
    <w:rsid w:val="00E56E77"/>
    <w:rsid w:val="00E745E8"/>
    <w:rsid w:val="00E93AC1"/>
    <w:rsid w:val="00EA0BE7"/>
    <w:rsid w:val="00EB042F"/>
    <w:rsid w:val="00EB3123"/>
    <w:rsid w:val="00EB444D"/>
    <w:rsid w:val="00EC6E11"/>
    <w:rsid w:val="00ED1B45"/>
    <w:rsid w:val="00EE093B"/>
    <w:rsid w:val="00EE10FB"/>
    <w:rsid w:val="00EE1A06"/>
    <w:rsid w:val="00EE5C0D"/>
    <w:rsid w:val="00EE729B"/>
    <w:rsid w:val="00EF46A2"/>
    <w:rsid w:val="00EF4792"/>
    <w:rsid w:val="00EF76DC"/>
    <w:rsid w:val="00F020C5"/>
    <w:rsid w:val="00F02294"/>
    <w:rsid w:val="00F30DE7"/>
    <w:rsid w:val="00F35F57"/>
    <w:rsid w:val="00F37658"/>
    <w:rsid w:val="00F50467"/>
    <w:rsid w:val="00F5369B"/>
    <w:rsid w:val="00F562A0"/>
    <w:rsid w:val="00F57FA4"/>
    <w:rsid w:val="00F64B04"/>
    <w:rsid w:val="00F65B91"/>
    <w:rsid w:val="00F73EF5"/>
    <w:rsid w:val="00F91FF0"/>
    <w:rsid w:val="00F94D30"/>
    <w:rsid w:val="00F9547A"/>
    <w:rsid w:val="00FA02CB"/>
    <w:rsid w:val="00FA2177"/>
    <w:rsid w:val="00FB0783"/>
    <w:rsid w:val="00FB2DDA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rsid w:val="00DF647E"/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30530-TD-GEN-0265" TargetMode="External"/><Relationship Id="rId21" Type="http://schemas.openxmlformats.org/officeDocument/2006/relationships/hyperlink" Target="https://www.itu.int/md/T22-TSAG-R-0001/en" TargetMode="External"/><Relationship Id="rId42" Type="http://schemas.openxmlformats.org/officeDocument/2006/relationships/hyperlink" Target="https://www.itu.int/md/T22-TSAG-230530-TD-GEN-0206" TargetMode="External"/><Relationship Id="rId47" Type="http://schemas.openxmlformats.org/officeDocument/2006/relationships/hyperlink" Target="https://www.itu.int/md/T22-TSAG-230530-TD-GEN-0226" TargetMode="External"/><Relationship Id="rId63" Type="http://schemas.openxmlformats.org/officeDocument/2006/relationships/hyperlink" Target="https://www.itu.int/md/T22-TSAG-230530-TD-GEN-0238" TargetMode="External"/><Relationship Id="rId68" Type="http://schemas.openxmlformats.org/officeDocument/2006/relationships/hyperlink" Target="https://www.itu.int/md/T22-TSAG-230530-TD-GEN-0292/en" TargetMode="External"/><Relationship Id="rId84" Type="http://schemas.openxmlformats.org/officeDocument/2006/relationships/hyperlink" Target="https://www.itu.int/md/T22-TSAG-230530-TD-GEN-0237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www.itu.int/md/T22-TSAG-230530-TD-GEN-0277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230530-TD-GEN-0234" TargetMode="External"/><Relationship Id="rId37" Type="http://schemas.openxmlformats.org/officeDocument/2006/relationships/hyperlink" Target="https://www.itu.int/md/T22-TSAG-230530-TD-GEN-0201" TargetMode="External"/><Relationship Id="rId53" Type="http://schemas.openxmlformats.org/officeDocument/2006/relationships/hyperlink" Target="https://www.itu.int/md/T22-TSAG-230530-TD-GEN-0186/en" TargetMode="External"/><Relationship Id="rId58" Type="http://schemas.openxmlformats.org/officeDocument/2006/relationships/hyperlink" Target="https://www.itu.int/md/T22-TSAG-R-0001/en" TargetMode="External"/><Relationship Id="rId74" Type="http://schemas.openxmlformats.org/officeDocument/2006/relationships/hyperlink" Target="https://www.itu.int/md/T22-TSAG-230530-TD-GEN-0203" TargetMode="External"/><Relationship Id="rId79" Type="http://schemas.openxmlformats.org/officeDocument/2006/relationships/hyperlink" Target="https://www.itu.int/md/T22-TSAG-230530-TD-GEN-0212" TargetMode="External"/><Relationship Id="rId5" Type="http://schemas.openxmlformats.org/officeDocument/2006/relationships/numbering" Target="numbering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hyperlink" Target="https://www.itu.int/md/T22-TSAG-230530-TD-GEN-0278/en" TargetMode="External"/><Relationship Id="rId27" Type="http://schemas.openxmlformats.org/officeDocument/2006/relationships/hyperlink" Target="https://www.itu.int/md/T22-TSAG-230530-TD-GEN-0214" TargetMode="External"/><Relationship Id="rId43" Type="http://schemas.openxmlformats.org/officeDocument/2006/relationships/hyperlink" Target="https://www.itu.int/md/T22-TSAG-230530-TD-GEN-0207" TargetMode="External"/><Relationship Id="rId48" Type="http://schemas.openxmlformats.org/officeDocument/2006/relationships/hyperlink" Target="https://www.itu.int/md/T22-TSAG-230530-TD-GEN-0244" TargetMode="External"/><Relationship Id="rId64" Type="http://schemas.openxmlformats.org/officeDocument/2006/relationships/hyperlink" Target="https://www.itu.int/md/T22-TSAG-230530-TD-GEN-0271" TargetMode="External"/><Relationship Id="rId69" Type="http://schemas.openxmlformats.org/officeDocument/2006/relationships/hyperlink" Target="https://www.itu.int/md/T22-TSAG-230530-TD-GEN-0279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30530-TD-GEN-0268" TargetMode="External"/><Relationship Id="rId72" Type="http://schemas.openxmlformats.org/officeDocument/2006/relationships/hyperlink" Target="https://www.itu.int/md/T22-TSAG-230530-TD-GEN-0201" TargetMode="External"/><Relationship Id="rId80" Type="http://schemas.openxmlformats.org/officeDocument/2006/relationships/hyperlink" Target="https://www.itu.int/md/T22-TSAG-230530-TD-GEN-0226" TargetMode="External"/><Relationship Id="rId85" Type="http://schemas.openxmlformats.org/officeDocument/2006/relationships/hyperlink" Target="https://www.itu.int/md/T22-TSAG-230530-TD-GEN-0259" TargetMode="External"/><Relationship Id="rId93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mailto:gratta@ntia.gov" TargetMode="External"/><Relationship Id="rId17" Type="http://schemas.openxmlformats.org/officeDocument/2006/relationships/hyperlink" Target="https://www.itu.int/md/T22-TSAG-230530-TD-GEN-0292/en" TargetMode="External"/><Relationship Id="rId25" Type="http://schemas.openxmlformats.org/officeDocument/2006/relationships/hyperlink" Target="https://www.itu.int/md/T22-TSAG-230530-TD-GEN-0214" TargetMode="External"/><Relationship Id="rId33" Type="http://schemas.openxmlformats.org/officeDocument/2006/relationships/hyperlink" Target="https://www.itu.int/md/T22-TSAG-230530-TD-GEN-0277/en" TargetMode="External"/><Relationship Id="rId38" Type="http://schemas.openxmlformats.org/officeDocument/2006/relationships/hyperlink" Target="https://www.itu.int/md/T22-TSAG-230530-TD-GEN-0202" TargetMode="External"/><Relationship Id="rId46" Type="http://schemas.openxmlformats.org/officeDocument/2006/relationships/hyperlink" Target="https://www.itu.int/md/T22-TSAG-230530-TD-GEN-0212" TargetMode="External"/><Relationship Id="rId59" Type="http://schemas.openxmlformats.org/officeDocument/2006/relationships/hyperlink" Target="https://www.itu.int/md/T22-TSAG-230530-TD-GEN-0278/en" TargetMode="External"/><Relationship Id="rId67" Type="http://schemas.openxmlformats.org/officeDocument/2006/relationships/hyperlink" Target="https://www.itu.int/md/T22-TSAG-230530-TD-GEN-0277/en" TargetMode="External"/><Relationship Id="rId20" Type="http://schemas.openxmlformats.org/officeDocument/2006/relationships/hyperlink" Target="https://www.itu.int/md/T22-TSAG-230530-TD-GEN-0185/en" TargetMode="External"/><Relationship Id="rId41" Type="http://schemas.openxmlformats.org/officeDocument/2006/relationships/hyperlink" Target="https://www.itu.int/md/T22-TSAG-230530-TD-GEN-0205" TargetMode="External"/><Relationship Id="rId54" Type="http://schemas.openxmlformats.org/officeDocument/2006/relationships/hyperlink" Target="https://www.itu.int/md/T22-TSAG-R-0001/en" TargetMode="External"/><Relationship Id="rId62" Type="http://schemas.openxmlformats.org/officeDocument/2006/relationships/hyperlink" Target="https://www.itu.int/md/T22-TSAG-230530-TD-GEN-0265" TargetMode="External"/><Relationship Id="rId70" Type="http://schemas.openxmlformats.org/officeDocument/2006/relationships/hyperlink" Target="https://www.itu.int/md/T22-TSAG-230530-TD-GEN-0199" TargetMode="External"/><Relationship Id="rId75" Type="http://schemas.openxmlformats.org/officeDocument/2006/relationships/hyperlink" Target="https://www.itu.int/md/T22-TSAG-230530-TD-GEN-0204" TargetMode="External"/><Relationship Id="rId83" Type="http://schemas.openxmlformats.org/officeDocument/2006/relationships/hyperlink" Target="https://www.itu.int/md/T22-TSAG-230530-TD-GEN-0253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30530-TD-GEN-0234" TargetMode="External"/><Relationship Id="rId23" Type="http://schemas.openxmlformats.org/officeDocument/2006/relationships/hyperlink" Target="https://www.itu.int/md/T22-TSAG-221212-TD-GEN-0152/en" TargetMode="External"/><Relationship Id="rId28" Type="http://schemas.openxmlformats.org/officeDocument/2006/relationships/hyperlink" Target="https://www.itu.int/md/T22-TSAG-230530-TD-GEN-0214" TargetMode="External"/><Relationship Id="rId36" Type="http://schemas.openxmlformats.org/officeDocument/2006/relationships/hyperlink" Target="https://www.itu.int/md/T22-TSAG-230530-TD-GEN-0200" TargetMode="External"/><Relationship Id="rId49" Type="http://schemas.openxmlformats.org/officeDocument/2006/relationships/hyperlink" Target="https://www.itu.int/md/T22-TSAG-230530-TD-GEN-0252" TargetMode="External"/><Relationship Id="rId57" Type="http://schemas.openxmlformats.org/officeDocument/2006/relationships/hyperlink" Target="https://www.itu.int/md/T22-TSAG-230530-TD-GEN-0228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277/en" TargetMode="External"/><Relationship Id="rId44" Type="http://schemas.openxmlformats.org/officeDocument/2006/relationships/hyperlink" Target="https://www.itu.int/md/T22-TSAG-230530-TD-GEN-0259" TargetMode="External"/><Relationship Id="rId52" Type="http://schemas.openxmlformats.org/officeDocument/2006/relationships/hyperlink" Target="https://www.itu.int/md/T22-TSAG-230530-TD-GEN-0269" TargetMode="External"/><Relationship Id="rId60" Type="http://schemas.openxmlformats.org/officeDocument/2006/relationships/hyperlink" Target="https://www.itu.int/md/T22-TSAG-230530-TD-GEN-0234" TargetMode="External"/><Relationship Id="rId65" Type="http://schemas.openxmlformats.org/officeDocument/2006/relationships/hyperlink" Target="https://www.itu.int/md/T22-TSAG-C-0030" TargetMode="External"/><Relationship Id="rId73" Type="http://schemas.openxmlformats.org/officeDocument/2006/relationships/hyperlink" Target="https://www.itu.int/md/T22-TSAG-230530-TD-GEN-0202" TargetMode="External"/><Relationship Id="rId78" Type="http://schemas.openxmlformats.org/officeDocument/2006/relationships/hyperlink" Target="https://www.itu.int/md/T22-TSAG-230530-TD-GEN-0207" TargetMode="External"/><Relationship Id="rId81" Type="http://schemas.openxmlformats.org/officeDocument/2006/relationships/hyperlink" Target="https://www.itu.int/md/T22-TSAG-230530-TD-GEN-0244" TargetMode="External"/><Relationship Id="rId86" Type="http://schemas.openxmlformats.org/officeDocument/2006/relationships/hyperlink" Target="https://www.itu.int/md/T22-TSAG-230530-TD-GEN-0268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30530-TD-GEN-0186/en" TargetMode="External"/><Relationship Id="rId18" Type="http://schemas.openxmlformats.org/officeDocument/2006/relationships/hyperlink" Target="https://www.itu.int/md/T22-TSAG-230530-TD-GEN-0186/en" TargetMode="External"/><Relationship Id="rId39" Type="http://schemas.openxmlformats.org/officeDocument/2006/relationships/hyperlink" Target="https://www.itu.int/md/T22-TSAG-230530-TD-GEN-0203" TargetMode="External"/><Relationship Id="rId34" Type="http://schemas.openxmlformats.org/officeDocument/2006/relationships/hyperlink" Target="https://www.itu.int/md/T22-TSAG-230530-TD-GEN-0292/en" TargetMode="External"/><Relationship Id="rId50" Type="http://schemas.openxmlformats.org/officeDocument/2006/relationships/hyperlink" Target="https://www.itu.int/md/T22-TSAG-230530-TD-GEN-0253" TargetMode="External"/><Relationship Id="rId55" Type="http://schemas.openxmlformats.org/officeDocument/2006/relationships/hyperlink" Target="https://www.itu.int/md/T22-TSAG-230530-TD-GEN-0278/en" TargetMode="External"/><Relationship Id="rId76" Type="http://schemas.openxmlformats.org/officeDocument/2006/relationships/hyperlink" Target="https://www.itu.int/md/T22-TSAG-230530-TD-GEN-0205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30530-TD-GEN-0200" TargetMode="External"/><Relationship Id="rId92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30530-TD-GEN-0234" TargetMode="External"/><Relationship Id="rId24" Type="http://schemas.openxmlformats.org/officeDocument/2006/relationships/hyperlink" Target="https://www.itu.int/md/T22-TSAG-C-0033/en" TargetMode="External"/><Relationship Id="rId40" Type="http://schemas.openxmlformats.org/officeDocument/2006/relationships/hyperlink" Target="https://www.itu.int/md/T22-TSAG-230530-TD-GEN-0204" TargetMode="External"/><Relationship Id="rId45" Type="http://schemas.openxmlformats.org/officeDocument/2006/relationships/hyperlink" Target="https://www.itu.int/md/T22-TSAG-230530-TD-GEN-0237" TargetMode="External"/><Relationship Id="rId66" Type="http://schemas.openxmlformats.org/officeDocument/2006/relationships/hyperlink" Target="https://www.itu.int/md/T22-TSAG-C-0033" TargetMode="External"/><Relationship Id="rId87" Type="http://schemas.openxmlformats.org/officeDocument/2006/relationships/hyperlink" Target="https://www.itu.int/md/T22-TSAG-230530-TD-GEN-0269" TargetMode="External"/><Relationship Id="rId61" Type="http://schemas.openxmlformats.org/officeDocument/2006/relationships/hyperlink" Target="https://www.itu.int/md/T22-TSAG-230530-TD-GEN-0214" TargetMode="External"/><Relationship Id="rId82" Type="http://schemas.openxmlformats.org/officeDocument/2006/relationships/hyperlink" Target="https://www.itu.int/md/T22-TSAG-230530-TD-GEN-0252" TargetMode="External"/><Relationship Id="rId19" Type="http://schemas.openxmlformats.org/officeDocument/2006/relationships/hyperlink" Target="https://www.itu.int/md/T22-TSAG-230530-TD-GEN-0186/en" TargetMode="External"/><Relationship Id="rId14" Type="http://schemas.openxmlformats.org/officeDocument/2006/relationships/hyperlink" Target="https://www.itu.int/md/T22-TSAG-230530-TD-GEN-0214" TargetMode="External"/><Relationship Id="rId30" Type="http://schemas.openxmlformats.org/officeDocument/2006/relationships/hyperlink" Target="https://www.itu.int/md/T22-TSAG-230530-TD-GEN-0234" TargetMode="External"/><Relationship Id="rId35" Type="http://schemas.openxmlformats.org/officeDocument/2006/relationships/hyperlink" Target="https://www.itu.int/md/T22-TSAG-230530-TD-GEN-0199" TargetMode="External"/><Relationship Id="rId56" Type="http://schemas.openxmlformats.org/officeDocument/2006/relationships/hyperlink" Target="https://www.itu.int/md/T22-TSAG-230530-TD-GEN-0185/en" TargetMode="External"/><Relationship Id="rId77" Type="http://schemas.openxmlformats.org/officeDocument/2006/relationships/hyperlink" Target="https://www.itu.int/md/T22-TSAG-230530-TD-GEN-0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2697</Words>
  <Characters>15376</Characters>
  <Application>Microsoft Office Word</Application>
  <DocSecurity>4</DocSecurity>
  <Lines>128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2</cp:revision>
  <cp:lastPrinted>2016-12-23T12:52:00Z</cp:lastPrinted>
  <dcterms:created xsi:type="dcterms:W3CDTF">2023-06-01T17:15:00Z</dcterms:created>
  <dcterms:modified xsi:type="dcterms:W3CDTF">2023-06-01T17:15:00Z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