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12"/>
        <w:gridCol w:w="43"/>
        <w:gridCol w:w="618"/>
        <w:gridCol w:w="3251"/>
        <w:gridCol w:w="157"/>
        <w:gridCol w:w="4026"/>
      </w:tblGrid>
      <w:tr w:rsidR="00EF6D76" w:rsidRPr="00EF6D76" w14:paraId="7EE9F62D" w14:textId="77777777" w:rsidTr="00EF6D76">
        <w:trPr>
          <w:cantSplit/>
        </w:trPr>
        <w:tc>
          <w:tcPr>
            <w:tcW w:w="1132" w:type="dxa"/>
            <w:vMerge w:val="restart"/>
            <w:vAlign w:val="center"/>
          </w:tcPr>
          <w:p w14:paraId="3CDB6734" w14:textId="77777777" w:rsidR="00EF6D76" w:rsidRPr="00EF6D76" w:rsidRDefault="00EF6D76" w:rsidP="00EF6D76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EF6D76">
              <w:rPr>
                <w:noProof/>
              </w:rPr>
              <w:drawing>
                <wp:inline distT="0" distB="0" distL="0" distR="0" wp14:anchorId="6D85A829" wp14:editId="3B913005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481319D8" w14:textId="77777777" w:rsidR="00EF6D76" w:rsidRPr="00EF6D76" w:rsidRDefault="00EF6D76" w:rsidP="00EF6D76">
            <w:pPr>
              <w:rPr>
                <w:sz w:val="16"/>
                <w:szCs w:val="16"/>
              </w:rPr>
            </w:pPr>
            <w:r w:rsidRPr="00EF6D76">
              <w:rPr>
                <w:sz w:val="16"/>
                <w:szCs w:val="16"/>
              </w:rPr>
              <w:t>INTERNATIONAL TELECOMMUNICATION UNION</w:t>
            </w:r>
          </w:p>
          <w:p w14:paraId="1FD35926" w14:textId="77777777" w:rsidR="00EF6D76" w:rsidRPr="00EF6D76" w:rsidRDefault="00EF6D76" w:rsidP="00EF6D76">
            <w:pPr>
              <w:rPr>
                <w:b/>
                <w:bCs/>
                <w:sz w:val="26"/>
                <w:szCs w:val="26"/>
              </w:rPr>
            </w:pPr>
            <w:r w:rsidRPr="00EF6D76">
              <w:rPr>
                <w:b/>
                <w:bCs/>
                <w:sz w:val="26"/>
                <w:szCs w:val="26"/>
              </w:rPr>
              <w:t>TELECOMMUNICATION</w:t>
            </w:r>
            <w:r w:rsidRPr="00EF6D76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A0FCCF1" w14:textId="77777777" w:rsidR="00EF6D76" w:rsidRPr="00EF6D76" w:rsidRDefault="00EF6D76" w:rsidP="00EF6D76">
            <w:pPr>
              <w:rPr>
                <w:sz w:val="20"/>
                <w:szCs w:val="20"/>
              </w:rPr>
            </w:pPr>
            <w:r w:rsidRPr="00EF6D76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EF6D76">
              <w:rPr>
                <w:sz w:val="20"/>
              </w:rPr>
              <w:t>2022</w:t>
            </w:r>
            <w:r w:rsidRPr="00EF6D76">
              <w:rPr>
                <w:sz w:val="20"/>
                <w:szCs w:val="20"/>
              </w:rPr>
              <w:t>-</w:t>
            </w:r>
            <w:r w:rsidRPr="00EF6D76">
              <w:rPr>
                <w:sz w:val="20"/>
              </w:rPr>
              <w:t>2024</w:t>
            </w:r>
            <w:bookmarkEnd w:id="2"/>
          </w:p>
        </w:tc>
        <w:tc>
          <w:tcPr>
            <w:tcW w:w="4026" w:type="dxa"/>
            <w:vAlign w:val="center"/>
          </w:tcPr>
          <w:p w14:paraId="1B35EDA1" w14:textId="409EC6DF" w:rsidR="00EF6D76" w:rsidRPr="00EF6D76" w:rsidRDefault="00EF6D76" w:rsidP="00EF6D76">
            <w:pPr>
              <w:pStyle w:val="Docnumber"/>
            </w:pPr>
            <w:r>
              <w:t>TSAG-TD165</w:t>
            </w:r>
          </w:p>
        </w:tc>
      </w:tr>
      <w:tr w:rsidR="00EF6D76" w:rsidRPr="00EF6D76" w14:paraId="3B96E980" w14:textId="77777777" w:rsidTr="00EF6D76">
        <w:trPr>
          <w:cantSplit/>
        </w:trPr>
        <w:tc>
          <w:tcPr>
            <w:tcW w:w="1132" w:type="dxa"/>
            <w:vMerge/>
          </w:tcPr>
          <w:p w14:paraId="7096217E" w14:textId="77777777" w:rsidR="00EF6D76" w:rsidRPr="00EF6D76" w:rsidRDefault="00EF6D76" w:rsidP="00EF6D76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5"/>
            <w:vMerge/>
          </w:tcPr>
          <w:p w14:paraId="4A8FD66F" w14:textId="77777777" w:rsidR="00EF6D76" w:rsidRPr="00EF6D76" w:rsidRDefault="00EF6D76" w:rsidP="00EF6D76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0B223D50" w14:textId="6116BEB3" w:rsidR="00EF6D76" w:rsidRPr="00EF6D76" w:rsidRDefault="00EF6D76" w:rsidP="00EF6D76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EF6D76" w:rsidRPr="00EF6D76" w14:paraId="62159FF5" w14:textId="77777777" w:rsidTr="00EF6D76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27889943" w14:textId="77777777" w:rsidR="00EF6D76" w:rsidRPr="00EF6D76" w:rsidRDefault="00EF6D76" w:rsidP="00EF6D76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3E6C56F0" w14:textId="77777777" w:rsidR="00EF6D76" w:rsidRPr="00EF6D76" w:rsidRDefault="00EF6D76" w:rsidP="00EF6D76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5D50067C" w14:textId="77777777" w:rsidR="00EF6D76" w:rsidRPr="00EF6D76" w:rsidRDefault="00EF6D76" w:rsidP="00EF6D76">
            <w:pPr>
              <w:pStyle w:val="TSBHeaderRight14"/>
            </w:pPr>
            <w:r w:rsidRPr="00EF6D76">
              <w:t>Original: English</w:t>
            </w:r>
          </w:p>
        </w:tc>
      </w:tr>
      <w:tr w:rsidR="00EF6D76" w:rsidRPr="00EF6D76" w14:paraId="4BC0F6F7" w14:textId="77777777" w:rsidTr="00EF6D76">
        <w:trPr>
          <w:cantSplit/>
        </w:trPr>
        <w:tc>
          <w:tcPr>
            <w:tcW w:w="1587" w:type="dxa"/>
            <w:gridSpan w:val="3"/>
          </w:tcPr>
          <w:p w14:paraId="72A65CD5" w14:textId="77777777" w:rsidR="00EF6D76" w:rsidRPr="00EF6D76" w:rsidRDefault="00EF6D76" w:rsidP="00EF6D76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EF6D76">
              <w:rPr>
                <w:b/>
                <w:bCs/>
              </w:rPr>
              <w:t>Question(s):</w:t>
            </w:r>
          </w:p>
        </w:tc>
        <w:tc>
          <w:tcPr>
            <w:tcW w:w="4026" w:type="dxa"/>
            <w:gridSpan w:val="3"/>
          </w:tcPr>
          <w:p w14:paraId="7344479E" w14:textId="26403DCB" w:rsidR="00EF6D76" w:rsidRPr="00EF6D76" w:rsidRDefault="00EF6D76" w:rsidP="00EF6D76">
            <w:pPr>
              <w:pStyle w:val="TSBHeaderQuestion"/>
            </w:pPr>
            <w:r w:rsidRPr="00EF6D76">
              <w:t>RG-WPR</w:t>
            </w:r>
          </w:p>
        </w:tc>
        <w:tc>
          <w:tcPr>
            <w:tcW w:w="4026" w:type="dxa"/>
          </w:tcPr>
          <w:p w14:paraId="1D7C7C80" w14:textId="098F53FD" w:rsidR="00EF6D76" w:rsidRPr="00EF6D76" w:rsidRDefault="00EF6D76" w:rsidP="00EF6D76">
            <w:pPr>
              <w:pStyle w:val="VenueDate"/>
            </w:pPr>
            <w:r w:rsidRPr="00EF6D76">
              <w:t>Geneva, 12-16 December 2022</w:t>
            </w:r>
          </w:p>
        </w:tc>
      </w:tr>
      <w:tr w:rsidR="00EF6D76" w:rsidRPr="00EF6D76" w14:paraId="60889B0A" w14:textId="77777777" w:rsidTr="005F7827">
        <w:trPr>
          <w:cantSplit/>
        </w:trPr>
        <w:tc>
          <w:tcPr>
            <w:tcW w:w="9639" w:type="dxa"/>
            <w:gridSpan w:val="7"/>
          </w:tcPr>
          <w:p w14:paraId="44CF51F9" w14:textId="2F2E5C8D" w:rsidR="00EF6D76" w:rsidRPr="00EF6D76" w:rsidRDefault="00EF6D76" w:rsidP="00EF6D76">
            <w:pPr>
              <w:jc w:val="center"/>
              <w:rPr>
                <w:b/>
                <w:bCs/>
              </w:rPr>
            </w:pPr>
            <w:bookmarkStart w:id="6" w:name="ddoctype"/>
            <w:bookmarkEnd w:id="4"/>
            <w:bookmarkEnd w:id="5"/>
            <w:r w:rsidRPr="00EF6D76">
              <w:rPr>
                <w:b/>
                <w:bCs/>
              </w:rPr>
              <w:t>TD</w:t>
            </w:r>
          </w:p>
        </w:tc>
      </w:tr>
      <w:tr w:rsidR="00EF6D76" w:rsidRPr="00EF6D76" w14:paraId="57973A4C" w14:textId="77777777" w:rsidTr="00EF6D76">
        <w:trPr>
          <w:cantSplit/>
        </w:trPr>
        <w:tc>
          <w:tcPr>
            <w:tcW w:w="1587" w:type="dxa"/>
            <w:gridSpan w:val="3"/>
          </w:tcPr>
          <w:p w14:paraId="73B0C9D0" w14:textId="77777777" w:rsidR="00EF6D76" w:rsidRPr="00EF6D76" w:rsidRDefault="00EF6D76" w:rsidP="00EF6D76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EF6D76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4"/>
          </w:tcPr>
          <w:p w14:paraId="603B2214" w14:textId="5A95D013" w:rsidR="00EF6D76" w:rsidRPr="00EF6D76" w:rsidRDefault="00EF6D76" w:rsidP="00EF6D76">
            <w:pPr>
              <w:pStyle w:val="TSBHeaderSource"/>
            </w:pPr>
            <w:r w:rsidRPr="00EF6D76">
              <w:t>Telecommunication Standardization Advisory Group</w:t>
            </w:r>
          </w:p>
        </w:tc>
      </w:tr>
      <w:tr w:rsidR="00EF6D76" w:rsidRPr="00EF6D76" w14:paraId="4BED6698" w14:textId="77777777" w:rsidTr="00EF6D76">
        <w:trPr>
          <w:cantSplit/>
        </w:trPr>
        <w:tc>
          <w:tcPr>
            <w:tcW w:w="1587" w:type="dxa"/>
            <w:gridSpan w:val="3"/>
            <w:tcBorders>
              <w:bottom w:val="single" w:sz="8" w:space="0" w:color="auto"/>
            </w:tcBorders>
          </w:tcPr>
          <w:p w14:paraId="5FA45810" w14:textId="77777777" w:rsidR="00EF6D76" w:rsidRPr="00EF6D76" w:rsidRDefault="00EF6D76" w:rsidP="00EF6D76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EF6D76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4"/>
            <w:tcBorders>
              <w:bottom w:val="single" w:sz="8" w:space="0" w:color="auto"/>
            </w:tcBorders>
          </w:tcPr>
          <w:p w14:paraId="3ED35194" w14:textId="405C4776" w:rsidR="00EF6D76" w:rsidRPr="00EF6D76" w:rsidRDefault="00EF6D76" w:rsidP="00EF6D76">
            <w:pPr>
              <w:pStyle w:val="TSBHeaderTitle"/>
            </w:pPr>
            <w:r w:rsidRPr="00EF6D76">
              <w:t>LS on a progress report on the analysis of ITU-T study group restructuring</w:t>
            </w:r>
          </w:p>
        </w:tc>
      </w:tr>
      <w:bookmarkEnd w:id="1"/>
      <w:bookmarkEnd w:id="8"/>
      <w:tr w:rsidR="00CD6848" w14:paraId="3F865ECE" w14:textId="77777777" w:rsidTr="009F2C64"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63CCB69C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5F69F31" w14:textId="77777777" w:rsidTr="009F2C64">
        <w:trPr>
          <w:cantSplit/>
          <w:trHeight w:val="357"/>
        </w:trPr>
        <w:tc>
          <w:tcPr>
            <w:tcW w:w="2205" w:type="dxa"/>
            <w:gridSpan w:val="4"/>
          </w:tcPr>
          <w:p w14:paraId="20EFE067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434" w:type="dxa"/>
            <w:gridSpan w:val="3"/>
          </w:tcPr>
          <w:p w14:paraId="2D80818C" w14:textId="3DD720F8" w:rsidR="00CD6848" w:rsidRDefault="0005700C" w:rsidP="00F05E8B">
            <w:pPr>
              <w:pStyle w:val="LSForAction"/>
            </w:pPr>
            <w:r>
              <w:t>ITU-T Study Groups</w:t>
            </w:r>
          </w:p>
        </w:tc>
      </w:tr>
      <w:tr w:rsidR="00CD6848" w14:paraId="4ABA2A03" w14:textId="77777777" w:rsidTr="009F2C64">
        <w:trPr>
          <w:cantSplit/>
          <w:trHeight w:val="357"/>
        </w:trPr>
        <w:tc>
          <w:tcPr>
            <w:tcW w:w="2205" w:type="dxa"/>
            <w:gridSpan w:val="4"/>
          </w:tcPr>
          <w:p w14:paraId="5145F1A4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434" w:type="dxa"/>
            <w:gridSpan w:val="3"/>
          </w:tcPr>
          <w:p w14:paraId="03540E6D" w14:textId="0C79F741" w:rsidR="00CD6848" w:rsidRDefault="009B68B2" w:rsidP="00F05E8B">
            <w:pPr>
              <w:pStyle w:val="LSForInfo"/>
            </w:pPr>
            <w:r>
              <w:t>-</w:t>
            </w:r>
          </w:p>
        </w:tc>
      </w:tr>
      <w:tr w:rsidR="00CD6848" w14:paraId="19B7E4E0" w14:textId="77777777" w:rsidTr="009F2C64">
        <w:trPr>
          <w:cantSplit/>
          <w:trHeight w:val="357"/>
        </w:trPr>
        <w:tc>
          <w:tcPr>
            <w:tcW w:w="2205" w:type="dxa"/>
            <w:gridSpan w:val="4"/>
          </w:tcPr>
          <w:p w14:paraId="62EA9AB1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34" w:type="dxa"/>
            <w:gridSpan w:val="3"/>
          </w:tcPr>
          <w:p w14:paraId="5D3D74D5" w14:textId="7DD4EE20" w:rsidR="00CD6848" w:rsidRPr="003869CD" w:rsidRDefault="0005700C" w:rsidP="00695FC2">
            <w:pPr>
              <w:pStyle w:val="LSApproval"/>
            </w:pPr>
            <w:r>
              <w:t>TSAG</w:t>
            </w:r>
            <w:r w:rsidR="00CF39E0">
              <w:t xml:space="preserve"> (16 December 2022)</w:t>
            </w:r>
          </w:p>
        </w:tc>
      </w:tr>
      <w:tr w:rsidR="00CD6848" w14:paraId="1ED65DF0" w14:textId="77777777" w:rsidTr="009F2C64">
        <w:trPr>
          <w:cantSplit/>
          <w:trHeight w:val="357"/>
        </w:trPr>
        <w:tc>
          <w:tcPr>
            <w:tcW w:w="2205" w:type="dxa"/>
            <w:gridSpan w:val="4"/>
            <w:tcBorders>
              <w:bottom w:val="single" w:sz="12" w:space="0" w:color="auto"/>
            </w:tcBorders>
          </w:tcPr>
          <w:p w14:paraId="3ED42284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34" w:type="dxa"/>
            <w:gridSpan w:val="3"/>
            <w:tcBorders>
              <w:bottom w:val="single" w:sz="12" w:space="0" w:color="auto"/>
            </w:tcBorders>
          </w:tcPr>
          <w:p w14:paraId="6B3D042F" w14:textId="79A9A390" w:rsidR="00CD6848" w:rsidRDefault="009B68B2" w:rsidP="00F05E8B">
            <w:pPr>
              <w:pStyle w:val="LSDeadline"/>
            </w:pPr>
            <w:r>
              <w:t>N/A</w:t>
            </w:r>
          </w:p>
        </w:tc>
      </w:tr>
      <w:tr w:rsidR="00040B68" w:rsidRPr="00EF6D76" w14:paraId="500A09DD" w14:textId="77777777" w:rsidTr="009F2C64">
        <w:trPr>
          <w:cantSplit/>
        </w:trPr>
        <w:tc>
          <w:tcPr>
            <w:tcW w:w="154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0DE722B" w14:textId="77777777" w:rsidR="00040B68" w:rsidRPr="00136DDD" w:rsidRDefault="00040B68" w:rsidP="00040B68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912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0CE9505" w14:textId="7A132CA0" w:rsidR="00040B68" w:rsidRPr="00AF5A57" w:rsidRDefault="00040B68" w:rsidP="00040B68">
            <w:r w:rsidRPr="00B13E29">
              <w:t>Greg Ratta</w:t>
            </w:r>
            <w:r w:rsidR="004811FA">
              <w:t xml:space="preserve">, </w:t>
            </w:r>
            <w:r w:rsidR="000F4A4F" w:rsidRPr="000F4A4F">
              <w:t>Associate Rapporteur on restructuring, RG-WPR</w:t>
            </w:r>
            <w:r w:rsidRPr="00B13E29">
              <w:br/>
              <w:t>National Telecommunications and Information Administration</w:t>
            </w:r>
            <w:r w:rsidRPr="00B13E29">
              <w:br/>
              <w:t>United States of America</w:t>
            </w:r>
          </w:p>
        </w:tc>
        <w:tc>
          <w:tcPr>
            <w:tcW w:w="418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379989" w14:textId="6342F5B3" w:rsidR="00040B68" w:rsidRPr="00EF6D76" w:rsidRDefault="00040B68" w:rsidP="00040B68">
            <w:pPr>
              <w:tabs>
                <w:tab w:val="left" w:pos="794"/>
              </w:tabs>
              <w:rPr>
                <w:lang w:val="de-DE"/>
              </w:rPr>
            </w:pPr>
            <w:r w:rsidRPr="001133EE">
              <w:rPr>
                <w:lang w:val="de-DE"/>
              </w:rPr>
              <w:t>Tel:</w:t>
            </w:r>
            <w:r w:rsidRPr="001133EE">
              <w:rPr>
                <w:lang w:val="de-DE"/>
              </w:rPr>
              <w:tab/>
              <w:t>+1 202 482 0499</w:t>
            </w:r>
            <w:r w:rsidRPr="001133EE">
              <w:rPr>
                <w:lang w:val="de-DE"/>
              </w:rPr>
              <w:br/>
              <w:t>E-mail:</w:t>
            </w:r>
            <w:r w:rsidRPr="001133EE">
              <w:rPr>
                <w:lang w:val="de-DE"/>
              </w:rPr>
              <w:tab/>
            </w:r>
            <w:hyperlink r:id="rId11" w:history="1">
              <w:r w:rsidRPr="00E4713D">
                <w:rPr>
                  <w:rStyle w:val="Hyperlink"/>
                  <w:lang w:val="de-DE"/>
                </w:rPr>
                <w:t>gratta@ntia.gov</w:t>
              </w:r>
            </w:hyperlink>
            <w:r>
              <w:rPr>
                <w:lang w:val="de-DE"/>
              </w:rPr>
              <w:t xml:space="preserve"> </w:t>
            </w:r>
          </w:p>
        </w:tc>
      </w:tr>
    </w:tbl>
    <w:p w14:paraId="140BC52E" w14:textId="77777777" w:rsidR="000C397B" w:rsidRPr="00EF6D76" w:rsidRDefault="000C397B" w:rsidP="0089088E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95FC2" w:rsidRPr="00136DDD" w14:paraId="76C4A506" w14:textId="77777777" w:rsidTr="001410FD">
        <w:trPr>
          <w:cantSplit/>
        </w:trPr>
        <w:tc>
          <w:tcPr>
            <w:tcW w:w="1588" w:type="dxa"/>
          </w:tcPr>
          <w:p w14:paraId="22982571" w14:textId="77777777" w:rsidR="00695FC2" w:rsidRPr="00136DDD" w:rsidRDefault="00695FC2" w:rsidP="00EF060D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1E12E93" w14:textId="69CA8217" w:rsidR="00695FC2" w:rsidRPr="008249A7" w:rsidRDefault="0051305D" w:rsidP="00EF060D">
            <w:pPr>
              <w:pStyle w:val="TSBHeaderSummary"/>
              <w:rPr>
                <w:highlight w:val="yellow"/>
              </w:rPr>
            </w:pPr>
            <w:r>
              <w:t xml:space="preserve">In accordance with WTSA Resolution 99 </w:t>
            </w:r>
            <w:r>
              <w:rPr>
                <w:rFonts w:cstheme="minorHAnsi"/>
                <w:i/>
                <w:iCs/>
              </w:rPr>
              <w:t>instructs TSAG 2</w:t>
            </w:r>
            <w:r>
              <w:rPr>
                <w:rFonts w:cstheme="minorHAnsi"/>
              </w:rPr>
              <w:t xml:space="preserve">, this liaison provides a progress report by TSAG on the analysis </w:t>
            </w:r>
            <w:r w:rsidR="007B0E28" w:rsidRPr="007B0E28">
              <w:rPr>
                <w:rFonts w:cstheme="minorHAnsi"/>
              </w:rPr>
              <w:t>of ITU-T study group restructuring</w:t>
            </w:r>
            <w:r>
              <w:rPr>
                <w:rFonts w:cstheme="minorHAnsi"/>
              </w:rPr>
              <w:t>.</w:t>
            </w:r>
          </w:p>
        </w:tc>
      </w:tr>
    </w:tbl>
    <w:p w14:paraId="792FCB10" w14:textId="77777777" w:rsidR="00B279FC" w:rsidRDefault="00B279FC" w:rsidP="003B4CF8"/>
    <w:p w14:paraId="09B62E97" w14:textId="789E1B72" w:rsidR="00900EF1" w:rsidRDefault="007F0D17" w:rsidP="00B23D6B">
      <w:pPr>
        <w:jc w:val="both"/>
      </w:pPr>
      <w:r w:rsidRPr="00D6402C">
        <w:t xml:space="preserve">At its first meeting since WTSA-20, TSAG </w:t>
      </w:r>
      <w:r w:rsidR="00D6402C" w:rsidRPr="00D6402C">
        <w:t>discussed possible ITU-T restructuring</w:t>
      </w:r>
      <w:r w:rsidR="00D6402C">
        <w:t xml:space="preserve"> as directed by </w:t>
      </w:r>
      <w:hyperlink r:id="rId12" w:history="1">
        <w:r w:rsidR="00F872AF" w:rsidRPr="002B2F04">
          <w:rPr>
            <w:rStyle w:val="Hyperlink"/>
          </w:rPr>
          <w:t>WTSA Resolution 99</w:t>
        </w:r>
      </w:hyperlink>
      <w:r w:rsidR="00F872AF">
        <w:t xml:space="preserve"> (Geneva, 2022).  </w:t>
      </w:r>
      <w:r w:rsidR="00D240E6">
        <w:t xml:space="preserve">The objective is for </w:t>
      </w:r>
      <w:r w:rsidR="00D240E6" w:rsidRPr="00D240E6">
        <w:t xml:space="preserve">TSAG to submit a report with recommendations </w:t>
      </w:r>
      <w:r w:rsidR="00A83C25">
        <w:t xml:space="preserve">on </w:t>
      </w:r>
      <w:r w:rsidR="00CD15A5" w:rsidRPr="00CD15A5">
        <w:t xml:space="preserve">ITU-T study group restructuring </w:t>
      </w:r>
      <w:r w:rsidR="00D240E6" w:rsidRPr="00D240E6">
        <w:t>for consideration by the next WTSA</w:t>
      </w:r>
      <w:r w:rsidR="00A83C25">
        <w:t>.</w:t>
      </w:r>
    </w:p>
    <w:p w14:paraId="1FB7889B" w14:textId="2C1EDA30" w:rsidR="00DB7DC1" w:rsidRDefault="00410EE2" w:rsidP="00B23D6B">
      <w:pPr>
        <w:jc w:val="both"/>
      </w:pPr>
      <w:r>
        <w:t>TSAG has</w:t>
      </w:r>
      <w:r w:rsidR="003E26F9">
        <w:t xml:space="preserve"> agreed upon the </w:t>
      </w:r>
      <w:r w:rsidR="00745837">
        <w:t>method for implementing the</w:t>
      </w:r>
      <w:r w:rsidRPr="00EE6669">
        <w:t xml:space="preserve"> action plan for the analysis of ITU-T study group restructuring</w:t>
      </w:r>
      <w:r>
        <w:t>.  This method i</w:t>
      </w:r>
      <w:r w:rsidR="00DB7DC1" w:rsidRPr="00B048E7">
        <w:t>s to begin with the collection of the data (metrics) identified in the action plan, closely followed by and in parallel with the definition of the KPIs (how to use the data)</w:t>
      </w:r>
      <w:r w:rsidR="00DB7DC1">
        <w:t xml:space="preserve"> for reporting to TSAG by June 2023.  After achieving consensus on the data and how to use it, consider proposals for the structure of ITU-T, with an objective of completing the report of this activity in time for the June 2024 TSAG meeting.  </w:t>
      </w:r>
      <w:r w:rsidR="008C2C62">
        <w:t xml:space="preserve">The details of the plan are available in TSAG </w:t>
      </w:r>
      <w:hyperlink r:id="rId13" w:history="1">
        <w:r w:rsidR="008C2C62" w:rsidRPr="00E338DA">
          <w:rPr>
            <w:rStyle w:val="Hyperlink"/>
          </w:rPr>
          <w:t>TD 152r1</w:t>
        </w:r>
      </w:hyperlink>
      <w:r w:rsidR="00DB7DC1">
        <w:t>.</w:t>
      </w:r>
    </w:p>
    <w:p w14:paraId="414C634C" w14:textId="5CEC6238" w:rsidR="00417C39" w:rsidRDefault="0032277F" w:rsidP="004E68B5">
      <w:pPr>
        <w:spacing w:after="120"/>
        <w:jc w:val="both"/>
      </w:pPr>
      <w:r>
        <w:t>The method includes extensive use of interim virtual meetings of the RG-WPR to address to implement the action plan.  In particular, it proposes the following meetings in advance of the anticipated June 2023 meeting of TSAG.</w:t>
      </w: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4442"/>
        <w:gridCol w:w="2515"/>
      </w:tblGrid>
      <w:tr w:rsidR="00526EC2" w:rsidRPr="003B4A16" w14:paraId="59D84E14" w14:textId="77777777" w:rsidTr="004E68B5">
        <w:trPr>
          <w:jc w:val="center"/>
        </w:trPr>
        <w:tc>
          <w:tcPr>
            <w:tcW w:w="2393" w:type="dxa"/>
            <w:vAlign w:val="center"/>
          </w:tcPr>
          <w:p w14:paraId="0D096CB2" w14:textId="77777777" w:rsidR="00526EC2" w:rsidRPr="00375CE2" w:rsidRDefault="00526EC2" w:rsidP="004E68B5">
            <w:pPr>
              <w:spacing w:befor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75CE2">
              <w:rPr>
                <w:rFonts w:cstheme="minorHAnsi"/>
                <w:b/>
                <w:bCs/>
                <w:sz w:val="20"/>
                <w:szCs w:val="20"/>
              </w:rPr>
              <w:t>Meeting Date, Time</w:t>
            </w:r>
          </w:p>
        </w:tc>
        <w:tc>
          <w:tcPr>
            <w:tcW w:w="4442" w:type="dxa"/>
            <w:vAlign w:val="center"/>
          </w:tcPr>
          <w:p w14:paraId="3D9B9E3D" w14:textId="77777777" w:rsidR="00526EC2" w:rsidRPr="00375CE2" w:rsidRDefault="00526EC2" w:rsidP="004E68B5">
            <w:pPr>
              <w:spacing w:befor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75CE2">
              <w:rPr>
                <w:rFonts w:cstheme="minorHAnsi"/>
                <w:b/>
                <w:bCs/>
                <w:sz w:val="20"/>
                <w:szCs w:val="20"/>
              </w:rPr>
              <w:t>Contributions invited on:</w:t>
            </w:r>
          </w:p>
        </w:tc>
        <w:tc>
          <w:tcPr>
            <w:tcW w:w="2515" w:type="dxa"/>
            <w:vAlign w:val="center"/>
          </w:tcPr>
          <w:p w14:paraId="16125F22" w14:textId="77777777" w:rsidR="00526EC2" w:rsidRPr="00375CE2" w:rsidRDefault="00526EC2" w:rsidP="004E68B5">
            <w:pPr>
              <w:spacing w:befor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75CE2">
              <w:rPr>
                <w:rFonts w:cstheme="minorHAnsi"/>
                <w:b/>
                <w:bCs/>
                <w:sz w:val="20"/>
                <w:szCs w:val="20"/>
              </w:rPr>
              <w:t>Contribution Deadline</w:t>
            </w:r>
          </w:p>
        </w:tc>
      </w:tr>
      <w:tr w:rsidR="00526EC2" w:rsidRPr="003B4A16" w14:paraId="63DB8C16" w14:textId="77777777" w:rsidTr="0080012D">
        <w:trPr>
          <w:jc w:val="center"/>
        </w:trPr>
        <w:tc>
          <w:tcPr>
            <w:tcW w:w="2393" w:type="dxa"/>
            <w:vAlign w:val="center"/>
          </w:tcPr>
          <w:p w14:paraId="5A382DFB" w14:textId="77777777" w:rsidR="00526EC2" w:rsidRPr="003B4A16" w:rsidRDefault="00526EC2" w:rsidP="007C05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B4A16">
              <w:rPr>
                <w:rFonts w:cstheme="minorHAnsi"/>
                <w:sz w:val="20"/>
                <w:szCs w:val="20"/>
              </w:rPr>
              <w:t>15 February 2023, 12:30 – 14:30 CET</w:t>
            </w:r>
            <w:r w:rsidRPr="003B4A16">
              <w:rPr>
                <w:rFonts w:cstheme="minorHAnsi"/>
                <w:sz w:val="20"/>
                <w:szCs w:val="20"/>
              </w:rPr>
              <w:br/>
              <w:t>(11:30 – 13:30 UTC)</w:t>
            </w:r>
          </w:p>
        </w:tc>
        <w:tc>
          <w:tcPr>
            <w:tcW w:w="4442" w:type="dxa"/>
            <w:vAlign w:val="center"/>
          </w:tcPr>
          <w:p w14:paraId="3848D26C" w14:textId="77777777" w:rsidR="00526EC2" w:rsidRPr="003B4A16" w:rsidRDefault="00526EC2" w:rsidP="007C0501">
            <w:pPr>
              <w:rPr>
                <w:rFonts w:cstheme="minorHAnsi"/>
                <w:sz w:val="20"/>
                <w:szCs w:val="20"/>
              </w:rPr>
            </w:pPr>
            <w:r w:rsidRPr="003B4A16">
              <w:rPr>
                <w:rFonts w:cstheme="minorHAnsi"/>
                <w:sz w:val="20"/>
                <w:szCs w:val="20"/>
              </w:rPr>
              <w:t>Available data, proposals for KPIs (how to use data)</w:t>
            </w:r>
          </w:p>
        </w:tc>
        <w:tc>
          <w:tcPr>
            <w:tcW w:w="2515" w:type="dxa"/>
            <w:vAlign w:val="center"/>
          </w:tcPr>
          <w:p w14:paraId="5CBD43B6" w14:textId="77777777" w:rsidR="00526EC2" w:rsidRPr="003B4A16" w:rsidRDefault="00526EC2" w:rsidP="007C0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Pr="003B4A16">
              <w:rPr>
                <w:rFonts w:cstheme="minorHAnsi"/>
                <w:sz w:val="20"/>
                <w:szCs w:val="20"/>
              </w:rPr>
              <w:t xml:space="preserve"> February 2023, </w:t>
            </w:r>
            <w:r>
              <w:rPr>
                <w:rFonts w:cstheme="minorHAnsi"/>
                <w:sz w:val="20"/>
                <w:szCs w:val="20"/>
              </w:rPr>
              <w:t>23:59</w:t>
            </w:r>
            <w:r w:rsidRPr="003B4A16">
              <w:rPr>
                <w:rFonts w:cstheme="minorHAnsi"/>
                <w:sz w:val="20"/>
                <w:szCs w:val="20"/>
              </w:rPr>
              <w:t xml:space="preserve"> CET</w:t>
            </w:r>
          </w:p>
        </w:tc>
      </w:tr>
      <w:tr w:rsidR="00526EC2" w:rsidRPr="003B4A16" w14:paraId="11AD1DA6" w14:textId="77777777" w:rsidTr="0080012D">
        <w:trPr>
          <w:jc w:val="center"/>
        </w:trPr>
        <w:tc>
          <w:tcPr>
            <w:tcW w:w="2393" w:type="dxa"/>
            <w:vAlign w:val="center"/>
          </w:tcPr>
          <w:p w14:paraId="789A0234" w14:textId="77777777" w:rsidR="00526EC2" w:rsidRPr="003B4A16" w:rsidRDefault="00526EC2" w:rsidP="007C05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B4A16">
              <w:rPr>
                <w:rFonts w:cstheme="minorHAnsi"/>
                <w:sz w:val="20"/>
                <w:szCs w:val="20"/>
              </w:rPr>
              <w:t>15 March 2023, 12:30 – 14:30 CET</w:t>
            </w:r>
            <w:r w:rsidRPr="003B4A16">
              <w:rPr>
                <w:rFonts w:cstheme="minorHAnsi"/>
                <w:sz w:val="20"/>
                <w:szCs w:val="20"/>
              </w:rPr>
              <w:br/>
              <w:t>(11:30 – 13:30 UTC)</w:t>
            </w:r>
          </w:p>
        </w:tc>
        <w:tc>
          <w:tcPr>
            <w:tcW w:w="4442" w:type="dxa"/>
            <w:vAlign w:val="center"/>
          </w:tcPr>
          <w:p w14:paraId="47537967" w14:textId="77777777" w:rsidR="00526EC2" w:rsidRPr="003B4A16" w:rsidRDefault="00526EC2" w:rsidP="007C0501">
            <w:pPr>
              <w:rPr>
                <w:rFonts w:cstheme="minorHAnsi"/>
                <w:sz w:val="20"/>
                <w:szCs w:val="20"/>
              </w:rPr>
            </w:pPr>
            <w:r w:rsidRPr="003B4A16">
              <w:rPr>
                <w:rFonts w:cstheme="minorHAnsi"/>
                <w:sz w:val="20"/>
                <w:szCs w:val="20"/>
              </w:rPr>
              <w:t>Available data, proposals for KPIs, relative priorities of KPIs, how conducive current structure is to the standardization process</w:t>
            </w:r>
          </w:p>
        </w:tc>
        <w:tc>
          <w:tcPr>
            <w:tcW w:w="2515" w:type="dxa"/>
            <w:vAlign w:val="center"/>
          </w:tcPr>
          <w:p w14:paraId="68654FA3" w14:textId="77777777" w:rsidR="00526EC2" w:rsidRPr="003B4A16" w:rsidRDefault="00526EC2" w:rsidP="007C0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Pr="003B4A16">
              <w:rPr>
                <w:rFonts w:cstheme="minorHAnsi"/>
                <w:sz w:val="20"/>
                <w:szCs w:val="20"/>
              </w:rPr>
              <w:t xml:space="preserve"> March 2023, </w:t>
            </w:r>
            <w:r>
              <w:rPr>
                <w:rFonts w:cstheme="minorHAnsi"/>
                <w:sz w:val="20"/>
                <w:szCs w:val="20"/>
              </w:rPr>
              <w:t>23:59</w:t>
            </w:r>
            <w:r w:rsidRPr="003B4A16">
              <w:rPr>
                <w:rFonts w:cstheme="minorHAnsi"/>
                <w:sz w:val="20"/>
                <w:szCs w:val="20"/>
              </w:rPr>
              <w:t xml:space="preserve"> CET</w:t>
            </w:r>
          </w:p>
        </w:tc>
      </w:tr>
      <w:tr w:rsidR="00526EC2" w:rsidRPr="003B4A16" w14:paraId="0C57B267" w14:textId="77777777" w:rsidTr="0080012D">
        <w:trPr>
          <w:jc w:val="center"/>
        </w:trPr>
        <w:tc>
          <w:tcPr>
            <w:tcW w:w="2393" w:type="dxa"/>
            <w:vAlign w:val="center"/>
          </w:tcPr>
          <w:p w14:paraId="39571F54" w14:textId="77777777" w:rsidR="00526EC2" w:rsidRPr="003B4A16" w:rsidRDefault="00526EC2" w:rsidP="007C05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B4A16">
              <w:rPr>
                <w:rFonts w:cstheme="minorHAnsi"/>
                <w:sz w:val="20"/>
                <w:szCs w:val="20"/>
              </w:rPr>
              <w:lastRenderedPageBreak/>
              <w:t>19 April 2023, 12:30 – 14:30 CEST</w:t>
            </w:r>
            <w:r w:rsidRPr="003B4A16">
              <w:rPr>
                <w:rFonts w:cstheme="minorHAnsi"/>
                <w:sz w:val="20"/>
                <w:szCs w:val="20"/>
              </w:rPr>
              <w:br/>
              <w:t>(10:30 – 12:30 UTC)</w:t>
            </w:r>
          </w:p>
        </w:tc>
        <w:tc>
          <w:tcPr>
            <w:tcW w:w="4442" w:type="dxa"/>
            <w:vAlign w:val="center"/>
          </w:tcPr>
          <w:p w14:paraId="5E59B1EE" w14:textId="77777777" w:rsidR="00526EC2" w:rsidRPr="003B4A16" w:rsidRDefault="00526EC2" w:rsidP="007C0501">
            <w:pPr>
              <w:rPr>
                <w:rFonts w:cstheme="minorHAnsi"/>
                <w:sz w:val="20"/>
                <w:szCs w:val="20"/>
              </w:rPr>
            </w:pPr>
            <w:r w:rsidRPr="003B4A16">
              <w:rPr>
                <w:rFonts w:cstheme="minorHAnsi"/>
                <w:sz w:val="20"/>
                <w:szCs w:val="20"/>
              </w:rPr>
              <w:t>Refining Data and KPIs, priorities of KPIs, Int’l nature of current structure, new structure</w:t>
            </w:r>
          </w:p>
        </w:tc>
        <w:tc>
          <w:tcPr>
            <w:tcW w:w="2515" w:type="dxa"/>
            <w:vAlign w:val="center"/>
          </w:tcPr>
          <w:p w14:paraId="320BDE30" w14:textId="77777777" w:rsidR="00526EC2" w:rsidRPr="003B4A16" w:rsidRDefault="00526EC2" w:rsidP="007C0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Pr="003B4A16">
              <w:rPr>
                <w:rFonts w:cstheme="minorHAnsi"/>
                <w:sz w:val="20"/>
                <w:szCs w:val="20"/>
              </w:rPr>
              <w:t xml:space="preserve"> April 2023, </w:t>
            </w:r>
            <w:r>
              <w:rPr>
                <w:rFonts w:cstheme="minorHAnsi"/>
                <w:sz w:val="20"/>
                <w:szCs w:val="20"/>
              </w:rPr>
              <w:t>23:59</w:t>
            </w:r>
            <w:r w:rsidRPr="003B4A16">
              <w:rPr>
                <w:rFonts w:cstheme="minorHAnsi"/>
                <w:sz w:val="20"/>
                <w:szCs w:val="20"/>
              </w:rPr>
              <w:t xml:space="preserve"> CE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3B4A16">
              <w:rPr>
                <w:rFonts w:cstheme="minorHAnsi"/>
                <w:sz w:val="20"/>
                <w:szCs w:val="20"/>
              </w:rPr>
              <w:t>T</w:t>
            </w:r>
          </w:p>
        </w:tc>
      </w:tr>
      <w:tr w:rsidR="00526EC2" w:rsidRPr="003B4A16" w14:paraId="540C3932" w14:textId="77777777" w:rsidTr="0080012D">
        <w:trPr>
          <w:jc w:val="center"/>
        </w:trPr>
        <w:tc>
          <w:tcPr>
            <w:tcW w:w="2393" w:type="dxa"/>
            <w:vAlign w:val="center"/>
          </w:tcPr>
          <w:p w14:paraId="1B63E087" w14:textId="77777777" w:rsidR="00526EC2" w:rsidRPr="003B4A16" w:rsidRDefault="00526EC2" w:rsidP="007C05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B4A16">
              <w:rPr>
                <w:rFonts w:cstheme="minorHAnsi"/>
                <w:sz w:val="20"/>
                <w:szCs w:val="20"/>
              </w:rPr>
              <w:t>23 May 2023, 12:30 – 14:30 CEST</w:t>
            </w:r>
            <w:r w:rsidRPr="003B4A16">
              <w:rPr>
                <w:rFonts w:cstheme="minorHAnsi"/>
                <w:sz w:val="20"/>
                <w:szCs w:val="20"/>
              </w:rPr>
              <w:br/>
              <w:t>(10:30 – 12:30 UTC)</w:t>
            </w:r>
          </w:p>
        </w:tc>
        <w:tc>
          <w:tcPr>
            <w:tcW w:w="4442" w:type="dxa"/>
            <w:vAlign w:val="center"/>
          </w:tcPr>
          <w:p w14:paraId="61A95CFA" w14:textId="77777777" w:rsidR="00526EC2" w:rsidRPr="003B4A16" w:rsidRDefault="00526EC2" w:rsidP="007C0501">
            <w:pPr>
              <w:rPr>
                <w:rFonts w:cstheme="minorHAnsi"/>
                <w:sz w:val="20"/>
                <w:szCs w:val="20"/>
              </w:rPr>
            </w:pPr>
            <w:r w:rsidRPr="003B4A16">
              <w:rPr>
                <w:rFonts w:cstheme="minorHAnsi"/>
                <w:sz w:val="20"/>
                <w:szCs w:val="20"/>
              </w:rPr>
              <w:t>Finalizing data and KPIs for reporting to TSAG, new structure</w:t>
            </w:r>
          </w:p>
        </w:tc>
        <w:tc>
          <w:tcPr>
            <w:tcW w:w="2515" w:type="dxa"/>
            <w:vAlign w:val="center"/>
          </w:tcPr>
          <w:p w14:paraId="3960DD07" w14:textId="77777777" w:rsidR="00526EC2" w:rsidRPr="003B4A16" w:rsidRDefault="00526EC2" w:rsidP="007C0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Pr="003B4A16">
              <w:rPr>
                <w:rFonts w:cstheme="minorHAnsi"/>
                <w:sz w:val="20"/>
                <w:szCs w:val="20"/>
              </w:rPr>
              <w:t xml:space="preserve"> May 2023, </w:t>
            </w:r>
            <w:r>
              <w:rPr>
                <w:rFonts w:cstheme="minorHAnsi"/>
                <w:sz w:val="20"/>
                <w:szCs w:val="20"/>
              </w:rPr>
              <w:t>23:59</w:t>
            </w:r>
            <w:r w:rsidRPr="003B4A16">
              <w:rPr>
                <w:rFonts w:cstheme="minorHAnsi"/>
                <w:sz w:val="20"/>
                <w:szCs w:val="20"/>
              </w:rPr>
              <w:t xml:space="preserve"> CE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3B4A16">
              <w:rPr>
                <w:rFonts w:cstheme="minorHAnsi"/>
                <w:sz w:val="20"/>
                <w:szCs w:val="20"/>
              </w:rPr>
              <w:t>T</w:t>
            </w:r>
          </w:p>
        </w:tc>
      </w:tr>
    </w:tbl>
    <w:p w14:paraId="72CCA3F3" w14:textId="37FCCCC7" w:rsidR="0032277F" w:rsidRDefault="0032277F" w:rsidP="0080012D">
      <w:pPr>
        <w:jc w:val="both"/>
      </w:pPr>
      <w:r>
        <w:t xml:space="preserve">Additional interim meetings should be anticipated in advance of the 2024 TSAG meeting that would consider proposals for the structure of ITU-T study groups. </w:t>
      </w:r>
    </w:p>
    <w:p w14:paraId="7848BA6B" w14:textId="74CE6E16" w:rsidR="0080012D" w:rsidRDefault="0080012D" w:rsidP="0080012D">
      <w:pPr>
        <w:jc w:val="both"/>
      </w:pPr>
      <w:r>
        <w:t xml:space="preserve">Interested </w:t>
      </w:r>
      <w:r w:rsidR="00900885">
        <w:t>ITU-T members are encouraged to contribute to and participate in these interim meetings</w:t>
      </w:r>
      <w:r w:rsidR="00E542A0">
        <w:t>.</w:t>
      </w:r>
    </w:p>
    <w:p w14:paraId="2E623010" w14:textId="5CBE867B" w:rsidR="00E542A0" w:rsidRDefault="00E542A0" w:rsidP="0080012D">
      <w:pPr>
        <w:jc w:val="both"/>
      </w:pPr>
      <w:r>
        <w:t xml:space="preserve">TSAG is committed to </w:t>
      </w:r>
      <w:r w:rsidR="00AB5705" w:rsidRPr="00AB5705">
        <w:t>provid</w:t>
      </w:r>
      <w:r w:rsidR="00AB5705">
        <w:t>ing</w:t>
      </w:r>
      <w:r w:rsidR="00AB5705" w:rsidRPr="00AB5705">
        <w:t xml:space="preserve"> a progress report on the analysis to the study groups after each TSAG meeting</w:t>
      </w:r>
      <w:r w:rsidR="00AB5705">
        <w:t>.</w:t>
      </w:r>
    </w:p>
    <w:p w14:paraId="2D2604F0" w14:textId="047072AF" w:rsidR="00E71046" w:rsidRDefault="00900885" w:rsidP="00E71046">
      <w:pPr>
        <w:jc w:val="center"/>
      </w:pPr>
      <w:r>
        <w:t xml:space="preserve"> </w:t>
      </w:r>
      <w:r w:rsidR="00E71046">
        <w:t>_______________________</w:t>
      </w:r>
    </w:p>
    <w:p w14:paraId="269839DD" w14:textId="77777777" w:rsidR="00BF1C1D" w:rsidRDefault="00BF1C1D" w:rsidP="00E71046">
      <w:pPr>
        <w:jc w:val="center"/>
      </w:pPr>
    </w:p>
    <w:sectPr w:rsidR="00BF1C1D" w:rsidSect="00EF6D76">
      <w:headerReference w:type="default" r:id="rId14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2DD32" w14:textId="77777777" w:rsidR="00872559" w:rsidRDefault="00872559" w:rsidP="00C42125">
      <w:pPr>
        <w:spacing w:before="0"/>
      </w:pPr>
      <w:r>
        <w:separator/>
      </w:r>
    </w:p>
  </w:endnote>
  <w:endnote w:type="continuationSeparator" w:id="0">
    <w:p w14:paraId="0F7BBD93" w14:textId="77777777" w:rsidR="00872559" w:rsidRDefault="00872559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52D38" w14:textId="77777777" w:rsidR="00872559" w:rsidRDefault="00872559" w:rsidP="00C42125">
      <w:pPr>
        <w:spacing w:before="0"/>
      </w:pPr>
      <w:r>
        <w:separator/>
      </w:r>
    </w:p>
  </w:footnote>
  <w:footnote w:type="continuationSeparator" w:id="0">
    <w:p w14:paraId="492FBCDD" w14:textId="77777777" w:rsidR="00872559" w:rsidRDefault="00872559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DE834" w14:textId="25B76771" w:rsidR="005976A1" w:rsidRPr="00EF6D76" w:rsidRDefault="00EF6D76" w:rsidP="00EF6D76">
    <w:pPr>
      <w:pStyle w:val="Header"/>
    </w:pPr>
    <w:r w:rsidRPr="00EF6D76">
      <w:t xml:space="preserve">- </w:t>
    </w:r>
    <w:r w:rsidRPr="00EF6D76">
      <w:fldChar w:fldCharType="begin"/>
    </w:r>
    <w:r w:rsidRPr="00EF6D76">
      <w:instrText xml:space="preserve"> PAGE  \* MERGEFORMAT </w:instrText>
    </w:r>
    <w:r w:rsidRPr="00EF6D76">
      <w:fldChar w:fldCharType="separate"/>
    </w:r>
    <w:r w:rsidRPr="00EF6D76">
      <w:rPr>
        <w:noProof/>
      </w:rPr>
      <w:t>1</w:t>
    </w:r>
    <w:r w:rsidRPr="00EF6D76">
      <w:fldChar w:fldCharType="end"/>
    </w:r>
    <w:r w:rsidRPr="00EF6D76">
      <w:t xml:space="preserve"> -</w:t>
    </w:r>
  </w:p>
  <w:p w14:paraId="08080FC7" w14:textId="5FDFD8DB" w:rsidR="00EF6D76" w:rsidRPr="00EF6D76" w:rsidRDefault="00EF6D76" w:rsidP="00EF6D76">
    <w:pPr>
      <w:pStyle w:val="Header"/>
      <w:spacing w:after="240"/>
    </w:pPr>
    <w:r>
      <w:t>TSAG-TD165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18142816">
    <w:abstractNumId w:val="9"/>
  </w:num>
  <w:num w:numId="2" w16cid:durableId="1694263296">
    <w:abstractNumId w:val="7"/>
  </w:num>
  <w:num w:numId="3" w16cid:durableId="789056376">
    <w:abstractNumId w:val="6"/>
  </w:num>
  <w:num w:numId="4" w16cid:durableId="779227319">
    <w:abstractNumId w:val="5"/>
  </w:num>
  <w:num w:numId="5" w16cid:durableId="821628240">
    <w:abstractNumId w:val="4"/>
  </w:num>
  <w:num w:numId="6" w16cid:durableId="363798732">
    <w:abstractNumId w:val="8"/>
  </w:num>
  <w:num w:numId="7" w16cid:durableId="1608924459">
    <w:abstractNumId w:val="3"/>
  </w:num>
  <w:num w:numId="8" w16cid:durableId="861167313">
    <w:abstractNumId w:val="2"/>
  </w:num>
  <w:num w:numId="9" w16cid:durableId="1204060119">
    <w:abstractNumId w:val="1"/>
  </w:num>
  <w:num w:numId="10" w16cid:durableId="1999571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14F69"/>
    <w:rsid w:val="000171DB"/>
    <w:rsid w:val="0002180F"/>
    <w:rsid w:val="00023D9A"/>
    <w:rsid w:val="0003582E"/>
    <w:rsid w:val="00040B68"/>
    <w:rsid w:val="00043D75"/>
    <w:rsid w:val="00057000"/>
    <w:rsid w:val="0005700C"/>
    <w:rsid w:val="00061268"/>
    <w:rsid w:val="000640E0"/>
    <w:rsid w:val="000920CE"/>
    <w:rsid w:val="000966A8"/>
    <w:rsid w:val="000A545C"/>
    <w:rsid w:val="000A5CA2"/>
    <w:rsid w:val="000B739D"/>
    <w:rsid w:val="000C397B"/>
    <w:rsid w:val="000E6125"/>
    <w:rsid w:val="000F4A4F"/>
    <w:rsid w:val="00113DBE"/>
    <w:rsid w:val="001200A6"/>
    <w:rsid w:val="00124A40"/>
    <w:rsid w:val="001251DA"/>
    <w:rsid w:val="00125432"/>
    <w:rsid w:val="00136DDD"/>
    <w:rsid w:val="00137F40"/>
    <w:rsid w:val="001410FD"/>
    <w:rsid w:val="00144BDF"/>
    <w:rsid w:val="00155DDC"/>
    <w:rsid w:val="00161830"/>
    <w:rsid w:val="001871EC"/>
    <w:rsid w:val="001A20C3"/>
    <w:rsid w:val="001A670F"/>
    <w:rsid w:val="001B6A45"/>
    <w:rsid w:val="001C5A1F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63B33"/>
    <w:rsid w:val="002759E7"/>
    <w:rsid w:val="00277326"/>
    <w:rsid w:val="002A11C4"/>
    <w:rsid w:val="002A399B"/>
    <w:rsid w:val="002C26C0"/>
    <w:rsid w:val="002C2BC5"/>
    <w:rsid w:val="002C502A"/>
    <w:rsid w:val="002D6447"/>
    <w:rsid w:val="002E0407"/>
    <w:rsid w:val="002E3C52"/>
    <w:rsid w:val="002E79CB"/>
    <w:rsid w:val="002F2495"/>
    <w:rsid w:val="002F5070"/>
    <w:rsid w:val="002F7F55"/>
    <w:rsid w:val="00301FBD"/>
    <w:rsid w:val="0030745F"/>
    <w:rsid w:val="00314630"/>
    <w:rsid w:val="0032090A"/>
    <w:rsid w:val="00321CDE"/>
    <w:rsid w:val="0032277F"/>
    <w:rsid w:val="00333E15"/>
    <w:rsid w:val="003411C2"/>
    <w:rsid w:val="003449F4"/>
    <w:rsid w:val="003571BC"/>
    <w:rsid w:val="0036090C"/>
    <w:rsid w:val="00361116"/>
    <w:rsid w:val="00362562"/>
    <w:rsid w:val="00385FB5"/>
    <w:rsid w:val="0038715D"/>
    <w:rsid w:val="00394DBF"/>
    <w:rsid w:val="003957A6"/>
    <w:rsid w:val="003A43EF"/>
    <w:rsid w:val="003B4CF8"/>
    <w:rsid w:val="003C7445"/>
    <w:rsid w:val="003D0336"/>
    <w:rsid w:val="003E1F8C"/>
    <w:rsid w:val="003E26F9"/>
    <w:rsid w:val="003E39A2"/>
    <w:rsid w:val="003E57AB"/>
    <w:rsid w:val="003E7207"/>
    <w:rsid w:val="003F2BED"/>
    <w:rsid w:val="00400B49"/>
    <w:rsid w:val="00410EE2"/>
    <w:rsid w:val="00417C39"/>
    <w:rsid w:val="00443878"/>
    <w:rsid w:val="004539A8"/>
    <w:rsid w:val="004712CA"/>
    <w:rsid w:val="00473782"/>
    <w:rsid w:val="0047422E"/>
    <w:rsid w:val="004811FA"/>
    <w:rsid w:val="0049090D"/>
    <w:rsid w:val="0049674B"/>
    <w:rsid w:val="004C0673"/>
    <w:rsid w:val="004C4E4E"/>
    <w:rsid w:val="004E68B5"/>
    <w:rsid w:val="004F23BA"/>
    <w:rsid w:val="004F3816"/>
    <w:rsid w:val="0050586A"/>
    <w:rsid w:val="0051305D"/>
    <w:rsid w:val="00520DBF"/>
    <w:rsid w:val="00526EC2"/>
    <w:rsid w:val="0053731C"/>
    <w:rsid w:val="00543D41"/>
    <w:rsid w:val="00556A5B"/>
    <w:rsid w:val="00566EDA"/>
    <w:rsid w:val="0057081A"/>
    <w:rsid w:val="00572654"/>
    <w:rsid w:val="005976A1"/>
    <w:rsid w:val="005B5629"/>
    <w:rsid w:val="005B6B78"/>
    <w:rsid w:val="005C0300"/>
    <w:rsid w:val="005C27A2"/>
    <w:rsid w:val="005D4FEB"/>
    <w:rsid w:val="005F4B6A"/>
    <w:rsid w:val="006010F3"/>
    <w:rsid w:val="00606DB6"/>
    <w:rsid w:val="00615A0A"/>
    <w:rsid w:val="00626673"/>
    <w:rsid w:val="006333D4"/>
    <w:rsid w:val="006369B2"/>
    <w:rsid w:val="0063718D"/>
    <w:rsid w:val="00647525"/>
    <w:rsid w:val="00647A71"/>
    <w:rsid w:val="00652D9F"/>
    <w:rsid w:val="006570B0"/>
    <w:rsid w:val="0066022F"/>
    <w:rsid w:val="006813BC"/>
    <w:rsid w:val="006823F3"/>
    <w:rsid w:val="0069210B"/>
    <w:rsid w:val="00692AB1"/>
    <w:rsid w:val="00695DD7"/>
    <w:rsid w:val="00695FC2"/>
    <w:rsid w:val="006A4055"/>
    <w:rsid w:val="006A6DA0"/>
    <w:rsid w:val="006A7C27"/>
    <w:rsid w:val="006B2FE4"/>
    <w:rsid w:val="006B37B0"/>
    <w:rsid w:val="006C5641"/>
    <w:rsid w:val="006D1089"/>
    <w:rsid w:val="006D1B86"/>
    <w:rsid w:val="006D7355"/>
    <w:rsid w:val="006F7DEE"/>
    <w:rsid w:val="00711006"/>
    <w:rsid w:val="00715551"/>
    <w:rsid w:val="00715CA6"/>
    <w:rsid w:val="00731135"/>
    <w:rsid w:val="007324AF"/>
    <w:rsid w:val="00740128"/>
    <w:rsid w:val="007409B4"/>
    <w:rsid w:val="00741974"/>
    <w:rsid w:val="00745837"/>
    <w:rsid w:val="00754192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B0E28"/>
    <w:rsid w:val="007B2BC6"/>
    <w:rsid w:val="007B311A"/>
    <w:rsid w:val="007C7122"/>
    <w:rsid w:val="007D3F11"/>
    <w:rsid w:val="007D66E2"/>
    <w:rsid w:val="007E2C69"/>
    <w:rsid w:val="007E53E4"/>
    <w:rsid w:val="007E656A"/>
    <w:rsid w:val="007F0D17"/>
    <w:rsid w:val="007F3CAA"/>
    <w:rsid w:val="007F664D"/>
    <w:rsid w:val="0080012D"/>
    <w:rsid w:val="00812E67"/>
    <w:rsid w:val="00837203"/>
    <w:rsid w:val="00842137"/>
    <w:rsid w:val="00853F5F"/>
    <w:rsid w:val="008623ED"/>
    <w:rsid w:val="00864B5A"/>
    <w:rsid w:val="00872559"/>
    <w:rsid w:val="00874AA3"/>
    <w:rsid w:val="00875AA6"/>
    <w:rsid w:val="00880944"/>
    <w:rsid w:val="0089088E"/>
    <w:rsid w:val="00892297"/>
    <w:rsid w:val="008964D6"/>
    <w:rsid w:val="008B5123"/>
    <w:rsid w:val="008C2C62"/>
    <w:rsid w:val="008E0172"/>
    <w:rsid w:val="00900885"/>
    <w:rsid w:val="00900EF1"/>
    <w:rsid w:val="00906CD2"/>
    <w:rsid w:val="009302DE"/>
    <w:rsid w:val="00936852"/>
    <w:rsid w:val="0094045D"/>
    <w:rsid w:val="009406B5"/>
    <w:rsid w:val="00946166"/>
    <w:rsid w:val="009507EC"/>
    <w:rsid w:val="00966D6D"/>
    <w:rsid w:val="00983164"/>
    <w:rsid w:val="009972EF"/>
    <w:rsid w:val="009B5035"/>
    <w:rsid w:val="009B68B2"/>
    <w:rsid w:val="009C3160"/>
    <w:rsid w:val="009D243F"/>
    <w:rsid w:val="009E766E"/>
    <w:rsid w:val="009F1960"/>
    <w:rsid w:val="009F2C64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83C25"/>
    <w:rsid w:val="00A84724"/>
    <w:rsid w:val="00A971A0"/>
    <w:rsid w:val="00AA1F22"/>
    <w:rsid w:val="00AB5705"/>
    <w:rsid w:val="00AF5A57"/>
    <w:rsid w:val="00AF735D"/>
    <w:rsid w:val="00B024D7"/>
    <w:rsid w:val="00B05821"/>
    <w:rsid w:val="00B100D6"/>
    <w:rsid w:val="00B164C9"/>
    <w:rsid w:val="00B23D6B"/>
    <w:rsid w:val="00B26C28"/>
    <w:rsid w:val="00B279FC"/>
    <w:rsid w:val="00B30F21"/>
    <w:rsid w:val="00B376D2"/>
    <w:rsid w:val="00B4174C"/>
    <w:rsid w:val="00B453F5"/>
    <w:rsid w:val="00B532CE"/>
    <w:rsid w:val="00B61624"/>
    <w:rsid w:val="00B66481"/>
    <w:rsid w:val="00B7189C"/>
    <w:rsid w:val="00B718A5"/>
    <w:rsid w:val="00B90AD6"/>
    <w:rsid w:val="00BA788A"/>
    <w:rsid w:val="00BB4983"/>
    <w:rsid w:val="00BB7597"/>
    <w:rsid w:val="00BC2AAB"/>
    <w:rsid w:val="00BC62E2"/>
    <w:rsid w:val="00BD1944"/>
    <w:rsid w:val="00BF02DC"/>
    <w:rsid w:val="00BF1C1D"/>
    <w:rsid w:val="00C37820"/>
    <w:rsid w:val="00C42125"/>
    <w:rsid w:val="00C62814"/>
    <w:rsid w:val="00C62BE6"/>
    <w:rsid w:val="00C67B25"/>
    <w:rsid w:val="00C748F7"/>
    <w:rsid w:val="00C74937"/>
    <w:rsid w:val="00CA6409"/>
    <w:rsid w:val="00CB2599"/>
    <w:rsid w:val="00CD15A5"/>
    <w:rsid w:val="00CD2139"/>
    <w:rsid w:val="00CD2497"/>
    <w:rsid w:val="00CD6848"/>
    <w:rsid w:val="00CE1E6E"/>
    <w:rsid w:val="00CE5986"/>
    <w:rsid w:val="00CF34C4"/>
    <w:rsid w:val="00CF39E0"/>
    <w:rsid w:val="00D11885"/>
    <w:rsid w:val="00D215A9"/>
    <w:rsid w:val="00D240E6"/>
    <w:rsid w:val="00D35BC1"/>
    <w:rsid w:val="00D6402C"/>
    <w:rsid w:val="00D647EF"/>
    <w:rsid w:val="00D73137"/>
    <w:rsid w:val="00D745B2"/>
    <w:rsid w:val="00D977A2"/>
    <w:rsid w:val="00DA1D47"/>
    <w:rsid w:val="00DB7DC1"/>
    <w:rsid w:val="00DC774A"/>
    <w:rsid w:val="00DD50DE"/>
    <w:rsid w:val="00DE3062"/>
    <w:rsid w:val="00E0581D"/>
    <w:rsid w:val="00E204DD"/>
    <w:rsid w:val="00E338DA"/>
    <w:rsid w:val="00E353EC"/>
    <w:rsid w:val="00E51F61"/>
    <w:rsid w:val="00E53C24"/>
    <w:rsid w:val="00E542A0"/>
    <w:rsid w:val="00E56E77"/>
    <w:rsid w:val="00E71046"/>
    <w:rsid w:val="00E72E36"/>
    <w:rsid w:val="00E87795"/>
    <w:rsid w:val="00EB444D"/>
    <w:rsid w:val="00ED5B66"/>
    <w:rsid w:val="00EE5C0D"/>
    <w:rsid w:val="00EF4792"/>
    <w:rsid w:val="00EF6D76"/>
    <w:rsid w:val="00F02294"/>
    <w:rsid w:val="00F30DE7"/>
    <w:rsid w:val="00F35F57"/>
    <w:rsid w:val="00F44D3D"/>
    <w:rsid w:val="00F50467"/>
    <w:rsid w:val="00F562A0"/>
    <w:rsid w:val="00F57FA4"/>
    <w:rsid w:val="00F872AF"/>
    <w:rsid w:val="00FA02CB"/>
    <w:rsid w:val="00FA2177"/>
    <w:rsid w:val="00FA3C6F"/>
    <w:rsid w:val="00FB0783"/>
    <w:rsid w:val="00FB7A8B"/>
    <w:rsid w:val="00FD439E"/>
    <w:rsid w:val="00FD76C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"/>
    <w:basedOn w:val="DefaultParagraphFont"/>
    <w:uiPriority w:val="99"/>
    <w:qFormat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556A5B"/>
    <w:rPr>
      <w:bCs w:val="0"/>
    </w:rPr>
  </w:style>
  <w:style w:type="paragraph" w:customStyle="1" w:styleId="LSForAction">
    <w:name w:val="LSForAction"/>
    <w:basedOn w:val="LSTitle"/>
    <w:next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CD6848"/>
  </w:style>
  <w:style w:type="paragraph" w:customStyle="1" w:styleId="LSForComment">
    <w:name w:val="LSForComment"/>
    <w:basedOn w:val="LSTitle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556A5B"/>
    <w:rPr>
      <w:bCs w:val="0"/>
    </w:rPr>
  </w:style>
  <w:style w:type="paragraph" w:customStyle="1" w:styleId="LSTitle">
    <w:name w:val="LSTitle"/>
    <w:basedOn w:val="Normal"/>
    <w:next w:val="Normal"/>
    <w:rsid w:val="00556A5B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900EF1"/>
  </w:style>
  <w:style w:type="paragraph" w:customStyle="1" w:styleId="TSBHeaderSource">
    <w:name w:val="TSBHeaderSource"/>
    <w:basedOn w:val="Normal"/>
    <w:qFormat/>
    <w:rsid w:val="00900EF1"/>
  </w:style>
  <w:style w:type="paragraph" w:customStyle="1" w:styleId="TSBHeaderTitle">
    <w:name w:val="TSBHeaderTitle"/>
    <w:basedOn w:val="Normal"/>
    <w:qFormat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695FC2"/>
    <w:rPr>
      <w:b/>
      <w:bCs/>
    </w:rPr>
  </w:style>
  <w:style w:type="table" w:styleId="TableGrid">
    <w:name w:val="Table Grid"/>
    <w:basedOn w:val="TableNormal"/>
    <w:uiPriority w:val="39"/>
    <w:rsid w:val="00526EC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BHeaderRight14">
    <w:name w:val="TSBHeaderRight14"/>
    <w:basedOn w:val="Normal"/>
    <w:qFormat/>
    <w:rsid w:val="00EF6D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22-TSAG-221212-TD-GEN-0152/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pub/publications.aspx?lang=en&amp;parent=T-RES-T.99-202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atta@ntia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3.xml><?xml version="1.0" encoding="utf-8"?>
<ds:datastoreItem xmlns:ds="http://schemas.openxmlformats.org/officeDocument/2006/customXml" ds:itemID="{A02A634D-8C1C-48E0-8DF5-C16C9F285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2</TotalTime>
  <Pages>2</Pages>
  <Words>500</Words>
  <Characters>2746</Characters>
  <Application>Microsoft Office Word</Application>
  <DocSecurity>0</DocSecurity>
  <Lines>98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Liaison Statement - Unformatted template (T21)</vt:lpstr>
    </vt:vector>
  </TitlesOfParts>
  <Manager>ITU-T</Manager>
  <Company>International Telecommunication Union (ITU)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a progress report on the analysis of ITU-T study group restructuring</dc:title>
  <dc:subject/>
  <dc:creator>Telecommunication Standardization Advisory Group</dc:creator>
  <cp:keywords/>
  <dc:description>TSAG-TD165  For: Geneva, 12-16 December 2022_x000d_Document date: _x000d_Saved by ITU51014254 at 14:13:52 on 15.12.2022</dc:description>
  <cp:lastModifiedBy>Al-Mnini, Lara</cp:lastModifiedBy>
  <cp:revision>3</cp:revision>
  <cp:lastPrinted>2016-12-23T12:52:00Z</cp:lastPrinted>
  <dcterms:created xsi:type="dcterms:W3CDTF">2022-12-15T13:14:00Z</dcterms:created>
  <dcterms:modified xsi:type="dcterms:W3CDTF">2022-12-15T13:15:00Z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TSAG-TD165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RG-WPR</vt:lpwstr>
  </property>
  <property fmtid="{D5CDD505-2E9C-101B-9397-08002B2CF9AE}" pid="7" name="Docdest">
    <vt:lpwstr>Geneva, 12-16 December 2022</vt:lpwstr>
  </property>
  <property fmtid="{D5CDD505-2E9C-101B-9397-08002B2CF9AE}" pid="8" name="Docauthor">
    <vt:lpwstr>Telecommunication Standardization Advisory Group</vt:lpwstr>
  </property>
</Properties>
</file>