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27"/>
        <w:gridCol w:w="3525"/>
      </w:tblGrid>
      <w:tr w:rsidR="00343613" w14:paraId="665E260D" w14:textId="77777777" w:rsidTr="0071619C">
        <w:trPr>
          <w:cantSplit/>
        </w:trPr>
        <w:tc>
          <w:tcPr>
            <w:tcW w:w="1191" w:type="dxa"/>
            <w:vMerge w:val="restart"/>
            <w:vAlign w:val="center"/>
          </w:tcPr>
          <w:p w14:paraId="2260B411" w14:textId="77777777" w:rsidR="00343613" w:rsidRDefault="00343613" w:rsidP="0071619C">
            <w:pPr>
              <w:spacing w:before="0"/>
              <w:jc w:val="center"/>
            </w:pPr>
            <w:bookmarkStart w:id="0" w:name="dnum" w:colFirst="2" w:colLast="2"/>
            <w:bookmarkStart w:id="1" w:name="dtableau"/>
            <w:r>
              <w:rPr>
                <w:noProof/>
              </w:rPr>
              <w:drawing>
                <wp:inline distT="0" distB="0" distL="0" distR="0" wp14:anchorId="0FD24BA5" wp14:editId="11ACC18D">
                  <wp:extent cx="650240" cy="70612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 cy="706120"/>
                          </a:xfrm>
                          <a:prstGeom prst="rect">
                            <a:avLst/>
                          </a:prstGeom>
                          <a:noFill/>
                          <a:ln>
                            <a:noFill/>
                          </a:ln>
                        </pic:spPr>
                      </pic:pic>
                    </a:graphicData>
                  </a:graphic>
                </wp:inline>
              </w:drawing>
            </w:r>
          </w:p>
        </w:tc>
        <w:tc>
          <w:tcPr>
            <w:tcW w:w="5103" w:type="dxa"/>
            <w:gridSpan w:val="3"/>
            <w:vMerge w:val="restart"/>
          </w:tcPr>
          <w:p w14:paraId="72E8AD21" w14:textId="77777777" w:rsidR="00343613" w:rsidRDefault="00343613" w:rsidP="0071619C">
            <w:pPr>
              <w:rPr>
                <w:sz w:val="16"/>
              </w:rPr>
            </w:pPr>
            <w:r>
              <w:rPr>
                <w:sz w:val="16"/>
              </w:rPr>
              <w:t>INTERNATIONAL TELECOMMUNICATION UNION</w:t>
            </w:r>
          </w:p>
          <w:p w14:paraId="6346AEFA" w14:textId="77777777" w:rsidR="00343613" w:rsidRDefault="00343613" w:rsidP="0071619C">
            <w:pPr>
              <w:rPr>
                <w:b/>
                <w:bCs/>
                <w:sz w:val="26"/>
              </w:rPr>
            </w:pPr>
            <w:r>
              <w:rPr>
                <w:b/>
                <w:bCs/>
                <w:sz w:val="26"/>
              </w:rPr>
              <w:t>TELECOMMUNICATION STANDARDIZATION SECTOR</w:t>
            </w:r>
          </w:p>
          <w:p w14:paraId="29B3A947" w14:textId="77777777" w:rsidR="00343613" w:rsidRDefault="00343613" w:rsidP="0071619C">
            <w:pPr>
              <w:rPr>
                <w:sz w:val="20"/>
              </w:rPr>
            </w:pPr>
            <w:r>
              <w:rPr>
                <w:sz w:val="20"/>
              </w:rPr>
              <w:t>STUDY PERIOD 2022-2024</w:t>
            </w:r>
          </w:p>
        </w:tc>
        <w:tc>
          <w:tcPr>
            <w:tcW w:w="3629" w:type="dxa"/>
          </w:tcPr>
          <w:p w14:paraId="6C71D751" w14:textId="77777777" w:rsidR="00343613" w:rsidRDefault="00343613" w:rsidP="0071619C">
            <w:pPr>
              <w:pStyle w:val="Docnumber"/>
            </w:pPr>
            <w:r>
              <w:t>TSAG-TD105</w:t>
            </w:r>
          </w:p>
        </w:tc>
      </w:tr>
      <w:tr w:rsidR="00343613" w14:paraId="6050964F" w14:textId="77777777" w:rsidTr="0071619C">
        <w:trPr>
          <w:cantSplit/>
          <w:trHeight w:val="461"/>
        </w:trPr>
        <w:tc>
          <w:tcPr>
            <w:tcW w:w="1191" w:type="dxa"/>
            <w:vMerge/>
          </w:tcPr>
          <w:p w14:paraId="44E6A2A7" w14:textId="77777777" w:rsidR="00343613" w:rsidRDefault="00343613" w:rsidP="0071619C">
            <w:pPr>
              <w:rPr>
                <w:smallCaps/>
                <w:sz w:val="20"/>
              </w:rPr>
            </w:pPr>
          </w:p>
        </w:tc>
        <w:tc>
          <w:tcPr>
            <w:tcW w:w="5103" w:type="dxa"/>
            <w:gridSpan w:val="3"/>
            <w:vMerge/>
          </w:tcPr>
          <w:p w14:paraId="5EFACA04" w14:textId="77777777" w:rsidR="00343613" w:rsidRDefault="00343613" w:rsidP="0071619C">
            <w:pPr>
              <w:rPr>
                <w:smallCaps/>
                <w:sz w:val="20"/>
              </w:rPr>
            </w:pPr>
          </w:p>
        </w:tc>
        <w:tc>
          <w:tcPr>
            <w:tcW w:w="3629" w:type="dxa"/>
            <w:tcBorders>
              <w:bottom w:val="nil"/>
            </w:tcBorders>
          </w:tcPr>
          <w:p w14:paraId="5624E420" w14:textId="77777777" w:rsidR="00343613" w:rsidRDefault="00343613" w:rsidP="0071619C">
            <w:pPr>
              <w:pStyle w:val="TSBHeaderRight14"/>
            </w:pPr>
            <w:r>
              <w:t>TSAG</w:t>
            </w:r>
          </w:p>
        </w:tc>
      </w:tr>
      <w:tr w:rsidR="00343613" w14:paraId="2D2A3EEA" w14:textId="77777777" w:rsidTr="0071619C">
        <w:trPr>
          <w:cantSplit/>
          <w:trHeight w:val="379"/>
        </w:trPr>
        <w:tc>
          <w:tcPr>
            <w:tcW w:w="1191" w:type="dxa"/>
            <w:vMerge/>
            <w:tcBorders>
              <w:bottom w:val="single" w:sz="12" w:space="0" w:color="auto"/>
            </w:tcBorders>
          </w:tcPr>
          <w:p w14:paraId="0EA34A1D" w14:textId="77777777" w:rsidR="00343613" w:rsidRDefault="00343613" w:rsidP="0071619C">
            <w:pPr>
              <w:rPr>
                <w:b/>
                <w:bCs/>
                <w:sz w:val="26"/>
              </w:rPr>
            </w:pPr>
            <w:bookmarkStart w:id="2" w:name="dorlang" w:colFirst="2" w:colLast="2"/>
          </w:p>
        </w:tc>
        <w:tc>
          <w:tcPr>
            <w:tcW w:w="5103" w:type="dxa"/>
            <w:gridSpan w:val="3"/>
            <w:vMerge/>
            <w:tcBorders>
              <w:bottom w:val="single" w:sz="12" w:space="0" w:color="auto"/>
            </w:tcBorders>
          </w:tcPr>
          <w:p w14:paraId="295F0637" w14:textId="77777777" w:rsidR="00343613" w:rsidRDefault="00343613" w:rsidP="0071619C">
            <w:pPr>
              <w:rPr>
                <w:b/>
                <w:bCs/>
                <w:sz w:val="26"/>
              </w:rPr>
            </w:pPr>
          </w:p>
        </w:tc>
        <w:tc>
          <w:tcPr>
            <w:tcW w:w="3629" w:type="dxa"/>
            <w:tcBorders>
              <w:bottom w:val="single" w:sz="12" w:space="0" w:color="auto"/>
            </w:tcBorders>
          </w:tcPr>
          <w:p w14:paraId="3D7E30FD" w14:textId="77777777" w:rsidR="00343613" w:rsidRDefault="00343613" w:rsidP="0071619C">
            <w:pPr>
              <w:jc w:val="right"/>
              <w:rPr>
                <w:b/>
                <w:bCs/>
                <w:sz w:val="28"/>
              </w:rPr>
            </w:pPr>
            <w:r>
              <w:rPr>
                <w:b/>
                <w:bCs/>
                <w:sz w:val="28"/>
              </w:rPr>
              <w:t>Original: English</w:t>
            </w:r>
          </w:p>
        </w:tc>
      </w:tr>
      <w:bookmarkEnd w:id="2"/>
      <w:tr w:rsidR="00343613" w14:paraId="2E382881" w14:textId="77777777" w:rsidTr="0071619C">
        <w:trPr>
          <w:cantSplit/>
          <w:trHeight w:val="357"/>
        </w:trPr>
        <w:tc>
          <w:tcPr>
            <w:tcW w:w="1550" w:type="dxa"/>
            <w:gridSpan w:val="2"/>
          </w:tcPr>
          <w:p w14:paraId="48BC6B27" w14:textId="77777777" w:rsidR="00343613" w:rsidRDefault="00343613" w:rsidP="0071619C">
            <w:pPr>
              <w:rPr>
                <w:b/>
                <w:bCs/>
              </w:rPr>
            </w:pPr>
            <w:r>
              <w:rPr>
                <w:b/>
                <w:bCs/>
              </w:rPr>
              <w:t>Question(s):</w:t>
            </w:r>
          </w:p>
        </w:tc>
        <w:tc>
          <w:tcPr>
            <w:tcW w:w="4744" w:type="dxa"/>
            <w:gridSpan w:val="2"/>
          </w:tcPr>
          <w:p w14:paraId="7F679054" w14:textId="3FF94701" w:rsidR="00343613" w:rsidRDefault="00016088" w:rsidP="0071619C">
            <w:pPr>
              <w:pStyle w:val="TSBHeaderQuestion"/>
            </w:pPr>
            <w:r>
              <w:t>N/A</w:t>
            </w:r>
          </w:p>
        </w:tc>
        <w:tc>
          <w:tcPr>
            <w:tcW w:w="3345" w:type="dxa"/>
          </w:tcPr>
          <w:p w14:paraId="4318EC90" w14:textId="77777777" w:rsidR="00343613" w:rsidRDefault="00343613" w:rsidP="0071619C">
            <w:pPr>
              <w:pStyle w:val="VenueDate"/>
            </w:pPr>
            <w:r>
              <w:t>Geneva, 12-16 December 2022</w:t>
            </w:r>
          </w:p>
        </w:tc>
      </w:tr>
      <w:tr w:rsidR="00343613" w14:paraId="531856E6" w14:textId="77777777" w:rsidTr="0071619C">
        <w:trPr>
          <w:cantSplit/>
          <w:trHeight w:val="357"/>
        </w:trPr>
        <w:tc>
          <w:tcPr>
            <w:tcW w:w="9639" w:type="dxa"/>
            <w:gridSpan w:val="5"/>
          </w:tcPr>
          <w:p w14:paraId="3B76AEB0" w14:textId="0410A4F6" w:rsidR="00343613" w:rsidRDefault="00343613" w:rsidP="0071619C">
            <w:pPr>
              <w:jc w:val="center"/>
              <w:rPr>
                <w:b/>
                <w:bCs/>
              </w:rPr>
            </w:pPr>
            <w:bookmarkStart w:id="3" w:name="dtitle" w:colFirst="0" w:colLast="0"/>
            <w:r>
              <w:rPr>
                <w:b/>
                <w:bCs/>
              </w:rPr>
              <w:t>TD</w:t>
            </w:r>
            <w:r>
              <w:rPr>
                <w:b/>
                <w:bCs/>
              </w:rPr>
              <w:br/>
              <w:t>(Ref</w:t>
            </w:r>
            <w:r w:rsidR="00016088">
              <w:rPr>
                <w:b/>
                <w:bCs/>
              </w:rPr>
              <w:t>.</w:t>
            </w:r>
            <w:r>
              <w:rPr>
                <w:b/>
                <w:bCs/>
              </w:rPr>
              <w:t xml:space="preserve">: </w:t>
            </w:r>
            <w:hyperlink r:id="rId12" w:tooltip="ITU-T ftp file restricted to TIES access only" w:history="1">
              <w:r>
                <w:rPr>
                  <w:rStyle w:val="Hyperlink"/>
                </w:rPr>
                <w:t>SG15-LS34</w:t>
              </w:r>
            </w:hyperlink>
            <w:r>
              <w:rPr>
                <w:b/>
                <w:bCs/>
              </w:rPr>
              <w:t>)</w:t>
            </w:r>
          </w:p>
        </w:tc>
      </w:tr>
      <w:bookmarkEnd w:id="3"/>
      <w:tr w:rsidR="00343613" w14:paraId="3B07DF2B" w14:textId="77777777" w:rsidTr="0071619C">
        <w:trPr>
          <w:cantSplit/>
          <w:trHeight w:val="357"/>
        </w:trPr>
        <w:tc>
          <w:tcPr>
            <w:tcW w:w="1550" w:type="dxa"/>
            <w:gridSpan w:val="2"/>
          </w:tcPr>
          <w:p w14:paraId="67CAA1E6" w14:textId="77777777" w:rsidR="00343613" w:rsidRDefault="00343613" w:rsidP="0071619C">
            <w:pPr>
              <w:rPr>
                <w:b/>
                <w:bCs/>
              </w:rPr>
            </w:pPr>
            <w:r>
              <w:rPr>
                <w:b/>
                <w:bCs/>
              </w:rPr>
              <w:t>Source:</w:t>
            </w:r>
          </w:p>
        </w:tc>
        <w:tc>
          <w:tcPr>
            <w:tcW w:w="8089" w:type="dxa"/>
            <w:gridSpan w:val="3"/>
          </w:tcPr>
          <w:p w14:paraId="63B1E76B" w14:textId="77777777" w:rsidR="00343613" w:rsidRDefault="00343613" w:rsidP="0071619C">
            <w:pPr>
              <w:pStyle w:val="TSBHeaderSource"/>
            </w:pPr>
            <w:r>
              <w:t>ITU-T Study Group 15</w:t>
            </w:r>
          </w:p>
        </w:tc>
      </w:tr>
      <w:tr w:rsidR="00343613" w:rsidRPr="00AD5C1C" w14:paraId="2B816F67" w14:textId="77777777" w:rsidTr="0071619C">
        <w:trPr>
          <w:cantSplit/>
          <w:trHeight w:val="357"/>
        </w:trPr>
        <w:tc>
          <w:tcPr>
            <w:tcW w:w="1550" w:type="dxa"/>
            <w:gridSpan w:val="2"/>
          </w:tcPr>
          <w:p w14:paraId="380952A8" w14:textId="77777777" w:rsidR="00343613" w:rsidRDefault="00343613" w:rsidP="0071619C">
            <w:pPr>
              <w:rPr>
                <w:b/>
                <w:bCs/>
              </w:rPr>
            </w:pPr>
            <w:r>
              <w:rPr>
                <w:b/>
                <w:bCs/>
              </w:rPr>
              <w:t>Title:</w:t>
            </w:r>
          </w:p>
        </w:tc>
        <w:tc>
          <w:tcPr>
            <w:tcW w:w="8089" w:type="dxa"/>
            <w:gridSpan w:val="3"/>
          </w:tcPr>
          <w:p w14:paraId="58B4CF4C" w14:textId="03DE49C3" w:rsidR="00343613" w:rsidRPr="00AD5C1C" w:rsidRDefault="00016088" w:rsidP="0071619C">
            <w:pPr>
              <w:pStyle w:val="TSBHeaderTitle"/>
              <w:rPr>
                <w:lang w:val="fr-FR"/>
              </w:rPr>
            </w:pPr>
            <w:r>
              <w:rPr>
                <w:lang w:val="fr-FR"/>
              </w:rPr>
              <w:t xml:space="preserve">LS/i on </w:t>
            </w:r>
            <w:r w:rsidR="00343613" w:rsidRPr="00AD5C1C">
              <w:rPr>
                <w:lang w:val="fr-FR"/>
              </w:rPr>
              <w:t>ITU-T SG15 EWM Liaison Report</w:t>
            </w:r>
            <w:r>
              <w:rPr>
                <w:lang w:val="fr-FR"/>
              </w:rPr>
              <w:t xml:space="preserve"> [</w:t>
            </w:r>
            <w:proofErr w:type="spellStart"/>
            <w:r>
              <w:rPr>
                <w:lang w:val="fr-FR"/>
              </w:rPr>
              <w:t>from</w:t>
            </w:r>
            <w:proofErr w:type="spellEnd"/>
            <w:r>
              <w:rPr>
                <w:lang w:val="fr-FR"/>
              </w:rPr>
              <w:t xml:space="preserve"> ITU-T SG15]</w:t>
            </w:r>
          </w:p>
        </w:tc>
      </w:tr>
      <w:tr w:rsidR="00343613" w14:paraId="2B6DF3B3" w14:textId="77777777" w:rsidTr="0071619C">
        <w:trPr>
          <w:cantSplit/>
          <w:trHeight w:val="357"/>
        </w:trPr>
        <w:tc>
          <w:tcPr>
            <w:tcW w:w="9639" w:type="dxa"/>
            <w:gridSpan w:val="5"/>
            <w:tcBorders>
              <w:top w:val="single" w:sz="12" w:space="0" w:color="auto"/>
            </w:tcBorders>
          </w:tcPr>
          <w:p w14:paraId="1F9B7F43" w14:textId="77777777" w:rsidR="00343613" w:rsidRDefault="00343613" w:rsidP="0071619C">
            <w:pPr>
              <w:jc w:val="center"/>
              <w:rPr>
                <w:b/>
              </w:rPr>
            </w:pPr>
            <w:r>
              <w:rPr>
                <w:b/>
              </w:rPr>
              <w:t>LIAISON STATEMENT</w:t>
            </w:r>
          </w:p>
        </w:tc>
      </w:tr>
      <w:tr w:rsidR="00343613" w14:paraId="5E57DAC7" w14:textId="77777777" w:rsidTr="0071619C">
        <w:trPr>
          <w:cantSplit/>
          <w:trHeight w:val="357"/>
        </w:trPr>
        <w:tc>
          <w:tcPr>
            <w:tcW w:w="2250" w:type="dxa"/>
            <w:gridSpan w:val="3"/>
          </w:tcPr>
          <w:p w14:paraId="342AE302" w14:textId="77777777" w:rsidR="00343613" w:rsidRDefault="00343613" w:rsidP="0071619C">
            <w:pPr>
              <w:rPr>
                <w:b/>
                <w:bCs/>
              </w:rPr>
            </w:pPr>
            <w:r>
              <w:rPr>
                <w:b/>
                <w:bCs/>
              </w:rPr>
              <w:t>For action to:</w:t>
            </w:r>
          </w:p>
        </w:tc>
        <w:tc>
          <w:tcPr>
            <w:tcW w:w="7389" w:type="dxa"/>
            <w:gridSpan w:val="2"/>
          </w:tcPr>
          <w:p w14:paraId="6C539A6B" w14:textId="77777777" w:rsidR="00343613" w:rsidRDefault="00343613" w:rsidP="0071619C">
            <w:r>
              <w:t>-</w:t>
            </w:r>
          </w:p>
        </w:tc>
      </w:tr>
      <w:tr w:rsidR="00343613" w14:paraId="3139F3BB" w14:textId="77777777" w:rsidTr="0071619C">
        <w:trPr>
          <w:cantSplit/>
          <w:trHeight w:val="357"/>
        </w:trPr>
        <w:tc>
          <w:tcPr>
            <w:tcW w:w="2250" w:type="dxa"/>
            <w:gridSpan w:val="3"/>
          </w:tcPr>
          <w:p w14:paraId="6B70F150" w14:textId="77777777" w:rsidR="00343613" w:rsidRDefault="00343613" w:rsidP="0071619C">
            <w:pPr>
              <w:rPr>
                <w:b/>
                <w:bCs/>
              </w:rPr>
            </w:pPr>
            <w:r>
              <w:rPr>
                <w:b/>
                <w:bCs/>
              </w:rPr>
              <w:t>For information to:</w:t>
            </w:r>
          </w:p>
        </w:tc>
        <w:tc>
          <w:tcPr>
            <w:tcW w:w="7389" w:type="dxa"/>
            <w:gridSpan w:val="2"/>
          </w:tcPr>
          <w:p w14:paraId="66E66EEA" w14:textId="77777777" w:rsidR="00343613" w:rsidRDefault="00343613" w:rsidP="0071619C">
            <w:r>
              <w:t>TSAG</w:t>
            </w:r>
          </w:p>
        </w:tc>
      </w:tr>
      <w:tr w:rsidR="00343613" w14:paraId="41F21AF0" w14:textId="77777777" w:rsidTr="0071619C">
        <w:trPr>
          <w:cantSplit/>
          <w:trHeight w:val="357"/>
        </w:trPr>
        <w:tc>
          <w:tcPr>
            <w:tcW w:w="2250" w:type="dxa"/>
            <w:gridSpan w:val="3"/>
          </w:tcPr>
          <w:p w14:paraId="174815EB" w14:textId="77777777" w:rsidR="00343613" w:rsidRDefault="00343613" w:rsidP="0071619C">
            <w:pPr>
              <w:rPr>
                <w:b/>
                <w:bCs/>
              </w:rPr>
            </w:pPr>
            <w:r>
              <w:rPr>
                <w:b/>
                <w:bCs/>
              </w:rPr>
              <w:t>Approval:</w:t>
            </w:r>
          </w:p>
        </w:tc>
        <w:tc>
          <w:tcPr>
            <w:tcW w:w="7389" w:type="dxa"/>
            <w:gridSpan w:val="2"/>
          </w:tcPr>
          <w:p w14:paraId="437D88B3" w14:textId="77777777" w:rsidR="00343613" w:rsidRDefault="00343613" w:rsidP="0071619C">
            <w:r>
              <w:t>-</w:t>
            </w:r>
          </w:p>
        </w:tc>
      </w:tr>
      <w:tr w:rsidR="00343613" w14:paraId="6654745C" w14:textId="77777777" w:rsidTr="0071619C">
        <w:trPr>
          <w:cantSplit/>
          <w:trHeight w:val="357"/>
        </w:trPr>
        <w:tc>
          <w:tcPr>
            <w:tcW w:w="2250" w:type="dxa"/>
            <w:gridSpan w:val="3"/>
            <w:tcBorders>
              <w:bottom w:val="single" w:sz="12" w:space="0" w:color="auto"/>
            </w:tcBorders>
          </w:tcPr>
          <w:p w14:paraId="00002FD9" w14:textId="77777777" w:rsidR="00343613" w:rsidRDefault="00343613" w:rsidP="0071619C">
            <w:r>
              <w:rPr>
                <w:b/>
              </w:rPr>
              <w:t>Deadline:</w:t>
            </w:r>
          </w:p>
        </w:tc>
        <w:tc>
          <w:tcPr>
            <w:tcW w:w="7389" w:type="dxa"/>
            <w:gridSpan w:val="2"/>
            <w:tcBorders>
              <w:bottom w:val="single" w:sz="12" w:space="0" w:color="auto"/>
            </w:tcBorders>
          </w:tcPr>
          <w:p w14:paraId="22385653" w14:textId="77777777" w:rsidR="00343613" w:rsidRDefault="00343613" w:rsidP="0071619C">
            <w:r>
              <w:t>-</w:t>
            </w:r>
          </w:p>
        </w:tc>
      </w:tr>
      <w:tr w:rsidR="00343613" w:rsidRPr="00AD5C1C" w14:paraId="130BC1B3" w14:textId="77777777" w:rsidTr="0071619C">
        <w:trPr>
          <w:trHeight w:val="204"/>
        </w:trPr>
        <w:tc>
          <w:tcPr>
            <w:tcW w:w="2250" w:type="dxa"/>
            <w:gridSpan w:val="3"/>
            <w:tcBorders>
              <w:bottom w:val="single" w:sz="12" w:space="0" w:color="auto"/>
            </w:tcBorders>
          </w:tcPr>
          <w:p w14:paraId="5100DC9D" w14:textId="77777777" w:rsidR="00343613" w:rsidRDefault="00343613" w:rsidP="0071619C">
            <w:pPr>
              <w:rPr>
                <w:b/>
                <w:bCs/>
              </w:rPr>
            </w:pPr>
            <w:r>
              <w:rPr>
                <w:b/>
                <w:bCs/>
              </w:rPr>
              <w:t>Contact:</w:t>
            </w:r>
          </w:p>
        </w:tc>
        <w:tc>
          <w:tcPr>
            <w:tcW w:w="4044" w:type="dxa"/>
            <w:tcBorders>
              <w:bottom w:val="single" w:sz="12" w:space="0" w:color="auto"/>
            </w:tcBorders>
          </w:tcPr>
          <w:p w14:paraId="291C6228" w14:textId="77777777" w:rsidR="00343613" w:rsidRPr="00AD5C1C" w:rsidRDefault="00343613" w:rsidP="00016088">
            <w:pPr>
              <w:rPr>
                <w:lang w:val="fr-FR"/>
              </w:rPr>
            </w:pPr>
            <w:r w:rsidRPr="00AD5C1C">
              <w:rPr>
                <w:lang w:val="fr-FR"/>
              </w:rPr>
              <w:t>Paul DOOLAN</w:t>
            </w:r>
            <w:r w:rsidRPr="00AD5C1C">
              <w:rPr>
                <w:lang w:val="fr-FR"/>
              </w:rPr>
              <w:br/>
              <w:t>ITU-T SG15 EWM Rapporteur</w:t>
            </w:r>
          </w:p>
        </w:tc>
        <w:tc>
          <w:tcPr>
            <w:tcW w:w="3345" w:type="dxa"/>
            <w:tcBorders>
              <w:bottom w:val="single" w:sz="12" w:space="0" w:color="auto"/>
            </w:tcBorders>
          </w:tcPr>
          <w:p w14:paraId="40EE5A52" w14:textId="1FC97784" w:rsidR="00343613" w:rsidRPr="00AD5C1C" w:rsidRDefault="00343613" w:rsidP="00016088">
            <w:pPr>
              <w:rPr>
                <w:lang w:val="de-DE"/>
              </w:rPr>
            </w:pPr>
            <w:r w:rsidRPr="00AD5C1C">
              <w:rPr>
                <w:lang w:val="de-DE"/>
              </w:rPr>
              <w:t>Tel:</w:t>
            </w:r>
            <w:r w:rsidRPr="00AD5C1C">
              <w:rPr>
                <w:lang w:val="de-DE"/>
              </w:rPr>
              <w:tab/>
              <w:t>+1 972 357 5822</w:t>
            </w:r>
            <w:r w:rsidRPr="00AD5C1C">
              <w:rPr>
                <w:lang w:val="de-DE"/>
              </w:rPr>
              <w:br/>
              <w:t>E-mail:</w:t>
            </w:r>
            <w:r w:rsidRPr="00AD5C1C">
              <w:rPr>
                <w:lang w:val="de-DE"/>
              </w:rPr>
              <w:tab/>
            </w:r>
            <w:r w:rsidR="00016088">
              <w:rPr>
                <w:lang w:val="de-DE"/>
              </w:rPr>
              <w:fldChar w:fldCharType="begin"/>
            </w:r>
            <w:r w:rsidR="00016088">
              <w:rPr>
                <w:lang w:val="de-DE"/>
              </w:rPr>
              <w:instrText xml:space="preserve"> HYPERLINK "mailto:</w:instrText>
            </w:r>
            <w:r w:rsidR="00016088" w:rsidRPr="00AD5C1C">
              <w:rPr>
                <w:lang w:val="de-DE"/>
              </w:rPr>
              <w:instrText>pdoolan@infinera.com</w:instrText>
            </w:r>
            <w:r w:rsidR="00016088">
              <w:rPr>
                <w:lang w:val="de-DE"/>
              </w:rPr>
              <w:instrText xml:space="preserve">" </w:instrText>
            </w:r>
            <w:r w:rsidR="00016088">
              <w:rPr>
                <w:lang w:val="de-DE"/>
              </w:rPr>
              <w:fldChar w:fldCharType="separate"/>
            </w:r>
            <w:r w:rsidR="00016088" w:rsidRPr="005A6DD8">
              <w:rPr>
                <w:rStyle w:val="Hyperlink"/>
                <w:lang w:val="de-DE"/>
              </w:rPr>
              <w:t>pdoolan@infinera.com</w:t>
            </w:r>
            <w:r w:rsidR="00016088">
              <w:rPr>
                <w:lang w:val="de-DE"/>
              </w:rPr>
              <w:fldChar w:fldCharType="end"/>
            </w:r>
            <w:r w:rsidR="00016088">
              <w:rPr>
                <w:lang w:val="de-DE"/>
              </w:rPr>
              <w:t xml:space="preserve"> </w:t>
            </w:r>
          </w:p>
        </w:tc>
      </w:tr>
    </w:tbl>
    <w:p w14:paraId="4512B590" w14:textId="77777777" w:rsidR="00343613" w:rsidRPr="00AD5C1C" w:rsidRDefault="00343613" w:rsidP="00343613">
      <w:pPr>
        <w:rPr>
          <w:lang w:val="de-DE"/>
        </w:rPr>
      </w:pPr>
    </w:p>
    <w:p w14:paraId="672FDFA9" w14:textId="77777777" w:rsidR="00343613" w:rsidRDefault="00343613" w:rsidP="00343613">
      <w:r>
        <w:t>A new liaison statement has been received from SG15.</w:t>
      </w:r>
    </w:p>
    <w:p w14:paraId="32A45579" w14:textId="77777777" w:rsidR="00343613" w:rsidRDefault="00343613" w:rsidP="00343613">
      <w:r>
        <w:t xml:space="preserve">This liaison statement follows and the original file can be downloaded from the ITU ftp server at </w:t>
      </w:r>
      <w:hyperlink r:id="rId13" w:tooltip="ITU-T ftp file restricted to TIES access only" w:history="1">
        <w:r>
          <w:rPr>
            <w:rStyle w:val="Hyperlink"/>
          </w:rPr>
          <w:t>http://handle.itu.int/11.1002/ls/sp17-sg15-oLS-00034.docx</w:t>
        </w:r>
      </w:hyperlink>
      <w:r>
        <w:t>.</w:t>
      </w:r>
    </w:p>
    <w:p w14:paraId="656FDF31" w14:textId="77777777" w:rsidR="00343613" w:rsidRDefault="00343613" w:rsidP="00343613">
      <w:pPr>
        <w:spacing w:before="0"/>
        <w:jc w:val="center"/>
      </w:pPr>
    </w:p>
    <w:p w14:paraId="67B68F21" w14:textId="77777777" w:rsidR="00343613" w:rsidRDefault="00343613">
      <w: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42"/>
        <w:gridCol w:w="618"/>
        <w:gridCol w:w="3250"/>
        <w:gridCol w:w="158"/>
        <w:gridCol w:w="4026"/>
      </w:tblGrid>
      <w:tr w:rsidR="00B506BD" w:rsidRPr="00B506BD" w14:paraId="7848E7C8" w14:textId="77777777" w:rsidTr="00B506BD">
        <w:trPr>
          <w:cantSplit/>
        </w:trPr>
        <w:tc>
          <w:tcPr>
            <w:tcW w:w="1104" w:type="dxa"/>
            <w:vMerge w:val="restart"/>
            <w:vAlign w:val="center"/>
          </w:tcPr>
          <w:p w14:paraId="594DF1AD" w14:textId="7C8A7BA6" w:rsidR="00B506BD" w:rsidRPr="00B506BD" w:rsidRDefault="00B506BD" w:rsidP="00B506BD">
            <w:pPr>
              <w:spacing w:before="0"/>
              <w:jc w:val="center"/>
              <w:rPr>
                <w:sz w:val="20"/>
                <w:szCs w:val="20"/>
              </w:rPr>
            </w:pPr>
            <w:r w:rsidRPr="00B506BD">
              <w:rPr>
                <w:noProof/>
              </w:rPr>
              <w:lastRenderedPageBreak/>
              <w:drawing>
                <wp:inline distT="0" distB="0" distL="0" distR="0" wp14:anchorId="3B7E4C51" wp14:editId="7742A660">
                  <wp:extent cx="6477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1E3D5E54" w14:textId="77777777" w:rsidR="00B506BD" w:rsidRPr="00B506BD" w:rsidRDefault="00B506BD" w:rsidP="00B506BD">
            <w:pPr>
              <w:rPr>
                <w:sz w:val="16"/>
                <w:szCs w:val="16"/>
              </w:rPr>
            </w:pPr>
            <w:r w:rsidRPr="00B506BD">
              <w:rPr>
                <w:sz w:val="16"/>
                <w:szCs w:val="16"/>
              </w:rPr>
              <w:t>INTERNATIONAL TELECOMMUNICATION UNION</w:t>
            </w:r>
          </w:p>
          <w:p w14:paraId="3358863F" w14:textId="77777777" w:rsidR="00B506BD" w:rsidRPr="00B506BD" w:rsidRDefault="00B506BD" w:rsidP="00B506BD">
            <w:pPr>
              <w:rPr>
                <w:b/>
                <w:bCs/>
                <w:sz w:val="26"/>
                <w:szCs w:val="26"/>
              </w:rPr>
            </w:pPr>
            <w:r w:rsidRPr="00B506BD">
              <w:rPr>
                <w:b/>
                <w:bCs/>
                <w:sz w:val="26"/>
                <w:szCs w:val="26"/>
              </w:rPr>
              <w:t>TELECOMMUNICATION</w:t>
            </w:r>
            <w:r w:rsidRPr="00B506BD">
              <w:rPr>
                <w:b/>
                <w:bCs/>
                <w:sz w:val="26"/>
                <w:szCs w:val="26"/>
              </w:rPr>
              <w:br/>
              <w:t>STANDARDIZATION SECTOR</w:t>
            </w:r>
          </w:p>
          <w:p w14:paraId="6622EE89" w14:textId="77777777" w:rsidR="00B506BD" w:rsidRPr="00B506BD" w:rsidRDefault="00B506BD" w:rsidP="00B506BD">
            <w:pPr>
              <w:rPr>
                <w:sz w:val="20"/>
                <w:szCs w:val="20"/>
              </w:rPr>
            </w:pPr>
            <w:r w:rsidRPr="00B506BD">
              <w:rPr>
                <w:sz w:val="20"/>
                <w:szCs w:val="20"/>
              </w:rPr>
              <w:t xml:space="preserve">STUDY PERIOD </w:t>
            </w:r>
            <w:bookmarkStart w:id="4" w:name="dstudyperiod"/>
            <w:r w:rsidRPr="00B506BD">
              <w:rPr>
                <w:sz w:val="20"/>
              </w:rPr>
              <w:t>2022</w:t>
            </w:r>
            <w:r w:rsidRPr="00B506BD">
              <w:rPr>
                <w:sz w:val="20"/>
                <w:szCs w:val="20"/>
              </w:rPr>
              <w:t>-</w:t>
            </w:r>
            <w:r w:rsidRPr="00B506BD">
              <w:rPr>
                <w:sz w:val="20"/>
              </w:rPr>
              <w:t>2024</w:t>
            </w:r>
            <w:bookmarkEnd w:id="4"/>
          </w:p>
        </w:tc>
        <w:tc>
          <w:tcPr>
            <w:tcW w:w="4184" w:type="dxa"/>
            <w:gridSpan w:val="2"/>
            <w:vAlign w:val="center"/>
          </w:tcPr>
          <w:p w14:paraId="6525DAD4" w14:textId="7B761465" w:rsidR="00B506BD" w:rsidRPr="00343613" w:rsidRDefault="00B506BD" w:rsidP="00343613">
            <w:pPr>
              <w:jc w:val="right"/>
              <w:rPr>
                <w:b/>
                <w:sz w:val="28"/>
              </w:rPr>
            </w:pPr>
            <w:r w:rsidRPr="00343613">
              <w:rPr>
                <w:b/>
                <w:sz w:val="28"/>
              </w:rPr>
              <w:t>SG15-LS34</w:t>
            </w:r>
          </w:p>
        </w:tc>
      </w:tr>
      <w:tr w:rsidR="00B506BD" w:rsidRPr="00B506BD" w14:paraId="1CF05D8E" w14:textId="77777777" w:rsidTr="00B506BD">
        <w:trPr>
          <w:cantSplit/>
        </w:trPr>
        <w:tc>
          <w:tcPr>
            <w:tcW w:w="1104" w:type="dxa"/>
            <w:vMerge/>
          </w:tcPr>
          <w:p w14:paraId="1FF0CBA9" w14:textId="77777777" w:rsidR="00B506BD" w:rsidRPr="00B506BD" w:rsidRDefault="00B506BD" w:rsidP="00B506BD">
            <w:pPr>
              <w:rPr>
                <w:smallCaps/>
                <w:sz w:val="20"/>
              </w:rPr>
            </w:pPr>
            <w:bookmarkStart w:id="5" w:name="dsg" w:colFirst="2" w:colLast="2"/>
            <w:bookmarkEnd w:id="0"/>
          </w:p>
        </w:tc>
        <w:tc>
          <w:tcPr>
            <w:tcW w:w="4351" w:type="dxa"/>
            <w:gridSpan w:val="4"/>
            <w:vMerge/>
          </w:tcPr>
          <w:p w14:paraId="73C1CA5D" w14:textId="77777777" w:rsidR="00B506BD" w:rsidRPr="00B506BD" w:rsidRDefault="00B506BD" w:rsidP="00B506BD">
            <w:pPr>
              <w:rPr>
                <w:smallCaps/>
                <w:sz w:val="20"/>
              </w:rPr>
            </w:pPr>
          </w:p>
        </w:tc>
        <w:tc>
          <w:tcPr>
            <w:tcW w:w="4184" w:type="dxa"/>
            <w:gridSpan w:val="2"/>
          </w:tcPr>
          <w:p w14:paraId="6C7D45EC" w14:textId="6B857F6B" w:rsidR="00B506BD" w:rsidRPr="00B506BD" w:rsidRDefault="00B506BD" w:rsidP="00B506BD">
            <w:pPr>
              <w:jc w:val="right"/>
              <w:rPr>
                <w:b/>
                <w:bCs/>
                <w:smallCaps/>
                <w:sz w:val="28"/>
                <w:szCs w:val="28"/>
              </w:rPr>
            </w:pPr>
            <w:r>
              <w:rPr>
                <w:b/>
                <w:bCs/>
                <w:smallCaps/>
                <w:sz w:val="28"/>
                <w:szCs w:val="28"/>
              </w:rPr>
              <w:t>STUDY GROUP 15</w:t>
            </w:r>
          </w:p>
        </w:tc>
      </w:tr>
      <w:bookmarkEnd w:id="5"/>
      <w:tr w:rsidR="00B506BD" w:rsidRPr="00B506BD" w14:paraId="54CA933B" w14:textId="77777777" w:rsidTr="00B506BD">
        <w:trPr>
          <w:cantSplit/>
        </w:trPr>
        <w:tc>
          <w:tcPr>
            <w:tcW w:w="1104" w:type="dxa"/>
            <w:vMerge/>
            <w:tcBorders>
              <w:bottom w:val="single" w:sz="12" w:space="0" w:color="auto"/>
            </w:tcBorders>
          </w:tcPr>
          <w:p w14:paraId="4C41DCF0" w14:textId="77777777" w:rsidR="00B506BD" w:rsidRPr="00B506BD" w:rsidRDefault="00B506BD" w:rsidP="00B506BD">
            <w:pPr>
              <w:rPr>
                <w:b/>
                <w:bCs/>
                <w:sz w:val="26"/>
              </w:rPr>
            </w:pPr>
          </w:p>
        </w:tc>
        <w:tc>
          <w:tcPr>
            <w:tcW w:w="4351" w:type="dxa"/>
            <w:gridSpan w:val="4"/>
            <w:vMerge/>
            <w:tcBorders>
              <w:bottom w:val="single" w:sz="12" w:space="0" w:color="auto"/>
            </w:tcBorders>
          </w:tcPr>
          <w:p w14:paraId="15C5C08D" w14:textId="77777777" w:rsidR="00B506BD" w:rsidRPr="00B506BD" w:rsidRDefault="00B506BD" w:rsidP="00B506BD">
            <w:pPr>
              <w:rPr>
                <w:b/>
                <w:bCs/>
                <w:sz w:val="26"/>
              </w:rPr>
            </w:pPr>
          </w:p>
        </w:tc>
        <w:tc>
          <w:tcPr>
            <w:tcW w:w="4184" w:type="dxa"/>
            <w:gridSpan w:val="2"/>
            <w:tcBorders>
              <w:bottom w:val="single" w:sz="12" w:space="0" w:color="auto"/>
            </w:tcBorders>
            <w:vAlign w:val="center"/>
          </w:tcPr>
          <w:p w14:paraId="5E78A123" w14:textId="77777777" w:rsidR="00B506BD" w:rsidRPr="00B506BD" w:rsidRDefault="00B506BD" w:rsidP="00B506BD">
            <w:pPr>
              <w:jc w:val="right"/>
              <w:rPr>
                <w:b/>
                <w:bCs/>
                <w:sz w:val="28"/>
                <w:szCs w:val="28"/>
              </w:rPr>
            </w:pPr>
            <w:r w:rsidRPr="00B506BD">
              <w:rPr>
                <w:b/>
                <w:bCs/>
                <w:sz w:val="28"/>
                <w:szCs w:val="28"/>
              </w:rPr>
              <w:t>Original: English</w:t>
            </w:r>
          </w:p>
        </w:tc>
      </w:tr>
      <w:tr w:rsidR="00B506BD" w:rsidRPr="00B506BD" w14:paraId="57303501" w14:textId="77777777" w:rsidTr="00B506BD">
        <w:trPr>
          <w:cantSplit/>
        </w:trPr>
        <w:tc>
          <w:tcPr>
            <w:tcW w:w="1545" w:type="dxa"/>
            <w:gridSpan w:val="2"/>
          </w:tcPr>
          <w:p w14:paraId="7A7F1E43" w14:textId="77777777" w:rsidR="00B506BD" w:rsidRPr="00B506BD" w:rsidRDefault="00B506BD" w:rsidP="00B506BD">
            <w:pPr>
              <w:rPr>
                <w:b/>
                <w:bCs/>
              </w:rPr>
            </w:pPr>
            <w:bookmarkStart w:id="6" w:name="dbluepink" w:colFirst="1" w:colLast="1"/>
            <w:bookmarkStart w:id="7" w:name="dmeeting" w:colFirst="2" w:colLast="2"/>
            <w:r w:rsidRPr="00B506BD">
              <w:rPr>
                <w:b/>
                <w:bCs/>
              </w:rPr>
              <w:t>Question(s):</w:t>
            </w:r>
          </w:p>
        </w:tc>
        <w:tc>
          <w:tcPr>
            <w:tcW w:w="3910" w:type="dxa"/>
            <w:gridSpan w:val="3"/>
          </w:tcPr>
          <w:p w14:paraId="79B8FCC1" w14:textId="3CFB6BF1" w:rsidR="00B506BD" w:rsidRPr="00B506BD" w:rsidRDefault="00B506BD" w:rsidP="00B506BD">
            <w:r w:rsidRPr="00B506BD">
              <w:t>All</w:t>
            </w:r>
            <w:r>
              <w:t>/15</w:t>
            </w:r>
          </w:p>
        </w:tc>
        <w:tc>
          <w:tcPr>
            <w:tcW w:w="4184" w:type="dxa"/>
            <w:gridSpan w:val="2"/>
          </w:tcPr>
          <w:p w14:paraId="48C5613D" w14:textId="266C594A" w:rsidR="00B506BD" w:rsidRPr="00B506BD" w:rsidRDefault="00B506BD" w:rsidP="00B506BD">
            <w:pPr>
              <w:jc w:val="right"/>
            </w:pPr>
            <w:r w:rsidRPr="00B506BD">
              <w:t>Geneva, 19-30 September 2022</w:t>
            </w:r>
          </w:p>
        </w:tc>
      </w:tr>
      <w:tr w:rsidR="00B506BD" w:rsidRPr="00B506BD" w14:paraId="7540C89E" w14:textId="77777777" w:rsidTr="00B506BD">
        <w:trPr>
          <w:cantSplit/>
        </w:trPr>
        <w:tc>
          <w:tcPr>
            <w:tcW w:w="9639" w:type="dxa"/>
            <w:gridSpan w:val="7"/>
          </w:tcPr>
          <w:p w14:paraId="6F6E4B04" w14:textId="5403B19F" w:rsidR="00B506BD" w:rsidRPr="00B506BD" w:rsidRDefault="00B506BD" w:rsidP="00B506BD">
            <w:pPr>
              <w:jc w:val="center"/>
              <w:rPr>
                <w:b/>
                <w:bCs/>
              </w:rPr>
            </w:pPr>
            <w:bookmarkStart w:id="8" w:name="ddoctype"/>
            <w:bookmarkEnd w:id="6"/>
            <w:bookmarkEnd w:id="7"/>
            <w:r w:rsidRPr="00B506BD">
              <w:rPr>
                <w:b/>
                <w:bCs/>
              </w:rPr>
              <w:t>LS</w:t>
            </w:r>
          </w:p>
        </w:tc>
      </w:tr>
      <w:tr w:rsidR="00B506BD" w:rsidRPr="00B506BD" w14:paraId="68AAF540" w14:textId="77777777" w:rsidTr="00B506BD">
        <w:trPr>
          <w:cantSplit/>
        </w:trPr>
        <w:tc>
          <w:tcPr>
            <w:tcW w:w="1545" w:type="dxa"/>
            <w:gridSpan w:val="2"/>
          </w:tcPr>
          <w:p w14:paraId="515D5274" w14:textId="77777777" w:rsidR="00B506BD" w:rsidRPr="00B506BD" w:rsidRDefault="00B506BD" w:rsidP="00B506BD">
            <w:pPr>
              <w:rPr>
                <w:b/>
                <w:bCs/>
              </w:rPr>
            </w:pPr>
            <w:bookmarkStart w:id="9" w:name="dsource" w:colFirst="1" w:colLast="1"/>
            <w:bookmarkEnd w:id="8"/>
            <w:r w:rsidRPr="00B506BD">
              <w:rPr>
                <w:b/>
                <w:bCs/>
              </w:rPr>
              <w:t>Source:</w:t>
            </w:r>
          </w:p>
        </w:tc>
        <w:tc>
          <w:tcPr>
            <w:tcW w:w="8094" w:type="dxa"/>
            <w:gridSpan w:val="5"/>
          </w:tcPr>
          <w:p w14:paraId="04310C21" w14:textId="3DF438A0" w:rsidR="00B506BD" w:rsidRPr="00B506BD" w:rsidRDefault="00FC4B59" w:rsidP="00B506BD">
            <w:r>
              <w:t>ITU-T Study Group 15</w:t>
            </w:r>
          </w:p>
        </w:tc>
      </w:tr>
      <w:tr w:rsidR="00B506BD" w:rsidRPr="00AD5C1C" w14:paraId="2A2729E0" w14:textId="77777777" w:rsidTr="00B506BD">
        <w:trPr>
          <w:cantSplit/>
        </w:trPr>
        <w:tc>
          <w:tcPr>
            <w:tcW w:w="1545" w:type="dxa"/>
            <w:gridSpan w:val="2"/>
            <w:tcBorders>
              <w:bottom w:val="single" w:sz="8" w:space="0" w:color="auto"/>
            </w:tcBorders>
          </w:tcPr>
          <w:p w14:paraId="018F78FD" w14:textId="77777777" w:rsidR="00B506BD" w:rsidRPr="00B506BD" w:rsidRDefault="00B506BD" w:rsidP="00B506BD">
            <w:pPr>
              <w:rPr>
                <w:b/>
                <w:bCs/>
              </w:rPr>
            </w:pPr>
            <w:bookmarkStart w:id="10" w:name="dtitle1" w:colFirst="1" w:colLast="1"/>
            <w:bookmarkEnd w:id="9"/>
            <w:r w:rsidRPr="00B506BD">
              <w:rPr>
                <w:b/>
                <w:bCs/>
              </w:rPr>
              <w:t>Title:</w:t>
            </w:r>
          </w:p>
        </w:tc>
        <w:tc>
          <w:tcPr>
            <w:tcW w:w="8094" w:type="dxa"/>
            <w:gridSpan w:val="5"/>
            <w:tcBorders>
              <w:bottom w:val="single" w:sz="8" w:space="0" w:color="auto"/>
            </w:tcBorders>
          </w:tcPr>
          <w:p w14:paraId="78212220" w14:textId="0E75B093" w:rsidR="00B506BD" w:rsidRPr="00B506BD" w:rsidRDefault="00B506BD" w:rsidP="00B506BD">
            <w:pPr>
              <w:rPr>
                <w:lang w:val="fr-CH"/>
              </w:rPr>
            </w:pPr>
            <w:r w:rsidRPr="00B506BD">
              <w:rPr>
                <w:lang w:val="fr-CH"/>
              </w:rPr>
              <w:t>ITU-T SG15 EWM Liaison Report</w:t>
            </w:r>
          </w:p>
        </w:tc>
      </w:tr>
      <w:bookmarkEnd w:id="1"/>
      <w:bookmarkEnd w:id="10"/>
      <w:tr w:rsidR="0059490C" w14:paraId="3AF5F18A" w14:textId="77777777" w:rsidTr="00E72700">
        <w:trPr>
          <w:cantSplit/>
          <w:trHeight w:val="357"/>
        </w:trPr>
        <w:tc>
          <w:tcPr>
            <w:tcW w:w="9639" w:type="dxa"/>
            <w:gridSpan w:val="7"/>
            <w:tcBorders>
              <w:top w:val="single" w:sz="12" w:space="0" w:color="auto"/>
            </w:tcBorders>
          </w:tcPr>
          <w:p w14:paraId="6FC6DC14" w14:textId="77777777" w:rsidR="0059490C" w:rsidRDefault="0059490C" w:rsidP="00E72700">
            <w:pPr>
              <w:jc w:val="center"/>
              <w:rPr>
                <w:b/>
              </w:rPr>
            </w:pPr>
            <w:r>
              <w:rPr>
                <w:b/>
              </w:rPr>
              <w:t>LIAISON STATEMENT</w:t>
            </w:r>
          </w:p>
        </w:tc>
      </w:tr>
      <w:tr w:rsidR="0059490C" w14:paraId="5BFDF55E" w14:textId="77777777" w:rsidTr="00E72700">
        <w:trPr>
          <w:cantSplit/>
          <w:trHeight w:val="357"/>
        </w:trPr>
        <w:tc>
          <w:tcPr>
            <w:tcW w:w="2205" w:type="dxa"/>
            <w:gridSpan w:val="4"/>
          </w:tcPr>
          <w:p w14:paraId="084001CB" w14:textId="77777777" w:rsidR="0059490C" w:rsidRPr="003869CD" w:rsidRDefault="0059490C" w:rsidP="00E72700">
            <w:pPr>
              <w:rPr>
                <w:b/>
                <w:bCs/>
              </w:rPr>
            </w:pPr>
            <w:r w:rsidRPr="003869CD">
              <w:rPr>
                <w:b/>
                <w:bCs/>
              </w:rPr>
              <w:t>For action to:</w:t>
            </w:r>
          </w:p>
        </w:tc>
        <w:tc>
          <w:tcPr>
            <w:tcW w:w="7434" w:type="dxa"/>
            <w:gridSpan w:val="3"/>
          </w:tcPr>
          <w:p w14:paraId="1A91873D" w14:textId="10CEF6AE" w:rsidR="0059490C" w:rsidRDefault="00FC4B59" w:rsidP="00E72700">
            <w:pPr>
              <w:pStyle w:val="LSForAction"/>
            </w:pPr>
            <w:r>
              <w:t>-</w:t>
            </w:r>
          </w:p>
        </w:tc>
      </w:tr>
      <w:tr w:rsidR="0059490C" w14:paraId="2411537A" w14:textId="77777777" w:rsidTr="00E72700">
        <w:trPr>
          <w:cantSplit/>
          <w:trHeight w:val="357"/>
        </w:trPr>
        <w:tc>
          <w:tcPr>
            <w:tcW w:w="2205" w:type="dxa"/>
            <w:gridSpan w:val="4"/>
          </w:tcPr>
          <w:p w14:paraId="38BAF88E" w14:textId="77777777" w:rsidR="0059490C" w:rsidRPr="003869CD" w:rsidRDefault="0059490C" w:rsidP="00E72700">
            <w:pPr>
              <w:rPr>
                <w:b/>
                <w:bCs/>
              </w:rPr>
            </w:pPr>
            <w:r w:rsidRPr="003869CD">
              <w:rPr>
                <w:b/>
                <w:bCs/>
              </w:rPr>
              <w:t>For information to:</w:t>
            </w:r>
          </w:p>
        </w:tc>
        <w:tc>
          <w:tcPr>
            <w:tcW w:w="7434" w:type="dxa"/>
            <w:gridSpan w:val="3"/>
          </w:tcPr>
          <w:p w14:paraId="77DE3E84" w14:textId="6F323C1F" w:rsidR="0059490C" w:rsidRDefault="0059490C" w:rsidP="00E72700">
            <w:pPr>
              <w:pStyle w:val="LSForInfo"/>
            </w:pPr>
            <w:r>
              <w:t>TSAG</w:t>
            </w:r>
          </w:p>
        </w:tc>
      </w:tr>
      <w:tr w:rsidR="0059490C" w14:paraId="21421490" w14:textId="77777777" w:rsidTr="00E72700">
        <w:trPr>
          <w:cantSplit/>
          <w:trHeight w:val="357"/>
        </w:trPr>
        <w:tc>
          <w:tcPr>
            <w:tcW w:w="2205" w:type="dxa"/>
            <w:gridSpan w:val="4"/>
          </w:tcPr>
          <w:p w14:paraId="47BC3D2C" w14:textId="77777777" w:rsidR="0059490C" w:rsidRDefault="0059490C" w:rsidP="00E72700">
            <w:pPr>
              <w:rPr>
                <w:b/>
                <w:bCs/>
              </w:rPr>
            </w:pPr>
            <w:r>
              <w:rPr>
                <w:b/>
                <w:bCs/>
              </w:rPr>
              <w:t>Approval:</w:t>
            </w:r>
          </w:p>
        </w:tc>
        <w:tc>
          <w:tcPr>
            <w:tcW w:w="7434" w:type="dxa"/>
            <w:gridSpan w:val="3"/>
          </w:tcPr>
          <w:p w14:paraId="1B839043" w14:textId="4FD74716" w:rsidR="0059490C" w:rsidRPr="003869CD" w:rsidRDefault="00FC4B59" w:rsidP="00E72700">
            <w:pPr>
              <w:pStyle w:val="LSApproval"/>
            </w:pPr>
            <w:r>
              <w:t>-</w:t>
            </w:r>
          </w:p>
        </w:tc>
      </w:tr>
      <w:tr w:rsidR="0059490C" w14:paraId="6F59FB01" w14:textId="77777777" w:rsidTr="00E72700">
        <w:trPr>
          <w:cantSplit/>
          <w:trHeight w:val="357"/>
        </w:trPr>
        <w:tc>
          <w:tcPr>
            <w:tcW w:w="2205" w:type="dxa"/>
            <w:gridSpan w:val="4"/>
            <w:tcBorders>
              <w:bottom w:val="single" w:sz="12" w:space="0" w:color="auto"/>
            </w:tcBorders>
          </w:tcPr>
          <w:p w14:paraId="7F1B90F4" w14:textId="77777777" w:rsidR="0059490C" w:rsidRDefault="0059490C" w:rsidP="00E72700">
            <w:pPr>
              <w:rPr>
                <w:b/>
                <w:bCs/>
              </w:rPr>
            </w:pPr>
            <w:r>
              <w:rPr>
                <w:b/>
                <w:bCs/>
              </w:rPr>
              <w:t>Deadline:</w:t>
            </w:r>
          </w:p>
        </w:tc>
        <w:tc>
          <w:tcPr>
            <w:tcW w:w="7434" w:type="dxa"/>
            <w:gridSpan w:val="3"/>
            <w:tcBorders>
              <w:bottom w:val="single" w:sz="12" w:space="0" w:color="auto"/>
            </w:tcBorders>
          </w:tcPr>
          <w:p w14:paraId="5F94ED21" w14:textId="3D92AD9C" w:rsidR="0059490C" w:rsidRDefault="003D7D25" w:rsidP="00E72700">
            <w:pPr>
              <w:pStyle w:val="LSDeadline"/>
            </w:pPr>
            <w:r>
              <w:t>-</w:t>
            </w:r>
          </w:p>
        </w:tc>
      </w:tr>
      <w:tr w:rsidR="0059490C" w:rsidRPr="00AD5C1C" w14:paraId="1B6A0F42" w14:textId="77777777" w:rsidTr="00E72700">
        <w:trPr>
          <w:cantSplit/>
        </w:trPr>
        <w:tc>
          <w:tcPr>
            <w:tcW w:w="1587" w:type="dxa"/>
            <w:gridSpan w:val="3"/>
            <w:tcBorders>
              <w:top w:val="single" w:sz="8" w:space="0" w:color="auto"/>
              <w:bottom w:val="single" w:sz="8" w:space="0" w:color="auto"/>
            </w:tcBorders>
          </w:tcPr>
          <w:p w14:paraId="5F8242FF" w14:textId="77777777" w:rsidR="0059490C" w:rsidRPr="00136DDD" w:rsidRDefault="0059490C" w:rsidP="00E72700">
            <w:pPr>
              <w:rPr>
                <w:b/>
                <w:bCs/>
              </w:rPr>
            </w:pPr>
            <w:r w:rsidRPr="2149A48D">
              <w:rPr>
                <w:b/>
                <w:bCs/>
              </w:rPr>
              <w:t>Contact:</w:t>
            </w:r>
          </w:p>
        </w:tc>
        <w:tc>
          <w:tcPr>
            <w:tcW w:w="4026" w:type="dxa"/>
            <w:gridSpan w:val="3"/>
            <w:tcBorders>
              <w:top w:val="single" w:sz="8" w:space="0" w:color="auto"/>
              <w:bottom w:val="single" w:sz="8" w:space="0" w:color="auto"/>
            </w:tcBorders>
          </w:tcPr>
          <w:p w14:paraId="23512839" w14:textId="2F1B9583" w:rsidR="0059490C" w:rsidRPr="00C93C0E" w:rsidRDefault="0059490C" w:rsidP="00E72700">
            <w:pPr>
              <w:rPr>
                <w:lang w:val="fr-CH"/>
              </w:rPr>
            </w:pPr>
            <w:r w:rsidRPr="00C93C0E">
              <w:rPr>
                <w:lang w:val="fr-CH"/>
              </w:rPr>
              <w:t>Paul DOOLAN</w:t>
            </w:r>
            <w:r w:rsidRPr="00C93C0E">
              <w:rPr>
                <w:lang w:val="fr-CH"/>
              </w:rPr>
              <w:br/>
              <w:t>ITU-T SG15 EWM Rapporteur</w:t>
            </w:r>
          </w:p>
        </w:tc>
        <w:tc>
          <w:tcPr>
            <w:tcW w:w="4026" w:type="dxa"/>
            <w:tcBorders>
              <w:top w:val="single" w:sz="8" w:space="0" w:color="auto"/>
              <w:bottom w:val="single" w:sz="8" w:space="0" w:color="auto"/>
            </w:tcBorders>
          </w:tcPr>
          <w:p w14:paraId="7B80E8A5" w14:textId="77777777" w:rsidR="0059490C" w:rsidRPr="00AD5C1C" w:rsidRDefault="0059490C" w:rsidP="00E72700">
            <w:pPr>
              <w:tabs>
                <w:tab w:val="left" w:pos="794"/>
              </w:tabs>
              <w:rPr>
                <w:lang w:val="de-DE"/>
              </w:rPr>
            </w:pPr>
            <w:r w:rsidRPr="00AD5C1C">
              <w:rPr>
                <w:lang w:val="de-DE"/>
              </w:rPr>
              <w:t>Tel:</w:t>
            </w:r>
            <w:r w:rsidRPr="00AD5C1C">
              <w:rPr>
                <w:lang w:val="de-DE"/>
              </w:rPr>
              <w:tab/>
              <w:t>+1 972 357 5822</w:t>
            </w:r>
            <w:r w:rsidRPr="00AD5C1C">
              <w:rPr>
                <w:lang w:val="de-DE"/>
              </w:rPr>
              <w:br/>
              <w:t>E-mail:</w:t>
            </w:r>
            <w:r w:rsidRPr="00AD5C1C">
              <w:rPr>
                <w:lang w:val="de-DE"/>
              </w:rPr>
              <w:tab/>
            </w:r>
            <w:hyperlink r:id="rId14" w:history="1">
              <w:r w:rsidRPr="00AD5C1C">
                <w:rPr>
                  <w:rStyle w:val="Hyperlink"/>
                  <w:lang w:val="de-DE"/>
                </w:rPr>
                <w:t>pdoolan@infinera.com</w:t>
              </w:r>
            </w:hyperlink>
          </w:p>
        </w:tc>
      </w:tr>
    </w:tbl>
    <w:p w14:paraId="1AB069F8" w14:textId="77777777" w:rsidR="0059490C" w:rsidRPr="00AD5C1C" w:rsidRDefault="0059490C" w:rsidP="0059490C">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59490C" w:rsidRPr="00136DDD" w14:paraId="0EFE5CC1" w14:textId="77777777" w:rsidTr="00E72700">
        <w:trPr>
          <w:cantSplit/>
        </w:trPr>
        <w:tc>
          <w:tcPr>
            <w:tcW w:w="1588" w:type="dxa"/>
          </w:tcPr>
          <w:p w14:paraId="7CDE0065" w14:textId="77777777" w:rsidR="0059490C" w:rsidRPr="00136DDD" w:rsidRDefault="0059490C" w:rsidP="00E72700">
            <w:pPr>
              <w:rPr>
                <w:b/>
                <w:bCs/>
              </w:rPr>
            </w:pPr>
            <w:r w:rsidRPr="00136DDD">
              <w:rPr>
                <w:b/>
                <w:bCs/>
              </w:rPr>
              <w:t>Abstract:</w:t>
            </w:r>
          </w:p>
        </w:tc>
        <w:tc>
          <w:tcPr>
            <w:tcW w:w="8051" w:type="dxa"/>
          </w:tcPr>
          <w:p w14:paraId="6BC21076" w14:textId="7C35AD1E" w:rsidR="0059490C" w:rsidRPr="008249A7" w:rsidRDefault="0059490C" w:rsidP="00E72700">
            <w:pPr>
              <w:pStyle w:val="TSBHeaderSummary"/>
              <w:rPr>
                <w:highlight w:val="yellow"/>
              </w:rPr>
            </w:pPr>
            <w:r w:rsidRPr="00A64A41">
              <w:t xml:space="preserve">This is </w:t>
            </w:r>
            <w:r w:rsidR="001634D2" w:rsidRPr="00A64A41">
              <w:t>an informational liaison</w:t>
            </w:r>
            <w:r w:rsidR="001634D2">
              <w:t xml:space="preserve"> </w:t>
            </w:r>
            <w:r w:rsidR="001634D2" w:rsidRPr="00A64A41">
              <w:t xml:space="preserve">to TSAG </w:t>
            </w:r>
            <w:r w:rsidR="001634D2">
              <w:t xml:space="preserve">on </w:t>
            </w:r>
            <w:r w:rsidRPr="00A64A41">
              <w:t>the report of the SG15 EWM coordination team.</w:t>
            </w:r>
          </w:p>
        </w:tc>
      </w:tr>
    </w:tbl>
    <w:p w14:paraId="44B0529A" w14:textId="77777777" w:rsidR="0059490C" w:rsidRDefault="0059490C" w:rsidP="00F47577"/>
    <w:p w14:paraId="55765072" w14:textId="76E292BF" w:rsidR="00F47577" w:rsidRDefault="00F47577" w:rsidP="007E1AA3">
      <w:pPr>
        <w:jc w:val="both"/>
      </w:pPr>
      <w:r w:rsidRPr="00E72700">
        <w:t>The SG15 EWM team would like to inform you about the feedback received regarding the tools provided for support of the SG15 membership.</w:t>
      </w:r>
    </w:p>
    <w:p w14:paraId="6D249C06" w14:textId="30828F16" w:rsidR="00FC4B59" w:rsidRDefault="00FC4B59" w:rsidP="007E1AA3">
      <w:pPr>
        <w:jc w:val="both"/>
      </w:pPr>
    </w:p>
    <w:p w14:paraId="5C778796" w14:textId="77777777" w:rsidR="008129D7" w:rsidRDefault="008129D7" w:rsidP="008129D7">
      <w:pPr>
        <w:rPr>
          <w:u w:val="single"/>
        </w:rPr>
      </w:pPr>
      <w:bookmarkStart w:id="11" w:name="_Hlk98856042"/>
      <w:r>
        <w:rPr>
          <w:u w:val="single"/>
        </w:rPr>
        <w:t>Appointment of SG15 EWM coordinators</w:t>
      </w:r>
    </w:p>
    <w:p w14:paraId="709978E1" w14:textId="77777777" w:rsidR="008129D7" w:rsidRPr="001A3F3A" w:rsidRDefault="008129D7" w:rsidP="008129D7">
      <w:r>
        <w:t>The opening plenary meeting of SG15 on 19 September 2022 appointed the individuals below as SG15 EWM coordinators for the working parties indicated</w:t>
      </w:r>
    </w:p>
    <w:tbl>
      <w:tblPr>
        <w:tblStyle w:val="TableGrid"/>
        <w:tblW w:w="94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040"/>
        <w:gridCol w:w="3544"/>
      </w:tblGrid>
      <w:tr w:rsidR="008129D7" w14:paraId="128BA0D0" w14:textId="77777777" w:rsidTr="004F7439">
        <w:tc>
          <w:tcPr>
            <w:tcW w:w="900" w:type="dxa"/>
            <w:hideMark/>
          </w:tcPr>
          <w:p w14:paraId="4ABF4573" w14:textId="77777777" w:rsidR="008129D7" w:rsidRDefault="008129D7" w:rsidP="004F7439">
            <w:pPr>
              <w:tabs>
                <w:tab w:val="left" w:pos="794"/>
                <w:tab w:val="left" w:pos="1191"/>
                <w:tab w:val="left" w:pos="1588"/>
                <w:tab w:val="left" w:pos="1985"/>
              </w:tabs>
              <w:overflowPunct w:val="0"/>
              <w:autoSpaceDE w:val="0"/>
              <w:autoSpaceDN w:val="0"/>
              <w:adjustRightInd w:val="0"/>
              <w:rPr>
                <w:lang w:eastAsia="en-US"/>
              </w:rPr>
            </w:pPr>
            <w:r>
              <w:t>WP1:</w:t>
            </w:r>
          </w:p>
        </w:tc>
        <w:tc>
          <w:tcPr>
            <w:tcW w:w="5040" w:type="dxa"/>
            <w:hideMark/>
          </w:tcPr>
          <w:p w14:paraId="26D83468" w14:textId="77777777" w:rsidR="008129D7" w:rsidRDefault="008129D7" w:rsidP="004F7439">
            <w:pPr>
              <w:tabs>
                <w:tab w:val="left" w:pos="794"/>
                <w:tab w:val="left" w:pos="1191"/>
                <w:tab w:val="left" w:pos="1588"/>
                <w:tab w:val="left" w:pos="1985"/>
              </w:tabs>
              <w:overflowPunct w:val="0"/>
              <w:autoSpaceDE w:val="0"/>
              <w:autoSpaceDN w:val="0"/>
              <w:adjustRightInd w:val="0"/>
              <w:ind w:left="-107"/>
              <w:rPr>
                <w:lang w:eastAsia="en-US"/>
              </w:rPr>
            </w:pPr>
            <w:r w:rsidRPr="007D53A6">
              <w:t>Tony Zeng</w:t>
            </w:r>
            <w:r w:rsidRPr="00AF15E6">
              <w:t xml:space="preserve"> </w:t>
            </w:r>
          </w:p>
        </w:tc>
        <w:tc>
          <w:tcPr>
            <w:tcW w:w="3544" w:type="dxa"/>
            <w:hideMark/>
          </w:tcPr>
          <w:p w14:paraId="4F5F3546" w14:textId="77777777" w:rsidR="008129D7" w:rsidRDefault="00016088" w:rsidP="004F7439">
            <w:pPr>
              <w:tabs>
                <w:tab w:val="left" w:pos="794"/>
                <w:tab w:val="left" w:pos="1191"/>
                <w:tab w:val="left" w:pos="1588"/>
                <w:tab w:val="left" w:pos="1985"/>
              </w:tabs>
              <w:overflowPunct w:val="0"/>
              <w:autoSpaceDE w:val="0"/>
              <w:autoSpaceDN w:val="0"/>
              <w:adjustRightInd w:val="0"/>
              <w:rPr>
                <w:lang w:eastAsia="en-US"/>
              </w:rPr>
            </w:pPr>
            <w:hyperlink r:id="rId15" w:history="1">
              <w:r w:rsidR="008129D7" w:rsidRPr="00FB1EEC">
                <w:rPr>
                  <w:rStyle w:val="Hyperlink"/>
                </w:rPr>
                <w:t>tony.zengyan@huawei.com</w:t>
              </w:r>
            </w:hyperlink>
            <w:r w:rsidR="008129D7">
              <w:t xml:space="preserve"> </w:t>
            </w:r>
          </w:p>
        </w:tc>
      </w:tr>
      <w:tr w:rsidR="008129D7" w14:paraId="054F4A19" w14:textId="77777777" w:rsidTr="004F7439">
        <w:tc>
          <w:tcPr>
            <w:tcW w:w="900" w:type="dxa"/>
            <w:hideMark/>
          </w:tcPr>
          <w:p w14:paraId="11A51200" w14:textId="77777777" w:rsidR="008129D7" w:rsidRDefault="008129D7" w:rsidP="004F7439">
            <w:pPr>
              <w:tabs>
                <w:tab w:val="left" w:pos="794"/>
                <w:tab w:val="left" w:pos="1191"/>
                <w:tab w:val="left" w:pos="1588"/>
                <w:tab w:val="left" w:pos="1985"/>
              </w:tabs>
              <w:overflowPunct w:val="0"/>
              <w:autoSpaceDE w:val="0"/>
              <w:autoSpaceDN w:val="0"/>
              <w:adjustRightInd w:val="0"/>
              <w:rPr>
                <w:lang w:eastAsia="en-US"/>
              </w:rPr>
            </w:pPr>
            <w:r>
              <w:t>WP2:</w:t>
            </w:r>
          </w:p>
        </w:tc>
        <w:tc>
          <w:tcPr>
            <w:tcW w:w="5040" w:type="dxa"/>
            <w:hideMark/>
          </w:tcPr>
          <w:p w14:paraId="04B03397" w14:textId="77777777" w:rsidR="008129D7" w:rsidRDefault="008129D7" w:rsidP="004F7439">
            <w:pPr>
              <w:tabs>
                <w:tab w:val="left" w:pos="794"/>
                <w:tab w:val="left" w:pos="1191"/>
                <w:tab w:val="left" w:pos="1588"/>
                <w:tab w:val="left" w:pos="1985"/>
              </w:tabs>
              <w:overflowPunct w:val="0"/>
              <w:autoSpaceDE w:val="0"/>
              <w:autoSpaceDN w:val="0"/>
              <w:adjustRightInd w:val="0"/>
              <w:ind w:left="-107"/>
              <w:rPr>
                <w:lang w:eastAsia="en-US"/>
              </w:rPr>
            </w:pPr>
            <w:r>
              <w:t xml:space="preserve">Paul Doolan </w:t>
            </w:r>
          </w:p>
        </w:tc>
        <w:tc>
          <w:tcPr>
            <w:tcW w:w="3544" w:type="dxa"/>
            <w:hideMark/>
          </w:tcPr>
          <w:p w14:paraId="76B7D40F" w14:textId="77777777" w:rsidR="008129D7" w:rsidRPr="00325BFC" w:rsidRDefault="00016088" w:rsidP="004F7439">
            <w:pPr>
              <w:tabs>
                <w:tab w:val="left" w:pos="794"/>
                <w:tab w:val="left" w:pos="1191"/>
                <w:tab w:val="left" w:pos="1588"/>
                <w:tab w:val="left" w:pos="1985"/>
              </w:tabs>
              <w:overflowPunct w:val="0"/>
              <w:autoSpaceDE w:val="0"/>
              <w:autoSpaceDN w:val="0"/>
              <w:adjustRightInd w:val="0"/>
              <w:rPr>
                <w:u w:val="single"/>
                <w:lang w:eastAsia="en-US"/>
              </w:rPr>
            </w:pPr>
            <w:hyperlink r:id="rId16" w:history="1">
              <w:r w:rsidR="008129D7" w:rsidRPr="00FB1EEC">
                <w:rPr>
                  <w:rStyle w:val="Hyperlink"/>
                </w:rPr>
                <w:t>pdoolan@infinera.com</w:t>
              </w:r>
            </w:hyperlink>
          </w:p>
        </w:tc>
      </w:tr>
      <w:tr w:rsidR="008129D7" w14:paraId="07F764FA" w14:textId="77777777" w:rsidTr="004F7439">
        <w:tc>
          <w:tcPr>
            <w:tcW w:w="900" w:type="dxa"/>
            <w:hideMark/>
          </w:tcPr>
          <w:p w14:paraId="4DDA644B" w14:textId="77777777" w:rsidR="008129D7" w:rsidRDefault="008129D7" w:rsidP="004F7439">
            <w:pPr>
              <w:tabs>
                <w:tab w:val="left" w:pos="794"/>
                <w:tab w:val="left" w:pos="1191"/>
                <w:tab w:val="left" w:pos="1588"/>
                <w:tab w:val="left" w:pos="1985"/>
              </w:tabs>
              <w:overflowPunct w:val="0"/>
              <w:autoSpaceDE w:val="0"/>
              <w:autoSpaceDN w:val="0"/>
              <w:adjustRightInd w:val="0"/>
              <w:rPr>
                <w:lang w:eastAsia="en-US"/>
              </w:rPr>
            </w:pPr>
            <w:r>
              <w:t>WP3:</w:t>
            </w:r>
          </w:p>
        </w:tc>
        <w:tc>
          <w:tcPr>
            <w:tcW w:w="5040" w:type="dxa"/>
            <w:hideMark/>
          </w:tcPr>
          <w:p w14:paraId="4E466876" w14:textId="77777777" w:rsidR="008129D7" w:rsidRDefault="008129D7" w:rsidP="004F7439">
            <w:pPr>
              <w:tabs>
                <w:tab w:val="left" w:pos="794"/>
                <w:tab w:val="left" w:pos="1191"/>
                <w:tab w:val="left" w:pos="1588"/>
                <w:tab w:val="left" w:pos="1985"/>
              </w:tabs>
              <w:overflowPunct w:val="0"/>
              <w:autoSpaceDE w:val="0"/>
              <w:autoSpaceDN w:val="0"/>
              <w:adjustRightInd w:val="0"/>
              <w:ind w:left="-107"/>
              <w:rPr>
                <w:lang w:eastAsia="en-US"/>
              </w:rPr>
            </w:pPr>
            <w:r>
              <w:t xml:space="preserve">Jessy </w:t>
            </w:r>
            <w:proofErr w:type="spellStart"/>
            <w:r>
              <w:t>Rouyer</w:t>
            </w:r>
            <w:proofErr w:type="spellEnd"/>
            <w:r>
              <w:t xml:space="preserve"> (for Sep. 2022 plenary meeting only)</w:t>
            </w:r>
          </w:p>
        </w:tc>
        <w:tc>
          <w:tcPr>
            <w:tcW w:w="3544" w:type="dxa"/>
            <w:hideMark/>
          </w:tcPr>
          <w:p w14:paraId="7E226130" w14:textId="77777777" w:rsidR="008129D7" w:rsidRDefault="00016088" w:rsidP="004F7439">
            <w:pPr>
              <w:tabs>
                <w:tab w:val="left" w:pos="794"/>
                <w:tab w:val="left" w:pos="1191"/>
                <w:tab w:val="left" w:pos="1588"/>
                <w:tab w:val="left" w:pos="1985"/>
              </w:tabs>
              <w:overflowPunct w:val="0"/>
              <w:autoSpaceDE w:val="0"/>
              <w:autoSpaceDN w:val="0"/>
              <w:adjustRightInd w:val="0"/>
              <w:rPr>
                <w:lang w:eastAsia="en-US"/>
              </w:rPr>
            </w:pPr>
            <w:hyperlink r:id="rId17" w:history="1">
              <w:r w:rsidR="008129D7" w:rsidRPr="00FB1EEC">
                <w:rPr>
                  <w:rStyle w:val="Hyperlink"/>
                </w:rPr>
                <w:t>jessy.rouyer@nokia.com</w:t>
              </w:r>
            </w:hyperlink>
          </w:p>
        </w:tc>
      </w:tr>
    </w:tbl>
    <w:p w14:paraId="38E98C15" w14:textId="77777777" w:rsidR="008129D7" w:rsidRDefault="008129D7" w:rsidP="008129D7"/>
    <w:p w14:paraId="72AFE37C" w14:textId="77777777" w:rsidR="008129D7" w:rsidRDefault="008129D7" w:rsidP="008129D7">
      <w:r>
        <w:t xml:space="preserve">The EWM coordination team nominated Mr Paul Doolan as </w:t>
      </w:r>
      <w:r w:rsidRPr="001A3F3A">
        <w:t>EWM Rapporteur</w:t>
      </w:r>
      <w:r>
        <w:t>.</w:t>
      </w:r>
    </w:p>
    <w:p w14:paraId="60B6EE6D" w14:textId="77777777" w:rsidR="008129D7" w:rsidRDefault="008129D7" w:rsidP="008129D7">
      <w:pPr>
        <w:rPr>
          <w:u w:val="single"/>
        </w:rPr>
      </w:pPr>
    </w:p>
    <w:p w14:paraId="64E5B877" w14:textId="77777777" w:rsidR="008129D7" w:rsidRPr="001A3F3A" w:rsidRDefault="008129D7" w:rsidP="008129D7">
      <w:r>
        <w:t xml:space="preserve">The EWM team solicits input via email to the questions and through in person discussion with colleagues. </w:t>
      </w:r>
    </w:p>
    <w:p w14:paraId="5BE2AA82" w14:textId="77777777" w:rsidR="008129D7" w:rsidRDefault="008129D7" w:rsidP="008129D7">
      <w:pPr>
        <w:rPr>
          <w:highlight w:val="green"/>
        </w:rPr>
      </w:pPr>
    </w:p>
    <w:p w14:paraId="21B4320B" w14:textId="77777777" w:rsidR="008129D7" w:rsidRDefault="008129D7" w:rsidP="008129D7">
      <w:r>
        <w:rPr>
          <w:u w:val="single"/>
        </w:rPr>
        <w:t>ITU-T Facilities</w:t>
      </w:r>
    </w:p>
    <w:p w14:paraId="18F08A4B" w14:textId="77777777" w:rsidR="008129D7" w:rsidRPr="00AB4D66" w:rsidRDefault="008129D7" w:rsidP="008129D7">
      <w:pPr>
        <w:jc w:val="both"/>
      </w:pPr>
      <w:r w:rsidRPr="00AB4D66">
        <w:t xml:space="preserve">Many of us, </w:t>
      </w:r>
      <w:r>
        <w:t xml:space="preserve">including delegates, </w:t>
      </w:r>
      <w:r w:rsidRPr="00AB4D66">
        <w:t>Rapporteurs, Vice</w:t>
      </w:r>
      <w:r>
        <w:t>-</w:t>
      </w:r>
      <w:r w:rsidRPr="00AB4D66">
        <w:t xml:space="preserve">Chairs, Chairmen, </w:t>
      </w:r>
      <w:r>
        <w:t>a</w:t>
      </w:r>
      <w:r w:rsidRPr="00AB4D66">
        <w:t xml:space="preserve">re very pleased to again be able to use the ITU’s excellent meeting facilities. The room equipment and supporting staff help make </w:t>
      </w:r>
      <w:r w:rsidRPr="00AB4D66">
        <w:lastRenderedPageBreak/>
        <w:t>in</w:t>
      </w:r>
      <w:r>
        <w:t>-</w:t>
      </w:r>
      <w:r w:rsidRPr="00AB4D66">
        <w:t>person, in</w:t>
      </w:r>
      <w:r>
        <w:t>-</w:t>
      </w:r>
      <w:r w:rsidRPr="00AB4D66">
        <w:t xml:space="preserve">room meetings very efficient. </w:t>
      </w:r>
      <w:r>
        <w:t xml:space="preserve">In comparison, </w:t>
      </w:r>
      <w:r w:rsidRPr="00AB4D66">
        <w:t xml:space="preserve">CICG facilities </w:t>
      </w:r>
      <w:r>
        <w:t xml:space="preserve">are not as </w:t>
      </w:r>
      <w:r w:rsidRPr="00AB4D66">
        <w:t>good in several respects</w:t>
      </w:r>
      <w:r>
        <w:t>,</w:t>
      </w:r>
      <w:r w:rsidRPr="00AB4D66">
        <w:t xml:space="preserve"> e.g</w:t>
      </w:r>
      <w:r>
        <w:t>.,</w:t>
      </w:r>
      <w:r w:rsidRPr="00AB4D66">
        <w:t xml:space="preserve"> </w:t>
      </w:r>
      <w:r>
        <w:t>some</w:t>
      </w:r>
      <w:r w:rsidRPr="00AB4D66">
        <w:t xml:space="preserve"> displays</w:t>
      </w:r>
      <w:r>
        <w:t xml:space="preserve"> or</w:t>
      </w:r>
      <w:r w:rsidRPr="00AB4D66">
        <w:t xml:space="preserve"> the lack of microphones</w:t>
      </w:r>
      <w:r>
        <w:t xml:space="preserve"> at every seat</w:t>
      </w:r>
      <w:r w:rsidRPr="00AB4D66">
        <w:t>.</w:t>
      </w:r>
    </w:p>
    <w:p w14:paraId="5EF61EDC" w14:textId="77777777" w:rsidR="008129D7" w:rsidRPr="00AB4D66" w:rsidRDefault="008129D7" w:rsidP="008129D7">
      <w:pPr>
        <w:jc w:val="both"/>
      </w:pPr>
      <w:r w:rsidRPr="00AB4D66">
        <w:t>The hybrid meeting format caused some, perhaps unavoidable</w:t>
      </w:r>
      <w:r>
        <w:t>,</w:t>
      </w:r>
      <w:r w:rsidRPr="00AB4D66">
        <w:t xml:space="preserve"> difficulties with coordinati</w:t>
      </w:r>
      <w:r>
        <w:t>ng</w:t>
      </w:r>
      <w:r w:rsidRPr="00AB4D66">
        <w:t xml:space="preserve"> </w:t>
      </w:r>
      <w:proofErr w:type="spellStart"/>
      <w:r w:rsidRPr="00AB4D66">
        <w:t>MyWorkspace</w:t>
      </w:r>
      <w:proofErr w:type="spellEnd"/>
      <w:r w:rsidRPr="00AB4D66">
        <w:t xml:space="preserve"> E-meeting display</w:t>
      </w:r>
      <w:r>
        <w:t>s</w:t>
      </w:r>
      <w:r w:rsidRPr="00AB4D66">
        <w:t xml:space="preserve"> with in-room displays. The onsite availability of ITU/CICG staff facilitated greatly pre</w:t>
      </w:r>
      <w:r>
        <w:t>-</w:t>
      </w:r>
      <w:r w:rsidRPr="00AB4D66">
        <w:t>meeting setup for those conducting the meetings</w:t>
      </w:r>
      <w:r>
        <w:t>.</w:t>
      </w:r>
    </w:p>
    <w:p w14:paraId="230ABFEE" w14:textId="77777777" w:rsidR="008129D7" w:rsidRPr="00A64A41" w:rsidRDefault="008129D7" w:rsidP="008129D7">
      <w:pPr>
        <w:jc w:val="both"/>
      </w:pPr>
      <w:r w:rsidRPr="00AB4D66">
        <w:t xml:space="preserve">Our experience suggests that extending via HDMI the desktop of the person conducting </w:t>
      </w:r>
      <w:r>
        <w:t>a</w:t>
      </w:r>
      <w:r w:rsidRPr="00AB4D66">
        <w:t xml:space="preserve"> meeting to a second screen (projector/monitor) while retaining the </w:t>
      </w:r>
      <w:proofErr w:type="spellStart"/>
      <w:r w:rsidRPr="00AB4D66">
        <w:t>MyWorkspace</w:t>
      </w:r>
      <w:proofErr w:type="spellEnd"/>
      <w:r w:rsidRPr="00AB4D66">
        <w:t xml:space="preserve"> </w:t>
      </w:r>
      <w:proofErr w:type="spellStart"/>
      <w:r w:rsidRPr="00AB4D66">
        <w:t>E-meetings</w:t>
      </w:r>
      <w:proofErr w:type="spellEnd"/>
      <w:r w:rsidRPr="00AB4D66">
        <w:t xml:space="preserve"> chat, floor request </w:t>
      </w:r>
      <w:r>
        <w:t xml:space="preserve">and attendees lists </w:t>
      </w:r>
      <w:r w:rsidRPr="00AB4D66">
        <w:t>on that desktop, allows displaying documents publicly while also allowing that person to use a private work area. This is somewhat complicated by the fact that we all have different computers and different interfaces. As such</w:t>
      </w:r>
      <w:r>
        <w:t xml:space="preserve">, </w:t>
      </w:r>
      <w:r w:rsidRPr="00AB4D66">
        <w:t>ITU/CICG staff support/guidance for example during pre</w:t>
      </w:r>
      <w:r>
        <w:t>-</w:t>
      </w:r>
      <w:r w:rsidRPr="00AB4D66">
        <w:t xml:space="preserve">plenary coordination meetings might be of help and lessen the load on said staff during the plenary. We reiterate that the support received </w:t>
      </w:r>
      <w:r w:rsidRPr="00A64A41">
        <w:t xml:space="preserve">during the plenary </w:t>
      </w:r>
      <w:r w:rsidRPr="00AB4D66">
        <w:t>from ITU</w:t>
      </w:r>
      <w:r>
        <w:t>/CICG</w:t>
      </w:r>
      <w:r w:rsidRPr="00AB4D66">
        <w:t xml:space="preserve"> staff in this regard</w:t>
      </w:r>
      <w:r>
        <w:t xml:space="preserve">, especially </w:t>
      </w:r>
      <w:r w:rsidRPr="00A64A41">
        <w:t>from Ilia Londo and Carlos Munoz</w:t>
      </w:r>
      <w:r>
        <w:t>,</w:t>
      </w:r>
      <w:r w:rsidRPr="00A64A41">
        <w:t xml:space="preserve"> was exemplary and we extend them our thanks.</w:t>
      </w:r>
    </w:p>
    <w:p w14:paraId="6E71D76A" w14:textId="77777777" w:rsidR="008129D7" w:rsidRDefault="008129D7" w:rsidP="008129D7">
      <w:pPr>
        <w:rPr>
          <w:highlight w:val="green"/>
        </w:rPr>
      </w:pPr>
    </w:p>
    <w:p w14:paraId="2061E210" w14:textId="77777777" w:rsidR="008129D7" w:rsidRPr="00AB4D66" w:rsidRDefault="008129D7" w:rsidP="008129D7">
      <w:pPr>
        <w:jc w:val="both"/>
        <w:rPr>
          <w:u w:val="single"/>
        </w:rPr>
      </w:pPr>
      <w:r w:rsidRPr="00AB4D66">
        <w:rPr>
          <w:u w:val="single"/>
        </w:rPr>
        <w:t xml:space="preserve">Coordination with ITU ICT staff </w:t>
      </w:r>
    </w:p>
    <w:p w14:paraId="662A50A8" w14:textId="77777777" w:rsidR="008129D7" w:rsidRDefault="008129D7" w:rsidP="008129D7">
      <w:pPr>
        <w:jc w:val="both"/>
      </w:pPr>
      <w:r w:rsidRPr="00AB4D66">
        <w:t xml:space="preserve">We think it would be useful for EWM coordinators to be able to dialog directly with ITU ICT staff. For example, a desire was expressed for tables of TDs </w:t>
      </w:r>
      <w:r>
        <w:t xml:space="preserve">or Contributions </w:t>
      </w:r>
      <w:r w:rsidRPr="00AB4D66">
        <w:t>to be easily extractable to Excel</w:t>
      </w:r>
      <w:r>
        <w:t>. (E</w:t>
      </w:r>
      <w:r w:rsidRPr="00A02F0B">
        <w:t>liminating rogue carriage returns in the TD number column of such table and/or providing an export feature of such table in CSV or Excel format would help</w:t>
      </w:r>
      <w:r>
        <w:t>.</w:t>
      </w:r>
      <w:r w:rsidRPr="00A02F0B">
        <w:t xml:space="preserve">) </w:t>
      </w:r>
      <w:r w:rsidRPr="00AB4D66">
        <w:t>Dialog would allow us to quickly determine the feasibility of such requests.</w:t>
      </w:r>
      <w:r>
        <w:t xml:space="preserve"> In fact, we had such an ad hoc discussion this week, and one of the ITU ICT staff was able to point out the existence of a tool of which we were unaware.</w:t>
      </w:r>
    </w:p>
    <w:p w14:paraId="00653CDD" w14:textId="77777777" w:rsidR="008129D7" w:rsidRDefault="008129D7" w:rsidP="008129D7">
      <w:pPr>
        <w:rPr>
          <w:highlight w:val="green"/>
        </w:rPr>
      </w:pPr>
    </w:p>
    <w:p w14:paraId="46DC991E" w14:textId="77777777" w:rsidR="008129D7" w:rsidRDefault="008129D7" w:rsidP="008129D7">
      <w:pPr>
        <w:keepNext/>
        <w:jc w:val="both"/>
        <w:rPr>
          <w:u w:val="single"/>
        </w:rPr>
      </w:pPr>
      <w:r>
        <w:rPr>
          <w:u w:val="single"/>
        </w:rPr>
        <w:t>Sync tool</w:t>
      </w:r>
    </w:p>
    <w:p w14:paraId="17EADB89" w14:textId="77777777" w:rsidR="008129D7" w:rsidRPr="00A64A41" w:rsidRDefault="008129D7" w:rsidP="008129D7">
      <w:pPr>
        <w:jc w:val="both"/>
      </w:pPr>
      <w:r w:rsidRPr="00A64A41">
        <w:t xml:space="preserve">The </w:t>
      </w:r>
      <w:r>
        <w:t>Sync</w:t>
      </w:r>
      <w:r w:rsidRPr="00A64A41">
        <w:t xml:space="preserve"> tool is appreciated</w:t>
      </w:r>
      <w:r>
        <w:t xml:space="preserve"> and appears to be used by several WP3 participants</w:t>
      </w:r>
      <w:r w:rsidRPr="00A64A41">
        <w:t>; however, Mac users reported difficulties in using it.</w:t>
      </w:r>
    </w:p>
    <w:p w14:paraId="27F4CB25" w14:textId="77777777" w:rsidR="008129D7" w:rsidRDefault="008129D7" w:rsidP="008129D7">
      <w:r w:rsidRPr="001E1818">
        <w:t xml:space="preserve">The FTP protocol (FTP with implicit encryption) supported in the </w:t>
      </w:r>
      <w:r>
        <w:t>Sync</w:t>
      </w:r>
      <w:r w:rsidRPr="001E1818">
        <w:t xml:space="preserve"> tool is not friendly to corporate firewalls as it uses multiple ports (one for authentication, another for control, and then various dynamic for data transfer) that </w:t>
      </w:r>
      <w:proofErr w:type="gramStart"/>
      <w:r w:rsidRPr="001E1818">
        <w:t>have to</w:t>
      </w:r>
      <w:proofErr w:type="gramEnd"/>
      <w:r w:rsidRPr="001E1818">
        <w:t xml:space="preserve"> be opened. Upgrading the Sync tool to use SFTP on a single port with current security protocols would be welcomed.</w:t>
      </w:r>
    </w:p>
    <w:p w14:paraId="75222301" w14:textId="77777777" w:rsidR="008129D7" w:rsidRDefault="008129D7" w:rsidP="008129D7">
      <w:pPr>
        <w:rPr>
          <w:highlight w:val="green"/>
        </w:rPr>
      </w:pPr>
    </w:p>
    <w:p w14:paraId="39A5D207" w14:textId="77777777" w:rsidR="008129D7" w:rsidRPr="00A02F0B" w:rsidRDefault="008129D7" w:rsidP="008129D7">
      <w:pPr>
        <w:jc w:val="both"/>
        <w:rPr>
          <w:u w:val="single"/>
        </w:rPr>
      </w:pPr>
      <w:r w:rsidRPr="00A02F0B">
        <w:rPr>
          <w:u w:val="single"/>
        </w:rPr>
        <w:t>IFA</w:t>
      </w:r>
    </w:p>
    <w:p w14:paraId="29772957" w14:textId="77777777" w:rsidR="008129D7" w:rsidRPr="00A02F0B" w:rsidRDefault="008129D7" w:rsidP="008129D7">
      <w:pPr>
        <w:jc w:val="both"/>
      </w:pPr>
      <w:r w:rsidRPr="00A02F0B">
        <w:t>A majority of WP3 participants are used to IFA and appreciate the ability to easily download or sync entire directories to</w:t>
      </w:r>
      <w:r>
        <w:t xml:space="preserve"> or </w:t>
      </w:r>
      <w:r w:rsidRPr="00A02F0B">
        <w:t>from their computer</w:t>
      </w:r>
      <w:r>
        <w:t xml:space="preserve"> using FTP</w:t>
      </w:r>
      <w:r w:rsidRPr="00A02F0B">
        <w:t>.</w:t>
      </w:r>
      <w:r>
        <w:t xml:space="preserve"> </w:t>
      </w:r>
    </w:p>
    <w:p w14:paraId="5B79BD6E" w14:textId="77777777" w:rsidR="008129D7" w:rsidRPr="00A02F0B" w:rsidRDefault="008129D7" w:rsidP="008129D7">
      <w:pPr>
        <w:jc w:val="both"/>
      </w:pPr>
      <w:r>
        <w:t xml:space="preserve">The qxx_index.htm IFA file for each Question is troublesome to create and maintain. </w:t>
      </w:r>
      <w:r w:rsidRPr="00A02F0B">
        <w:t xml:space="preserve">It may be worth exploring if any tooling could help alleviate this burden: for example, other material (the Work Programme, AAP pages, TAP pages) </w:t>
      </w:r>
      <w:r>
        <w:t xml:space="preserve">could potentially </w:t>
      </w:r>
      <w:r w:rsidRPr="00A02F0B">
        <w:t xml:space="preserve">be repurposed to eliminate </w:t>
      </w:r>
      <w:r>
        <w:t>the need to manually</w:t>
      </w:r>
      <w:r w:rsidRPr="00A02F0B">
        <w:t xml:space="preserve"> edit document</w:t>
      </w:r>
      <w:r>
        <w:t>’s</w:t>
      </w:r>
      <w:r w:rsidRPr="00A02F0B">
        <w:t xml:space="preserve"> status in th</w:t>
      </w:r>
      <w:r>
        <w:t>is</w:t>
      </w:r>
      <w:r w:rsidRPr="00A02F0B">
        <w:t xml:space="preserve"> index file</w:t>
      </w:r>
      <w:r>
        <w:t>.</w:t>
      </w:r>
    </w:p>
    <w:p w14:paraId="68650218" w14:textId="77777777" w:rsidR="008129D7" w:rsidRDefault="008129D7" w:rsidP="008129D7">
      <w:pPr>
        <w:rPr>
          <w:highlight w:val="green"/>
        </w:rPr>
      </w:pPr>
    </w:p>
    <w:p w14:paraId="060E4A75" w14:textId="77777777" w:rsidR="008129D7" w:rsidRPr="00DC167C" w:rsidRDefault="008129D7" w:rsidP="008129D7">
      <w:pPr>
        <w:keepNext/>
        <w:rPr>
          <w:u w:val="single"/>
        </w:rPr>
      </w:pPr>
      <w:r w:rsidRPr="00DC167C">
        <w:rPr>
          <w:u w:val="single"/>
        </w:rPr>
        <w:t xml:space="preserve">SG15 </w:t>
      </w:r>
      <w:r w:rsidRPr="005B3C11">
        <w:rPr>
          <w:u w:val="single"/>
        </w:rPr>
        <w:t xml:space="preserve">Rapporteur Group Meeting (RGM) </w:t>
      </w:r>
      <w:r w:rsidRPr="00DC167C">
        <w:rPr>
          <w:u w:val="single"/>
        </w:rPr>
        <w:t>SharePoint</w:t>
      </w:r>
    </w:p>
    <w:p w14:paraId="6D4B2805" w14:textId="77777777" w:rsidR="008129D7" w:rsidRDefault="008129D7" w:rsidP="008129D7">
      <w:pPr>
        <w:pStyle w:val="NormalWeb"/>
        <w:jc w:val="both"/>
        <w:rPr>
          <w:lang w:val="en-US"/>
        </w:rPr>
      </w:pPr>
      <w:r>
        <w:rPr>
          <w:lang w:val="en-US"/>
        </w:rPr>
        <w:t xml:space="preserve">Mr. Van Der </w:t>
      </w:r>
      <w:proofErr w:type="spellStart"/>
      <w:r>
        <w:rPr>
          <w:lang w:val="en-US"/>
        </w:rPr>
        <w:t>Putten</w:t>
      </w:r>
      <w:proofErr w:type="spellEnd"/>
      <w:r>
        <w:rPr>
          <w:lang w:val="en-US"/>
        </w:rPr>
        <w:t xml:space="preserve"> gave a tutorial at this plenary meeting on the experience of Q4 with SharePoint. In addition, TSB reposted TD74/GEN from the 2017-2021 Study Period as TD87/GEN that presents a new RGM document management system also referencing SharePoint.</w:t>
      </w:r>
    </w:p>
    <w:p w14:paraId="774B2686" w14:textId="77777777" w:rsidR="008129D7" w:rsidRPr="00F47577" w:rsidRDefault="008129D7" w:rsidP="008129D7">
      <w:pPr>
        <w:pStyle w:val="NormalWeb"/>
        <w:jc w:val="both"/>
        <w:rPr>
          <w:lang w:val="en-US"/>
        </w:rPr>
      </w:pPr>
      <w:r>
        <w:rPr>
          <w:lang w:val="en-US"/>
        </w:rPr>
        <w:lastRenderedPageBreak/>
        <w:t xml:space="preserve">At this </w:t>
      </w:r>
      <w:r w:rsidRPr="00F47577">
        <w:rPr>
          <w:lang w:val="en-US"/>
        </w:rPr>
        <w:t xml:space="preserve">time, Q3 and Q4 have used the </w:t>
      </w:r>
      <w:r>
        <w:rPr>
          <w:lang w:val="en-US"/>
        </w:rPr>
        <w:t xml:space="preserve">SG15 </w:t>
      </w:r>
      <w:r w:rsidRPr="00F47577">
        <w:rPr>
          <w:lang w:val="en-US"/>
        </w:rPr>
        <w:t xml:space="preserve">RGM SharePoint. </w:t>
      </w:r>
      <w:r>
        <w:rPr>
          <w:lang w:val="en-US"/>
        </w:rPr>
        <w:t>Permission to upload a document needs to be authorized by TSB. A Rapporteur should be able to directly assign permissions to a new editor to upload documents as part of the functionality provided by the SharePoint interface.</w:t>
      </w:r>
      <w:r w:rsidRPr="00F47577">
        <w:rPr>
          <w:lang w:val="en-US"/>
        </w:rPr>
        <w:t xml:space="preserve"> </w:t>
      </w:r>
    </w:p>
    <w:p w14:paraId="1911D34D" w14:textId="77777777" w:rsidR="008129D7" w:rsidRDefault="008129D7" w:rsidP="008129D7">
      <w:pPr>
        <w:rPr>
          <w:highlight w:val="green"/>
        </w:rPr>
      </w:pPr>
    </w:p>
    <w:p w14:paraId="5BE3E4BF" w14:textId="77777777" w:rsidR="008129D7" w:rsidRPr="00B90218" w:rsidRDefault="008129D7" w:rsidP="008129D7">
      <w:pPr>
        <w:pStyle w:val="NormalWeb"/>
        <w:jc w:val="both"/>
        <w:rPr>
          <w:lang w:val="en-US"/>
        </w:rPr>
      </w:pPr>
      <w:proofErr w:type="spellStart"/>
      <w:r>
        <w:rPr>
          <w:u w:val="single"/>
        </w:rPr>
        <w:t>MyWorkspace</w:t>
      </w:r>
      <w:proofErr w:type="spellEnd"/>
    </w:p>
    <w:p w14:paraId="50CB60EE" w14:textId="77777777" w:rsidR="008129D7" w:rsidRDefault="008129D7" w:rsidP="008129D7">
      <w:pPr>
        <w:spacing w:before="0"/>
        <w:jc w:val="both"/>
      </w:pPr>
      <w:r w:rsidRPr="00E86170">
        <w:t xml:space="preserve">It was reported that </w:t>
      </w:r>
      <w:proofErr w:type="spellStart"/>
      <w:r w:rsidRPr="00E86170">
        <w:t>MyWorkspace</w:t>
      </w:r>
      <w:proofErr w:type="spellEnd"/>
      <w:r w:rsidRPr="00E86170">
        <w:t xml:space="preserve"> screen sharing may randomly cease to operate. The functionality appeared to be more stable in Google Chrome than in other browsers though it should operate equally well on all </w:t>
      </w:r>
      <w:r>
        <w:t>supported</w:t>
      </w:r>
      <w:r w:rsidRPr="00E86170">
        <w:t xml:space="preserve"> platforms.</w:t>
      </w:r>
    </w:p>
    <w:p w14:paraId="255279BB" w14:textId="77777777" w:rsidR="008129D7" w:rsidRDefault="008129D7" w:rsidP="008129D7">
      <w:pPr>
        <w:spacing w:before="0"/>
      </w:pPr>
    </w:p>
    <w:p w14:paraId="6814CAA8" w14:textId="77777777" w:rsidR="008129D7" w:rsidRDefault="008129D7" w:rsidP="008129D7">
      <w:pPr>
        <w:spacing w:before="0"/>
        <w:jc w:val="both"/>
      </w:pPr>
      <w:r w:rsidRPr="00C624D6">
        <w:t xml:space="preserve">It was suggested that a participant should be able to join a meeting without using a microphone while still being able to raise their “hand” in </w:t>
      </w:r>
      <w:proofErr w:type="spellStart"/>
      <w:r w:rsidRPr="00C624D6">
        <w:t>MyWorkspace</w:t>
      </w:r>
      <w:proofErr w:type="spellEnd"/>
      <w:r w:rsidRPr="00C624D6">
        <w:t xml:space="preserve"> to request the floor. Not using a microphone is desirable to avoid conflicting with in-room audio. Alternatives to this include signalling in the chat</w:t>
      </w:r>
      <w:r>
        <w:t xml:space="preserve"> </w:t>
      </w:r>
      <w:r w:rsidRPr="00C624D6">
        <w:t xml:space="preserve">the desire to join the queue using for example ‘+q’ or ‘-q’ </w:t>
      </w:r>
      <w:r>
        <w:t xml:space="preserve">although this requires pre-agreement and does not take advantage of the </w:t>
      </w:r>
      <w:proofErr w:type="spellStart"/>
      <w:r>
        <w:t>MyWorkspace</w:t>
      </w:r>
      <w:proofErr w:type="spellEnd"/>
      <w:r>
        <w:t xml:space="preserve"> feature.</w:t>
      </w:r>
    </w:p>
    <w:p w14:paraId="00AF7311" w14:textId="77777777" w:rsidR="008129D7" w:rsidRPr="003D6B60" w:rsidRDefault="008129D7" w:rsidP="008129D7">
      <w:pPr>
        <w:rPr>
          <w:highlight w:val="green"/>
        </w:rPr>
      </w:pPr>
    </w:p>
    <w:p w14:paraId="65DDF318" w14:textId="77777777" w:rsidR="008129D7" w:rsidRPr="00C93C0E" w:rsidRDefault="008129D7" w:rsidP="008129D7">
      <w:pPr>
        <w:keepNext/>
        <w:rPr>
          <w:u w:val="single"/>
          <w:lang w:val="en-US"/>
        </w:rPr>
      </w:pPr>
      <w:r w:rsidRPr="00C93C0E">
        <w:rPr>
          <w:u w:val="single"/>
          <w:lang w:val="en-US"/>
        </w:rPr>
        <w:t>ITU-T SG15 web pages</w:t>
      </w:r>
    </w:p>
    <w:p w14:paraId="0EC3C819" w14:textId="77777777" w:rsidR="008129D7" w:rsidRDefault="008129D7" w:rsidP="008129D7">
      <w:pPr>
        <w:jc w:val="both"/>
        <w:rPr>
          <w:color w:val="000000" w:themeColor="text1"/>
        </w:rPr>
      </w:pPr>
      <w:r w:rsidRPr="0031086C">
        <w:rPr>
          <w:color w:val="000000" w:themeColor="text1"/>
        </w:rPr>
        <w:t>It was noticed that</w:t>
      </w:r>
      <w:r>
        <w:rPr>
          <w:color w:val="000000" w:themeColor="text1"/>
        </w:rPr>
        <w:t>,</w:t>
      </w:r>
      <w:r w:rsidRPr="0031086C">
        <w:rPr>
          <w:color w:val="000000" w:themeColor="text1"/>
        </w:rPr>
        <w:t xml:space="preserve"> </w:t>
      </w:r>
      <w:r>
        <w:rPr>
          <w:color w:val="000000" w:themeColor="text1"/>
        </w:rPr>
        <w:t>when searching the internet for “ITU-T SG15”, the ITU-T SG15 web page for the previous study period shows up instead of that for the current study period. Although a red link provides access to the latter on the former, s</w:t>
      </w:r>
      <w:r w:rsidRPr="00A64A41">
        <w:rPr>
          <w:color w:val="000000" w:themeColor="text1"/>
        </w:rPr>
        <w:t>earch engine optimization</w:t>
      </w:r>
      <w:r>
        <w:rPr>
          <w:color w:val="000000" w:themeColor="text1"/>
        </w:rPr>
        <w:t xml:space="preserve"> may be needed to point internet users to the latter.</w:t>
      </w:r>
    </w:p>
    <w:p w14:paraId="07E02700" w14:textId="77777777" w:rsidR="008129D7" w:rsidRPr="003D6B60" w:rsidRDefault="008129D7" w:rsidP="008129D7">
      <w:pPr>
        <w:rPr>
          <w:highlight w:val="green"/>
        </w:rPr>
      </w:pPr>
    </w:p>
    <w:p w14:paraId="3D44DC27" w14:textId="77777777" w:rsidR="008129D7" w:rsidRPr="00491001" w:rsidRDefault="008129D7" w:rsidP="008129D7">
      <w:pPr>
        <w:widowControl w:val="0"/>
        <w:autoSpaceDE w:val="0"/>
        <w:autoSpaceDN w:val="0"/>
        <w:adjustRightInd w:val="0"/>
        <w:spacing w:before="0"/>
        <w:rPr>
          <w:u w:val="single"/>
        </w:rPr>
      </w:pPr>
      <w:r w:rsidRPr="00491001">
        <w:rPr>
          <w:u w:val="single"/>
        </w:rPr>
        <w:t>Email list usage</w:t>
      </w:r>
    </w:p>
    <w:p w14:paraId="15BEA401" w14:textId="77777777" w:rsidR="008129D7" w:rsidRPr="00491001" w:rsidRDefault="008129D7" w:rsidP="008129D7">
      <w:pPr>
        <w:jc w:val="both"/>
      </w:pPr>
      <w:r w:rsidRPr="00491001">
        <w:t xml:space="preserve">It has been reported that </w:t>
      </w:r>
      <w:r>
        <w:t>an email sent to the Email lists for multiple Questions results in a response to the sender from only one of those lists; however, the email appears in the archive of all those lists. (In the preceding, it is assumed the email sender is subscribed to all those lists.) Further investigation of this topic indicates that this is an undocumented feature which can be interpreted as a ‘bug’. Documenting this behaviour in an appropriate place would help.</w:t>
      </w:r>
    </w:p>
    <w:p w14:paraId="4DA67A0D" w14:textId="77777777" w:rsidR="008129D7" w:rsidRPr="003D6B60" w:rsidRDefault="008129D7" w:rsidP="008129D7">
      <w:pPr>
        <w:rPr>
          <w:highlight w:val="green"/>
        </w:rPr>
      </w:pPr>
    </w:p>
    <w:p w14:paraId="06A52DB3" w14:textId="77777777" w:rsidR="008129D7" w:rsidRPr="00491001" w:rsidRDefault="008129D7" w:rsidP="008129D7">
      <w:pPr>
        <w:widowControl w:val="0"/>
        <w:autoSpaceDE w:val="0"/>
        <w:autoSpaceDN w:val="0"/>
        <w:adjustRightInd w:val="0"/>
        <w:spacing w:before="0"/>
        <w:rPr>
          <w:u w:val="single"/>
        </w:rPr>
      </w:pPr>
      <w:r w:rsidRPr="00491001">
        <w:rPr>
          <w:u w:val="single"/>
        </w:rPr>
        <w:t>Contribution submission</w:t>
      </w:r>
    </w:p>
    <w:p w14:paraId="09D6F1DD" w14:textId="77777777" w:rsidR="008129D7" w:rsidRPr="00491001" w:rsidRDefault="008129D7" w:rsidP="008129D7">
      <w:pPr>
        <w:jc w:val="both"/>
      </w:pPr>
      <w:r w:rsidRPr="00491001">
        <w:t xml:space="preserve">A DDP submitter may select more than one Question for a given contribution. There seems to be no way in DDP to remove a previously targeted Question when revising the </w:t>
      </w:r>
      <w:r>
        <w:t xml:space="preserve">set of targeted </w:t>
      </w:r>
      <w:r w:rsidRPr="00491001">
        <w:t xml:space="preserve">Questions during re-submission </w:t>
      </w:r>
      <w:r>
        <w:t xml:space="preserve">(e.g., R1) </w:t>
      </w:r>
      <w:r w:rsidRPr="00491001">
        <w:t>of the Contribution.</w:t>
      </w:r>
    </w:p>
    <w:bookmarkEnd w:id="11"/>
    <w:p w14:paraId="160969DA" w14:textId="77777777" w:rsidR="008129D7" w:rsidRPr="003D6B60" w:rsidRDefault="008129D7" w:rsidP="008129D7">
      <w:pPr>
        <w:rPr>
          <w:highlight w:val="green"/>
        </w:rPr>
      </w:pPr>
    </w:p>
    <w:p w14:paraId="70E5CD09" w14:textId="290222CA" w:rsidR="005604FC" w:rsidRPr="00FC4B59" w:rsidRDefault="00F47577" w:rsidP="00FC4B59">
      <w:pPr>
        <w:jc w:val="center"/>
      </w:pPr>
      <w:r w:rsidRPr="00E72700">
        <w:t>____________________</w:t>
      </w:r>
    </w:p>
    <w:sectPr w:rsidR="005604FC" w:rsidRPr="00FC4B59" w:rsidSect="00343613">
      <w:headerReference w:type="default" r:id="rId1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1897" w14:textId="77777777" w:rsidR="006E6B63" w:rsidRDefault="006E6B63" w:rsidP="00C42125">
      <w:pPr>
        <w:spacing w:before="0"/>
      </w:pPr>
      <w:r>
        <w:separator/>
      </w:r>
    </w:p>
  </w:endnote>
  <w:endnote w:type="continuationSeparator" w:id="0">
    <w:p w14:paraId="2977B18A" w14:textId="77777777" w:rsidR="006E6B63" w:rsidRDefault="006E6B63" w:rsidP="00C42125">
      <w:pPr>
        <w:spacing w:before="0"/>
      </w:pPr>
      <w:r>
        <w:continuationSeparator/>
      </w:r>
    </w:p>
  </w:endnote>
  <w:endnote w:type="continuationNotice" w:id="1">
    <w:p w14:paraId="6742DD7A" w14:textId="77777777" w:rsidR="006E6B63" w:rsidRDefault="006E6B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8A30" w14:textId="77777777" w:rsidR="006E6B63" w:rsidRDefault="006E6B63" w:rsidP="00C42125">
      <w:pPr>
        <w:spacing w:before="0"/>
      </w:pPr>
      <w:r>
        <w:separator/>
      </w:r>
    </w:p>
  </w:footnote>
  <w:footnote w:type="continuationSeparator" w:id="0">
    <w:p w14:paraId="2B36D0B9" w14:textId="77777777" w:rsidR="006E6B63" w:rsidRDefault="006E6B63" w:rsidP="00C42125">
      <w:pPr>
        <w:spacing w:before="0"/>
      </w:pPr>
      <w:r>
        <w:continuationSeparator/>
      </w:r>
    </w:p>
  </w:footnote>
  <w:footnote w:type="continuationNotice" w:id="1">
    <w:p w14:paraId="1334A0AC" w14:textId="77777777" w:rsidR="006E6B63" w:rsidRDefault="006E6B6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CC47" w14:textId="275582A1" w:rsidR="00B506BD" w:rsidRPr="00B506BD" w:rsidRDefault="00B506BD" w:rsidP="00B506BD">
    <w:pPr>
      <w:pStyle w:val="Header"/>
    </w:pPr>
    <w:r w:rsidRPr="00B506BD">
      <w:t xml:space="preserve">- </w:t>
    </w:r>
    <w:r w:rsidRPr="00B506BD">
      <w:fldChar w:fldCharType="begin"/>
    </w:r>
    <w:r w:rsidRPr="00B506BD">
      <w:instrText xml:space="preserve"> PAGE  \* MERGEFORMAT </w:instrText>
    </w:r>
    <w:r w:rsidRPr="00B506BD">
      <w:fldChar w:fldCharType="separate"/>
    </w:r>
    <w:r w:rsidRPr="00B506BD">
      <w:rPr>
        <w:noProof/>
      </w:rPr>
      <w:t>1</w:t>
    </w:r>
    <w:r w:rsidRPr="00B506BD">
      <w:fldChar w:fldCharType="end"/>
    </w:r>
    <w:r w:rsidRPr="00B506BD">
      <w:t xml:space="preserve"> -</w:t>
    </w:r>
  </w:p>
  <w:p w14:paraId="16811D41" w14:textId="33682971" w:rsidR="00B506BD" w:rsidRPr="00B506BD" w:rsidRDefault="00B506BD" w:rsidP="00B506BD">
    <w:pPr>
      <w:pStyle w:val="Header"/>
      <w:spacing w:after="240"/>
    </w:pPr>
    <w:r w:rsidRPr="00B506BD">
      <w:fldChar w:fldCharType="begin"/>
    </w:r>
    <w:r w:rsidRPr="00B506BD">
      <w:instrText xml:space="preserve"> STYLEREF  Docnumber  </w:instrText>
    </w:r>
    <w:r w:rsidRPr="00B506BD">
      <w:fldChar w:fldCharType="separate"/>
    </w:r>
    <w:r w:rsidR="00016088">
      <w:rPr>
        <w:noProof/>
      </w:rPr>
      <w:t>TSAG-TD105</w:t>
    </w:r>
    <w:r w:rsidRPr="00B506B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A5E93"/>
    <w:multiLevelType w:val="hybridMultilevel"/>
    <w:tmpl w:val="39AAA0D4"/>
    <w:lvl w:ilvl="0" w:tplc="A6521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8D4B3F"/>
    <w:multiLevelType w:val="hybridMultilevel"/>
    <w:tmpl w:val="F8EAC244"/>
    <w:lvl w:ilvl="0" w:tplc="2E70CE0C">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CE2FD4"/>
    <w:multiLevelType w:val="hybridMultilevel"/>
    <w:tmpl w:val="ACCC856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14185846">
    <w:abstractNumId w:val="9"/>
  </w:num>
  <w:num w:numId="2" w16cid:durableId="174734497">
    <w:abstractNumId w:val="7"/>
  </w:num>
  <w:num w:numId="3" w16cid:durableId="1758093418">
    <w:abstractNumId w:val="6"/>
  </w:num>
  <w:num w:numId="4" w16cid:durableId="1654405990">
    <w:abstractNumId w:val="5"/>
  </w:num>
  <w:num w:numId="5" w16cid:durableId="398602738">
    <w:abstractNumId w:val="4"/>
  </w:num>
  <w:num w:numId="6" w16cid:durableId="1715036791">
    <w:abstractNumId w:val="8"/>
  </w:num>
  <w:num w:numId="7" w16cid:durableId="1764064783">
    <w:abstractNumId w:val="3"/>
  </w:num>
  <w:num w:numId="8" w16cid:durableId="1343554575">
    <w:abstractNumId w:val="2"/>
  </w:num>
  <w:num w:numId="9" w16cid:durableId="2037928661">
    <w:abstractNumId w:val="1"/>
  </w:num>
  <w:num w:numId="10" w16cid:durableId="1343584883">
    <w:abstractNumId w:val="0"/>
  </w:num>
  <w:num w:numId="11" w16cid:durableId="2010790282">
    <w:abstractNumId w:val="12"/>
  </w:num>
  <w:num w:numId="12" w16cid:durableId="1596748487">
    <w:abstractNumId w:val="11"/>
  </w:num>
  <w:num w:numId="13" w16cid:durableId="1435395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03C59"/>
    <w:rsid w:val="00014F69"/>
    <w:rsid w:val="00016088"/>
    <w:rsid w:val="000171DB"/>
    <w:rsid w:val="00023D9A"/>
    <w:rsid w:val="0003582E"/>
    <w:rsid w:val="000366B6"/>
    <w:rsid w:val="00043D75"/>
    <w:rsid w:val="00057000"/>
    <w:rsid w:val="000640E0"/>
    <w:rsid w:val="0007187D"/>
    <w:rsid w:val="00086D80"/>
    <w:rsid w:val="000966A8"/>
    <w:rsid w:val="000A0A5C"/>
    <w:rsid w:val="000A5CA2"/>
    <w:rsid w:val="000E3C61"/>
    <w:rsid w:val="000E3E55"/>
    <w:rsid w:val="000E6083"/>
    <w:rsid w:val="000E6125"/>
    <w:rsid w:val="00100BAF"/>
    <w:rsid w:val="00113DBE"/>
    <w:rsid w:val="001200A6"/>
    <w:rsid w:val="001251DA"/>
    <w:rsid w:val="00125432"/>
    <w:rsid w:val="00136DDD"/>
    <w:rsid w:val="00137F40"/>
    <w:rsid w:val="00144BDF"/>
    <w:rsid w:val="00155DDC"/>
    <w:rsid w:val="001634D2"/>
    <w:rsid w:val="001871EC"/>
    <w:rsid w:val="001A20C3"/>
    <w:rsid w:val="001A3F3A"/>
    <w:rsid w:val="001A670F"/>
    <w:rsid w:val="001B6A45"/>
    <w:rsid w:val="001C1003"/>
    <w:rsid w:val="001C4B91"/>
    <w:rsid w:val="001C62B8"/>
    <w:rsid w:val="001D033C"/>
    <w:rsid w:val="001D22D8"/>
    <w:rsid w:val="001D4296"/>
    <w:rsid w:val="001E1818"/>
    <w:rsid w:val="001E4C58"/>
    <w:rsid w:val="001E7B0E"/>
    <w:rsid w:val="001F141D"/>
    <w:rsid w:val="00200A06"/>
    <w:rsid w:val="00200A98"/>
    <w:rsid w:val="00201AFA"/>
    <w:rsid w:val="002229F1"/>
    <w:rsid w:val="00230B96"/>
    <w:rsid w:val="00233F75"/>
    <w:rsid w:val="0025233B"/>
    <w:rsid w:val="002528F9"/>
    <w:rsid w:val="00253DBE"/>
    <w:rsid w:val="00253DC6"/>
    <w:rsid w:val="0025489C"/>
    <w:rsid w:val="0026096E"/>
    <w:rsid w:val="002622FA"/>
    <w:rsid w:val="00263518"/>
    <w:rsid w:val="00270BFA"/>
    <w:rsid w:val="002759E7"/>
    <w:rsid w:val="00277326"/>
    <w:rsid w:val="002A11C4"/>
    <w:rsid w:val="002A399B"/>
    <w:rsid w:val="002C26C0"/>
    <w:rsid w:val="002C2BC5"/>
    <w:rsid w:val="002E0407"/>
    <w:rsid w:val="002E79CB"/>
    <w:rsid w:val="002F0471"/>
    <w:rsid w:val="002F1714"/>
    <w:rsid w:val="002F5CA7"/>
    <w:rsid w:val="002F7F55"/>
    <w:rsid w:val="0030745F"/>
    <w:rsid w:val="00314630"/>
    <w:rsid w:val="0032090A"/>
    <w:rsid w:val="00321CDE"/>
    <w:rsid w:val="00333E15"/>
    <w:rsid w:val="003416D3"/>
    <w:rsid w:val="00343613"/>
    <w:rsid w:val="003464BA"/>
    <w:rsid w:val="003571BC"/>
    <w:rsid w:val="0036090C"/>
    <w:rsid w:val="0036289C"/>
    <w:rsid w:val="00364979"/>
    <w:rsid w:val="003757DF"/>
    <w:rsid w:val="00385B9C"/>
    <w:rsid w:val="00385FB5"/>
    <w:rsid w:val="0038715D"/>
    <w:rsid w:val="00392E84"/>
    <w:rsid w:val="00394DBF"/>
    <w:rsid w:val="003957A6"/>
    <w:rsid w:val="00397713"/>
    <w:rsid w:val="003A43EF"/>
    <w:rsid w:val="003B60A2"/>
    <w:rsid w:val="003C7445"/>
    <w:rsid w:val="003D6B60"/>
    <w:rsid w:val="003D7D25"/>
    <w:rsid w:val="003E39A2"/>
    <w:rsid w:val="003E57AB"/>
    <w:rsid w:val="003F2BED"/>
    <w:rsid w:val="00400B49"/>
    <w:rsid w:val="0040415B"/>
    <w:rsid w:val="004139E4"/>
    <w:rsid w:val="00415999"/>
    <w:rsid w:val="00424F84"/>
    <w:rsid w:val="00440682"/>
    <w:rsid w:val="00443878"/>
    <w:rsid w:val="004539A8"/>
    <w:rsid w:val="004646F1"/>
    <w:rsid w:val="00464981"/>
    <w:rsid w:val="004712CA"/>
    <w:rsid w:val="0047422E"/>
    <w:rsid w:val="00491001"/>
    <w:rsid w:val="0049674B"/>
    <w:rsid w:val="004C0673"/>
    <w:rsid w:val="004C4E4E"/>
    <w:rsid w:val="004E08F2"/>
    <w:rsid w:val="004F3816"/>
    <w:rsid w:val="004F500A"/>
    <w:rsid w:val="005126A0"/>
    <w:rsid w:val="00543D41"/>
    <w:rsid w:val="00545472"/>
    <w:rsid w:val="005571A4"/>
    <w:rsid w:val="005604FC"/>
    <w:rsid w:val="00566EDA"/>
    <w:rsid w:val="0057081A"/>
    <w:rsid w:val="00572654"/>
    <w:rsid w:val="00576748"/>
    <w:rsid w:val="0059490C"/>
    <w:rsid w:val="005976A1"/>
    <w:rsid w:val="005A34E7"/>
    <w:rsid w:val="005A5299"/>
    <w:rsid w:val="005A69A3"/>
    <w:rsid w:val="005B3C11"/>
    <w:rsid w:val="005B5629"/>
    <w:rsid w:val="005C0300"/>
    <w:rsid w:val="005C27A2"/>
    <w:rsid w:val="005D4FEB"/>
    <w:rsid w:val="005D65ED"/>
    <w:rsid w:val="005E0E6C"/>
    <w:rsid w:val="005F4B6A"/>
    <w:rsid w:val="006010F3"/>
    <w:rsid w:val="00615A0A"/>
    <w:rsid w:val="006333D4"/>
    <w:rsid w:val="006369B2"/>
    <w:rsid w:val="0063718D"/>
    <w:rsid w:val="0064587F"/>
    <w:rsid w:val="00647347"/>
    <w:rsid w:val="00647525"/>
    <w:rsid w:val="00647A71"/>
    <w:rsid w:val="006530A8"/>
    <w:rsid w:val="006570B0"/>
    <w:rsid w:val="0066022F"/>
    <w:rsid w:val="006823F3"/>
    <w:rsid w:val="0069210B"/>
    <w:rsid w:val="00693139"/>
    <w:rsid w:val="00695BD9"/>
    <w:rsid w:val="00695DD7"/>
    <w:rsid w:val="006A0F3F"/>
    <w:rsid w:val="006A2A02"/>
    <w:rsid w:val="006A4055"/>
    <w:rsid w:val="006A7C27"/>
    <w:rsid w:val="006B2FE4"/>
    <w:rsid w:val="006B37B0"/>
    <w:rsid w:val="006B6BA2"/>
    <w:rsid w:val="006C5641"/>
    <w:rsid w:val="006D1089"/>
    <w:rsid w:val="006D1B86"/>
    <w:rsid w:val="006D6481"/>
    <w:rsid w:val="006D7355"/>
    <w:rsid w:val="006E6B63"/>
    <w:rsid w:val="006F0797"/>
    <w:rsid w:val="006F7DEE"/>
    <w:rsid w:val="00715CA6"/>
    <w:rsid w:val="00731135"/>
    <w:rsid w:val="007324AF"/>
    <w:rsid w:val="007409B4"/>
    <w:rsid w:val="00741974"/>
    <w:rsid w:val="007454B6"/>
    <w:rsid w:val="00747CBB"/>
    <w:rsid w:val="0075525E"/>
    <w:rsid w:val="00756D3D"/>
    <w:rsid w:val="007806C2"/>
    <w:rsid w:val="00781FEE"/>
    <w:rsid w:val="007903F8"/>
    <w:rsid w:val="00791825"/>
    <w:rsid w:val="00794F4F"/>
    <w:rsid w:val="007974BE"/>
    <w:rsid w:val="007A0916"/>
    <w:rsid w:val="007A0DFD"/>
    <w:rsid w:val="007C5ED4"/>
    <w:rsid w:val="007C7122"/>
    <w:rsid w:val="007D3F11"/>
    <w:rsid w:val="007D6B5E"/>
    <w:rsid w:val="007E1AA3"/>
    <w:rsid w:val="007E2C69"/>
    <w:rsid w:val="007E53E4"/>
    <w:rsid w:val="007E656A"/>
    <w:rsid w:val="007F3CAA"/>
    <w:rsid w:val="007F664D"/>
    <w:rsid w:val="00801B42"/>
    <w:rsid w:val="008129D7"/>
    <w:rsid w:val="008249A7"/>
    <w:rsid w:val="00836D45"/>
    <w:rsid w:val="00837203"/>
    <w:rsid w:val="00842137"/>
    <w:rsid w:val="00851E6C"/>
    <w:rsid w:val="00853F5F"/>
    <w:rsid w:val="00856C7A"/>
    <w:rsid w:val="008623ED"/>
    <w:rsid w:val="00875AA6"/>
    <w:rsid w:val="00880944"/>
    <w:rsid w:val="0089088E"/>
    <w:rsid w:val="00892297"/>
    <w:rsid w:val="008964D6"/>
    <w:rsid w:val="008B5123"/>
    <w:rsid w:val="008C5A9A"/>
    <w:rsid w:val="008D1E1E"/>
    <w:rsid w:val="008E0172"/>
    <w:rsid w:val="00935C8F"/>
    <w:rsid w:val="00936852"/>
    <w:rsid w:val="0094045D"/>
    <w:rsid w:val="009406B5"/>
    <w:rsid w:val="00946166"/>
    <w:rsid w:val="00966B5C"/>
    <w:rsid w:val="00983164"/>
    <w:rsid w:val="00984252"/>
    <w:rsid w:val="009972EF"/>
    <w:rsid w:val="009B5035"/>
    <w:rsid w:val="009C3160"/>
    <w:rsid w:val="009D399E"/>
    <w:rsid w:val="009D644B"/>
    <w:rsid w:val="009E4B6B"/>
    <w:rsid w:val="009E766E"/>
    <w:rsid w:val="009F1960"/>
    <w:rsid w:val="009F4B1A"/>
    <w:rsid w:val="009F715E"/>
    <w:rsid w:val="009F78FE"/>
    <w:rsid w:val="00A02F0B"/>
    <w:rsid w:val="00A10DBB"/>
    <w:rsid w:val="00A11720"/>
    <w:rsid w:val="00A21247"/>
    <w:rsid w:val="00A311F0"/>
    <w:rsid w:val="00A31D47"/>
    <w:rsid w:val="00A4013E"/>
    <w:rsid w:val="00A4045F"/>
    <w:rsid w:val="00A427CD"/>
    <w:rsid w:val="00A45FEE"/>
    <w:rsid w:val="00A4600B"/>
    <w:rsid w:val="00A50506"/>
    <w:rsid w:val="00A51EF0"/>
    <w:rsid w:val="00A600CD"/>
    <w:rsid w:val="00A64A41"/>
    <w:rsid w:val="00A67A81"/>
    <w:rsid w:val="00A730A6"/>
    <w:rsid w:val="00A827B0"/>
    <w:rsid w:val="00A96899"/>
    <w:rsid w:val="00A971A0"/>
    <w:rsid w:val="00AA1186"/>
    <w:rsid w:val="00AA1F22"/>
    <w:rsid w:val="00AA60A8"/>
    <w:rsid w:val="00AB37FB"/>
    <w:rsid w:val="00AB4D66"/>
    <w:rsid w:val="00AC3E73"/>
    <w:rsid w:val="00AC63B0"/>
    <w:rsid w:val="00AD5C1C"/>
    <w:rsid w:val="00B05821"/>
    <w:rsid w:val="00B100D6"/>
    <w:rsid w:val="00B164C9"/>
    <w:rsid w:val="00B2519B"/>
    <w:rsid w:val="00B26C28"/>
    <w:rsid w:val="00B4174C"/>
    <w:rsid w:val="00B453F5"/>
    <w:rsid w:val="00B506BD"/>
    <w:rsid w:val="00B5162E"/>
    <w:rsid w:val="00B61624"/>
    <w:rsid w:val="00B66481"/>
    <w:rsid w:val="00B674C0"/>
    <w:rsid w:val="00B7189C"/>
    <w:rsid w:val="00B718A5"/>
    <w:rsid w:val="00B767BB"/>
    <w:rsid w:val="00B86602"/>
    <w:rsid w:val="00B92895"/>
    <w:rsid w:val="00BA7411"/>
    <w:rsid w:val="00BA788A"/>
    <w:rsid w:val="00BA7D58"/>
    <w:rsid w:val="00BB0B70"/>
    <w:rsid w:val="00BB3235"/>
    <w:rsid w:val="00BB4120"/>
    <w:rsid w:val="00BB4983"/>
    <w:rsid w:val="00BB7597"/>
    <w:rsid w:val="00BC62E2"/>
    <w:rsid w:val="00BE4AC3"/>
    <w:rsid w:val="00C42125"/>
    <w:rsid w:val="00C46CDE"/>
    <w:rsid w:val="00C47120"/>
    <w:rsid w:val="00C557CE"/>
    <w:rsid w:val="00C614D6"/>
    <w:rsid w:val="00C624D6"/>
    <w:rsid w:val="00C62814"/>
    <w:rsid w:val="00C67B25"/>
    <w:rsid w:val="00C748F7"/>
    <w:rsid w:val="00C74937"/>
    <w:rsid w:val="00C93C0E"/>
    <w:rsid w:val="00CB2599"/>
    <w:rsid w:val="00CC386F"/>
    <w:rsid w:val="00CD2139"/>
    <w:rsid w:val="00CE5986"/>
    <w:rsid w:val="00D10A47"/>
    <w:rsid w:val="00D26477"/>
    <w:rsid w:val="00D56CC3"/>
    <w:rsid w:val="00D647EF"/>
    <w:rsid w:val="00D73137"/>
    <w:rsid w:val="00D977A2"/>
    <w:rsid w:val="00DA1D47"/>
    <w:rsid w:val="00DB0706"/>
    <w:rsid w:val="00DC7B1F"/>
    <w:rsid w:val="00DD50DE"/>
    <w:rsid w:val="00DE1204"/>
    <w:rsid w:val="00DE3062"/>
    <w:rsid w:val="00DE3450"/>
    <w:rsid w:val="00E0581D"/>
    <w:rsid w:val="00E1590B"/>
    <w:rsid w:val="00E204DD"/>
    <w:rsid w:val="00E228B7"/>
    <w:rsid w:val="00E353EC"/>
    <w:rsid w:val="00E51F61"/>
    <w:rsid w:val="00E53C24"/>
    <w:rsid w:val="00E56E77"/>
    <w:rsid w:val="00E81683"/>
    <w:rsid w:val="00E86170"/>
    <w:rsid w:val="00EA0BE7"/>
    <w:rsid w:val="00EB3FB9"/>
    <w:rsid w:val="00EB444D"/>
    <w:rsid w:val="00EC4D7F"/>
    <w:rsid w:val="00ED1B45"/>
    <w:rsid w:val="00EE1A06"/>
    <w:rsid w:val="00EE5C0D"/>
    <w:rsid w:val="00EF0AB3"/>
    <w:rsid w:val="00EF4792"/>
    <w:rsid w:val="00EF76DC"/>
    <w:rsid w:val="00F02294"/>
    <w:rsid w:val="00F05B9F"/>
    <w:rsid w:val="00F162EB"/>
    <w:rsid w:val="00F30DE7"/>
    <w:rsid w:val="00F35F57"/>
    <w:rsid w:val="00F47577"/>
    <w:rsid w:val="00F50467"/>
    <w:rsid w:val="00F562A0"/>
    <w:rsid w:val="00F57FA4"/>
    <w:rsid w:val="00F9547A"/>
    <w:rsid w:val="00FA02CB"/>
    <w:rsid w:val="00FA2177"/>
    <w:rsid w:val="00FB0783"/>
    <w:rsid w:val="00FB7A8B"/>
    <w:rsid w:val="00FC2485"/>
    <w:rsid w:val="00FC4B59"/>
    <w:rsid w:val="00FD3679"/>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basedOn w:val="DefaultParagraphFon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rsid w:val="004649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ForAction">
    <w:name w:val="LSForAction"/>
    <w:basedOn w:val="Normal"/>
    <w:rsid w:val="00464981"/>
    <w:pPr>
      <w:tabs>
        <w:tab w:val="left" w:pos="794"/>
        <w:tab w:val="left" w:pos="1191"/>
        <w:tab w:val="left" w:pos="1588"/>
        <w:tab w:val="left" w:pos="1985"/>
      </w:tabs>
      <w:overflowPunct w:val="0"/>
      <w:autoSpaceDE w:val="0"/>
      <w:autoSpaceDN w:val="0"/>
      <w:adjustRightInd w:val="0"/>
    </w:pPr>
    <w:rPr>
      <w:rFonts w:eastAsia="Times New Roman"/>
      <w:bCs/>
      <w:szCs w:val="20"/>
      <w:lang w:eastAsia="en-US"/>
    </w:rPr>
  </w:style>
  <w:style w:type="paragraph" w:customStyle="1" w:styleId="LSForInfo">
    <w:name w:val="LSForInfo"/>
    <w:basedOn w:val="LSForAction"/>
    <w:next w:val="Normal"/>
    <w:rsid w:val="00464981"/>
  </w:style>
  <w:style w:type="paragraph" w:customStyle="1" w:styleId="LSForComment">
    <w:name w:val="LSForComment"/>
    <w:basedOn w:val="LSForAction"/>
    <w:next w:val="Normal"/>
    <w:rsid w:val="00464981"/>
  </w:style>
  <w:style w:type="paragraph" w:customStyle="1" w:styleId="LSSource">
    <w:name w:val="LSSource"/>
    <w:basedOn w:val="LSForAction"/>
    <w:next w:val="Normal"/>
    <w:rsid w:val="00464981"/>
    <w:rPr>
      <w:rFonts w:eastAsiaTheme="minorHAnsi"/>
      <w:bCs w:val="0"/>
    </w:rPr>
  </w:style>
  <w:style w:type="paragraph" w:customStyle="1" w:styleId="LSTitle">
    <w:name w:val="LSTitle"/>
    <w:basedOn w:val="LSForAction"/>
    <w:next w:val="Normal"/>
    <w:rsid w:val="00464981"/>
    <w:rPr>
      <w:rFonts w:eastAsiaTheme="minorHAnsi"/>
      <w:bCs w:val="0"/>
    </w:rPr>
  </w:style>
  <w:style w:type="paragraph" w:customStyle="1" w:styleId="LSDeadline">
    <w:name w:val="LSDeadline"/>
    <w:basedOn w:val="LSForAction"/>
    <w:next w:val="Normal"/>
    <w:rsid w:val="00464981"/>
    <w:rPr>
      <w:bCs w:val="0"/>
    </w:rPr>
  </w:style>
  <w:style w:type="paragraph" w:customStyle="1" w:styleId="LSApproval">
    <w:name w:val="LSApproval"/>
    <w:basedOn w:val="Normal"/>
    <w:rsid w:val="00594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2249">
      <w:bodyDiv w:val="1"/>
      <w:marLeft w:val="0"/>
      <w:marRight w:val="0"/>
      <w:marTop w:val="0"/>
      <w:marBottom w:val="0"/>
      <w:divBdr>
        <w:top w:val="none" w:sz="0" w:space="0" w:color="auto"/>
        <w:left w:val="none" w:sz="0" w:space="0" w:color="auto"/>
        <w:bottom w:val="none" w:sz="0" w:space="0" w:color="auto"/>
        <w:right w:val="none" w:sz="0" w:space="0" w:color="auto"/>
      </w:divBdr>
    </w:div>
    <w:div w:id="530652716">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andle.itu.int/11.1002/ls/sp17-sg15-oLS-00034.doc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andle.itu.int/11.1002/ls/sp17-sg15-oLS-00034.docx" TargetMode="External"/><Relationship Id="rId17" Type="http://schemas.openxmlformats.org/officeDocument/2006/relationships/hyperlink" Target="mailto:jessy.rouyer@nokia.com" TargetMode="External"/><Relationship Id="rId2" Type="http://schemas.openxmlformats.org/officeDocument/2006/relationships/customXml" Target="../customXml/item2.xml"/><Relationship Id="rId16" Type="http://schemas.openxmlformats.org/officeDocument/2006/relationships/hyperlink" Target="mailto:pdoolan@infiner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ny.zengyan@huawei.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oolan@infiner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purl.org/dc/elements/1.1/"/>
    <ds:schemaRef ds:uri="http://schemas.microsoft.com/office/2006/metadata/properties"/>
    <ds:schemaRef ds:uri="fb0eb7e9-6560-4c49-b26e-dd8179726d23"/>
    <ds:schemaRef ds:uri="http://purl.org/dc/terms/"/>
    <ds:schemaRef ds:uri="http://schemas.openxmlformats.org/package/2006/metadata/core-properties"/>
    <ds:schemaRef ds:uri="1238c2fb-f919-419c-a17c-617fee3c8b8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Basic_Document.dotx</Template>
  <TotalTime>19</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Basic template - Unformatted (T21)</vt:lpstr>
    </vt:vector>
  </TitlesOfParts>
  <Manager>ITU-T</Manager>
  <Company>International Telecommunication Union (ITU)</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SG15 EWM Liaison Report</dc:title>
  <dc:subject/>
  <dc:creator>SG15 EWM Rapporteur</dc:creator>
  <cp:keywords/>
  <dc:description>SG15-LS34  For: Geneva, 19-30 September 2022_x000d_Document date: _x000d_Saved by ITU51013862 at 10:01:15 on 10.10.2022</dc:description>
  <cp:lastModifiedBy>Al-Mnini, Lara</cp:lastModifiedBy>
  <cp:revision>3</cp:revision>
  <cp:lastPrinted>2016-12-23T12:52:00Z</cp:lastPrinted>
  <dcterms:created xsi:type="dcterms:W3CDTF">2022-10-13T10:18:00Z</dcterms:created>
  <dcterms:modified xsi:type="dcterms:W3CDTF">2022-10-13T10:55:00Z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SG15-LS34</vt:lpwstr>
  </property>
  <property fmtid="{D5CDD505-2E9C-101B-9397-08002B2CF9AE}" pid="4" name="Docdate">
    <vt:lpwstr/>
  </property>
  <property fmtid="{D5CDD505-2E9C-101B-9397-08002B2CF9AE}" pid="5" name="Docorlang">
    <vt:lpwstr/>
  </property>
  <property fmtid="{D5CDD505-2E9C-101B-9397-08002B2CF9AE}" pid="6" name="Docbluepink">
    <vt:lpwstr>All</vt:lpwstr>
  </property>
  <property fmtid="{D5CDD505-2E9C-101B-9397-08002B2CF9AE}" pid="7" name="Docdest">
    <vt:lpwstr>Geneva, 19-30 September 2022</vt:lpwstr>
  </property>
  <property fmtid="{D5CDD505-2E9C-101B-9397-08002B2CF9AE}" pid="8" name="Docauthor">
    <vt:lpwstr>SG15 EWM Rapporteur</vt:lpwstr>
  </property>
</Properties>
</file>