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455"/>
        <w:gridCol w:w="19"/>
        <w:gridCol w:w="3635"/>
        <w:gridCol w:w="372"/>
        <w:gridCol w:w="4310"/>
      </w:tblGrid>
      <w:tr w:rsidR="00FD767E" w:rsidRPr="00FD767E" w14:paraId="30AD05D8" w14:textId="77777777" w:rsidTr="00FD767E">
        <w:trPr>
          <w:cantSplit/>
        </w:trPr>
        <w:tc>
          <w:tcPr>
            <w:tcW w:w="1132" w:type="dxa"/>
            <w:vMerge w:val="restart"/>
            <w:vAlign w:val="center"/>
          </w:tcPr>
          <w:p w14:paraId="46FEA2A1" w14:textId="77777777" w:rsidR="00FD767E" w:rsidRPr="00FD767E" w:rsidRDefault="00FD767E" w:rsidP="00FD767E">
            <w:pPr>
              <w:spacing w:after="0"/>
              <w:jc w:val="center"/>
              <w:rPr>
                <w:rFonts w:ascii="Times New Roman" w:hAnsi="Times New Roman" w:cs="Times New Roman"/>
                <w:sz w:val="20"/>
                <w:szCs w:val="20"/>
              </w:rPr>
            </w:pPr>
            <w:bookmarkStart w:id="0" w:name="dnum" w:colFirst="2" w:colLast="2"/>
            <w:bookmarkStart w:id="1" w:name="dtableau"/>
            <w:r w:rsidRPr="00FD767E">
              <w:rPr>
                <w:rFonts w:ascii="Times New Roman" w:hAnsi="Times New Roman" w:cs="Times New Roman"/>
                <w:noProof/>
              </w:rPr>
              <w:drawing>
                <wp:inline distT="0" distB="0" distL="0" distR="0" wp14:anchorId="320B65DB" wp14:editId="7A4F5234">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31B1D9B9" w14:textId="77777777" w:rsidR="00FD767E" w:rsidRPr="00FD767E" w:rsidRDefault="00FD767E" w:rsidP="00FD767E">
            <w:pPr>
              <w:spacing w:before="120"/>
              <w:rPr>
                <w:rFonts w:ascii="Times New Roman" w:hAnsi="Times New Roman" w:cs="Times New Roman"/>
                <w:sz w:val="16"/>
                <w:szCs w:val="16"/>
              </w:rPr>
            </w:pPr>
            <w:r w:rsidRPr="00FD767E">
              <w:rPr>
                <w:rFonts w:ascii="Times New Roman" w:hAnsi="Times New Roman" w:cs="Times New Roman"/>
                <w:sz w:val="16"/>
                <w:szCs w:val="16"/>
              </w:rPr>
              <w:t>INTERNATIONAL TELECOMMUNICATION UNION</w:t>
            </w:r>
          </w:p>
          <w:p w14:paraId="0EFA62E1" w14:textId="77777777" w:rsidR="00FD767E" w:rsidRPr="00FD767E" w:rsidRDefault="00FD767E" w:rsidP="00FD767E">
            <w:pPr>
              <w:spacing w:before="120"/>
              <w:rPr>
                <w:rFonts w:ascii="Times New Roman" w:hAnsi="Times New Roman" w:cs="Times New Roman"/>
                <w:b/>
                <w:bCs/>
                <w:sz w:val="26"/>
                <w:szCs w:val="26"/>
              </w:rPr>
            </w:pPr>
            <w:r w:rsidRPr="00FD767E">
              <w:rPr>
                <w:rFonts w:ascii="Times New Roman" w:hAnsi="Times New Roman" w:cs="Times New Roman"/>
                <w:b/>
                <w:bCs/>
                <w:sz w:val="26"/>
                <w:szCs w:val="26"/>
              </w:rPr>
              <w:t>TELECOMMUNICATION</w:t>
            </w:r>
            <w:r w:rsidRPr="00FD767E">
              <w:rPr>
                <w:rFonts w:ascii="Times New Roman" w:hAnsi="Times New Roman" w:cs="Times New Roman"/>
                <w:b/>
                <w:bCs/>
                <w:sz w:val="26"/>
                <w:szCs w:val="26"/>
              </w:rPr>
              <w:br/>
              <w:t>STANDARDIZATION SECTOR</w:t>
            </w:r>
          </w:p>
          <w:p w14:paraId="36B00EF5" w14:textId="77777777" w:rsidR="00FD767E" w:rsidRPr="00FD767E" w:rsidRDefault="00FD767E" w:rsidP="00FD767E">
            <w:pPr>
              <w:spacing w:before="120"/>
              <w:rPr>
                <w:rFonts w:ascii="Times New Roman" w:hAnsi="Times New Roman" w:cs="Times New Roman"/>
                <w:sz w:val="20"/>
                <w:szCs w:val="20"/>
              </w:rPr>
            </w:pPr>
            <w:r w:rsidRPr="00FD767E">
              <w:rPr>
                <w:rFonts w:ascii="Times New Roman" w:hAnsi="Times New Roman" w:cs="Times New Roman"/>
                <w:sz w:val="20"/>
                <w:szCs w:val="20"/>
              </w:rPr>
              <w:t xml:space="preserve">STUDY PERIOD </w:t>
            </w:r>
            <w:bookmarkStart w:id="2" w:name="dstudyperiod"/>
            <w:r w:rsidRPr="00FD767E">
              <w:rPr>
                <w:rFonts w:ascii="Times New Roman" w:hAnsi="Times New Roman" w:cs="Times New Roman"/>
                <w:sz w:val="20"/>
              </w:rPr>
              <w:t>2022</w:t>
            </w:r>
            <w:r w:rsidRPr="00FD767E">
              <w:rPr>
                <w:rFonts w:ascii="Times New Roman" w:hAnsi="Times New Roman" w:cs="Times New Roman"/>
                <w:sz w:val="20"/>
                <w:szCs w:val="20"/>
              </w:rPr>
              <w:t>-</w:t>
            </w:r>
            <w:r w:rsidRPr="00FD767E">
              <w:rPr>
                <w:rFonts w:ascii="Times New Roman" w:hAnsi="Times New Roman" w:cs="Times New Roman"/>
                <w:sz w:val="20"/>
              </w:rPr>
              <w:t>2024</w:t>
            </w:r>
            <w:bookmarkEnd w:id="2"/>
          </w:p>
        </w:tc>
        <w:tc>
          <w:tcPr>
            <w:tcW w:w="4310" w:type="dxa"/>
            <w:vAlign w:val="center"/>
          </w:tcPr>
          <w:p w14:paraId="1B3A8FD8" w14:textId="7EA75504" w:rsidR="00FD767E" w:rsidRPr="00FD767E" w:rsidRDefault="00FD767E" w:rsidP="00FD767E">
            <w:pPr>
              <w:pStyle w:val="Docnumber"/>
            </w:pPr>
            <w:r w:rsidRPr="00FD767E">
              <w:t>TSAG-TD069</w:t>
            </w:r>
          </w:p>
        </w:tc>
      </w:tr>
      <w:tr w:rsidR="00FD767E" w:rsidRPr="00FD767E" w14:paraId="115FAE92" w14:textId="77777777" w:rsidTr="00FD767E">
        <w:trPr>
          <w:cantSplit/>
        </w:trPr>
        <w:tc>
          <w:tcPr>
            <w:tcW w:w="1132" w:type="dxa"/>
            <w:vMerge/>
          </w:tcPr>
          <w:p w14:paraId="78C60808" w14:textId="77777777" w:rsidR="00FD767E" w:rsidRPr="00FD767E" w:rsidRDefault="00FD767E" w:rsidP="00FD767E">
            <w:pPr>
              <w:spacing w:before="120"/>
              <w:rPr>
                <w:rFonts w:ascii="Times New Roman" w:hAnsi="Times New Roman" w:cs="Times New Roman"/>
                <w:smallCaps/>
                <w:sz w:val="20"/>
              </w:rPr>
            </w:pPr>
            <w:bookmarkStart w:id="3" w:name="dsg" w:colFirst="2" w:colLast="2"/>
            <w:bookmarkEnd w:id="0"/>
          </w:p>
        </w:tc>
        <w:tc>
          <w:tcPr>
            <w:tcW w:w="4481" w:type="dxa"/>
            <w:gridSpan w:val="4"/>
            <w:vMerge/>
          </w:tcPr>
          <w:p w14:paraId="602F0F91" w14:textId="77777777" w:rsidR="00FD767E" w:rsidRPr="00FD767E" w:rsidRDefault="00FD767E" w:rsidP="00FD767E">
            <w:pPr>
              <w:spacing w:before="120"/>
              <w:rPr>
                <w:rFonts w:ascii="Times New Roman" w:hAnsi="Times New Roman" w:cs="Times New Roman"/>
                <w:smallCaps/>
                <w:sz w:val="20"/>
              </w:rPr>
            </w:pPr>
          </w:p>
        </w:tc>
        <w:tc>
          <w:tcPr>
            <w:tcW w:w="4310" w:type="dxa"/>
          </w:tcPr>
          <w:p w14:paraId="087526D7" w14:textId="7CE1D4A2" w:rsidR="00FD767E" w:rsidRPr="00FD767E" w:rsidRDefault="00FD767E" w:rsidP="00FD767E">
            <w:pPr>
              <w:pStyle w:val="TSBHeaderRight14"/>
              <w:rPr>
                <w:smallCaps/>
              </w:rPr>
            </w:pPr>
            <w:r w:rsidRPr="00FD767E">
              <w:rPr>
                <w:smallCaps/>
              </w:rPr>
              <w:t>TSAG</w:t>
            </w:r>
          </w:p>
        </w:tc>
      </w:tr>
      <w:bookmarkEnd w:id="3"/>
      <w:tr w:rsidR="00FD767E" w:rsidRPr="00FD767E" w14:paraId="79EA1919" w14:textId="77777777" w:rsidTr="00FD767E">
        <w:trPr>
          <w:cantSplit/>
        </w:trPr>
        <w:tc>
          <w:tcPr>
            <w:tcW w:w="1132" w:type="dxa"/>
            <w:vMerge/>
            <w:tcBorders>
              <w:bottom w:val="single" w:sz="12" w:space="0" w:color="auto"/>
            </w:tcBorders>
          </w:tcPr>
          <w:p w14:paraId="1EB8CDD0" w14:textId="77777777" w:rsidR="00FD767E" w:rsidRPr="00FD767E" w:rsidRDefault="00FD767E" w:rsidP="00FD767E">
            <w:pPr>
              <w:spacing w:before="120"/>
              <w:rPr>
                <w:rFonts w:ascii="Times New Roman" w:hAnsi="Times New Roman" w:cs="Times New Roman"/>
                <w:b/>
                <w:bCs/>
                <w:sz w:val="26"/>
              </w:rPr>
            </w:pPr>
          </w:p>
        </w:tc>
        <w:tc>
          <w:tcPr>
            <w:tcW w:w="4481" w:type="dxa"/>
            <w:gridSpan w:val="4"/>
            <w:vMerge/>
            <w:tcBorders>
              <w:bottom w:val="single" w:sz="12" w:space="0" w:color="auto"/>
            </w:tcBorders>
          </w:tcPr>
          <w:p w14:paraId="32BC75F0" w14:textId="77777777" w:rsidR="00FD767E" w:rsidRPr="00FD767E" w:rsidRDefault="00FD767E" w:rsidP="00FD767E">
            <w:pPr>
              <w:spacing w:before="120"/>
              <w:rPr>
                <w:rFonts w:ascii="Times New Roman" w:hAnsi="Times New Roman" w:cs="Times New Roman"/>
                <w:b/>
                <w:bCs/>
                <w:sz w:val="26"/>
              </w:rPr>
            </w:pPr>
          </w:p>
        </w:tc>
        <w:tc>
          <w:tcPr>
            <w:tcW w:w="4310" w:type="dxa"/>
            <w:tcBorders>
              <w:bottom w:val="single" w:sz="12" w:space="0" w:color="auto"/>
            </w:tcBorders>
            <w:vAlign w:val="center"/>
          </w:tcPr>
          <w:p w14:paraId="030535B5" w14:textId="77777777" w:rsidR="00FD767E" w:rsidRPr="00FD767E" w:rsidRDefault="00FD767E" w:rsidP="00FD767E">
            <w:pPr>
              <w:pStyle w:val="TSBHeaderRight14"/>
            </w:pPr>
            <w:r w:rsidRPr="00FD767E">
              <w:t>Original: English</w:t>
            </w:r>
          </w:p>
        </w:tc>
      </w:tr>
      <w:tr w:rsidR="00FD767E" w:rsidRPr="008633EB" w14:paraId="70BA3B48" w14:textId="77777777" w:rsidTr="00FD767E">
        <w:trPr>
          <w:cantSplit/>
        </w:trPr>
        <w:tc>
          <w:tcPr>
            <w:tcW w:w="1587" w:type="dxa"/>
            <w:gridSpan w:val="2"/>
          </w:tcPr>
          <w:p w14:paraId="24D1C4B4" w14:textId="77777777" w:rsidR="00FD767E" w:rsidRPr="008633EB" w:rsidRDefault="00FD767E" w:rsidP="00FD767E">
            <w:pPr>
              <w:spacing w:before="120" w:after="0"/>
              <w:rPr>
                <w:rFonts w:asciiTheme="majorBidi" w:hAnsiTheme="majorBidi" w:cstheme="majorBidi"/>
                <w:b/>
                <w:bCs/>
                <w:sz w:val="24"/>
                <w:szCs w:val="24"/>
              </w:rPr>
            </w:pPr>
            <w:bookmarkStart w:id="4" w:name="dbluepink" w:colFirst="1" w:colLast="1"/>
            <w:bookmarkStart w:id="5" w:name="dmeeting" w:colFirst="2" w:colLast="2"/>
            <w:r w:rsidRPr="008633EB">
              <w:rPr>
                <w:rFonts w:asciiTheme="majorBidi" w:hAnsiTheme="majorBidi" w:cstheme="majorBidi"/>
                <w:b/>
                <w:bCs/>
                <w:sz w:val="24"/>
                <w:szCs w:val="24"/>
              </w:rPr>
              <w:t>Question(s):</w:t>
            </w:r>
          </w:p>
        </w:tc>
        <w:tc>
          <w:tcPr>
            <w:tcW w:w="4026" w:type="dxa"/>
            <w:gridSpan w:val="3"/>
          </w:tcPr>
          <w:p w14:paraId="1E73F819" w14:textId="7475788E" w:rsidR="00FD767E" w:rsidRPr="008633EB" w:rsidRDefault="00FD767E" w:rsidP="00FD767E">
            <w:pPr>
              <w:pStyle w:val="TSBHeaderQuestion"/>
              <w:rPr>
                <w:rFonts w:asciiTheme="majorBidi" w:hAnsiTheme="majorBidi" w:cstheme="majorBidi"/>
              </w:rPr>
            </w:pPr>
            <w:r w:rsidRPr="008633EB">
              <w:rPr>
                <w:rFonts w:asciiTheme="majorBidi" w:hAnsiTheme="majorBidi" w:cstheme="majorBidi"/>
              </w:rPr>
              <w:t>N/A</w:t>
            </w:r>
          </w:p>
        </w:tc>
        <w:tc>
          <w:tcPr>
            <w:tcW w:w="4310" w:type="dxa"/>
          </w:tcPr>
          <w:p w14:paraId="62018E3A" w14:textId="599ED466" w:rsidR="00FD767E" w:rsidRPr="008633EB" w:rsidRDefault="00FD767E" w:rsidP="00FD767E">
            <w:pPr>
              <w:pStyle w:val="VenueDate"/>
              <w:rPr>
                <w:rFonts w:asciiTheme="majorBidi" w:hAnsiTheme="majorBidi" w:cstheme="majorBidi"/>
              </w:rPr>
            </w:pPr>
            <w:r w:rsidRPr="008633EB">
              <w:rPr>
                <w:rFonts w:asciiTheme="majorBidi" w:hAnsiTheme="majorBidi" w:cstheme="majorBidi"/>
              </w:rPr>
              <w:t>Geneva, 12-16 December 2022</w:t>
            </w:r>
          </w:p>
        </w:tc>
      </w:tr>
      <w:tr w:rsidR="00FD767E" w:rsidRPr="008633EB" w14:paraId="7DED027A" w14:textId="77777777" w:rsidTr="00FD767E">
        <w:trPr>
          <w:cantSplit/>
        </w:trPr>
        <w:tc>
          <w:tcPr>
            <w:tcW w:w="9923" w:type="dxa"/>
            <w:gridSpan w:val="6"/>
          </w:tcPr>
          <w:p w14:paraId="33812ECB" w14:textId="6CF5E16F" w:rsidR="00FD767E" w:rsidRPr="008633EB" w:rsidRDefault="00FD767E" w:rsidP="00FD767E">
            <w:pPr>
              <w:spacing w:before="120" w:after="0"/>
              <w:jc w:val="center"/>
              <w:rPr>
                <w:rFonts w:asciiTheme="majorBidi" w:hAnsiTheme="majorBidi" w:cstheme="majorBidi"/>
                <w:b/>
                <w:bCs/>
                <w:sz w:val="24"/>
                <w:szCs w:val="24"/>
              </w:rPr>
            </w:pPr>
            <w:bookmarkStart w:id="6" w:name="ddoctype"/>
            <w:bookmarkEnd w:id="4"/>
            <w:bookmarkEnd w:id="5"/>
            <w:r w:rsidRPr="008633EB">
              <w:rPr>
                <w:rFonts w:asciiTheme="majorBidi" w:hAnsiTheme="majorBidi" w:cstheme="majorBidi"/>
                <w:b/>
                <w:bCs/>
                <w:sz w:val="24"/>
                <w:szCs w:val="24"/>
              </w:rPr>
              <w:t>TD</w:t>
            </w:r>
          </w:p>
        </w:tc>
      </w:tr>
      <w:tr w:rsidR="00FD767E" w:rsidRPr="008633EB" w14:paraId="046FE7EE" w14:textId="77777777" w:rsidTr="00FD767E">
        <w:trPr>
          <w:cantSplit/>
        </w:trPr>
        <w:tc>
          <w:tcPr>
            <w:tcW w:w="1587" w:type="dxa"/>
            <w:gridSpan w:val="2"/>
          </w:tcPr>
          <w:p w14:paraId="0884EF45" w14:textId="77777777" w:rsidR="00FD767E" w:rsidRPr="008633EB" w:rsidRDefault="00FD767E" w:rsidP="00FD767E">
            <w:pPr>
              <w:spacing w:before="120" w:after="0"/>
              <w:rPr>
                <w:rFonts w:asciiTheme="majorBidi" w:hAnsiTheme="majorBidi" w:cstheme="majorBidi"/>
                <w:b/>
                <w:bCs/>
                <w:sz w:val="24"/>
                <w:szCs w:val="24"/>
              </w:rPr>
            </w:pPr>
            <w:bookmarkStart w:id="7" w:name="dsource" w:colFirst="1" w:colLast="1"/>
            <w:bookmarkEnd w:id="6"/>
            <w:r w:rsidRPr="008633EB">
              <w:rPr>
                <w:rFonts w:asciiTheme="majorBidi" w:hAnsiTheme="majorBidi" w:cstheme="majorBidi"/>
                <w:b/>
                <w:bCs/>
                <w:sz w:val="24"/>
                <w:szCs w:val="24"/>
              </w:rPr>
              <w:t>Source:</w:t>
            </w:r>
          </w:p>
        </w:tc>
        <w:tc>
          <w:tcPr>
            <w:tcW w:w="8336" w:type="dxa"/>
            <w:gridSpan w:val="4"/>
          </w:tcPr>
          <w:p w14:paraId="6EDBE1BC" w14:textId="3D472DCA" w:rsidR="00FD767E" w:rsidRPr="008633EB" w:rsidRDefault="00FD767E" w:rsidP="00FD767E">
            <w:pPr>
              <w:pStyle w:val="TSBHeaderSource"/>
              <w:rPr>
                <w:rFonts w:asciiTheme="majorBidi" w:hAnsiTheme="majorBidi" w:cstheme="majorBidi"/>
              </w:rPr>
            </w:pPr>
            <w:r w:rsidRPr="008633EB">
              <w:rPr>
                <w:rFonts w:asciiTheme="majorBidi" w:hAnsiTheme="majorBidi" w:cstheme="majorBidi"/>
              </w:rPr>
              <w:t>TSB</w:t>
            </w:r>
          </w:p>
        </w:tc>
      </w:tr>
      <w:tr w:rsidR="00FD767E" w:rsidRPr="008633EB" w14:paraId="66930A9F" w14:textId="77777777" w:rsidTr="00FD767E">
        <w:trPr>
          <w:cantSplit/>
        </w:trPr>
        <w:tc>
          <w:tcPr>
            <w:tcW w:w="1587" w:type="dxa"/>
            <w:gridSpan w:val="2"/>
            <w:tcBorders>
              <w:bottom w:val="single" w:sz="8" w:space="0" w:color="auto"/>
            </w:tcBorders>
          </w:tcPr>
          <w:p w14:paraId="54214809" w14:textId="77777777" w:rsidR="00FD767E" w:rsidRPr="008633EB" w:rsidRDefault="00FD767E" w:rsidP="00FD767E">
            <w:pPr>
              <w:spacing w:before="120" w:after="0"/>
              <w:rPr>
                <w:rFonts w:asciiTheme="majorBidi" w:hAnsiTheme="majorBidi" w:cstheme="majorBidi"/>
                <w:b/>
                <w:bCs/>
                <w:sz w:val="24"/>
                <w:szCs w:val="24"/>
              </w:rPr>
            </w:pPr>
            <w:bookmarkStart w:id="8" w:name="dtitle1" w:colFirst="1" w:colLast="1"/>
            <w:bookmarkEnd w:id="7"/>
            <w:r w:rsidRPr="008633EB">
              <w:rPr>
                <w:rFonts w:asciiTheme="majorBidi" w:hAnsiTheme="majorBidi" w:cstheme="majorBidi"/>
                <w:b/>
                <w:bCs/>
                <w:sz w:val="24"/>
                <w:szCs w:val="24"/>
              </w:rPr>
              <w:t>Title:</w:t>
            </w:r>
          </w:p>
        </w:tc>
        <w:tc>
          <w:tcPr>
            <w:tcW w:w="8336" w:type="dxa"/>
            <w:gridSpan w:val="4"/>
            <w:tcBorders>
              <w:bottom w:val="single" w:sz="8" w:space="0" w:color="auto"/>
            </w:tcBorders>
          </w:tcPr>
          <w:p w14:paraId="1BD5726A" w14:textId="2A6EA124" w:rsidR="00FD767E" w:rsidRPr="008633EB" w:rsidRDefault="00FD767E" w:rsidP="00FD767E">
            <w:pPr>
              <w:pStyle w:val="TSBHeaderTitle"/>
              <w:rPr>
                <w:rFonts w:asciiTheme="majorBidi" w:hAnsiTheme="majorBidi" w:cstheme="majorBidi"/>
              </w:rPr>
            </w:pPr>
            <w:r w:rsidRPr="008633EB">
              <w:rPr>
                <w:rFonts w:asciiTheme="majorBidi" w:hAnsiTheme="majorBidi" w:cstheme="majorBidi"/>
              </w:rPr>
              <w:t xml:space="preserve">Communiqué of the TSB Director </w:t>
            </w:r>
            <w:proofErr w:type="spellStart"/>
            <w:r w:rsidRPr="008633EB">
              <w:rPr>
                <w:rFonts w:asciiTheme="majorBidi" w:hAnsiTheme="majorBidi" w:cstheme="majorBidi"/>
              </w:rPr>
              <w:t>CxO</w:t>
            </w:r>
            <w:proofErr w:type="spellEnd"/>
            <w:r w:rsidRPr="008633EB">
              <w:rPr>
                <w:rFonts w:asciiTheme="majorBidi" w:hAnsiTheme="majorBidi" w:cstheme="majorBidi"/>
              </w:rPr>
              <w:t xml:space="preserve"> consultation meeting, 6 December 2022, Dubai, United Arab Emirates</w:t>
            </w:r>
          </w:p>
        </w:tc>
      </w:tr>
      <w:bookmarkEnd w:id="1"/>
      <w:bookmarkEnd w:id="8"/>
      <w:tr w:rsidR="009A62AF" w:rsidRPr="008633EB" w14:paraId="0FC1CB0C" w14:textId="77777777" w:rsidTr="00FD767E">
        <w:tblPrEx>
          <w:jc w:val="center"/>
        </w:tblPrEx>
        <w:trPr>
          <w:cantSplit/>
          <w:jc w:val="center"/>
        </w:trPr>
        <w:tc>
          <w:tcPr>
            <w:tcW w:w="1606" w:type="dxa"/>
            <w:gridSpan w:val="3"/>
            <w:tcBorders>
              <w:top w:val="single" w:sz="8" w:space="0" w:color="auto"/>
              <w:bottom w:val="single" w:sz="8" w:space="0" w:color="auto"/>
            </w:tcBorders>
          </w:tcPr>
          <w:p w14:paraId="4C8D4944" w14:textId="77777777" w:rsidR="009A62AF" w:rsidRPr="008633EB" w:rsidRDefault="009A62AF" w:rsidP="00FD767E">
            <w:pPr>
              <w:spacing w:before="120" w:after="0"/>
              <w:rPr>
                <w:rFonts w:asciiTheme="majorBidi" w:hAnsiTheme="majorBidi" w:cstheme="majorBidi"/>
                <w:b/>
                <w:bCs/>
                <w:sz w:val="24"/>
                <w:szCs w:val="24"/>
                <w:lang w:eastAsia="ja-JP"/>
              </w:rPr>
            </w:pPr>
            <w:r w:rsidRPr="008633EB">
              <w:rPr>
                <w:rFonts w:asciiTheme="majorBidi" w:hAnsiTheme="majorBidi" w:cstheme="majorBidi"/>
                <w:b/>
                <w:bCs/>
                <w:sz w:val="24"/>
                <w:szCs w:val="24"/>
                <w:lang w:eastAsia="ja-JP"/>
              </w:rPr>
              <w:t>Contact:</w:t>
            </w:r>
          </w:p>
        </w:tc>
        <w:tc>
          <w:tcPr>
            <w:tcW w:w="3635" w:type="dxa"/>
            <w:tcBorders>
              <w:top w:val="single" w:sz="8" w:space="0" w:color="auto"/>
              <w:bottom w:val="single" w:sz="8" w:space="0" w:color="auto"/>
            </w:tcBorders>
          </w:tcPr>
          <w:p w14:paraId="634095AF" w14:textId="77777777" w:rsidR="009A62AF" w:rsidRPr="008633EB" w:rsidRDefault="009A62AF" w:rsidP="00FD767E">
            <w:pPr>
              <w:spacing w:before="120" w:after="0"/>
              <w:rPr>
                <w:rFonts w:asciiTheme="majorBidi" w:hAnsiTheme="majorBidi" w:cstheme="majorBidi"/>
                <w:sz w:val="24"/>
                <w:szCs w:val="24"/>
                <w:lang w:val="fr-FR"/>
              </w:rPr>
            </w:pPr>
            <w:r w:rsidRPr="008633EB">
              <w:rPr>
                <w:rFonts w:asciiTheme="majorBidi" w:hAnsiTheme="majorBidi" w:cstheme="majorBidi"/>
                <w:sz w:val="24"/>
                <w:szCs w:val="24"/>
                <w:lang w:val="fr-FR"/>
              </w:rPr>
              <w:t>Bilel Jamoussi</w:t>
            </w:r>
            <w:r w:rsidRPr="008633EB">
              <w:rPr>
                <w:rFonts w:asciiTheme="majorBidi" w:hAnsiTheme="majorBidi" w:cstheme="majorBidi"/>
                <w:sz w:val="24"/>
                <w:szCs w:val="24"/>
                <w:lang w:val="fr-FR"/>
              </w:rPr>
              <w:br/>
              <w:t xml:space="preserve">ITU-T SG </w:t>
            </w:r>
            <w:proofErr w:type="spellStart"/>
            <w:r w:rsidRPr="008633EB">
              <w:rPr>
                <w:rFonts w:asciiTheme="majorBidi" w:hAnsiTheme="majorBidi" w:cstheme="majorBidi"/>
                <w:sz w:val="24"/>
                <w:szCs w:val="24"/>
                <w:lang w:val="fr-FR"/>
              </w:rPr>
              <w:t>Department</w:t>
            </w:r>
            <w:proofErr w:type="spellEnd"/>
          </w:p>
        </w:tc>
        <w:tc>
          <w:tcPr>
            <w:tcW w:w="4682" w:type="dxa"/>
            <w:gridSpan w:val="2"/>
            <w:tcBorders>
              <w:top w:val="single" w:sz="8" w:space="0" w:color="auto"/>
              <w:bottom w:val="single" w:sz="8" w:space="0" w:color="auto"/>
            </w:tcBorders>
          </w:tcPr>
          <w:p w14:paraId="3FBB4E90" w14:textId="77777777" w:rsidR="009A62AF" w:rsidRPr="008633EB" w:rsidRDefault="009A62AF" w:rsidP="00FD767E">
            <w:pPr>
              <w:spacing w:before="120" w:after="0"/>
              <w:rPr>
                <w:rFonts w:asciiTheme="majorBidi" w:hAnsiTheme="majorBidi" w:cstheme="majorBidi"/>
                <w:sz w:val="24"/>
                <w:szCs w:val="24"/>
                <w:lang w:val="de-DE"/>
              </w:rPr>
            </w:pPr>
            <w:r w:rsidRPr="008633EB">
              <w:rPr>
                <w:rFonts w:asciiTheme="majorBidi" w:hAnsiTheme="majorBidi" w:cstheme="majorBidi"/>
                <w:sz w:val="24"/>
                <w:szCs w:val="24"/>
                <w:lang w:val="de-DE"/>
              </w:rPr>
              <w:t>Tel:</w:t>
            </w:r>
            <w:r w:rsidRPr="008633EB">
              <w:rPr>
                <w:rFonts w:asciiTheme="majorBidi" w:hAnsiTheme="majorBidi" w:cstheme="majorBidi"/>
                <w:sz w:val="24"/>
                <w:szCs w:val="24"/>
                <w:lang w:val="de-DE"/>
              </w:rPr>
              <w:tab/>
              <w:t>+41 22 730 6311</w:t>
            </w:r>
            <w:r w:rsidRPr="008633EB">
              <w:rPr>
                <w:rFonts w:asciiTheme="majorBidi" w:hAnsiTheme="majorBidi" w:cstheme="majorBidi"/>
                <w:sz w:val="24"/>
                <w:szCs w:val="24"/>
                <w:lang w:val="de-DE"/>
              </w:rPr>
              <w:br/>
              <w:t xml:space="preserve">E-mail: </w:t>
            </w:r>
            <w:r w:rsidR="008633EB" w:rsidRPr="008633EB">
              <w:rPr>
                <w:rFonts w:asciiTheme="majorBidi" w:hAnsiTheme="majorBidi" w:cstheme="majorBidi"/>
                <w:sz w:val="24"/>
                <w:szCs w:val="24"/>
              </w:rPr>
              <w:fldChar w:fldCharType="begin"/>
            </w:r>
            <w:r w:rsidR="008633EB" w:rsidRPr="008633EB">
              <w:rPr>
                <w:rFonts w:asciiTheme="majorBidi" w:hAnsiTheme="majorBidi" w:cstheme="majorBidi"/>
                <w:sz w:val="24"/>
                <w:szCs w:val="24"/>
                <w:lang w:val="de-DE"/>
              </w:rPr>
              <w:instrText>HYPERLINK "mailto:Bilel.Jamoussi@itu.int"</w:instrText>
            </w:r>
            <w:r w:rsidR="008633EB" w:rsidRPr="008633EB">
              <w:rPr>
                <w:rFonts w:asciiTheme="majorBidi" w:hAnsiTheme="majorBidi" w:cstheme="majorBidi"/>
                <w:sz w:val="24"/>
                <w:szCs w:val="24"/>
              </w:rPr>
            </w:r>
            <w:r w:rsidR="008633EB" w:rsidRPr="008633EB">
              <w:rPr>
                <w:rFonts w:asciiTheme="majorBidi" w:hAnsiTheme="majorBidi" w:cstheme="majorBidi"/>
                <w:sz w:val="24"/>
                <w:szCs w:val="24"/>
              </w:rPr>
              <w:fldChar w:fldCharType="separate"/>
            </w:r>
            <w:r w:rsidRPr="008633EB">
              <w:rPr>
                <w:rStyle w:val="Hyperlink"/>
                <w:rFonts w:asciiTheme="majorBidi" w:hAnsiTheme="majorBidi" w:cstheme="majorBidi"/>
                <w:sz w:val="24"/>
                <w:szCs w:val="24"/>
                <w:lang w:val="de-DE"/>
              </w:rPr>
              <w:t>Bilel.Jamoussi@itu.int</w:t>
            </w:r>
            <w:r w:rsidR="008633EB" w:rsidRPr="008633EB">
              <w:rPr>
                <w:rStyle w:val="Hyperlink"/>
                <w:rFonts w:asciiTheme="majorBidi" w:hAnsiTheme="majorBidi" w:cstheme="majorBidi"/>
                <w:sz w:val="24"/>
                <w:szCs w:val="24"/>
              </w:rPr>
              <w:fldChar w:fldCharType="end"/>
            </w:r>
          </w:p>
        </w:tc>
      </w:tr>
    </w:tbl>
    <w:p w14:paraId="189751F2" w14:textId="77777777" w:rsidR="0037655F" w:rsidRPr="008633EB" w:rsidRDefault="0037655F">
      <w:pPr>
        <w:rPr>
          <w:rFonts w:asciiTheme="majorBidi" w:hAnsiTheme="majorBidi" w:cstheme="majorBidi"/>
          <w:sz w:val="24"/>
          <w:szCs w:val="24"/>
          <w:lang w:val="de-DE"/>
        </w:rPr>
      </w:pPr>
    </w:p>
    <w:tbl>
      <w:tblPr>
        <w:tblW w:w="9896" w:type="dxa"/>
        <w:tblLayout w:type="fixed"/>
        <w:tblCellMar>
          <w:left w:w="57" w:type="dxa"/>
          <w:right w:w="57" w:type="dxa"/>
        </w:tblCellMar>
        <w:tblLook w:val="0000" w:firstRow="0" w:lastRow="0" w:firstColumn="0" w:lastColumn="0" w:noHBand="0" w:noVBand="0"/>
      </w:tblPr>
      <w:tblGrid>
        <w:gridCol w:w="1207"/>
        <w:gridCol w:w="8689"/>
      </w:tblGrid>
      <w:tr w:rsidR="003E26B3" w:rsidRPr="008633EB" w14:paraId="4FF17CA3" w14:textId="77777777" w:rsidTr="00681B45">
        <w:trPr>
          <w:cantSplit/>
          <w:trHeight w:val="796"/>
        </w:trPr>
        <w:tc>
          <w:tcPr>
            <w:tcW w:w="1207" w:type="dxa"/>
          </w:tcPr>
          <w:p w14:paraId="16F4B843" w14:textId="77777777" w:rsidR="003E26B3" w:rsidRPr="008633EB" w:rsidRDefault="003E26B3" w:rsidP="00780ECA">
            <w:pPr>
              <w:spacing w:before="120" w:after="0"/>
              <w:rPr>
                <w:rFonts w:asciiTheme="majorBidi" w:hAnsiTheme="majorBidi" w:cstheme="majorBidi"/>
                <w:b/>
                <w:bCs/>
                <w:sz w:val="24"/>
                <w:szCs w:val="24"/>
                <w:highlight w:val="yellow"/>
              </w:rPr>
            </w:pPr>
            <w:r w:rsidRPr="008633EB">
              <w:rPr>
                <w:rFonts w:asciiTheme="majorBidi" w:hAnsiTheme="majorBidi" w:cstheme="majorBidi"/>
                <w:b/>
                <w:bCs/>
                <w:sz w:val="24"/>
                <w:szCs w:val="24"/>
              </w:rPr>
              <w:t>Abstract:</w:t>
            </w:r>
          </w:p>
        </w:tc>
        <w:tc>
          <w:tcPr>
            <w:tcW w:w="8689" w:type="dxa"/>
            <w:vAlign w:val="center"/>
          </w:tcPr>
          <w:p w14:paraId="454DACF8" w14:textId="70D33667" w:rsidR="003E26B3" w:rsidRPr="008633EB" w:rsidRDefault="003E26B3" w:rsidP="00F53041">
            <w:pPr>
              <w:spacing w:before="120" w:after="0"/>
              <w:rPr>
                <w:rFonts w:asciiTheme="majorBidi" w:hAnsiTheme="majorBidi" w:cstheme="majorBidi"/>
                <w:sz w:val="24"/>
                <w:szCs w:val="24"/>
              </w:rPr>
            </w:pPr>
            <w:r w:rsidRPr="008633EB">
              <w:rPr>
                <w:rFonts w:asciiTheme="majorBidi" w:hAnsiTheme="majorBidi" w:cstheme="majorBidi"/>
                <w:sz w:val="24"/>
                <w:szCs w:val="24"/>
              </w:rPr>
              <w:t xml:space="preserve">This TD provides the Communiqué of the TSB Director </w:t>
            </w:r>
            <w:proofErr w:type="spellStart"/>
            <w:r w:rsidRPr="008633EB">
              <w:rPr>
                <w:rFonts w:asciiTheme="majorBidi" w:hAnsiTheme="majorBidi" w:cstheme="majorBidi"/>
                <w:sz w:val="24"/>
                <w:szCs w:val="24"/>
              </w:rPr>
              <w:t>CxO</w:t>
            </w:r>
            <w:proofErr w:type="spellEnd"/>
            <w:r w:rsidRPr="008633EB">
              <w:rPr>
                <w:rFonts w:asciiTheme="majorBidi" w:hAnsiTheme="majorBidi" w:cstheme="majorBidi"/>
                <w:sz w:val="24"/>
                <w:szCs w:val="24"/>
              </w:rPr>
              <w:t xml:space="preserve"> consultation meeting, 6 December 2022, Dubai, United Arab Emirates.</w:t>
            </w:r>
          </w:p>
        </w:tc>
      </w:tr>
    </w:tbl>
    <w:p w14:paraId="1B331877" w14:textId="77777777" w:rsidR="003E26B3" w:rsidRPr="008633EB" w:rsidRDefault="003E26B3" w:rsidP="003E26B3">
      <w:pPr>
        <w:spacing w:before="120" w:after="0" w:line="240" w:lineRule="auto"/>
        <w:rPr>
          <w:rFonts w:asciiTheme="majorBidi" w:hAnsiTheme="majorBidi" w:cstheme="majorBidi"/>
          <w:b/>
          <w:bCs/>
          <w:sz w:val="24"/>
          <w:szCs w:val="24"/>
        </w:rPr>
      </w:pPr>
    </w:p>
    <w:p w14:paraId="629D9133" w14:textId="43908B0C" w:rsidR="003E26B3" w:rsidRPr="008633EB" w:rsidRDefault="003E26B3" w:rsidP="003E26B3">
      <w:pPr>
        <w:spacing w:before="120" w:after="0" w:line="240" w:lineRule="auto"/>
        <w:rPr>
          <w:rFonts w:asciiTheme="majorBidi" w:hAnsiTheme="majorBidi" w:cstheme="majorBidi"/>
          <w:sz w:val="24"/>
          <w:szCs w:val="24"/>
        </w:rPr>
      </w:pPr>
      <w:r w:rsidRPr="008633EB">
        <w:rPr>
          <w:rFonts w:asciiTheme="majorBidi" w:hAnsiTheme="majorBidi" w:cstheme="majorBidi"/>
          <w:b/>
          <w:bCs/>
          <w:sz w:val="24"/>
          <w:szCs w:val="24"/>
        </w:rPr>
        <w:t>Action</w:t>
      </w:r>
      <w:r w:rsidRPr="008633EB">
        <w:rPr>
          <w:rFonts w:asciiTheme="majorBidi" w:hAnsiTheme="majorBidi" w:cstheme="majorBidi"/>
          <w:sz w:val="24"/>
          <w:szCs w:val="24"/>
        </w:rPr>
        <w:t>:</w:t>
      </w:r>
      <w:r w:rsidRPr="008633EB">
        <w:rPr>
          <w:rFonts w:asciiTheme="majorBidi" w:hAnsiTheme="majorBidi" w:cstheme="majorBidi"/>
          <w:sz w:val="24"/>
          <w:szCs w:val="24"/>
        </w:rPr>
        <w:tab/>
        <w:t>TSAG is invited to consider this document.</w:t>
      </w:r>
    </w:p>
    <w:p w14:paraId="7998A527" w14:textId="77777777" w:rsidR="00F0792F" w:rsidRPr="008633EB" w:rsidRDefault="00F0792F" w:rsidP="00533D91">
      <w:pPr>
        <w:spacing w:before="120" w:after="0" w:line="240" w:lineRule="auto"/>
        <w:rPr>
          <w:rFonts w:asciiTheme="majorBidi" w:hAnsiTheme="majorBidi" w:cstheme="majorBidi"/>
          <w:b/>
          <w:bCs/>
          <w:sz w:val="24"/>
          <w:szCs w:val="24"/>
        </w:rPr>
      </w:pPr>
    </w:p>
    <w:p w14:paraId="411EE576" w14:textId="77777777" w:rsidR="00FD767E" w:rsidRPr="008633EB" w:rsidRDefault="00FD767E" w:rsidP="00FD767E">
      <w:pPr>
        <w:spacing w:before="240"/>
        <w:rPr>
          <w:rFonts w:asciiTheme="majorBidi" w:hAnsiTheme="majorBidi" w:cstheme="majorBidi"/>
          <w:sz w:val="24"/>
          <w:szCs w:val="24"/>
        </w:rPr>
      </w:pPr>
      <w:r w:rsidRPr="008633EB">
        <w:rPr>
          <w:rFonts w:asciiTheme="majorBidi" w:hAnsiTheme="majorBidi" w:cstheme="majorBidi"/>
          <w:sz w:val="24"/>
          <w:szCs w:val="24"/>
        </w:rPr>
        <w:t xml:space="preserve">This TD provides the communiqué of the last TSB Director </w:t>
      </w:r>
      <w:proofErr w:type="spellStart"/>
      <w:r w:rsidRPr="008633EB">
        <w:rPr>
          <w:rFonts w:asciiTheme="majorBidi" w:hAnsiTheme="majorBidi" w:cstheme="majorBidi"/>
          <w:sz w:val="24"/>
          <w:szCs w:val="24"/>
        </w:rPr>
        <w:t>CxO</w:t>
      </w:r>
      <w:proofErr w:type="spellEnd"/>
      <w:r w:rsidRPr="008633EB">
        <w:rPr>
          <w:rFonts w:asciiTheme="majorBidi" w:hAnsiTheme="majorBidi" w:cstheme="majorBidi"/>
          <w:sz w:val="24"/>
          <w:szCs w:val="24"/>
        </w:rPr>
        <w:t xml:space="preserve"> meeting 6 December 2022, Dubai, United Arab Emirates. The published communiqué is attached and is also available at: </w:t>
      </w:r>
      <w:bookmarkStart w:id="9" w:name="page1"/>
      <w:bookmarkEnd w:id="9"/>
      <w:r w:rsidRPr="008633EB">
        <w:rPr>
          <w:rFonts w:asciiTheme="majorBidi" w:hAnsiTheme="majorBidi" w:cstheme="majorBidi"/>
          <w:sz w:val="24"/>
          <w:szCs w:val="24"/>
        </w:rPr>
        <w:fldChar w:fldCharType="begin"/>
      </w:r>
      <w:r w:rsidRPr="008633EB">
        <w:rPr>
          <w:rFonts w:asciiTheme="majorBidi" w:hAnsiTheme="majorBidi" w:cstheme="majorBidi"/>
          <w:sz w:val="24"/>
          <w:szCs w:val="24"/>
        </w:rPr>
        <w:instrText xml:space="preserve"> HYPERLINK "https://www.itu.int/en/ITU-T/tsbdir/cto/Documents/Communique_ITU_CxO_2022_06.12_Final.pdf" </w:instrText>
      </w:r>
      <w:r w:rsidRPr="008633EB">
        <w:rPr>
          <w:rFonts w:asciiTheme="majorBidi" w:hAnsiTheme="majorBidi" w:cstheme="majorBidi"/>
          <w:sz w:val="24"/>
          <w:szCs w:val="24"/>
        </w:rPr>
      </w:r>
      <w:r w:rsidRPr="008633EB">
        <w:rPr>
          <w:rFonts w:asciiTheme="majorBidi" w:hAnsiTheme="majorBidi" w:cstheme="majorBidi"/>
          <w:sz w:val="24"/>
          <w:szCs w:val="24"/>
        </w:rPr>
        <w:fldChar w:fldCharType="separate"/>
      </w:r>
      <w:r w:rsidRPr="008633EB">
        <w:rPr>
          <w:rStyle w:val="Hyperlink"/>
          <w:rFonts w:asciiTheme="majorBidi" w:hAnsiTheme="majorBidi" w:cstheme="majorBidi"/>
          <w:sz w:val="24"/>
          <w:szCs w:val="24"/>
        </w:rPr>
        <w:t>https://www.itu.int/en/ITU-T/tsbdir/cto/Documents/Communique_ITU_CxO_2022_06.12_Final.pdf</w:t>
      </w:r>
      <w:r w:rsidRPr="008633EB">
        <w:rPr>
          <w:rFonts w:asciiTheme="majorBidi" w:hAnsiTheme="majorBidi" w:cstheme="majorBidi"/>
          <w:sz w:val="24"/>
          <w:szCs w:val="24"/>
        </w:rPr>
        <w:fldChar w:fldCharType="end"/>
      </w:r>
    </w:p>
    <w:p w14:paraId="48449C73" w14:textId="6E60657D" w:rsidR="00FD767E" w:rsidRPr="00FD767E" w:rsidRDefault="00FD767E" w:rsidP="00681B45">
      <w:pPr>
        <w:pageBreakBefore/>
        <w:spacing w:line="0" w:lineRule="atLeast"/>
        <w:ind w:right="62"/>
        <w:jc w:val="center"/>
        <w:rPr>
          <w:rFonts w:asciiTheme="majorBidi" w:hAnsiTheme="majorBidi" w:cstheme="majorBidi"/>
          <w:b/>
          <w:sz w:val="24"/>
          <w:szCs w:val="24"/>
        </w:rPr>
      </w:pPr>
      <w:proofErr w:type="spellStart"/>
      <w:r w:rsidRPr="00FD767E">
        <w:rPr>
          <w:rFonts w:asciiTheme="majorBidi" w:hAnsiTheme="majorBidi" w:cstheme="majorBidi"/>
          <w:b/>
          <w:sz w:val="24"/>
          <w:szCs w:val="24"/>
        </w:rPr>
        <w:lastRenderedPageBreak/>
        <w:t>CxO</w:t>
      </w:r>
      <w:proofErr w:type="spellEnd"/>
      <w:r w:rsidRPr="00FD767E">
        <w:rPr>
          <w:rFonts w:asciiTheme="majorBidi" w:hAnsiTheme="majorBidi" w:cstheme="majorBidi"/>
          <w:b/>
          <w:sz w:val="24"/>
          <w:szCs w:val="24"/>
        </w:rPr>
        <w:t xml:space="preserve"> MEETING</w:t>
      </w:r>
    </w:p>
    <w:p w14:paraId="0B32CAD6" w14:textId="77777777" w:rsidR="00FD767E" w:rsidRPr="00FD767E" w:rsidRDefault="00FD767E" w:rsidP="00FD767E">
      <w:pPr>
        <w:spacing w:line="0" w:lineRule="atLeast"/>
        <w:ind w:right="60"/>
        <w:jc w:val="center"/>
        <w:rPr>
          <w:rFonts w:asciiTheme="majorBidi" w:eastAsia="Calibri" w:hAnsiTheme="majorBidi" w:cstheme="majorBidi"/>
          <w:b/>
          <w:sz w:val="24"/>
          <w:szCs w:val="24"/>
        </w:rPr>
      </w:pPr>
      <w:r w:rsidRPr="00FD767E">
        <w:rPr>
          <w:rFonts w:asciiTheme="majorBidi" w:hAnsiTheme="majorBidi" w:cstheme="majorBidi"/>
          <w:b/>
          <w:sz w:val="24"/>
          <w:szCs w:val="24"/>
        </w:rPr>
        <w:t>6 December 2022, Dubai, United Arab Emirates</w:t>
      </w:r>
    </w:p>
    <w:p w14:paraId="369C2C2A" w14:textId="77777777" w:rsidR="00FD767E" w:rsidRPr="00FD767E" w:rsidRDefault="00FD767E" w:rsidP="00FD767E">
      <w:pPr>
        <w:spacing w:line="0" w:lineRule="atLeast"/>
        <w:ind w:right="60"/>
        <w:jc w:val="center"/>
        <w:rPr>
          <w:rFonts w:asciiTheme="majorBidi" w:eastAsia="Calibri" w:hAnsiTheme="majorBidi" w:cstheme="majorBidi"/>
          <w:b/>
          <w:sz w:val="24"/>
          <w:szCs w:val="24"/>
        </w:rPr>
      </w:pPr>
      <w:r w:rsidRPr="00FD767E">
        <w:rPr>
          <w:rFonts w:asciiTheme="majorBidi" w:hAnsiTheme="majorBidi" w:cstheme="majorBidi"/>
          <w:b/>
          <w:sz w:val="24"/>
          <w:szCs w:val="24"/>
        </w:rPr>
        <w:t>COMMUNIQUÉ</w:t>
      </w:r>
    </w:p>
    <w:p w14:paraId="2057187B" w14:textId="77777777" w:rsidR="00FD767E" w:rsidRPr="00FD767E" w:rsidRDefault="00FD767E" w:rsidP="00FD767E">
      <w:pPr>
        <w:rPr>
          <w:rFonts w:asciiTheme="majorBidi" w:hAnsiTheme="majorBidi" w:cstheme="majorBidi"/>
          <w:sz w:val="24"/>
          <w:szCs w:val="24"/>
        </w:rPr>
      </w:pPr>
      <w:bookmarkStart w:id="10" w:name="_Hlk120282390"/>
      <w:r w:rsidRPr="00FD767E">
        <w:rPr>
          <w:rFonts w:asciiTheme="majorBidi" w:hAnsiTheme="majorBidi" w:cstheme="majorBidi"/>
          <w:sz w:val="24"/>
          <w:szCs w:val="24"/>
        </w:rPr>
        <w:t>High-level industry executives (</w:t>
      </w: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met with the senior management of the ITU Telecommunication Standardization Bureau to exchange views on industry priorities and related standardization activities in Dubai, UAE, 6 December 2022. Telecom Review hosted the meeting with the support of the UAE Telecommunications and Digital Government Regulatory Authority, du, TELUS, IBM, and Huawei.</w:t>
      </w:r>
    </w:p>
    <w:p w14:paraId="4852FCA0" w14:textId="77777777" w:rsidR="00FD767E" w:rsidRPr="00FD767E" w:rsidRDefault="00FD767E" w:rsidP="00FD767E">
      <w:pPr>
        <w:rPr>
          <w:rFonts w:asciiTheme="majorBidi" w:hAnsiTheme="majorBidi" w:cstheme="majorBidi"/>
          <w:sz w:val="24"/>
          <w:szCs w:val="24"/>
        </w:rPr>
      </w:pP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discussed industry priorities in the areas of artificial intelligence and machine learning (AI/ML), environmental sustainability, sustainability reporting, the metaverse, quantum information technologies, and IMT-2020/5G and beyond. </w:t>
      </w:r>
    </w:p>
    <w:p w14:paraId="32B26D14" w14:textId="77777777" w:rsidR="00FD767E" w:rsidRPr="00FD767E" w:rsidRDefault="00FD767E" w:rsidP="00FD767E">
      <w:pPr>
        <w:rPr>
          <w:rFonts w:asciiTheme="majorBidi" w:hAnsiTheme="majorBidi" w:cstheme="majorBidi"/>
          <w:sz w:val="24"/>
          <w:szCs w:val="24"/>
        </w:rPr>
      </w:pP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shared views on means to support and capitalize on the growing synergy between industry and academia in the development and application of information and communication technologies (ICTs), particularly in the field of AI/ML.</w:t>
      </w:r>
    </w:p>
    <w:p w14:paraId="020F61C6" w14:textId="77777777" w:rsidR="00FD767E" w:rsidRPr="00FD767E" w:rsidRDefault="00FD767E" w:rsidP="00FD767E">
      <w:pPr>
        <w:rPr>
          <w:rFonts w:asciiTheme="majorBidi" w:hAnsiTheme="majorBidi" w:cstheme="majorBidi"/>
          <w:sz w:val="24"/>
          <w:szCs w:val="24"/>
        </w:rPr>
      </w:pP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also received executive briefings on the outcomes of previous </w:t>
      </w:r>
      <w:proofErr w:type="spellStart"/>
      <w:r w:rsidRPr="00FD767E">
        <w:rPr>
          <w:rFonts w:asciiTheme="majorBidi" w:hAnsiTheme="majorBidi" w:cstheme="majorBidi"/>
          <w:sz w:val="24"/>
          <w:szCs w:val="24"/>
        </w:rPr>
        <w:t>CxO</w:t>
      </w:r>
      <w:proofErr w:type="spellEnd"/>
      <w:r w:rsidRPr="00FD767E">
        <w:rPr>
          <w:rFonts w:asciiTheme="majorBidi" w:hAnsiTheme="majorBidi" w:cstheme="majorBidi"/>
          <w:sz w:val="24"/>
          <w:szCs w:val="24"/>
        </w:rPr>
        <w:t xml:space="preserve"> meetings, ITU standardization work on quantum information technologies, and the AI-based mapping of ITU activities to the United Nations Sustainable Development Goals (SDGs) developed by the ITU Telecommunication Standardization Bureau.</w:t>
      </w:r>
    </w:p>
    <w:p w14:paraId="2326A3AD" w14:textId="77777777" w:rsidR="00FD767E" w:rsidRPr="00FD767E" w:rsidRDefault="00FD767E" w:rsidP="00FD767E">
      <w:pPr>
        <w:rPr>
          <w:rFonts w:asciiTheme="majorBidi" w:hAnsiTheme="majorBidi" w:cstheme="majorBidi"/>
          <w:b/>
          <w:bCs/>
          <w:sz w:val="24"/>
          <w:szCs w:val="24"/>
        </w:rPr>
      </w:pPr>
      <w:r w:rsidRPr="00FD767E">
        <w:rPr>
          <w:rFonts w:asciiTheme="majorBidi" w:hAnsiTheme="majorBidi" w:cstheme="majorBidi"/>
          <w:b/>
          <w:bCs/>
          <w:sz w:val="24"/>
          <w:szCs w:val="24"/>
        </w:rPr>
        <w:t>AI/ML and data</w:t>
      </w:r>
    </w:p>
    <w:p w14:paraId="1C61E6EA" w14:textId="77777777" w:rsidR="00FD767E" w:rsidRPr="00FD767E" w:rsidRDefault="00FD767E" w:rsidP="00FD767E">
      <w:pPr>
        <w:rPr>
          <w:rFonts w:asciiTheme="majorBidi" w:hAnsiTheme="majorBidi" w:cstheme="majorBidi"/>
          <w:sz w:val="24"/>
          <w:szCs w:val="24"/>
        </w:rPr>
      </w:pPr>
      <w:r w:rsidRPr="00FD767E">
        <w:rPr>
          <w:rFonts w:asciiTheme="majorBidi" w:hAnsiTheme="majorBidi" w:cstheme="majorBidi"/>
          <w:sz w:val="24"/>
          <w:szCs w:val="24"/>
        </w:rPr>
        <w:t>Network optimization is becoming increasingly challenging, and essential, as networks grow in complexity to support the coexistence of a progressively diverse range of ICT applications and services.</w:t>
      </w:r>
    </w:p>
    <w:p w14:paraId="72E458ED" w14:textId="77777777" w:rsidR="00FD767E" w:rsidRPr="00FD767E" w:rsidRDefault="00FD767E" w:rsidP="00FD767E">
      <w:pPr>
        <w:rPr>
          <w:rFonts w:asciiTheme="majorBidi" w:hAnsiTheme="majorBidi" w:cstheme="majorBidi"/>
          <w:sz w:val="24"/>
          <w:szCs w:val="24"/>
        </w:rPr>
      </w:pP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noted that AI/ML is playing a key part in this optimization, highlighting the value of the growing collaboration between industry and academia on AI/ML demonstrated by initiatives such as the ITU AI/ML in 5G Challenge.</w:t>
      </w:r>
    </w:p>
    <w:p w14:paraId="3D346599" w14:textId="77777777" w:rsidR="00FD767E" w:rsidRPr="00FD767E" w:rsidRDefault="00FD767E" w:rsidP="00FD767E">
      <w:pPr>
        <w:rPr>
          <w:rFonts w:asciiTheme="majorBidi" w:hAnsiTheme="majorBidi" w:cstheme="majorBidi"/>
          <w:sz w:val="24"/>
          <w:szCs w:val="24"/>
        </w:rPr>
      </w:pP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encouraged ITU studies towards new standards for metadata management in support of AI/ML.</w:t>
      </w:r>
    </w:p>
    <w:p w14:paraId="1E2A6ED5" w14:textId="77777777" w:rsidR="00FD767E" w:rsidRPr="00FD767E" w:rsidRDefault="00FD767E" w:rsidP="00FD767E">
      <w:pPr>
        <w:rPr>
          <w:rFonts w:asciiTheme="majorBidi" w:hAnsiTheme="majorBidi" w:cstheme="majorBidi"/>
          <w:sz w:val="24"/>
          <w:szCs w:val="24"/>
        </w:rPr>
      </w:pP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called on ITU to stimulate the collaboration necessary to support widespread access to computing resources and high-quality data for AI/ML training and evaluation. </w:t>
      </w: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also expressed support for the increasing interaction of MENA and ITU AI/ML sandboxes. </w:t>
      </w:r>
    </w:p>
    <w:p w14:paraId="5CEAA975" w14:textId="77777777" w:rsidR="00FD767E" w:rsidRPr="00FD767E" w:rsidRDefault="00FD767E" w:rsidP="00FD767E">
      <w:pPr>
        <w:rPr>
          <w:rFonts w:asciiTheme="majorBidi" w:hAnsiTheme="majorBidi" w:cstheme="majorBidi"/>
          <w:b/>
          <w:bCs/>
          <w:sz w:val="24"/>
          <w:szCs w:val="24"/>
        </w:rPr>
      </w:pPr>
      <w:r w:rsidRPr="00FD767E">
        <w:rPr>
          <w:rFonts w:asciiTheme="majorBidi" w:hAnsiTheme="majorBidi" w:cstheme="majorBidi"/>
          <w:b/>
          <w:bCs/>
          <w:sz w:val="24"/>
          <w:szCs w:val="24"/>
        </w:rPr>
        <w:t xml:space="preserve">Environmental sustainability </w:t>
      </w:r>
    </w:p>
    <w:p w14:paraId="3173E3AB" w14:textId="77777777" w:rsidR="00FD767E" w:rsidRPr="00FD767E" w:rsidRDefault="00FD767E" w:rsidP="00FD767E">
      <w:pPr>
        <w:rPr>
          <w:rStyle w:val="normaltextrun"/>
          <w:rFonts w:asciiTheme="majorBidi" w:hAnsiTheme="majorBidi" w:cstheme="majorBidi"/>
          <w:color w:val="000000"/>
          <w:sz w:val="24"/>
          <w:szCs w:val="24"/>
          <w:shd w:val="clear" w:color="auto" w:fill="FFFFFF"/>
        </w:rPr>
      </w:pPr>
      <w:r w:rsidRPr="00FD767E">
        <w:rPr>
          <w:rStyle w:val="normaltextrun"/>
          <w:rFonts w:asciiTheme="majorBidi" w:hAnsiTheme="majorBidi" w:cstheme="majorBidi"/>
          <w:color w:val="000000"/>
          <w:sz w:val="24"/>
          <w:szCs w:val="24"/>
          <w:shd w:val="clear" w:color="auto" w:fill="FFFFFF"/>
        </w:rPr>
        <w:t xml:space="preserve">Industry aims to improve networks' energy efficiency to achieve net-zero emissions and uphold circular economy principles to eliminate e-waste. </w:t>
      </w:r>
    </w:p>
    <w:p w14:paraId="45F1DBC1" w14:textId="77777777" w:rsidR="00FD767E" w:rsidRPr="00FD767E" w:rsidRDefault="00FD767E" w:rsidP="00FD767E">
      <w:pPr>
        <w:rPr>
          <w:rStyle w:val="normaltextrun"/>
          <w:rFonts w:asciiTheme="majorBidi" w:hAnsiTheme="majorBidi" w:cstheme="majorBidi"/>
          <w:color w:val="000000"/>
          <w:sz w:val="24"/>
          <w:szCs w:val="24"/>
          <w:shd w:val="clear" w:color="auto" w:fill="FFFFFF"/>
        </w:rPr>
      </w:pPr>
      <w:proofErr w:type="spellStart"/>
      <w:r w:rsidRPr="00FD767E">
        <w:rPr>
          <w:rStyle w:val="normaltextrun"/>
          <w:rFonts w:asciiTheme="majorBidi" w:hAnsiTheme="majorBidi" w:cstheme="majorBidi"/>
          <w:color w:val="000000"/>
          <w:sz w:val="24"/>
          <w:szCs w:val="24"/>
          <w:shd w:val="clear" w:color="auto" w:fill="FFFFFF"/>
        </w:rPr>
        <w:t>CxOs</w:t>
      </w:r>
      <w:proofErr w:type="spellEnd"/>
      <w:r w:rsidRPr="00FD767E">
        <w:rPr>
          <w:rStyle w:val="normaltextrun"/>
          <w:rFonts w:asciiTheme="majorBidi" w:hAnsiTheme="majorBidi" w:cstheme="majorBidi"/>
          <w:color w:val="000000"/>
          <w:sz w:val="24"/>
          <w:szCs w:val="24"/>
          <w:shd w:val="clear" w:color="auto" w:fill="FFFFFF"/>
        </w:rPr>
        <w:t xml:space="preserve"> noted the value of relevant ITU standards and associated collaboration with other bodies to develop cohesive standards for sustainable digital transformation in areas such as metering; energy efficiency; circularity; and minimizing the environmental footprint of ICT goods, </w:t>
      </w:r>
      <w:proofErr w:type="gramStart"/>
      <w:r w:rsidRPr="00FD767E">
        <w:rPr>
          <w:rStyle w:val="normaltextrun"/>
          <w:rFonts w:asciiTheme="majorBidi" w:hAnsiTheme="majorBidi" w:cstheme="majorBidi"/>
          <w:color w:val="000000"/>
          <w:sz w:val="24"/>
          <w:szCs w:val="24"/>
          <w:shd w:val="clear" w:color="auto" w:fill="FFFFFF"/>
        </w:rPr>
        <w:t>networks</w:t>
      </w:r>
      <w:proofErr w:type="gramEnd"/>
      <w:r w:rsidRPr="00FD767E">
        <w:rPr>
          <w:rStyle w:val="normaltextrun"/>
          <w:rFonts w:asciiTheme="majorBidi" w:hAnsiTheme="majorBidi" w:cstheme="majorBidi"/>
          <w:color w:val="000000"/>
          <w:sz w:val="24"/>
          <w:szCs w:val="24"/>
          <w:shd w:val="clear" w:color="auto" w:fill="FFFFFF"/>
        </w:rPr>
        <w:t xml:space="preserve"> and services, including equipment manufacturing. </w:t>
      </w:r>
    </w:p>
    <w:p w14:paraId="6A8863A3" w14:textId="77777777" w:rsidR="00FD767E" w:rsidRPr="00FD767E" w:rsidRDefault="00FD767E" w:rsidP="00FD767E">
      <w:pPr>
        <w:rPr>
          <w:rStyle w:val="normaltextrun"/>
          <w:rFonts w:asciiTheme="majorBidi" w:hAnsiTheme="majorBidi" w:cstheme="majorBidi"/>
          <w:color w:val="000000"/>
          <w:sz w:val="24"/>
          <w:szCs w:val="24"/>
          <w:shd w:val="clear" w:color="auto" w:fill="FFFFFF"/>
        </w:rPr>
      </w:pPr>
      <w:proofErr w:type="spellStart"/>
      <w:r w:rsidRPr="00FD767E">
        <w:rPr>
          <w:rStyle w:val="normaltextrun"/>
          <w:rFonts w:asciiTheme="majorBidi" w:hAnsiTheme="majorBidi" w:cstheme="majorBidi"/>
          <w:color w:val="000000"/>
          <w:sz w:val="24"/>
          <w:szCs w:val="24"/>
          <w:shd w:val="clear" w:color="auto" w:fill="FFFFFF"/>
        </w:rPr>
        <w:t>CxOs</w:t>
      </w:r>
      <w:proofErr w:type="spellEnd"/>
      <w:r w:rsidRPr="00FD767E">
        <w:rPr>
          <w:rStyle w:val="normaltextrun"/>
          <w:rFonts w:asciiTheme="majorBidi" w:hAnsiTheme="majorBidi" w:cstheme="majorBidi"/>
          <w:color w:val="000000"/>
          <w:sz w:val="24"/>
          <w:szCs w:val="24"/>
          <w:shd w:val="clear" w:color="auto" w:fill="FFFFFF"/>
        </w:rPr>
        <w:t xml:space="preserve"> highlighted the significance of innovative data centre cooling solutions and AI/ML in improving energy efficiency and optimizing ICT infrastructure's use of renewable and low-carbon energy, again noting the value of relevant ITU standards. </w:t>
      </w:r>
    </w:p>
    <w:p w14:paraId="0D634CF8" w14:textId="77777777" w:rsidR="00FD767E" w:rsidRPr="005B7553" w:rsidRDefault="00FD767E" w:rsidP="00FD767E">
      <w:pPr>
        <w:rPr>
          <w:rFonts w:asciiTheme="majorBidi" w:hAnsiTheme="majorBidi" w:cstheme="majorBidi"/>
          <w:sz w:val="24"/>
          <w:szCs w:val="24"/>
        </w:rPr>
      </w:pPr>
      <w:r w:rsidRPr="005B7553">
        <w:rPr>
          <w:rFonts w:asciiTheme="majorBidi" w:hAnsiTheme="majorBidi" w:cstheme="majorBidi"/>
          <w:b/>
          <w:bCs/>
          <w:sz w:val="24"/>
          <w:szCs w:val="24"/>
        </w:rPr>
        <w:lastRenderedPageBreak/>
        <w:t xml:space="preserve">Sustainability reporting </w:t>
      </w:r>
    </w:p>
    <w:p w14:paraId="358C7706" w14:textId="77777777" w:rsidR="00FD767E" w:rsidRPr="005B7553" w:rsidRDefault="00FD767E" w:rsidP="00FD767E">
      <w:pPr>
        <w:rPr>
          <w:rStyle w:val="normaltextrun"/>
          <w:rFonts w:asciiTheme="majorBidi" w:hAnsiTheme="majorBidi" w:cstheme="majorBidi"/>
          <w:color w:val="000000"/>
          <w:sz w:val="24"/>
          <w:szCs w:val="24"/>
          <w:shd w:val="clear" w:color="auto" w:fill="FFFFFF"/>
        </w:rPr>
      </w:pPr>
      <w:r w:rsidRPr="005B7553">
        <w:rPr>
          <w:rStyle w:val="normaltextrun"/>
          <w:rFonts w:asciiTheme="majorBidi" w:hAnsiTheme="majorBidi" w:cstheme="majorBidi"/>
          <w:color w:val="000000"/>
          <w:sz w:val="24"/>
          <w:szCs w:val="24"/>
          <w:shd w:val="clear" w:color="auto" w:fill="FFFFFF"/>
        </w:rPr>
        <w:t xml:space="preserve">Various companies have highlighted their commitment to the SDGs but have yet to coalesce around a common reporting framework and metrics to evaluate their progress towards these global goals. </w:t>
      </w:r>
    </w:p>
    <w:p w14:paraId="68BEEC1B" w14:textId="77777777" w:rsidR="00FD767E" w:rsidRPr="005B7553" w:rsidRDefault="00FD767E" w:rsidP="00FD767E">
      <w:pPr>
        <w:rPr>
          <w:rStyle w:val="normaltextrun"/>
          <w:rFonts w:asciiTheme="majorBidi" w:hAnsiTheme="majorBidi" w:cstheme="majorBidi"/>
          <w:color w:val="000000"/>
          <w:sz w:val="24"/>
          <w:szCs w:val="24"/>
          <w:shd w:val="clear" w:color="auto" w:fill="FFFFFF"/>
        </w:rPr>
      </w:pPr>
      <w:proofErr w:type="spellStart"/>
      <w:r w:rsidRPr="005B7553">
        <w:rPr>
          <w:rStyle w:val="normaltextrun"/>
          <w:rFonts w:asciiTheme="majorBidi" w:hAnsiTheme="majorBidi" w:cstheme="majorBidi"/>
          <w:color w:val="000000"/>
          <w:sz w:val="24"/>
          <w:szCs w:val="24"/>
          <w:shd w:val="clear" w:color="auto" w:fill="FFFFFF"/>
        </w:rPr>
        <w:t>CxOs</w:t>
      </w:r>
      <w:proofErr w:type="spellEnd"/>
      <w:r w:rsidRPr="005B7553">
        <w:rPr>
          <w:rStyle w:val="normaltextrun"/>
          <w:rFonts w:asciiTheme="majorBidi" w:hAnsiTheme="majorBidi" w:cstheme="majorBidi"/>
          <w:color w:val="000000"/>
          <w:sz w:val="24"/>
          <w:szCs w:val="24"/>
          <w:shd w:val="clear" w:color="auto" w:fill="FFFFFF"/>
        </w:rPr>
        <w:t xml:space="preserve"> agreed that these companies and industry analysts would benefit considerably from such a common reporting framework, in particular associated guidance on relevant metrics and key performance indicators to evaluate progress towards each goal. </w:t>
      </w:r>
    </w:p>
    <w:p w14:paraId="7F74BA38" w14:textId="77777777" w:rsidR="00FD767E" w:rsidRPr="005B7553" w:rsidRDefault="00FD767E" w:rsidP="00FD767E">
      <w:pPr>
        <w:rPr>
          <w:rStyle w:val="normaltextrun"/>
          <w:rFonts w:asciiTheme="majorBidi" w:hAnsiTheme="majorBidi" w:cstheme="majorBidi"/>
          <w:color w:val="000000"/>
          <w:sz w:val="24"/>
          <w:szCs w:val="24"/>
          <w:shd w:val="clear" w:color="auto" w:fill="FFFFFF"/>
        </w:rPr>
      </w:pPr>
      <w:proofErr w:type="spellStart"/>
      <w:r w:rsidRPr="005B7553">
        <w:rPr>
          <w:rStyle w:val="normaltextrun"/>
          <w:rFonts w:asciiTheme="majorBidi" w:hAnsiTheme="majorBidi" w:cstheme="majorBidi"/>
          <w:color w:val="000000"/>
          <w:sz w:val="24"/>
          <w:szCs w:val="24"/>
          <w:shd w:val="clear" w:color="auto" w:fill="FFFFFF"/>
        </w:rPr>
        <w:t>CxOs</w:t>
      </w:r>
      <w:proofErr w:type="spellEnd"/>
      <w:r w:rsidRPr="005B7553">
        <w:rPr>
          <w:rStyle w:val="normaltextrun"/>
          <w:rFonts w:asciiTheme="majorBidi" w:hAnsiTheme="majorBidi" w:cstheme="majorBidi"/>
          <w:color w:val="000000"/>
          <w:sz w:val="24"/>
          <w:szCs w:val="24"/>
          <w:shd w:val="clear" w:color="auto" w:fill="FFFFFF"/>
        </w:rPr>
        <w:t xml:space="preserve"> urged ITU to develop this framework for the ICT sector and thereby support the harmonization of ICT companies' SDG reporting.</w:t>
      </w:r>
    </w:p>
    <w:p w14:paraId="3C19048F" w14:textId="77777777" w:rsidR="00FD767E" w:rsidRPr="005B7553" w:rsidRDefault="00FD767E" w:rsidP="00FD767E">
      <w:pPr>
        <w:rPr>
          <w:rFonts w:asciiTheme="majorBidi" w:hAnsiTheme="majorBidi" w:cstheme="majorBidi"/>
          <w:b/>
          <w:bCs/>
          <w:sz w:val="24"/>
          <w:szCs w:val="24"/>
        </w:rPr>
      </w:pPr>
      <w:r w:rsidRPr="005B7553">
        <w:rPr>
          <w:rFonts w:asciiTheme="majorBidi" w:hAnsiTheme="majorBidi" w:cstheme="majorBidi"/>
          <w:b/>
          <w:bCs/>
          <w:sz w:val="24"/>
          <w:szCs w:val="24"/>
        </w:rPr>
        <w:t xml:space="preserve">Metaverse </w:t>
      </w:r>
    </w:p>
    <w:p w14:paraId="26D0B280" w14:textId="77777777" w:rsidR="00FD767E" w:rsidRPr="005B7553" w:rsidRDefault="00FD767E" w:rsidP="00FD767E">
      <w:pPr>
        <w:rPr>
          <w:rFonts w:asciiTheme="majorBidi" w:hAnsiTheme="majorBidi" w:cstheme="majorBidi"/>
          <w:sz w:val="24"/>
          <w:szCs w:val="24"/>
        </w:rPr>
      </w:pPr>
      <w:r w:rsidRPr="005B7553">
        <w:rPr>
          <w:rFonts w:asciiTheme="majorBidi" w:hAnsiTheme="majorBidi" w:cstheme="majorBidi"/>
          <w:sz w:val="24"/>
          <w:szCs w:val="24"/>
        </w:rPr>
        <w:t>Innovation to enable the metaverse is gaining a prominent position in ICT companies' business strategies and motivating considerable investment in enabling technologies.</w:t>
      </w:r>
    </w:p>
    <w:p w14:paraId="2F5C9618" w14:textId="77777777" w:rsidR="00FD767E" w:rsidRPr="00FD767E" w:rsidRDefault="00FD767E" w:rsidP="00FD767E">
      <w:pPr>
        <w:rPr>
          <w:rFonts w:asciiTheme="majorBidi" w:hAnsiTheme="majorBidi" w:cstheme="majorBidi"/>
          <w:sz w:val="24"/>
          <w:szCs w:val="24"/>
        </w:rPr>
      </w:pPr>
      <w:proofErr w:type="spellStart"/>
      <w:r w:rsidRPr="005B7553">
        <w:rPr>
          <w:rFonts w:asciiTheme="majorBidi" w:hAnsiTheme="majorBidi" w:cstheme="majorBidi"/>
          <w:sz w:val="24"/>
          <w:szCs w:val="24"/>
        </w:rPr>
        <w:t>CxOs</w:t>
      </w:r>
      <w:proofErr w:type="spellEnd"/>
      <w:r w:rsidRPr="005B7553">
        <w:rPr>
          <w:rFonts w:asciiTheme="majorBidi" w:hAnsiTheme="majorBidi" w:cstheme="majorBidi"/>
          <w:sz w:val="24"/>
          <w:szCs w:val="24"/>
        </w:rPr>
        <w:t xml:space="preserve"> discussed the relevance of metaverse worlds to entertainment, </w:t>
      </w:r>
      <w:proofErr w:type="gramStart"/>
      <w:r w:rsidRPr="005B7553">
        <w:rPr>
          <w:rFonts w:asciiTheme="majorBidi" w:hAnsiTheme="majorBidi" w:cstheme="majorBidi"/>
          <w:sz w:val="24"/>
          <w:szCs w:val="24"/>
        </w:rPr>
        <w:t>cities</w:t>
      </w:r>
      <w:proofErr w:type="gramEnd"/>
      <w:r w:rsidRPr="005B7553">
        <w:rPr>
          <w:rFonts w:asciiTheme="majorBidi" w:hAnsiTheme="majorBidi" w:cstheme="majorBidi"/>
          <w:sz w:val="24"/>
          <w:szCs w:val="24"/>
        </w:rPr>
        <w:t xml:space="preserve"> and industrial activities, highlighting the growing demand for supporting standards in areas such as AI/ML; immersive multimedia; Internet of Things; digital twin</w:t>
      </w:r>
      <w:r w:rsidRPr="00FD767E">
        <w:rPr>
          <w:rFonts w:asciiTheme="majorBidi" w:hAnsiTheme="majorBidi" w:cstheme="majorBidi"/>
          <w:sz w:val="24"/>
          <w:szCs w:val="24"/>
        </w:rPr>
        <w:t xml:space="preserve">; environmental sustainability; and 5G and beyond-5G </w:t>
      </w:r>
      <w:r w:rsidRPr="00FD767E">
        <w:rPr>
          <w:rFonts w:asciiTheme="majorBidi" w:hAnsiTheme="majorBidi" w:cstheme="majorBidi"/>
          <w:sz w:val="24"/>
          <w:szCs w:val="24"/>
          <w:lang w:val="en-US"/>
        </w:rPr>
        <w:t>network infrastructure, capabilities</w:t>
      </w:r>
      <w:r w:rsidRPr="00FD767E">
        <w:rPr>
          <w:rFonts w:asciiTheme="majorBidi" w:hAnsiTheme="majorBidi" w:cstheme="majorBidi"/>
          <w:sz w:val="24"/>
          <w:szCs w:val="24"/>
        </w:rPr>
        <w:t>, performance and integration.</w:t>
      </w:r>
    </w:p>
    <w:p w14:paraId="0DF6D609" w14:textId="77777777" w:rsidR="00FD767E" w:rsidRPr="00FD767E" w:rsidRDefault="00FD767E" w:rsidP="00FD767E">
      <w:pPr>
        <w:rPr>
          <w:rFonts w:asciiTheme="majorBidi" w:hAnsiTheme="majorBidi" w:cstheme="majorBidi"/>
          <w:sz w:val="24"/>
          <w:szCs w:val="24"/>
        </w:rPr>
      </w:pPr>
      <w:r w:rsidRPr="00FD767E">
        <w:rPr>
          <w:rFonts w:asciiTheme="majorBidi" w:hAnsiTheme="majorBidi" w:cstheme="majorBidi"/>
          <w:sz w:val="24"/>
          <w:szCs w:val="24"/>
        </w:rPr>
        <w:t xml:space="preserve">Developing countries' metaverse ambitions should be duly considered in the development of such standards, emphasized </w:t>
      </w: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w:t>
      </w:r>
    </w:p>
    <w:p w14:paraId="517DDD67" w14:textId="77777777" w:rsidR="00FD767E" w:rsidRPr="00FD767E" w:rsidRDefault="00FD767E" w:rsidP="00FD767E">
      <w:pPr>
        <w:rPr>
          <w:rFonts w:asciiTheme="majorBidi" w:hAnsiTheme="majorBidi" w:cstheme="majorBidi"/>
          <w:sz w:val="24"/>
          <w:szCs w:val="24"/>
        </w:rPr>
      </w:pP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cautioned that this growing demand for standards, and the accelerating emergence of standardization projects to meet this demand, could create challenges to the coordination of relevant standardization activities. </w:t>
      </w:r>
    </w:p>
    <w:p w14:paraId="64A392DB" w14:textId="77777777" w:rsidR="00FD767E" w:rsidRPr="00FD767E" w:rsidRDefault="00FD767E" w:rsidP="00FD767E">
      <w:pPr>
        <w:rPr>
          <w:rFonts w:asciiTheme="majorBidi" w:hAnsiTheme="majorBidi" w:cstheme="majorBidi"/>
          <w:sz w:val="24"/>
          <w:szCs w:val="24"/>
        </w:rPr>
      </w:pPr>
      <w:r w:rsidRPr="00FD767E">
        <w:rPr>
          <w:rFonts w:asciiTheme="majorBidi" w:hAnsiTheme="majorBidi" w:cstheme="majorBidi"/>
          <w:sz w:val="24"/>
          <w:szCs w:val="24"/>
        </w:rPr>
        <w:t xml:space="preserve">This recognition motivated </w:t>
      </w: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to encourage ITU to take up a leading role in promoting collaborative and coordinated standards development, noting the proposal to create a new ITU focus group on the metaverse to be considered by the upcoming meeting of the ITU Telecommunication Standardization Advisory Group (TSAG) in Geneva, 12-16 December 2022.  </w:t>
      </w:r>
    </w:p>
    <w:p w14:paraId="7245BE9C" w14:textId="77777777" w:rsidR="00FD767E" w:rsidRPr="00FD767E" w:rsidRDefault="00FD767E" w:rsidP="00FD767E">
      <w:pPr>
        <w:rPr>
          <w:rFonts w:asciiTheme="majorBidi" w:hAnsiTheme="majorBidi" w:cstheme="majorBidi"/>
          <w:b/>
          <w:bCs/>
          <w:sz w:val="24"/>
          <w:szCs w:val="24"/>
        </w:rPr>
      </w:pPr>
      <w:r w:rsidRPr="00FD767E">
        <w:rPr>
          <w:rFonts w:asciiTheme="majorBidi" w:hAnsiTheme="majorBidi" w:cstheme="majorBidi"/>
          <w:b/>
          <w:bCs/>
          <w:sz w:val="24"/>
          <w:szCs w:val="24"/>
        </w:rPr>
        <w:t>Quantum information technologies</w:t>
      </w:r>
    </w:p>
    <w:p w14:paraId="78AE6BD1" w14:textId="77777777" w:rsidR="00FD767E" w:rsidRPr="00FD767E" w:rsidRDefault="00FD767E" w:rsidP="00FD767E">
      <w:pPr>
        <w:rPr>
          <w:rFonts w:asciiTheme="majorBidi" w:hAnsiTheme="majorBidi" w:cstheme="majorBidi"/>
          <w:sz w:val="24"/>
          <w:szCs w:val="24"/>
        </w:rPr>
      </w:pPr>
      <w:r w:rsidRPr="00FD767E">
        <w:rPr>
          <w:rFonts w:asciiTheme="majorBidi" w:hAnsiTheme="majorBidi" w:cstheme="majorBidi"/>
          <w:sz w:val="24"/>
          <w:szCs w:val="24"/>
        </w:rPr>
        <w:t xml:space="preserve">Quantum information technologies will be capable of solving problems beyond the reach of classical information technologies. Although these quantum information technologies are sure to bolster security defences, </w:t>
      </w: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cautioned that they would also bring greater strength to attacks. </w:t>
      </w:r>
    </w:p>
    <w:p w14:paraId="566B2896" w14:textId="77777777" w:rsidR="00FD767E" w:rsidRPr="00FD767E" w:rsidRDefault="00FD767E" w:rsidP="00FD767E">
      <w:pPr>
        <w:rPr>
          <w:rFonts w:asciiTheme="majorBidi" w:hAnsiTheme="majorBidi" w:cstheme="majorBidi"/>
          <w:sz w:val="24"/>
          <w:szCs w:val="24"/>
        </w:rPr>
      </w:pP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noted that the success of quantum information technologies would demand standards supporting the efficient, </w:t>
      </w:r>
      <w:proofErr w:type="gramStart"/>
      <w:r w:rsidRPr="00FD767E">
        <w:rPr>
          <w:rFonts w:asciiTheme="majorBidi" w:hAnsiTheme="majorBidi" w:cstheme="majorBidi"/>
          <w:sz w:val="24"/>
          <w:szCs w:val="24"/>
        </w:rPr>
        <w:t>cost-effective</w:t>
      </w:r>
      <w:proofErr w:type="gramEnd"/>
      <w:r w:rsidRPr="00FD767E">
        <w:rPr>
          <w:rFonts w:asciiTheme="majorBidi" w:hAnsiTheme="majorBidi" w:cstheme="majorBidi"/>
          <w:sz w:val="24"/>
          <w:szCs w:val="24"/>
        </w:rPr>
        <w:t xml:space="preserve"> and environmentally sustainable deployment of quantum devices and their interoperability. </w:t>
      </w:r>
    </w:p>
    <w:p w14:paraId="6800DF7A" w14:textId="77777777" w:rsidR="00FD767E" w:rsidRPr="00FD767E" w:rsidRDefault="00FD767E" w:rsidP="00FD767E">
      <w:pPr>
        <w:rPr>
          <w:rFonts w:asciiTheme="majorBidi" w:hAnsiTheme="majorBidi" w:cstheme="majorBidi"/>
          <w:sz w:val="24"/>
          <w:szCs w:val="24"/>
        </w:rPr>
      </w:pPr>
      <w:r w:rsidRPr="00FD767E">
        <w:rPr>
          <w:rFonts w:asciiTheme="majorBidi" w:hAnsiTheme="majorBidi" w:cstheme="majorBidi"/>
          <w:sz w:val="24"/>
          <w:szCs w:val="24"/>
        </w:rPr>
        <w:t xml:space="preserve">Quantum information technologies such as Quantum Key Distribution (QKD) are quantum-safe and ready for large-scale deployment, with commercial QKD solutions now on the market, noted </w:t>
      </w: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w:t>
      </w:r>
    </w:p>
    <w:p w14:paraId="048A351F" w14:textId="77777777" w:rsidR="00FD767E" w:rsidRPr="00FD767E" w:rsidRDefault="00FD767E" w:rsidP="00FD767E">
      <w:pPr>
        <w:rPr>
          <w:rFonts w:asciiTheme="majorBidi" w:hAnsiTheme="majorBidi" w:cstheme="majorBidi"/>
          <w:sz w:val="24"/>
          <w:szCs w:val="24"/>
        </w:rPr>
      </w:pP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highlighted their support for ITU's ongoing standardization work on security and network aspects of quantum information technologies as well as the leading role that ITU continues to play in promoting the effective coordination of quantum-relevant standardization activities, noting the proposal to create an ITU Joint Coordination Activity on quantum information technologies to be considered by the upcoming meeting of TSAG.</w:t>
      </w:r>
    </w:p>
    <w:p w14:paraId="2EC19219" w14:textId="77777777" w:rsidR="00FD767E" w:rsidRDefault="00FD767E" w:rsidP="00FD767E">
      <w:pPr>
        <w:rPr>
          <w:rFonts w:asciiTheme="majorBidi" w:hAnsiTheme="majorBidi" w:cstheme="majorBidi"/>
          <w:b/>
          <w:bCs/>
          <w:sz w:val="24"/>
          <w:szCs w:val="24"/>
        </w:rPr>
      </w:pPr>
    </w:p>
    <w:p w14:paraId="4524AC05" w14:textId="5A5FF833" w:rsidR="00FD767E" w:rsidRPr="00FD767E" w:rsidRDefault="00FD767E" w:rsidP="00FD767E">
      <w:pPr>
        <w:rPr>
          <w:rFonts w:asciiTheme="majorBidi" w:hAnsiTheme="majorBidi" w:cstheme="majorBidi"/>
          <w:sz w:val="24"/>
          <w:szCs w:val="24"/>
        </w:rPr>
      </w:pPr>
      <w:r w:rsidRPr="00FD767E">
        <w:rPr>
          <w:rFonts w:asciiTheme="majorBidi" w:hAnsiTheme="majorBidi" w:cstheme="majorBidi"/>
          <w:b/>
          <w:bCs/>
          <w:sz w:val="24"/>
          <w:szCs w:val="24"/>
        </w:rPr>
        <w:lastRenderedPageBreak/>
        <w:t>5G and beyond</w:t>
      </w:r>
    </w:p>
    <w:p w14:paraId="2AE819C7" w14:textId="77777777" w:rsidR="00FD767E" w:rsidRPr="00FD767E" w:rsidRDefault="00FD767E" w:rsidP="00FD767E">
      <w:pPr>
        <w:rPr>
          <w:rFonts w:asciiTheme="majorBidi" w:hAnsiTheme="majorBidi" w:cstheme="majorBidi"/>
          <w:sz w:val="24"/>
          <w:szCs w:val="24"/>
        </w:rPr>
      </w:pPr>
      <w:r w:rsidRPr="00FD767E">
        <w:rPr>
          <w:rFonts w:asciiTheme="majorBidi" w:hAnsiTheme="majorBidi" w:cstheme="majorBidi"/>
          <w:sz w:val="24"/>
          <w:szCs w:val="24"/>
        </w:rPr>
        <w:t xml:space="preserve">Networks are evolving to enable the interconnection of all types of physical or virtual entities with the support of precise performance assurance and the coordinated utilization of computing, </w:t>
      </w:r>
      <w:proofErr w:type="gramStart"/>
      <w:r w:rsidRPr="00FD767E">
        <w:rPr>
          <w:rFonts w:asciiTheme="majorBidi" w:hAnsiTheme="majorBidi" w:cstheme="majorBidi"/>
          <w:sz w:val="24"/>
          <w:szCs w:val="24"/>
        </w:rPr>
        <w:t>storage</w:t>
      </w:r>
      <w:proofErr w:type="gramEnd"/>
      <w:r w:rsidRPr="00FD767E">
        <w:rPr>
          <w:rFonts w:asciiTheme="majorBidi" w:hAnsiTheme="majorBidi" w:cstheme="majorBidi"/>
          <w:sz w:val="24"/>
          <w:szCs w:val="24"/>
        </w:rPr>
        <w:t xml:space="preserve"> and network resources. </w:t>
      </w:r>
    </w:p>
    <w:p w14:paraId="2531B898" w14:textId="77777777" w:rsidR="00FD767E" w:rsidRPr="00FD767E" w:rsidRDefault="00FD767E" w:rsidP="00FD767E">
      <w:pPr>
        <w:rPr>
          <w:rFonts w:asciiTheme="majorBidi" w:hAnsiTheme="majorBidi" w:cstheme="majorBidi"/>
          <w:sz w:val="24"/>
          <w:szCs w:val="24"/>
        </w:rPr>
      </w:pPr>
      <w:r w:rsidRPr="00FD767E">
        <w:rPr>
          <w:rFonts w:asciiTheme="majorBidi" w:hAnsiTheme="majorBidi" w:cstheme="majorBidi"/>
          <w:sz w:val="24"/>
          <w:szCs w:val="24"/>
        </w:rPr>
        <w:t xml:space="preserve">Intelligent systems for network management and control are key to the development of highly service-oriented networks, said </w:t>
      </w:r>
      <w:proofErr w:type="spellStart"/>
      <w:r w:rsidRPr="00FD767E">
        <w:rPr>
          <w:rFonts w:asciiTheme="majorBidi" w:hAnsiTheme="majorBidi" w:cstheme="majorBidi"/>
          <w:sz w:val="24"/>
          <w:szCs w:val="24"/>
        </w:rPr>
        <w:t>CxOs</w:t>
      </w:r>
      <w:proofErr w:type="spellEnd"/>
      <w:r w:rsidRPr="00FD767E">
        <w:rPr>
          <w:rFonts w:asciiTheme="majorBidi" w:hAnsiTheme="majorBidi" w:cstheme="majorBidi"/>
          <w:sz w:val="24"/>
          <w:szCs w:val="24"/>
        </w:rPr>
        <w:t xml:space="preserve">. </w:t>
      </w:r>
    </w:p>
    <w:p w14:paraId="7F8355C3" w14:textId="77777777" w:rsidR="00FD767E" w:rsidRPr="00FD767E" w:rsidRDefault="00FD767E" w:rsidP="00FD767E">
      <w:pPr>
        <w:rPr>
          <w:rFonts w:asciiTheme="majorBidi" w:hAnsiTheme="majorBidi" w:cstheme="majorBidi"/>
          <w:sz w:val="24"/>
          <w:szCs w:val="24"/>
        </w:rPr>
      </w:pPr>
      <w:proofErr w:type="spellStart"/>
      <w:r w:rsidRPr="00FD767E">
        <w:rPr>
          <w:rFonts w:asciiTheme="majorBidi" w:hAnsiTheme="majorBidi" w:cstheme="majorBidi"/>
          <w:sz w:val="24"/>
          <w:szCs w:val="24"/>
          <w:lang w:val="en-US"/>
        </w:rPr>
        <w:t>CxOs</w:t>
      </w:r>
      <w:proofErr w:type="spellEnd"/>
      <w:r w:rsidRPr="00FD767E">
        <w:rPr>
          <w:rFonts w:asciiTheme="majorBidi" w:hAnsiTheme="majorBidi" w:cstheme="majorBidi"/>
          <w:sz w:val="24"/>
          <w:szCs w:val="24"/>
          <w:lang w:val="en-US"/>
        </w:rPr>
        <w:t xml:space="preserve"> discussed challenges and opportunities presented by Open RAN, including the need for further discussion on issues such as interoperable standardized solutions and security and network complexity challenges across open segregated networking technologies. RAN quality of service (QoS) testing techniques should be applicable to all RAN architectures and the evaluation of their sustainability impacts, emphasized </w:t>
      </w:r>
      <w:proofErr w:type="spellStart"/>
      <w:r w:rsidRPr="00FD767E">
        <w:rPr>
          <w:rFonts w:asciiTheme="majorBidi" w:hAnsiTheme="majorBidi" w:cstheme="majorBidi"/>
          <w:sz w:val="24"/>
          <w:szCs w:val="24"/>
          <w:lang w:val="en-US"/>
        </w:rPr>
        <w:t>CxOs</w:t>
      </w:r>
      <w:proofErr w:type="spellEnd"/>
      <w:r w:rsidRPr="00FD767E">
        <w:rPr>
          <w:rFonts w:asciiTheme="majorBidi" w:hAnsiTheme="majorBidi" w:cstheme="majorBidi"/>
          <w:sz w:val="24"/>
          <w:szCs w:val="24"/>
          <w:lang w:val="en-US"/>
        </w:rPr>
        <w:t>.</w:t>
      </w:r>
    </w:p>
    <w:p w14:paraId="6C7E2308" w14:textId="77777777" w:rsidR="00FD767E" w:rsidRPr="00FD767E" w:rsidRDefault="00FD767E" w:rsidP="00FD767E">
      <w:pPr>
        <w:rPr>
          <w:rFonts w:asciiTheme="majorBidi" w:hAnsiTheme="majorBidi" w:cstheme="majorBidi"/>
          <w:sz w:val="24"/>
          <w:szCs w:val="24"/>
          <w:lang w:val="en-US"/>
        </w:rPr>
      </w:pPr>
      <w:proofErr w:type="spellStart"/>
      <w:r w:rsidRPr="00FD767E">
        <w:rPr>
          <w:rFonts w:asciiTheme="majorBidi" w:hAnsiTheme="majorBidi" w:cstheme="majorBidi"/>
          <w:sz w:val="24"/>
          <w:szCs w:val="24"/>
          <w:lang w:val="en-US"/>
        </w:rPr>
        <w:t>CxOs</w:t>
      </w:r>
      <w:proofErr w:type="spellEnd"/>
      <w:r w:rsidRPr="00FD767E">
        <w:rPr>
          <w:rFonts w:asciiTheme="majorBidi" w:hAnsiTheme="majorBidi" w:cstheme="majorBidi"/>
          <w:sz w:val="24"/>
          <w:szCs w:val="24"/>
          <w:lang w:val="en-US"/>
        </w:rPr>
        <w:t xml:space="preserve"> discussed the QoS evaluation of 5G at 6GHz and encouraged more study and field tests on 6GHz for 5G advanced and beyond, noting that the 6GHz spectrum is under study in the ITU Radiocommunication Sector and on the agenda of the ITU World Radiocommunication Conference 2023. </w:t>
      </w:r>
    </w:p>
    <w:p w14:paraId="3E12DA39" w14:textId="77777777" w:rsidR="00FD767E" w:rsidRPr="00FD767E" w:rsidRDefault="00FD767E" w:rsidP="00FD767E">
      <w:pPr>
        <w:rPr>
          <w:rFonts w:asciiTheme="majorBidi" w:hAnsiTheme="majorBidi" w:cstheme="majorBidi"/>
          <w:b/>
          <w:bCs/>
          <w:sz w:val="24"/>
          <w:szCs w:val="24"/>
        </w:rPr>
      </w:pPr>
      <w:r w:rsidRPr="00FD767E">
        <w:rPr>
          <w:rFonts w:asciiTheme="majorBidi" w:hAnsiTheme="majorBidi" w:cstheme="majorBidi"/>
          <w:b/>
          <w:bCs/>
          <w:sz w:val="24"/>
          <w:szCs w:val="24"/>
        </w:rPr>
        <w:t>The participating organizations were:</w:t>
      </w:r>
    </w:p>
    <w:p w14:paraId="744AA155" w14:textId="77777777" w:rsidR="00FD767E" w:rsidRPr="00FD767E" w:rsidRDefault="00FD767E" w:rsidP="00FD767E">
      <w:pPr>
        <w:rPr>
          <w:rFonts w:asciiTheme="majorBidi" w:hAnsiTheme="majorBidi" w:cstheme="majorBidi"/>
          <w:sz w:val="24"/>
          <w:szCs w:val="24"/>
        </w:rPr>
      </w:pPr>
      <w:r w:rsidRPr="00FD767E">
        <w:rPr>
          <w:rFonts w:asciiTheme="majorBidi" w:hAnsiTheme="majorBidi" w:cstheme="majorBidi"/>
          <w:sz w:val="24"/>
          <w:szCs w:val="24"/>
          <w:u w:val="single"/>
        </w:rPr>
        <w:t>In Dubai</w:t>
      </w:r>
      <w:r w:rsidRPr="00FD767E">
        <w:rPr>
          <w:rFonts w:asciiTheme="majorBidi" w:hAnsiTheme="majorBidi" w:cstheme="majorBidi"/>
          <w:sz w:val="24"/>
          <w:szCs w:val="24"/>
        </w:rPr>
        <w:t xml:space="preserve">: </w:t>
      </w:r>
      <w:proofErr w:type="spellStart"/>
      <w:r w:rsidRPr="00FD767E">
        <w:rPr>
          <w:rFonts w:asciiTheme="majorBidi" w:hAnsiTheme="majorBidi" w:cstheme="majorBidi"/>
          <w:sz w:val="24"/>
          <w:szCs w:val="24"/>
        </w:rPr>
        <w:t>APTelecom</w:t>
      </w:r>
      <w:proofErr w:type="spellEnd"/>
      <w:r w:rsidRPr="00FD767E">
        <w:rPr>
          <w:rFonts w:asciiTheme="majorBidi" w:hAnsiTheme="majorBidi" w:cstheme="majorBidi"/>
          <w:sz w:val="24"/>
          <w:szCs w:val="24"/>
        </w:rPr>
        <w:t xml:space="preserve">; Arab ICT Organization; Emirates Integrated Telecommunications Company (EITC) (du); Huawei Technologies Co., Ltd.; IBM; </w:t>
      </w:r>
      <w:proofErr w:type="spellStart"/>
      <w:r w:rsidRPr="00FD767E">
        <w:rPr>
          <w:rFonts w:asciiTheme="majorBidi" w:hAnsiTheme="majorBidi" w:cstheme="majorBidi"/>
          <w:sz w:val="24"/>
          <w:szCs w:val="24"/>
        </w:rPr>
        <w:t>Medeverse</w:t>
      </w:r>
      <w:proofErr w:type="spellEnd"/>
      <w:r w:rsidRPr="00FD767E">
        <w:rPr>
          <w:rFonts w:asciiTheme="majorBidi" w:hAnsiTheme="majorBidi" w:cstheme="majorBidi"/>
          <w:sz w:val="24"/>
          <w:szCs w:val="24"/>
        </w:rPr>
        <w:t xml:space="preserve">; Nokia Corporation; Rohde &amp; Schwarz GmbH &amp; Co. KG; SENKO Advanced Components; </w:t>
      </w:r>
      <w:proofErr w:type="spellStart"/>
      <w:r w:rsidRPr="00FD767E">
        <w:rPr>
          <w:rFonts w:asciiTheme="majorBidi" w:hAnsiTheme="majorBidi" w:cstheme="majorBidi"/>
          <w:sz w:val="24"/>
          <w:szCs w:val="24"/>
        </w:rPr>
        <w:t>Sofrecom</w:t>
      </w:r>
      <w:proofErr w:type="spellEnd"/>
      <w:r w:rsidRPr="00FD767E">
        <w:rPr>
          <w:rFonts w:asciiTheme="majorBidi" w:hAnsiTheme="majorBidi" w:cstheme="majorBidi"/>
          <w:sz w:val="24"/>
          <w:szCs w:val="24"/>
        </w:rPr>
        <w:t>; Telecommunications and Digital Government Regulatory Authority (TDRA); Telecom Review Group; TELUS Communications Inc.; TTC; ZTE Corporation</w:t>
      </w:r>
    </w:p>
    <w:p w14:paraId="6E1C37E8" w14:textId="16F1A694" w:rsidR="00FD767E" w:rsidRPr="00FD767E" w:rsidRDefault="00FD767E" w:rsidP="00FD767E">
      <w:pPr>
        <w:rPr>
          <w:rFonts w:asciiTheme="majorBidi" w:hAnsiTheme="majorBidi" w:cstheme="majorBidi"/>
          <w:sz w:val="24"/>
          <w:szCs w:val="24"/>
        </w:rPr>
      </w:pPr>
      <w:r w:rsidRPr="00FD767E">
        <w:rPr>
          <w:rFonts w:asciiTheme="majorBidi" w:hAnsiTheme="majorBidi" w:cstheme="majorBidi"/>
          <w:sz w:val="24"/>
          <w:szCs w:val="24"/>
          <w:u w:val="single"/>
        </w:rPr>
        <w:t>Online</w:t>
      </w:r>
      <w:r w:rsidRPr="00FD767E">
        <w:rPr>
          <w:rFonts w:asciiTheme="majorBidi" w:hAnsiTheme="majorBidi" w:cstheme="majorBidi"/>
          <w:sz w:val="24"/>
          <w:szCs w:val="24"/>
        </w:rPr>
        <w:t>:</w:t>
      </w:r>
      <w:bookmarkEnd w:id="10"/>
      <w:r w:rsidRPr="00FD767E">
        <w:rPr>
          <w:rFonts w:asciiTheme="majorBidi" w:hAnsiTheme="majorBidi" w:cstheme="majorBidi"/>
          <w:sz w:val="24"/>
          <w:szCs w:val="24"/>
        </w:rPr>
        <w:t xml:space="preserve"> Alliance for Telecommunications Industry Solutions (ATIS); AT&amp;T; British Telecom Plc; </w:t>
      </w:r>
      <w:proofErr w:type="spellStart"/>
      <w:r w:rsidRPr="00FD767E">
        <w:rPr>
          <w:rFonts w:asciiTheme="majorBidi" w:hAnsiTheme="majorBidi" w:cstheme="majorBidi"/>
          <w:sz w:val="24"/>
          <w:szCs w:val="24"/>
        </w:rPr>
        <w:t>Catronic</w:t>
      </w:r>
      <w:proofErr w:type="spellEnd"/>
      <w:r w:rsidRPr="00FD767E">
        <w:rPr>
          <w:rFonts w:asciiTheme="majorBidi" w:hAnsiTheme="majorBidi" w:cstheme="majorBidi"/>
          <w:sz w:val="24"/>
          <w:szCs w:val="24"/>
        </w:rPr>
        <w:t xml:space="preserve">; China Telecommunications Corporation; Cisco Systems; </w:t>
      </w:r>
      <w:proofErr w:type="spellStart"/>
      <w:r w:rsidRPr="00FD767E">
        <w:rPr>
          <w:rFonts w:asciiTheme="majorBidi" w:hAnsiTheme="majorBidi" w:cstheme="majorBidi"/>
          <w:sz w:val="24"/>
          <w:szCs w:val="24"/>
        </w:rPr>
        <w:t>Telefon</w:t>
      </w:r>
      <w:proofErr w:type="spellEnd"/>
      <w:r w:rsidRPr="00FD767E">
        <w:rPr>
          <w:rFonts w:asciiTheme="majorBidi" w:hAnsiTheme="majorBidi" w:cstheme="majorBidi"/>
          <w:sz w:val="24"/>
          <w:szCs w:val="24"/>
        </w:rPr>
        <w:t xml:space="preserve"> AB - LM Ericsson; Etisalat Egypt; Fujitsu Limited; Orange; </w:t>
      </w:r>
      <w:proofErr w:type="spellStart"/>
      <w:r w:rsidRPr="00FD767E">
        <w:rPr>
          <w:rFonts w:asciiTheme="majorBidi" w:hAnsiTheme="majorBidi" w:cstheme="majorBidi"/>
          <w:sz w:val="24"/>
          <w:szCs w:val="24"/>
        </w:rPr>
        <w:t>pureLiFi</w:t>
      </w:r>
      <w:proofErr w:type="spellEnd"/>
      <w:r w:rsidRPr="00FD767E">
        <w:rPr>
          <w:rFonts w:asciiTheme="majorBidi" w:hAnsiTheme="majorBidi" w:cstheme="majorBidi"/>
          <w:sz w:val="24"/>
          <w:szCs w:val="24"/>
        </w:rPr>
        <w:t>; Telkom SA Ltd.</w:t>
      </w:r>
    </w:p>
    <w:p w14:paraId="4F904798" w14:textId="6D176529" w:rsidR="00FD767E" w:rsidRPr="00FD767E" w:rsidRDefault="00FD767E" w:rsidP="00FD767E">
      <w:pPr>
        <w:rPr>
          <w:rFonts w:asciiTheme="majorBidi" w:hAnsiTheme="majorBidi" w:cstheme="majorBidi"/>
          <w:sz w:val="24"/>
          <w:szCs w:val="24"/>
        </w:rPr>
      </w:pPr>
    </w:p>
    <w:p w14:paraId="3590D905" w14:textId="4318A2EB" w:rsidR="00FD767E" w:rsidRPr="00FD767E" w:rsidRDefault="00FD767E" w:rsidP="00FD767E">
      <w:pPr>
        <w:jc w:val="center"/>
        <w:rPr>
          <w:rFonts w:asciiTheme="majorBidi" w:hAnsiTheme="majorBidi" w:cstheme="majorBidi"/>
          <w:sz w:val="24"/>
          <w:szCs w:val="24"/>
        </w:rPr>
      </w:pPr>
      <w:r w:rsidRPr="00FD767E">
        <w:rPr>
          <w:rFonts w:asciiTheme="majorBidi" w:hAnsiTheme="majorBidi" w:cstheme="majorBidi"/>
          <w:sz w:val="24"/>
          <w:szCs w:val="24"/>
        </w:rPr>
        <w:t>_____________________</w:t>
      </w:r>
    </w:p>
    <w:p w14:paraId="4B99AD33" w14:textId="77777777" w:rsidR="00FD767E" w:rsidRPr="00FF528E" w:rsidRDefault="00FD767E" w:rsidP="00FD767E"/>
    <w:p w14:paraId="238DBC06" w14:textId="7332456F" w:rsidR="00FD767E" w:rsidRDefault="00FD767E" w:rsidP="00FD767E">
      <w:pPr>
        <w:spacing w:before="240" w:after="0" w:line="240" w:lineRule="auto"/>
        <w:rPr>
          <w:rFonts w:asciiTheme="majorBidi" w:hAnsiTheme="majorBidi" w:cstheme="majorBidi"/>
          <w:sz w:val="24"/>
          <w:szCs w:val="24"/>
        </w:rPr>
      </w:pPr>
    </w:p>
    <w:p w14:paraId="6A9E9986" w14:textId="77777777" w:rsidR="00FD767E" w:rsidRPr="00FD767E" w:rsidRDefault="00FD767E" w:rsidP="00FD767E">
      <w:pPr>
        <w:spacing w:before="240" w:after="0" w:line="240" w:lineRule="auto"/>
        <w:rPr>
          <w:rFonts w:asciiTheme="majorBidi" w:hAnsiTheme="majorBidi" w:cstheme="majorBidi"/>
          <w:sz w:val="24"/>
          <w:szCs w:val="24"/>
        </w:rPr>
      </w:pPr>
    </w:p>
    <w:sectPr w:rsidR="00FD767E" w:rsidRPr="00FD767E" w:rsidSect="00FD767E">
      <w:headerReference w:type="default" r:id="rId8"/>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3F55" w14:textId="77777777" w:rsidR="00E22E6F" w:rsidRDefault="00E22E6F" w:rsidP="008C3F2D">
      <w:pPr>
        <w:spacing w:after="0" w:line="240" w:lineRule="auto"/>
      </w:pPr>
      <w:r>
        <w:separator/>
      </w:r>
    </w:p>
  </w:endnote>
  <w:endnote w:type="continuationSeparator" w:id="0">
    <w:p w14:paraId="75E0C854" w14:textId="77777777" w:rsidR="00E22E6F" w:rsidRDefault="00E22E6F"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AB71" w14:textId="77777777" w:rsidR="00E22E6F" w:rsidRDefault="00E22E6F" w:rsidP="008C3F2D">
      <w:pPr>
        <w:spacing w:after="0" w:line="240" w:lineRule="auto"/>
      </w:pPr>
      <w:r>
        <w:separator/>
      </w:r>
    </w:p>
  </w:footnote>
  <w:footnote w:type="continuationSeparator" w:id="0">
    <w:p w14:paraId="2A02D2B2" w14:textId="77777777" w:rsidR="00E22E6F" w:rsidRDefault="00E22E6F"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86EF" w14:textId="37785EBD" w:rsidR="008C3F2D" w:rsidRPr="00FD767E" w:rsidRDefault="00FD767E" w:rsidP="00FD767E">
    <w:pPr>
      <w:pStyle w:val="Header"/>
      <w:jc w:val="center"/>
      <w:rPr>
        <w:rFonts w:ascii="Times New Roman" w:hAnsi="Times New Roman" w:cs="Times New Roman"/>
        <w:sz w:val="18"/>
      </w:rPr>
    </w:pPr>
    <w:r w:rsidRPr="00FD767E">
      <w:rPr>
        <w:rFonts w:ascii="Times New Roman" w:hAnsi="Times New Roman" w:cs="Times New Roman"/>
        <w:sz w:val="18"/>
      </w:rPr>
      <w:t xml:space="preserve">- </w:t>
    </w:r>
    <w:r w:rsidRPr="00FD767E">
      <w:rPr>
        <w:rFonts w:ascii="Times New Roman" w:hAnsi="Times New Roman" w:cs="Times New Roman"/>
        <w:sz w:val="18"/>
      </w:rPr>
      <w:fldChar w:fldCharType="begin"/>
    </w:r>
    <w:r w:rsidRPr="00FD767E">
      <w:rPr>
        <w:rFonts w:ascii="Times New Roman" w:hAnsi="Times New Roman" w:cs="Times New Roman"/>
        <w:sz w:val="18"/>
      </w:rPr>
      <w:instrText xml:space="preserve"> PAGE  \* MERGEFORMAT </w:instrText>
    </w:r>
    <w:r w:rsidRPr="00FD767E">
      <w:rPr>
        <w:rFonts w:ascii="Times New Roman" w:hAnsi="Times New Roman" w:cs="Times New Roman"/>
        <w:sz w:val="18"/>
      </w:rPr>
      <w:fldChar w:fldCharType="separate"/>
    </w:r>
    <w:r w:rsidRPr="00FD767E">
      <w:rPr>
        <w:rFonts w:ascii="Times New Roman" w:hAnsi="Times New Roman" w:cs="Times New Roman"/>
        <w:noProof/>
        <w:sz w:val="18"/>
      </w:rPr>
      <w:t>1</w:t>
    </w:r>
    <w:r w:rsidRPr="00FD767E">
      <w:rPr>
        <w:rFonts w:ascii="Times New Roman" w:hAnsi="Times New Roman" w:cs="Times New Roman"/>
        <w:sz w:val="18"/>
      </w:rPr>
      <w:fldChar w:fldCharType="end"/>
    </w:r>
    <w:r w:rsidRPr="00FD767E">
      <w:rPr>
        <w:rFonts w:ascii="Times New Roman" w:hAnsi="Times New Roman" w:cs="Times New Roman"/>
        <w:sz w:val="18"/>
      </w:rPr>
      <w:t xml:space="preserve"> -</w:t>
    </w:r>
  </w:p>
  <w:p w14:paraId="1FD74B02" w14:textId="018D7B96" w:rsidR="00FD767E" w:rsidRPr="00FD767E" w:rsidRDefault="00FD767E" w:rsidP="00FD767E">
    <w:pPr>
      <w:pStyle w:val="Header"/>
      <w:spacing w:after="240"/>
      <w:jc w:val="center"/>
      <w:rPr>
        <w:rFonts w:ascii="Times New Roman" w:hAnsi="Times New Roman" w:cs="Times New Roman"/>
        <w:sz w:val="18"/>
      </w:rPr>
    </w:pPr>
    <w:r>
      <w:rPr>
        <w:rFonts w:ascii="Times New Roman" w:hAnsi="Times New Roman" w:cs="Times New Roman"/>
        <w:sz w:val="18"/>
      </w:rPr>
      <w:t>TSAG-TD069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8B05E9"/>
    <w:multiLevelType w:val="hybridMultilevel"/>
    <w:tmpl w:val="569C019E"/>
    <w:lvl w:ilvl="0" w:tplc="5B5C5F66">
      <w:start w:val="1"/>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D39FD"/>
    <w:multiLevelType w:val="hybridMultilevel"/>
    <w:tmpl w:val="B7AA8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D78BA"/>
    <w:multiLevelType w:val="hybridMultilevel"/>
    <w:tmpl w:val="72D2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631D1"/>
    <w:multiLevelType w:val="hybridMultilevel"/>
    <w:tmpl w:val="CC64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0625D"/>
    <w:multiLevelType w:val="hybridMultilevel"/>
    <w:tmpl w:val="81728A76"/>
    <w:lvl w:ilvl="0" w:tplc="260A95E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F7D3F28"/>
    <w:multiLevelType w:val="hybridMultilevel"/>
    <w:tmpl w:val="4AC020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4881C0A"/>
    <w:multiLevelType w:val="hybridMultilevel"/>
    <w:tmpl w:val="A5C28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365A7"/>
    <w:multiLevelType w:val="hybridMultilevel"/>
    <w:tmpl w:val="93A46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16cid:durableId="1986816938">
    <w:abstractNumId w:val="27"/>
  </w:num>
  <w:num w:numId="2" w16cid:durableId="1868252670">
    <w:abstractNumId w:val="26"/>
  </w:num>
  <w:num w:numId="3" w16cid:durableId="149639671">
    <w:abstractNumId w:val="2"/>
  </w:num>
  <w:num w:numId="4" w16cid:durableId="67657297">
    <w:abstractNumId w:val="4"/>
  </w:num>
  <w:num w:numId="5" w16cid:durableId="869415228">
    <w:abstractNumId w:val="10"/>
  </w:num>
  <w:num w:numId="6" w16cid:durableId="1071655982">
    <w:abstractNumId w:val="3"/>
  </w:num>
  <w:num w:numId="7" w16cid:durableId="725640951">
    <w:abstractNumId w:val="14"/>
  </w:num>
  <w:num w:numId="8" w16cid:durableId="1663923551">
    <w:abstractNumId w:val="19"/>
  </w:num>
  <w:num w:numId="9" w16cid:durableId="1437821561">
    <w:abstractNumId w:val="22"/>
  </w:num>
  <w:num w:numId="10" w16cid:durableId="1129321529">
    <w:abstractNumId w:val="9"/>
  </w:num>
  <w:num w:numId="11" w16cid:durableId="184489682">
    <w:abstractNumId w:val="15"/>
  </w:num>
  <w:num w:numId="12" w16cid:durableId="293951876">
    <w:abstractNumId w:val="17"/>
  </w:num>
  <w:num w:numId="13" w16cid:durableId="18272407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1438883">
    <w:abstractNumId w:val="24"/>
  </w:num>
  <w:num w:numId="15" w16cid:durableId="1699045992">
    <w:abstractNumId w:val="5"/>
  </w:num>
  <w:num w:numId="16" w16cid:durableId="1153914168">
    <w:abstractNumId w:val="13"/>
  </w:num>
  <w:num w:numId="17" w16cid:durableId="654721107">
    <w:abstractNumId w:val="30"/>
  </w:num>
  <w:num w:numId="18" w16cid:durableId="61416388">
    <w:abstractNumId w:val="32"/>
  </w:num>
  <w:num w:numId="19" w16cid:durableId="1185245897">
    <w:abstractNumId w:val="0"/>
  </w:num>
  <w:num w:numId="20" w16cid:durableId="599724456">
    <w:abstractNumId w:val="29"/>
  </w:num>
  <w:num w:numId="21" w16cid:durableId="1127548310">
    <w:abstractNumId w:val="31"/>
  </w:num>
  <w:num w:numId="22" w16cid:durableId="1648777971">
    <w:abstractNumId w:val="21"/>
  </w:num>
  <w:num w:numId="23" w16cid:durableId="655718739">
    <w:abstractNumId w:val="28"/>
  </w:num>
  <w:num w:numId="24" w16cid:durableId="1232539426">
    <w:abstractNumId w:val="1"/>
  </w:num>
  <w:num w:numId="25" w16cid:durableId="190189186">
    <w:abstractNumId w:val="23"/>
  </w:num>
  <w:num w:numId="26" w16cid:durableId="1428771581">
    <w:abstractNumId w:val="12"/>
  </w:num>
  <w:num w:numId="27" w16cid:durableId="611207267">
    <w:abstractNumId w:val="20"/>
  </w:num>
  <w:num w:numId="28" w16cid:durableId="869925109">
    <w:abstractNumId w:val="6"/>
  </w:num>
  <w:num w:numId="29" w16cid:durableId="1686206560">
    <w:abstractNumId w:val="7"/>
  </w:num>
  <w:num w:numId="30" w16cid:durableId="1067647267">
    <w:abstractNumId w:val="18"/>
  </w:num>
  <w:num w:numId="31" w16cid:durableId="1187018117">
    <w:abstractNumId w:val="16"/>
  </w:num>
  <w:num w:numId="32" w16cid:durableId="1843156749">
    <w:abstractNumId w:val="8"/>
  </w:num>
  <w:num w:numId="33" w16cid:durableId="1524979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206D8"/>
    <w:rsid w:val="00023343"/>
    <w:rsid w:val="00023A0A"/>
    <w:rsid w:val="00024C4A"/>
    <w:rsid w:val="00033F67"/>
    <w:rsid w:val="00041C6B"/>
    <w:rsid w:val="00047538"/>
    <w:rsid w:val="00047D24"/>
    <w:rsid w:val="0007083E"/>
    <w:rsid w:val="00077B66"/>
    <w:rsid w:val="00084C1B"/>
    <w:rsid w:val="00096966"/>
    <w:rsid w:val="000B00C1"/>
    <w:rsid w:val="000D3C80"/>
    <w:rsid w:val="000E51C1"/>
    <w:rsid w:val="000E7091"/>
    <w:rsid w:val="0010274F"/>
    <w:rsid w:val="0012773A"/>
    <w:rsid w:val="001311C2"/>
    <w:rsid w:val="00146C7B"/>
    <w:rsid w:val="00162AAB"/>
    <w:rsid w:val="00162B8B"/>
    <w:rsid w:val="001643FD"/>
    <w:rsid w:val="001840BD"/>
    <w:rsid w:val="00187218"/>
    <w:rsid w:val="001977E1"/>
    <w:rsid w:val="001C1603"/>
    <w:rsid w:val="001C29C8"/>
    <w:rsid w:val="001C70EC"/>
    <w:rsid w:val="001D0285"/>
    <w:rsid w:val="001D4E38"/>
    <w:rsid w:val="001D795C"/>
    <w:rsid w:val="001E4570"/>
    <w:rsid w:val="001F42C5"/>
    <w:rsid w:val="00200E34"/>
    <w:rsid w:val="00204146"/>
    <w:rsid w:val="00217FE5"/>
    <w:rsid w:val="0022429C"/>
    <w:rsid w:val="00230DE2"/>
    <w:rsid w:val="00234E64"/>
    <w:rsid w:val="00240C9B"/>
    <w:rsid w:val="00285319"/>
    <w:rsid w:val="0028666B"/>
    <w:rsid w:val="00291743"/>
    <w:rsid w:val="00291D86"/>
    <w:rsid w:val="002920F3"/>
    <w:rsid w:val="002B20D9"/>
    <w:rsid w:val="002C23E3"/>
    <w:rsid w:val="002D500C"/>
    <w:rsid w:val="002F1334"/>
    <w:rsid w:val="00306D89"/>
    <w:rsid w:val="00335F76"/>
    <w:rsid w:val="00346DE5"/>
    <w:rsid w:val="003527EA"/>
    <w:rsid w:val="003630D6"/>
    <w:rsid w:val="0037655F"/>
    <w:rsid w:val="00377C85"/>
    <w:rsid w:val="0038599A"/>
    <w:rsid w:val="00386367"/>
    <w:rsid w:val="003A0CCF"/>
    <w:rsid w:val="003A238B"/>
    <w:rsid w:val="003A64F7"/>
    <w:rsid w:val="003A7828"/>
    <w:rsid w:val="003B279D"/>
    <w:rsid w:val="003C0319"/>
    <w:rsid w:val="003C1B79"/>
    <w:rsid w:val="003C5008"/>
    <w:rsid w:val="003C5154"/>
    <w:rsid w:val="003C5475"/>
    <w:rsid w:val="003D493F"/>
    <w:rsid w:val="003D6872"/>
    <w:rsid w:val="003E0C41"/>
    <w:rsid w:val="003E26B3"/>
    <w:rsid w:val="00420432"/>
    <w:rsid w:val="00426144"/>
    <w:rsid w:val="00437523"/>
    <w:rsid w:val="00442F89"/>
    <w:rsid w:val="00450E24"/>
    <w:rsid w:val="00451117"/>
    <w:rsid w:val="00456069"/>
    <w:rsid w:val="00456089"/>
    <w:rsid w:val="00477158"/>
    <w:rsid w:val="004836EC"/>
    <w:rsid w:val="004856AC"/>
    <w:rsid w:val="00490019"/>
    <w:rsid w:val="004A522D"/>
    <w:rsid w:val="004D076F"/>
    <w:rsid w:val="004D0E28"/>
    <w:rsid w:val="004D24AF"/>
    <w:rsid w:val="004D6090"/>
    <w:rsid w:val="004F4226"/>
    <w:rsid w:val="00506C0E"/>
    <w:rsid w:val="00523B0E"/>
    <w:rsid w:val="00525F34"/>
    <w:rsid w:val="005266B3"/>
    <w:rsid w:val="00533D91"/>
    <w:rsid w:val="00541E79"/>
    <w:rsid w:val="005432EB"/>
    <w:rsid w:val="00545E1A"/>
    <w:rsid w:val="00562566"/>
    <w:rsid w:val="00586C56"/>
    <w:rsid w:val="005A234D"/>
    <w:rsid w:val="005B7553"/>
    <w:rsid w:val="006011A0"/>
    <w:rsid w:val="00631A92"/>
    <w:rsid w:val="00647FAF"/>
    <w:rsid w:val="006642FA"/>
    <w:rsid w:val="00665D48"/>
    <w:rsid w:val="00677049"/>
    <w:rsid w:val="00681B45"/>
    <w:rsid w:val="00685B8C"/>
    <w:rsid w:val="006A21C2"/>
    <w:rsid w:val="006A7A43"/>
    <w:rsid w:val="006B3403"/>
    <w:rsid w:val="006B4A2A"/>
    <w:rsid w:val="006B57DB"/>
    <w:rsid w:val="006D5402"/>
    <w:rsid w:val="006E0F44"/>
    <w:rsid w:val="006E15B4"/>
    <w:rsid w:val="00700385"/>
    <w:rsid w:val="00701473"/>
    <w:rsid w:val="007022A6"/>
    <w:rsid w:val="007214E8"/>
    <w:rsid w:val="00725E5A"/>
    <w:rsid w:val="00726B8B"/>
    <w:rsid w:val="00730D01"/>
    <w:rsid w:val="00760621"/>
    <w:rsid w:val="00762C91"/>
    <w:rsid w:val="007651A7"/>
    <w:rsid w:val="00770DBD"/>
    <w:rsid w:val="00780CFF"/>
    <w:rsid w:val="00780ECA"/>
    <w:rsid w:val="007B27B7"/>
    <w:rsid w:val="007B6113"/>
    <w:rsid w:val="007C36AF"/>
    <w:rsid w:val="007C44EF"/>
    <w:rsid w:val="007F493D"/>
    <w:rsid w:val="00803A91"/>
    <w:rsid w:val="008062B9"/>
    <w:rsid w:val="00821290"/>
    <w:rsid w:val="00827CFA"/>
    <w:rsid w:val="008376A7"/>
    <w:rsid w:val="0085443A"/>
    <w:rsid w:val="008633EB"/>
    <w:rsid w:val="008654CD"/>
    <w:rsid w:val="00885988"/>
    <w:rsid w:val="00885BC5"/>
    <w:rsid w:val="0089331B"/>
    <w:rsid w:val="008947EB"/>
    <w:rsid w:val="008962E6"/>
    <w:rsid w:val="008A5B2C"/>
    <w:rsid w:val="008A6BE0"/>
    <w:rsid w:val="008C043B"/>
    <w:rsid w:val="008C34BC"/>
    <w:rsid w:val="008C3F2D"/>
    <w:rsid w:val="008D2BC6"/>
    <w:rsid w:val="008E5F5E"/>
    <w:rsid w:val="008F6AA9"/>
    <w:rsid w:val="009006D1"/>
    <w:rsid w:val="00912198"/>
    <w:rsid w:val="00915F69"/>
    <w:rsid w:val="00946075"/>
    <w:rsid w:val="009462B9"/>
    <w:rsid w:val="00962211"/>
    <w:rsid w:val="009633B2"/>
    <w:rsid w:val="009802D5"/>
    <w:rsid w:val="00993B36"/>
    <w:rsid w:val="00997B16"/>
    <w:rsid w:val="009A25E9"/>
    <w:rsid w:val="009A2718"/>
    <w:rsid w:val="009A62AF"/>
    <w:rsid w:val="009A789A"/>
    <w:rsid w:val="009C28C9"/>
    <w:rsid w:val="009D142F"/>
    <w:rsid w:val="009D4B36"/>
    <w:rsid w:val="009D74F7"/>
    <w:rsid w:val="009E6630"/>
    <w:rsid w:val="009E6A56"/>
    <w:rsid w:val="009E73ED"/>
    <w:rsid w:val="009E754D"/>
    <w:rsid w:val="009F0754"/>
    <w:rsid w:val="009F4D10"/>
    <w:rsid w:val="00A02CA4"/>
    <w:rsid w:val="00A04672"/>
    <w:rsid w:val="00A0614D"/>
    <w:rsid w:val="00A151D0"/>
    <w:rsid w:val="00A20326"/>
    <w:rsid w:val="00A24238"/>
    <w:rsid w:val="00A26513"/>
    <w:rsid w:val="00A429C8"/>
    <w:rsid w:val="00A46448"/>
    <w:rsid w:val="00A833F9"/>
    <w:rsid w:val="00A8668A"/>
    <w:rsid w:val="00A91372"/>
    <w:rsid w:val="00AA674E"/>
    <w:rsid w:val="00AC3668"/>
    <w:rsid w:val="00B1138A"/>
    <w:rsid w:val="00B14782"/>
    <w:rsid w:val="00B236B4"/>
    <w:rsid w:val="00B31033"/>
    <w:rsid w:val="00B31961"/>
    <w:rsid w:val="00B322C3"/>
    <w:rsid w:val="00B346CB"/>
    <w:rsid w:val="00B369E3"/>
    <w:rsid w:val="00B36FD1"/>
    <w:rsid w:val="00B5349E"/>
    <w:rsid w:val="00B56169"/>
    <w:rsid w:val="00B616A9"/>
    <w:rsid w:val="00B75880"/>
    <w:rsid w:val="00B841C7"/>
    <w:rsid w:val="00B9272A"/>
    <w:rsid w:val="00BA2DFB"/>
    <w:rsid w:val="00BD0344"/>
    <w:rsid w:val="00BD2011"/>
    <w:rsid w:val="00BD22EF"/>
    <w:rsid w:val="00BE179B"/>
    <w:rsid w:val="00BF5DF1"/>
    <w:rsid w:val="00C0399D"/>
    <w:rsid w:val="00C1349D"/>
    <w:rsid w:val="00C227EC"/>
    <w:rsid w:val="00C41FEA"/>
    <w:rsid w:val="00C4358B"/>
    <w:rsid w:val="00C47B3C"/>
    <w:rsid w:val="00C60B25"/>
    <w:rsid w:val="00C70EA5"/>
    <w:rsid w:val="00C73D2D"/>
    <w:rsid w:val="00C81183"/>
    <w:rsid w:val="00C8414E"/>
    <w:rsid w:val="00C857BC"/>
    <w:rsid w:val="00C8597C"/>
    <w:rsid w:val="00C85BFD"/>
    <w:rsid w:val="00C9278D"/>
    <w:rsid w:val="00C92B79"/>
    <w:rsid w:val="00C9761C"/>
    <w:rsid w:val="00CA3D07"/>
    <w:rsid w:val="00CD2791"/>
    <w:rsid w:val="00CD4ABE"/>
    <w:rsid w:val="00CE06E1"/>
    <w:rsid w:val="00D010A9"/>
    <w:rsid w:val="00D17766"/>
    <w:rsid w:val="00D2592A"/>
    <w:rsid w:val="00D271B1"/>
    <w:rsid w:val="00D351B9"/>
    <w:rsid w:val="00D43996"/>
    <w:rsid w:val="00D45F79"/>
    <w:rsid w:val="00D523D5"/>
    <w:rsid w:val="00D56BF1"/>
    <w:rsid w:val="00D6487B"/>
    <w:rsid w:val="00D6513F"/>
    <w:rsid w:val="00D70645"/>
    <w:rsid w:val="00D7092A"/>
    <w:rsid w:val="00D84BA9"/>
    <w:rsid w:val="00D90757"/>
    <w:rsid w:val="00D95E59"/>
    <w:rsid w:val="00DB7920"/>
    <w:rsid w:val="00DC2B3E"/>
    <w:rsid w:val="00DD3360"/>
    <w:rsid w:val="00DD5A88"/>
    <w:rsid w:val="00DE20A9"/>
    <w:rsid w:val="00DE2787"/>
    <w:rsid w:val="00DE64CF"/>
    <w:rsid w:val="00DF1A29"/>
    <w:rsid w:val="00DF2F8B"/>
    <w:rsid w:val="00E038F5"/>
    <w:rsid w:val="00E05DCD"/>
    <w:rsid w:val="00E12CE6"/>
    <w:rsid w:val="00E157BD"/>
    <w:rsid w:val="00E22E6F"/>
    <w:rsid w:val="00E35903"/>
    <w:rsid w:val="00E37246"/>
    <w:rsid w:val="00E524C5"/>
    <w:rsid w:val="00E57E4D"/>
    <w:rsid w:val="00E61598"/>
    <w:rsid w:val="00E62374"/>
    <w:rsid w:val="00E76BA0"/>
    <w:rsid w:val="00E85FE6"/>
    <w:rsid w:val="00E93286"/>
    <w:rsid w:val="00E96A34"/>
    <w:rsid w:val="00EA3CBC"/>
    <w:rsid w:val="00EB0013"/>
    <w:rsid w:val="00EB2AF9"/>
    <w:rsid w:val="00EC2500"/>
    <w:rsid w:val="00EC62EE"/>
    <w:rsid w:val="00ED0754"/>
    <w:rsid w:val="00EE0189"/>
    <w:rsid w:val="00EE2405"/>
    <w:rsid w:val="00EE3192"/>
    <w:rsid w:val="00EF4449"/>
    <w:rsid w:val="00EF7CA2"/>
    <w:rsid w:val="00F00679"/>
    <w:rsid w:val="00F0792F"/>
    <w:rsid w:val="00F12647"/>
    <w:rsid w:val="00F13331"/>
    <w:rsid w:val="00F1409E"/>
    <w:rsid w:val="00F15BF4"/>
    <w:rsid w:val="00F24960"/>
    <w:rsid w:val="00F27122"/>
    <w:rsid w:val="00F34C41"/>
    <w:rsid w:val="00F4364A"/>
    <w:rsid w:val="00F53A2F"/>
    <w:rsid w:val="00F5614F"/>
    <w:rsid w:val="00F579A3"/>
    <w:rsid w:val="00F77778"/>
    <w:rsid w:val="00F942CB"/>
    <w:rsid w:val="00FA345F"/>
    <w:rsid w:val="00FC0AB0"/>
    <w:rsid w:val="00FC487A"/>
    <w:rsid w:val="00FD767E"/>
    <w:rsid w:val="00FE59C1"/>
    <w:rsid w:val="00FE5CCC"/>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44B608"/>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D17766"/>
    <w:pPr>
      <w:spacing w:before="120" w:after="0" w:line="240" w:lineRule="auto"/>
      <w:jc w:val="right"/>
    </w:pPr>
    <w:rPr>
      <w:rFonts w:ascii="Times New Roman" w:eastAsia="Calibri" w:hAnsi="Times New Roman" w:cs="Times New Roman"/>
      <w:b/>
      <w:bCs/>
      <w:sz w:val="32"/>
      <w:szCs w:val="24"/>
      <w:lang w:eastAsia="ja-JP"/>
    </w:rPr>
  </w:style>
  <w:style w:type="character" w:customStyle="1" w:styleId="DocnumberChar">
    <w:name w:val="Docnumber Char"/>
    <w:link w:val="Docnumber"/>
    <w:rsid w:val="00D17766"/>
    <w:rPr>
      <w:rFonts w:ascii="Times New Roman" w:eastAsia="Calibri" w:hAnsi="Times New Roman" w:cs="Times New Roman"/>
      <w:b/>
      <w:bCs/>
      <w:sz w:val="32"/>
      <w:szCs w:val="24"/>
      <w:lang w:eastAsia="ja-JP"/>
    </w:rPr>
  </w:style>
  <w:style w:type="character" w:customStyle="1" w:styleId="UnresolvedMention1">
    <w:name w:val="Unresolved Mention1"/>
    <w:basedOn w:val="DefaultParagraphFont"/>
    <w:uiPriority w:val="99"/>
    <w:semiHidden/>
    <w:unhideWhenUsed/>
    <w:rsid w:val="00730D01"/>
    <w:rPr>
      <w:color w:val="605E5C"/>
      <w:shd w:val="clear" w:color="auto" w:fill="E1DFDD"/>
    </w:rPr>
  </w:style>
  <w:style w:type="character" w:styleId="FollowedHyperlink">
    <w:name w:val="FollowedHyperlink"/>
    <w:basedOn w:val="DefaultParagraphFont"/>
    <w:uiPriority w:val="99"/>
    <w:semiHidden/>
    <w:unhideWhenUsed/>
    <w:rsid w:val="00C1349D"/>
    <w:rPr>
      <w:color w:val="954F72" w:themeColor="followedHyperlink"/>
      <w:u w:val="single"/>
    </w:rPr>
  </w:style>
  <w:style w:type="character" w:styleId="UnresolvedMention">
    <w:name w:val="Unresolved Mention"/>
    <w:basedOn w:val="DefaultParagraphFont"/>
    <w:uiPriority w:val="99"/>
    <w:semiHidden/>
    <w:unhideWhenUsed/>
    <w:rsid w:val="00DD3360"/>
    <w:rPr>
      <w:color w:val="605E5C"/>
      <w:shd w:val="clear" w:color="auto" w:fill="E1DFDD"/>
    </w:rPr>
  </w:style>
  <w:style w:type="paragraph" w:customStyle="1" w:styleId="TSBHeaderQuestion">
    <w:name w:val="TSBHeaderQuestion"/>
    <w:basedOn w:val="Normal"/>
    <w:qFormat/>
    <w:rsid w:val="00FD767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eastAsia="en-US"/>
    </w:rPr>
  </w:style>
  <w:style w:type="paragraph" w:customStyle="1" w:styleId="TSBHeaderSource">
    <w:name w:val="TSBHeaderSource"/>
    <w:basedOn w:val="Normal"/>
    <w:qFormat/>
    <w:rsid w:val="00FD767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eastAsia="en-US"/>
    </w:rPr>
  </w:style>
  <w:style w:type="paragraph" w:customStyle="1" w:styleId="TSBHeaderTitle">
    <w:name w:val="TSBHeaderTitle"/>
    <w:basedOn w:val="Normal"/>
    <w:qFormat/>
    <w:rsid w:val="00FD767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eastAsia="en-US"/>
    </w:rPr>
  </w:style>
  <w:style w:type="paragraph" w:customStyle="1" w:styleId="TSBHeaderRight14">
    <w:name w:val="TSBHeaderRight14"/>
    <w:basedOn w:val="Normal"/>
    <w:qFormat/>
    <w:rsid w:val="00FD767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28"/>
      <w:szCs w:val="28"/>
      <w:lang w:eastAsia="en-US"/>
    </w:rPr>
  </w:style>
  <w:style w:type="paragraph" w:customStyle="1" w:styleId="VenueDate">
    <w:name w:val="VenueDate"/>
    <w:basedOn w:val="Normal"/>
    <w:qFormat/>
    <w:rsid w:val="00FD767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FD767E"/>
  </w:style>
  <w:style w:type="paragraph" w:styleId="Revision">
    <w:name w:val="Revision"/>
    <w:hidden/>
    <w:uiPriority w:val="99"/>
    <w:semiHidden/>
    <w:rsid w:val="00477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660">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49842235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1278</Words>
  <Characters>7287</Characters>
  <Application>Microsoft Office Word</Application>
  <DocSecurity>0</DocSecurity>
  <Lines>60</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Communiqué of the TSB Director CxO consultation meeting, 7 December 2021, Dubai, United Arab Emirates</vt:lpstr>
      <vt:lpstr/>
    </vt:vector>
  </TitlesOfParts>
  <Manager>ITU-T</Manager>
  <Company>International Telecommunication Union (ITU)</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of the TSB Director CxO consultation meeting, 7 December 2021, Dubai, United Arab Emirates</dc:title>
  <dc:subject/>
  <dc:creator>TSB</dc:creator>
  <cp:keywords/>
  <dc:description>TSAG-TD069  For: Geneva, 12-16 December 2022_x000d_Document date: _x000d_Saved by ITU51014254 at 18:15:08 on 07.12.2022</dc:description>
  <cp:lastModifiedBy>Al-Mnini, Lara</cp:lastModifiedBy>
  <cp:revision>3</cp:revision>
  <cp:lastPrinted>2017-04-28T08:40:00Z</cp:lastPrinted>
  <dcterms:created xsi:type="dcterms:W3CDTF">2022-12-07T20:30:00Z</dcterms:created>
  <dcterms:modified xsi:type="dcterms:W3CDTF">2022-12-07T20:32:00Z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TSAG-TD069</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12-16 December 2022</vt:lpwstr>
  </property>
  <property fmtid="{D5CDD505-2E9C-101B-9397-08002B2CF9AE}" pid="7" name="Docauthor">
    <vt:lpwstr>TSB</vt:lpwstr>
  </property>
</Properties>
</file>