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Pr="00012218" w:rsidRDefault="006944F8" w:rsidP="006944F8">
      <w:bookmarkStart w:id="0" w:name="_Hlk121498399"/>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1" w:name="dnum" w:colFirst="2" w:colLast="2"/>
            <w:bookmarkStart w:id="2" w:name="dtableau"/>
            <w:bookmarkStart w:id="3" w:name="_Toc480527885"/>
            <w:bookmarkStart w:id="4" w:name="_Toc27414121"/>
            <w:bookmarkStart w:id="5"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6" w:name="dstudyperiod"/>
            <w:r w:rsidRPr="00B032FC">
              <w:rPr>
                <w:sz w:val="20"/>
              </w:rPr>
              <w:t>2022-</w:t>
            </w:r>
            <w:bookmarkEnd w:id="6"/>
            <w:r w:rsidRPr="00B032FC">
              <w:rPr>
                <w:sz w:val="20"/>
              </w:rPr>
              <w:t>2024</w:t>
            </w:r>
          </w:p>
        </w:tc>
        <w:tc>
          <w:tcPr>
            <w:tcW w:w="4681" w:type="dxa"/>
            <w:vAlign w:val="center"/>
          </w:tcPr>
          <w:p w14:paraId="2D454275" w14:textId="6626FABF" w:rsidR="006C4954" w:rsidRPr="00B032FC" w:rsidRDefault="006C4954" w:rsidP="007119E8">
            <w:pPr>
              <w:pStyle w:val="Docnumber"/>
            </w:pPr>
            <w:r w:rsidRPr="00B032FC">
              <w:t>TSAG-TD</w:t>
            </w:r>
            <w:r w:rsidR="003253DC">
              <w:t>0</w:t>
            </w:r>
            <w:r>
              <w:t>20</w:t>
            </w:r>
            <w:r w:rsidR="00CC398B">
              <w:t>-C</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7" w:name="dsg" w:colFirst="2" w:colLast="2"/>
            <w:bookmarkEnd w:id="1"/>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7"/>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8" w:name="dbluepink" w:colFirst="1" w:colLast="1"/>
            <w:bookmarkStart w:id="9"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10" w:name="ddoctype" w:colFirst="0" w:colLast="0"/>
            <w:bookmarkEnd w:id="8"/>
            <w:bookmarkEnd w:id="9"/>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1" w:name="dsource" w:colFirst="1" w:colLast="1"/>
            <w:bookmarkEnd w:id="10"/>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2" w:name="dtitle1" w:colFirst="1" w:colLast="1"/>
            <w:bookmarkEnd w:id="11"/>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2"/>
      <w:bookmarkEnd w:id="12"/>
      <w:tr w:rsidR="006C4954" w:rsidRPr="00CC398B"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CC398B">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CC398B">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CC398B">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CC398B">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CC398B">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CC398B">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CC398B">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CC398B">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CC398B">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CC398B">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CC398B">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CC398B">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CC398B">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CC398B">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CC398B">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CC398B">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CC398B">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CC398B">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39D5C882"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1007A95D" w14:textId="6115D271" w:rsidR="00AA2C3E" w:rsidRDefault="00E74BA7" w:rsidP="008D06A8">
      <w:pPr>
        <w:pStyle w:val="Heading1"/>
        <w:pageBreakBefore/>
        <w:jc w:val="center"/>
        <w:rPr>
          <w:lang w:eastAsia="zh-CN"/>
        </w:rPr>
      </w:pPr>
      <w:r>
        <w:rPr>
          <w:rFonts w:ascii="SimSun" w:eastAsia="SimSun" w:hAnsi="SimSun" w:cs="SimSun" w:hint="eastAsia"/>
          <w:lang w:eastAsia="zh-CN"/>
        </w:rPr>
        <w:lastRenderedPageBreak/>
        <w:t>内容提要</w:t>
      </w:r>
    </w:p>
    <w:p w14:paraId="71CE7522" w14:textId="1275E4F8" w:rsidR="00C529C8" w:rsidRDefault="00C529C8" w:rsidP="00FF46C7">
      <w:pPr>
        <w:ind w:firstLineChars="200" w:firstLine="480"/>
      </w:pPr>
      <w:r>
        <w:rPr>
          <w:rFonts w:hint="eastAsia"/>
        </w:rPr>
        <w:t>国际电联在报告期内批准了</w:t>
      </w:r>
      <w:r>
        <w:rPr>
          <w:rFonts w:hint="eastAsia"/>
        </w:rPr>
        <w:t>233</w:t>
      </w:r>
      <w:r>
        <w:rPr>
          <w:rFonts w:hint="eastAsia"/>
        </w:rPr>
        <w:t>项新的和经修订的</w:t>
      </w:r>
      <w:r>
        <w:rPr>
          <w:rFonts w:hint="eastAsia"/>
        </w:rPr>
        <w:t>ITU-T</w:t>
      </w:r>
      <w:r>
        <w:rPr>
          <w:rFonts w:hint="eastAsia"/>
        </w:rPr>
        <w:t>建议书及相关案文。本报告的附录中列出了这些案文以及正在审批的案文，并对其内容进行了总结。</w:t>
      </w:r>
      <w:r>
        <w:rPr>
          <w:rFonts w:hint="eastAsia"/>
        </w:rPr>
        <w:t>ITU-T</w:t>
      </w:r>
      <w:r>
        <w:rPr>
          <w:rFonts w:hint="eastAsia"/>
        </w:rPr>
        <w:t>研究组会议的内容提要可在其各自的</w:t>
      </w:r>
      <w:hyperlink r:id="rId13" w:history="1">
        <w:r w:rsidRPr="00C529C8">
          <w:rPr>
            <w:rStyle w:val="Hyperlink"/>
            <w:rFonts w:hint="eastAsia"/>
          </w:rPr>
          <w:t>主页</w:t>
        </w:r>
      </w:hyperlink>
      <w:r>
        <w:rPr>
          <w:rFonts w:hint="eastAsia"/>
        </w:rPr>
        <w:t>上找到（见</w:t>
      </w:r>
      <w:hyperlink w:anchor="_1_ITU-T_Study" w:history="1">
        <w:r w:rsidR="008D06A8">
          <w:rPr>
            <w:rStyle w:val="Hyperlink"/>
            <w:rFonts w:hint="eastAsia"/>
            <w:lang w:eastAsia="zh-CN"/>
          </w:rPr>
          <w:t>第</w:t>
        </w:r>
        <w:r w:rsidR="008D06A8">
          <w:rPr>
            <w:rStyle w:val="Hyperlink"/>
            <w:rFonts w:hint="eastAsia"/>
            <w:lang w:eastAsia="zh-CN"/>
          </w:rPr>
          <w:t>1</w:t>
        </w:r>
        <w:r w:rsidR="008D06A8">
          <w:rPr>
            <w:rStyle w:val="Hyperlink"/>
            <w:rFonts w:hint="eastAsia"/>
            <w:lang w:eastAsia="zh-CN"/>
          </w:rPr>
          <w:t>节</w:t>
        </w:r>
      </w:hyperlink>
      <w:r>
        <w:rPr>
          <w:rFonts w:hint="eastAsia"/>
        </w:rPr>
        <w:t>）。</w:t>
      </w:r>
    </w:p>
    <w:p w14:paraId="18709031" w14:textId="4E617796" w:rsidR="00C529C8" w:rsidRDefault="00C529C8" w:rsidP="00FF46C7">
      <w:pPr>
        <w:ind w:firstLineChars="200" w:firstLine="480"/>
      </w:pPr>
      <w:r>
        <w:rPr>
          <w:rFonts w:hint="eastAsia"/>
        </w:rPr>
        <w:t>现有六个</w:t>
      </w:r>
      <w:r>
        <w:rPr>
          <w:rFonts w:hint="eastAsia"/>
        </w:rPr>
        <w:t>ITU-T</w:t>
      </w:r>
      <w:r>
        <w:rPr>
          <w:rFonts w:hint="eastAsia"/>
        </w:rPr>
        <w:t>焦点组正在开展工作。</w:t>
      </w:r>
      <w:hyperlink r:id="rId14" w:history="1">
        <w:r w:rsidRPr="008D06A8">
          <w:rPr>
            <w:rStyle w:val="Hyperlink"/>
            <w:rFonts w:hint="eastAsia"/>
          </w:rPr>
          <w:t>用于自动驾驶和辅助驾驶的人工智能（</w:t>
        </w:r>
        <w:r w:rsidRPr="008D06A8">
          <w:rPr>
            <w:rStyle w:val="Hyperlink"/>
            <w:rFonts w:hint="eastAsia"/>
          </w:rPr>
          <w:t>AI</w:t>
        </w:r>
        <w:r w:rsidRPr="008D06A8">
          <w:rPr>
            <w:rStyle w:val="Hyperlink"/>
            <w:rFonts w:hint="eastAsia"/>
          </w:rPr>
          <w:t>）</w:t>
        </w:r>
      </w:hyperlink>
      <w:r>
        <w:rPr>
          <w:rFonts w:hint="eastAsia"/>
        </w:rPr>
        <w:t>以及</w:t>
      </w:r>
      <w:hyperlink r:id="rId15" w:history="1">
        <w:r w:rsidRPr="008D06A8">
          <w:rPr>
            <w:rStyle w:val="Hyperlink"/>
            <w:rFonts w:hint="eastAsia"/>
          </w:rPr>
          <w:t>车辆多媒体</w:t>
        </w:r>
      </w:hyperlink>
      <w:r>
        <w:rPr>
          <w:rFonts w:hint="eastAsia"/>
        </w:rPr>
        <w:t>的焦点组在</w:t>
      </w:r>
      <w:r>
        <w:rPr>
          <w:rFonts w:hint="eastAsia"/>
        </w:rPr>
        <w:t>2022</w:t>
      </w:r>
      <w:r>
        <w:rPr>
          <w:rFonts w:hint="eastAsia"/>
        </w:rPr>
        <w:t>年</w:t>
      </w:r>
      <w:r>
        <w:rPr>
          <w:rFonts w:hint="eastAsia"/>
        </w:rPr>
        <w:t>9</w:t>
      </w:r>
      <w:r>
        <w:rPr>
          <w:rFonts w:hint="eastAsia"/>
        </w:rPr>
        <w:t>月结束了他们的活动。关于</w:t>
      </w:r>
      <w:r>
        <w:rPr>
          <w:rFonts w:hint="eastAsia"/>
        </w:rPr>
        <w:t>ITU-T</w:t>
      </w:r>
      <w:r>
        <w:rPr>
          <w:rFonts w:hint="eastAsia"/>
        </w:rPr>
        <w:t>焦点组活动和可交付成果的信息可以在其各自的</w:t>
      </w:r>
      <w:hyperlink r:id="rId16" w:history="1">
        <w:r w:rsidRPr="008D06A8">
          <w:rPr>
            <w:rStyle w:val="Hyperlink"/>
            <w:rFonts w:hint="eastAsia"/>
          </w:rPr>
          <w:t>主页</w:t>
        </w:r>
      </w:hyperlink>
      <w:r>
        <w:rPr>
          <w:rFonts w:hint="eastAsia"/>
        </w:rPr>
        <w:t>上找到。这些焦点组的索引及其时间表见</w:t>
      </w:r>
      <w:hyperlink w:anchor="_2_ITU-T_Focus" w:history="1">
        <w:r w:rsidR="008D06A8">
          <w:rPr>
            <w:rStyle w:val="Hyperlink"/>
            <w:rFonts w:hint="eastAsia"/>
            <w:lang w:eastAsia="zh-CN"/>
          </w:rPr>
          <w:t>第</w:t>
        </w:r>
        <w:r w:rsidR="008D06A8">
          <w:rPr>
            <w:rStyle w:val="Hyperlink"/>
            <w:rFonts w:hint="eastAsia"/>
            <w:lang w:eastAsia="zh-CN"/>
          </w:rPr>
          <w:t>2</w:t>
        </w:r>
        <w:r w:rsidR="008D06A8">
          <w:rPr>
            <w:rStyle w:val="Hyperlink"/>
            <w:rFonts w:hint="eastAsia"/>
            <w:lang w:eastAsia="zh-CN"/>
          </w:rPr>
          <w:t>节</w:t>
        </w:r>
      </w:hyperlink>
      <w:r>
        <w:rPr>
          <w:rFonts w:hint="eastAsia"/>
        </w:rPr>
        <w:t>。</w:t>
      </w:r>
    </w:p>
    <w:p w14:paraId="31585E93" w14:textId="39A2B696" w:rsidR="00C529C8" w:rsidRDefault="00C529C8" w:rsidP="00FF46C7">
      <w:pPr>
        <w:ind w:firstLineChars="200" w:firstLine="480"/>
      </w:pPr>
      <w:r>
        <w:rPr>
          <w:rFonts w:hint="eastAsia"/>
        </w:rPr>
        <w:t>在报告期内，除了贯穿全年的</w:t>
      </w:r>
      <w:hyperlink r:id="rId17" w:history="1">
        <w:r w:rsidRPr="008D06A8">
          <w:rPr>
            <w:rStyle w:val="Hyperlink"/>
            <w:rFonts w:hint="eastAsia"/>
          </w:rPr>
          <w:t>人工智能惠及人类</w:t>
        </w:r>
      </w:hyperlink>
      <w:r>
        <w:rPr>
          <w:rFonts w:hint="eastAsia"/>
        </w:rPr>
        <w:t>数字平台每周的项目外，还组织了</w:t>
      </w:r>
      <w:r>
        <w:rPr>
          <w:rFonts w:hint="eastAsia"/>
        </w:rPr>
        <w:t>60</w:t>
      </w:r>
      <w:r>
        <w:rPr>
          <w:rFonts w:hint="eastAsia"/>
        </w:rPr>
        <w:t>场</w:t>
      </w:r>
      <w:r>
        <w:rPr>
          <w:rFonts w:hint="eastAsia"/>
        </w:rPr>
        <w:t>ITU-T</w:t>
      </w:r>
      <w:hyperlink r:id="rId18" w:history="1">
        <w:r w:rsidRPr="008D06A8">
          <w:rPr>
            <w:rStyle w:val="Hyperlink"/>
            <w:rFonts w:hint="eastAsia"/>
          </w:rPr>
          <w:t>讲习班和专题研讨会</w:t>
        </w:r>
      </w:hyperlink>
      <w:r>
        <w:rPr>
          <w:rFonts w:hint="eastAsia"/>
        </w:rPr>
        <w:t>（见</w:t>
      </w:r>
      <w:hyperlink w:anchor="_3_Workshops_and" w:history="1">
        <w:r w:rsidR="008D06A8">
          <w:rPr>
            <w:rStyle w:val="Hyperlink"/>
            <w:rFonts w:hint="eastAsia"/>
            <w:lang w:eastAsia="zh-CN"/>
          </w:rPr>
          <w:t>第</w:t>
        </w:r>
        <w:r w:rsidR="008D06A8">
          <w:rPr>
            <w:rStyle w:val="Hyperlink"/>
            <w:rFonts w:hint="eastAsia"/>
            <w:lang w:eastAsia="zh-CN"/>
          </w:rPr>
          <w:t>3</w:t>
        </w:r>
        <w:r w:rsidR="008D06A8">
          <w:rPr>
            <w:rStyle w:val="Hyperlink"/>
            <w:rFonts w:hint="eastAsia"/>
            <w:lang w:eastAsia="zh-CN"/>
          </w:rPr>
          <w:t>节</w:t>
        </w:r>
      </w:hyperlink>
      <w:r>
        <w:rPr>
          <w:rFonts w:hint="eastAsia"/>
        </w:rPr>
        <w:t>）。电信标准化局（</w:t>
      </w:r>
      <w:r>
        <w:rPr>
          <w:rFonts w:hint="eastAsia"/>
        </w:rPr>
        <w:t>TSB</w:t>
      </w:r>
      <w:r>
        <w:rPr>
          <w:rFonts w:hint="eastAsia"/>
        </w:rPr>
        <w:t>）在报告期内促成了</w:t>
      </w:r>
      <w:r>
        <w:rPr>
          <w:rFonts w:hint="eastAsia"/>
        </w:rPr>
        <w:t>3,656</w:t>
      </w:r>
      <w:r>
        <w:rPr>
          <w:rFonts w:hint="eastAsia"/>
        </w:rPr>
        <w:t>次虚拟会议，欢迎</w:t>
      </w:r>
      <w:r>
        <w:rPr>
          <w:rFonts w:hint="eastAsia"/>
        </w:rPr>
        <w:t>50,220</w:t>
      </w:r>
      <w:r>
        <w:rPr>
          <w:rFonts w:hint="eastAsia"/>
        </w:rPr>
        <w:t>名与会者出席（见</w:t>
      </w:r>
      <w:hyperlink w:anchor="_4_Virtual_meetings" w:history="1">
        <w:r w:rsidR="008D06A8">
          <w:rPr>
            <w:rStyle w:val="Hyperlink"/>
            <w:rFonts w:hint="eastAsia"/>
            <w:lang w:eastAsia="zh-CN"/>
          </w:rPr>
          <w:t>第</w:t>
        </w:r>
        <w:r w:rsidR="008D06A8">
          <w:rPr>
            <w:rStyle w:val="Hyperlink"/>
            <w:rFonts w:hint="eastAsia"/>
            <w:lang w:eastAsia="zh-CN"/>
          </w:rPr>
          <w:t>4</w:t>
        </w:r>
        <w:r w:rsidR="008D06A8">
          <w:rPr>
            <w:rStyle w:val="Hyperlink"/>
            <w:rFonts w:hint="eastAsia"/>
            <w:lang w:eastAsia="zh-CN"/>
          </w:rPr>
          <w:t>节</w:t>
        </w:r>
      </w:hyperlink>
      <w:r>
        <w:rPr>
          <w:rFonts w:hint="eastAsia"/>
        </w:rPr>
        <w:t>）。</w:t>
      </w:r>
    </w:p>
    <w:p w14:paraId="2630FEC7" w14:textId="21BCC4CA" w:rsidR="00C529C8" w:rsidRDefault="00C529C8" w:rsidP="00FF46C7">
      <w:pPr>
        <w:ind w:firstLineChars="200" w:firstLine="480"/>
      </w:pPr>
      <w:r>
        <w:rPr>
          <w:rFonts w:hint="eastAsia"/>
        </w:rPr>
        <w:t>ITU-T</w:t>
      </w:r>
      <w:r>
        <w:rPr>
          <w:rFonts w:hint="eastAsia"/>
        </w:rPr>
        <w:t>目前有</w:t>
      </w:r>
      <w:r>
        <w:rPr>
          <w:rFonts w:hint="eastAsia"/>
        </w:rPr>
        <w:t>265</w:t>
      </w:r>
      <w:r>
        <w:rPr>
          <w:rFonts w:hint="eastAsia"/>
        </w:rPr>
        <w:t>个部门成员和</w:t>
      </w:r>
      <w:r>
        <w:rPr>
          <w:rFonts w:hint="eastAsia"/>
        </w:rPr>
        <w:t>224</w:t>
      </w:r>
      <w:r>
        <w:rPr>
          <w:rFonts w:hint="eastAsia"/>
        </w:rPr>
        <w:t>个部门准成员。国际电联学术成员目前共有</w:t>
      </w:r>
      <w:r>
        <w:rPr>
          <w:rFonts w:hint="eastAsia"/>
        </w:rPr>
        <w:t>172</w:t>
      </w:r>
      <w:r>
        <w:rPr>
          <w:rFonts w:hint="eastAsia"/>
        </w:rPr>
        <w:t>个。</w:t>
      </w:r>
      <w:r>
        <w:rPr>
          <w:rFonts w:hint="eastAsia"/>
        </w:rPr>
        <w:t>ITU-T</w:t>
      </w:r>
      <w:r>
        <w:rPr>
          <w:rFonts w:hint="eastAsia"/>
        </w:rPr>
        <w:t>部门准成员中，有</w:t>
      </w:r>
      <w:r>
        <w:rPr>
          <w:rFonts w:hint="eastAsia"/>
        </w:rPr>
        <w:t>54</w:t>
      </w:r>
      <w:r>
        <w:rPr>
          <w:rFonts w:hint="eastAsia"/>
        </w:rPr>
        <w:t>个现在是按照</w:t>
      </w:r>
      <w:r>
        <w:rPr>
          <w:rFonts w:hint="eastAsia"/>
        </w:rPr>
        <w:t>2020</w:t>
      </w:r>
      <w:r>
        <w:rPr>
          <w:rFonts w:hint="eastAsia"/>
        </w:rPr>
        <w:t>年</w:t>
      </w:r>
      <w:r>
        <w:rPr>
          <w:rFonts w:hint="eastAsia"/>
        </w:rPr>
        <w:t>1</w:t>
      </w:r>
      <w:r>
        <w:rPr>
          <w:rFonts w:hint="eastAsia"/>
        </w:rPr>
        <w:t>月</w:t>
      </w:r>
      <w:r>
        <w:rPr>
          <w:rFonts w:hint="eastAsia"/>
        </w:rPr>
        <w:t>31</w:t>
      </w:r>
      <w:r>
        <w:rPr>
          <w:rFonts w:hint="eastAsia"/>
        </w:rPr>
        <w:t>日生效的中小型企业减费结构参与的（见</w:t>
      </w:r>
      <w:hyperlink w:anchor="_11_Membership" w:history="1">
        <w:r w:rsidR="008D06A8">
          <w:rPr>
            <w:rStyle w:val="Hyperlink"/>
            <w:rFonts w:hint="eastAsia"/>
            <w:lang w:eastAsia="zh-CN"/>
          </w:rPr>
          <w:t>第</w:t>
        </w:r>
        <w:r w:rsidR="008D06A8" w:rsidRPr="00821BE1">
          <w:rPr>
            <w:rStyle w:val="Hyperlink"/>
          </w:rPr>
          <w:t>11</w:t>
        </w:r>
      </w:hyperlink>
      <w:r w:rsidR="008D06A8">
        <w:rPr>
          <w:rStyle w:val="Hyperlink"/>
          <w:rFonts w:hint="eastAsia"/>
          <w:lang w:eastAsia="zh-CN"/>
        </w:rPr>
        <w:t>节</w:t>
      </w:r>
      <w:r>
        <w:rPr>
          <w:rFonts w:hint="eastAsia"/>
        </w:rPr>
        <w:t>）。</w:t>
      </w:r>
    </w:p>
    <w:p w14:paraId="54213A91" w14:textId="457FF4CA" w:rsidR="00C529C8" w:rsidRDefault="00C529C8" w:rsidP="00FF46C7">
      <w:pPr>
        <w:ind w:firstLineChars="200" w:firstLine="480"/>
      </w:pPr>
      <w:r>
        <w:rPr>
          <w:rFonts w:hint="eastAsia"/>
        </w:rPr>
        <w:t>即将于</w:t>
      </w:r>
      <w:r>
        <w:rPr>
          <w:rFonts w:hint="eastAsia"/>
        </w:rPr>
        <w:t>2023</w:t>
      </w:r>
      <w:r>
        <w:rPr>
          <w:rFonts w:hint="eastAsia"/>
        </w:rPr>
        <w:t>年</w:t>
      </w:r>
      <w:r>
        <w:rPr>
          <w:rFonts w:hint="eastAsia"/>
        </w:rPr>
        <w:t>7</w:t>
      </w:r>
      <w:r>
        <w:rPr>
          <w:rFonts w:hint="eastAsia"/>
        </w:rPr>
        <w:t>月</w:t>
      </w:r>
      <w:r>
        <w:rPr>
          <w:rFonts w:hint="eastAsia"/>
        </w:rPr>
        <w:t>6</w:t>
      </w:r>
      <w:r>
        <w:rPr>
          <w:rFonts w:hint="eastAsia"/>
        </w:rPr>
        <w:t>日至</w:t>
      </w:r>
      <w:r>
        <w:rPr>
          <w:rFonts w:hint="eastAsia"/>
        </w:rPr>
        <w:t>7</w:t>
      </w:r>
      <w:r>
        <w:rPr>
          <w:rFonts w:hint="eastAsia"/>
        </w:rPr>
        <w:t>日在日内瓦举行的</w:t>
      </w:r>
      <w:hyperlink r:id="rId19" w:history="1">
        <w:r w:rsidRPr="008D06A8">
          <w:rPr>
            <w:rStyle w:val="Hyperlink"/>
            <w:rFonts w:hint="eastAsia"/>
          </w:rPr>
          <w:t>人工智能惠及人类全球峰会</w:t>
        </w:r>
      </w:hyperlink>
      <w:r>
        <w:rPr>
          <w:rFonts w:hint="eastAsia"/>
        </w:rPr>
        <w:t>将邀请</w:t>
      </w:r>
      <w:r>
        <w:rPr>
          <w:rFonts w:hint="eastAsia"/>
        </w:rPr>
        <w:t>AI</w:t>
      </w:r>
      <w:r>
        <w:rPr>
          <w:rFonts w:hint="eastAsia"/>
        </w:rPr>
        <w:t>和人道主义行动方面的世界知名专家参加。在此之前，借鉴人工智能惠及人类探索发现项目的专业知识，将于</w:t>
      </w:r>
      <w:r>
        <w:rPr>
          <w:rFonts w:hint="eastAsia"/>
        </w:rPr>
        <w:t>7</w:t>
      </w:r>
      <w:r>
        <w:rPr>
          <w:rFonts w:hint="eastAsia"/>
        </w:rPr>
        <w:t>月</w:t>
      </w:r>
      <w:r>
        <w:rPr>
          <w:rFonts w:hint="eastAsia"/>
        </w:rPr>
        <w:t>5</w:t>
      </w:r>
      <w:r>
        <w:rPr>
          <w:rFonts w:hint="eastAsia"/>
        </w:rPr>
        <w:t>日举办面向专家的机器学习（</w:t>
      </w:r>
      <w:r>
        <w:rPr>
          <w:rFonts w:hint="eastAsia"/>
        </w:rPr>
        <w:t>ML</w:t>
      </w:r>
      <w:r>
        <w:rPr>
          <w:rFonts w:hint="eastAsia"/>
        </w:rPr>
        <w:t>）讲习班。通过</w:t>
      </w:r>
      <w:r>
        <w:rPr>
          <w:rFonts w:hint="eastAsia"/>
        </w:rPr>
        <w:t>2020</w:t>
      </w:r>
      <w:r>
        <w:rPr>
          <w:rFonts w:hint="eastAsia"/>
        </w:rPr>
        <w:t>年引入的全年、始终在线的形式，人工智能惠及人类数字平台已得到来自</w:t>
      </w:r>
      <w:r>
        <w:rPr>
          <w:rFonts w:hint="eastAsia"/>
        </w:rPr>
        <w:t>183</w:t>
      </w:r>
      <w:r>
        <w:rPr>
          <w:rFonts w:hint="eastAsia"/>
        </w:rPr>
        <w:t>个国家的</w:t>
      </w:r>
      <w:r>
        <w:rPr>
          <w:rFonts w:hint="eastAsia"/>
        </w:rPr>
        <w:t>30</w:t>
      </w:r>
      <w:r>
        <w:rPr>
          <w:rFonts w:hint="eastAsia"/>
        </w:rPr>
        <w:t>多万名观众。自</w:t>
      </w:r>
      <w:r>
        <w:rPr>
          <w:rFonts w:hint="eastAsia"/>
        </w:rPr>
        <w:t>2022</w:t>
      </w:r>
      <w:r>
        <w:rPr>
          <w:rFonts w:hint="eastAsia"/>
        </w:rPr>
        <w:t>年</w:t>
      </w:r>
      <w:r>
        <w:rPr>
          <w:rFonts w:hint="eastAsia"/>
        </w:rPr>
        <w:t>2</w:t>
      </w:r>
      <w:r>
        <w:rPr>
          <w:rFonts w:hint="eastAsia"/>
        </w:rPr>
        <w:t>月推出以来，超过</w:t>
      </w:r>
      <w:r>
        <w:rPr>
          <w:rFonts w:hint="eastAsia"/>
        </w:rPr>
        <w:t>11,000</w:t>
      </w:r>
      <w:r>
        <w:rPr>
          <w:rFonts w:hint="eastAsia"/>
        </w:rPr>
        <w:t>人在新的</w:t>
      </w:r>
      <w:hyperlink r:id="rId20" w:history="1">
        <w:r w:rsidRPr="008D06A8">
          <w:rPr>
            <w:rStyle w:val="Hyperlink"/>
            <w:rFonts w:hint="eastAsia"/>
          </w:rPr>
          <w:t>人工智能惠及人类神经网络</w:t>
        </w:r>
      </w:hyperlink>
      <w:r>
        <w:rPr>
          <w:rFonts w:hint="eastAsia"/>
        </w:rPr>
        <w:t>上创建了个人资料（见</w:t>
      </w:r>
      <w:hyperlink w:anchor="_5.1_Artificial_intelligence" w:history="1">
        <w:r w:rsidR="008D06A8">
          <w:rPr>
            <w:rStyle w:val="Hyperlink"/>
            <w:rFonts w:hint="eastAsia"/>
            <w:bCs/>
            <w:lang w:eastAsia="zh-CN"/>
          </w:rPr>
          <w:t>第</w:t>
        </w:r>
        <w:r w:rsidR="008D06A8" w:rsidRPr="00821BE1">
          <w:rPr>
            <w:rStyle w:val="Hyperlink"/>
            <w:bCs/>
          </w:rPr>
          <w:t>5.1</w:t>
        </w:r>
      </w:hyperlink>
      <w:r w:rsidR="008D06A8">
        <w:rPr>
          <w:rStyle w:val="Hyperlink"/>
          <w:rFonts w:hint="eastAsia"/>
          <w:bCs/>
          <w:lang w:eastAsia="zh-CN"/>
        </w:rPr>
        <w:t>节</w:t>
      </w:r>
      <w:r>
        <w:rPr>
          <w:rFonts w:hint="eastAsia"/>
        </w:rPr>
        <w:t>）节。</w:t>
      </w:r>
    </w:p>
    <w:p w14:paraId="05188558" w14:textId="069EA377" w:rsidR="00C46C83" w:rsidRDefault="00CC398B" w:rsidP="00FF46C7">
      <w:pPr>
        <w:ind w:firstLineChars="200" w:firstLine="480"/>
        <w:rPr>
          <w:lang w:eastAsia="zh-CN"/>
        </w:rPr>
      </w:pPr>
      <w:hyperlink r:id="rId21" w:history="1">
        <w:r w:rsidR="00C46C83" w:rsidRPr="00C46C83">
          <w:rPr>
            <w:rStyle w:val="Hyperlink"/>
            <w:rFonts w:hint="eastAsia"/>
            <w:lang w:eastAsia="zh-CN"/>
          </w:rPr>
          <w:t>国际电联数字金融服务（</w:t>
        </w:r>
        <w:r w:rsidR="00C46C83" w:rsidRPr="00C46C83">
          <w:rPr>
            <w:rStyle w:val="Hyperlink"/>
            <w:rFonts w:hint="eastAsia"/>
            <w:lang w:eastAsia="zh-CN"/>
          </w:rPr>
          <w:t>DFS</w:t>
        </w:r>
        <w:r w:rsidR="00C46C83" w:rsidRPr="00C46C83">
          <w:rPr>
            <w:rStyle w:val="Hyperlink"/>
            <w:rFonts w:hint="eastAsia"/>
            <w:lang w:eastAsia="zh-CN"/>
          </w:rPr>
          <w:t>）安全诊所</w:t>
        </w:r>
      </w:hyperlink>
      <w:r w:rsidR="00C46C83">
        <w:rPr>
          <w:rFonts w:hint="eastAsia"/>
          <w:lang w:eastAsia="zh-CN"/>
        </w:rPr>
        <w:t>为监管机构和</w:t>
      </w:r>
      <w:r w:rsidR="00C46C83">
        <w:rPr>
          <w:rFonts w:hint="eastAsia"/>
          <w:lang w:eastAsia="zh-CN"/>
        </w:rPr>
        <w:t>DFS</w:t>
      </w:r>
      <w:r w:rsidR="00C46C83">
        <w:rPr>
          <w:rFonts w:hint="eastAsia"/>
          <w:lang w:eastAsia="zh-CN"/>
        </w:rPr>
        <w:t>提供商采用根据</w:t>
      </w:r>
      <w:hyperlink r:id="rId22" w:history="1">
        <w:r w:rsidR="00C46C83" w:rsidRPr="00C46C83">
          <w:rPr>
            <w:rStyle w:val="Hyperlink"/>
            <w:rFonts w:hint="eastAsia"/>
            <w:lang w:eastAsia="zh-CN"/>
          </w:rPr>
          <w:t>金融包容性全球举措（</w:t>
        </w:r>
        <w:r w:rsidR="00C46C83" w:rsidRPr="00C46C83">
          <w:rPr>
            <w:rStyle w:val="Hyperlink"/>
            <w:rFonts w:hint="eastAsia"/>
            <w:lang w:eastAsia="zh-CN"/>
          </w:rPr>
          <w:t>FIGI</w:t>
        </w:r>
        <w:r w:rsidR="00C46C83" w:rsidRPr="00C46C83">
          <w:rPr>
            <w:rStyle w:val="Hyperlink"/>
            <w:rFonts w:hint="eastAsia"/>
            <w:lang w:eastAsia="zh-CN"/>
          </w:rPr>
          <w:t>）</w:t>
        </w:r>
      </w:hyperlink>
      <w:r w:rsidR="00C46C83">
        <w:rPr>
          <w:rFonts w:hint="eastAsia"/>
          <w:lang w:eastAsia="zh-CN"/>
        </w:rPr>
        <w:t>制定的安全最佳做法提供指导。</w:t>
      </w:r>
      <w:hyperlink r:id="rId23" w:history="1">
        <w:r w:rsidR="00C46C83" w:rsidRPr="00C46C83">
          <w:rPr>
            <w:rStyle w:val="Hyperlink"/>
            <w:rFonts w:hint="eastAsia"/>
            <w:lang w:eastAsia="zh-CN"/>
          </w:rPr>
          <w:t>国际电联</w:t>
        </w:r>
        <w:r w:rsidR="00C46C83" w:rsidRPr="00C46C83">
          <w:rPr>
            <w:rStyle w:val="Hyperlink"/>
            <w:rFonts w:hint="eastAsia"/>
            <w:lang w:eastAsia="zh-CN"/>
          </w:rPr>
          <w:t>DFS</w:t>
        </w:r>
        <w:r w:rsidR="00C46C83" w:rsidRPr="00C46C83">
          <w:rPr>
            <w:rStyle w:val="Hyperlink"/>
            <w:rFonts w:hint="eastAsia"/>
            <w:lang w:eastAsia="zh-CN"/>
          </w:rPr>
          <w:t>安全实验室</w:t>
        </w:r>
      </w:hyperlink>
      <w:r w:rsidR="00C46C83">
        <w:rPr>
          <w:rFonts w:hint="eastAsia"/>
          <w:lang w:eastAsia="zh-CN"/>
        </w:rPr>
        <w:t>帮助利益攸关方验证这些最佳做法是否得到遵循。越来越多的国家正在采用根据</w:t>
      </w:r>
      <w:r w:rsidR="00C46C83">
        <w:rPr>
          <w:rFonts w:hint="eastAsia"/>
          <w:lang w:eastAsia="zh-CN"/>
        </w:rPr>
        <w:t>FIGI</w:t>
      </w:r>
      <w:r w:rsidR="00C46C83">
        <w:rPr>
          <w:rFonts w:hint="eastAsia"/>
          <w:lang w:eastAsia="zh-CN"/>
        </w:rPr>
        <w:t>制定的</w:t>
      </w:r>
      <w:r w:rsidR="00C46C83">
        <w:rPr>
          <w:rFonts w:hint="eastAsia"/>
          <w:lang w:eastAsia="zh-CN"/>
        </w:rPr>
        <w:t>DFS</w:t>
      </w:r>
      <w:r w:rsidR="00C46C83">
        <w:rPr>
          <w:rFonts w:hint="eastAsia"/>
          <w:lang w:eastAsia="zh-CN"/>
        </w:rPr>
        <w:t>安全建议，并在国际电联知识转让活动的支持下建立自己的</w:t>
      </w:r>
      <w:r w:rsidR="00C46C83">
        <w:rPr>
          <w:rFonts w:hint="eastAsia"/>
          <w:lang w:eastAsia="zh-CN"/>
        </w:rPr>
        <w:t>DFS</w:t>
      </w:r>
      <w:r w:rsidR="00C46C83">
        <w:rPr>
          <w:rFonts w:hint="eastAsia"/>
          <w:lang w:eastAsia="zh-CN"/>
        </w:rPr>
        <w:t>安全实验室（见</w:t>
      </w:r>
      <w:hyperlink w:anchor="_5.2_Digital_financial" w:history="1">
        <w:r w:rsidR="00C46C83">
          <w:rPr>
            <w:rStyle w:val="Hyperlink"/>
            <w:rFonts w:hint="eastAsia"/>
            <w:lang w:eastAsia="zh-CN"/>
          </w:rPr>
          <w:t>第</w:t>
        </w:r>
        <w:r w:rsidR="00C46C83" w:rsidRPr="00821BE1">
          <w:rPr>
            <w:rStyle w:val="Hyperlink"/>
          </w:rPr>
          <w:t>5.2</w:t>
        </w:r>
      </w:hyperlink>
      <w:r w:rsidR="00C46C83">
        <w:rPr>
          <w:rStyle w:val="Hyperlink"/>
          <w:rFonts w:hint="eastAsia"/>
          <w:lang w:eastAsia="zh-CN"/>
        </w:rPr>
        <w:t>节</w:t>
      </w:r>
      <w:r w:rsidR="00C46C83">
        <w:rPr>
          <w:rFonts w:hint="eastAsia"/>
          <w:lang w:eastAsia="zh-CN"/>
        </w:rPr>
        <w:t>）。</w:t>
      </w:r>
    </w:p>
    <w:p w14:paraId="18C044A2" w14:textId="54AD2BB6" w:rsidR="00C46C83" w:rsidRDefault="00C46C83" w:rsidP="00FF46C7">
      <w:pPr>
        <w:ind w:firstLineChars="200" w:firstLine="480"/>
        <w:rPr>
          <w:lang w:eastAsia="zh-CN"/>
        </w:rPr>
      </w:pPr>
      <w:r>
        <w:rPr>
          <w:rFonts w:hint="eastAsia"/>
          <w:lang w:eastAsia="zh-CN"/>
        </w:rPr>
        <w:t>第一届</w:t>
      </w:r>
      <w:hyperlink r:id="rId24" w:history="1">
        <w:r w:rsidRPr="00C46C83">
          <w:rPr>
            <w:rStyle w:val="Hyperlink"/>
            <w:rFonts w:hint="eastAsia"/>
            <w:lang w:eastAsia="zh-CN"/>
          </w:rPr>
          <w:t>数字货币（</w:t>
        </w:r>
        <w:r w:rsidRPr="00C46C83">
          <w:rPr>
            <w:rStyle w:val="Hyperlink"/>
            <w:rFonts w:hint="eastAsia"/>
            <w:lang w:eastAsia="zh-CN"/>
          </w:rPr>
          <w:t>DC</w:t>
        </w:r>
        <w:r w:rsidRPr="00C46C83">
          <w:rPr>
            <w:rStyle w:val="Hyperlink"/>
            <w:rFonts w:hint="eastAsia"/>
            <w:lang w:eastAsia="zh-CN"/>
          </w:rPr>
          <w:t>）</w:t>
        </w:r>
        <w:r w:rsidRPr="00C46C83">
          <w:rPr>
            <w:rStyle w:val="Hyperlink"/>
            <w:rFonts w:hint="eastAsia"/>
            <w:lang w:eastAsia="zh-CN"/>
          </w:rPr>
          <w:t>3</w:t>
        </w:r>
        <w:r w:rsidRPr="00C46C83">
          <w:rPr>
            <w:rStyle w:val="Hyperlink"/>
            <w:rFonts w:hint="eastAsia"/>
            <w:lang w:eastAsia="zh-CN"/>
          </w:rPr>
          <w:t>大会</w:t>
        </w:r>
        <w:r w:rsidR="00640A62">
          <w:rPr>
            <w:rStyle w:val="Hyperlink"/>
            <w:rFonts w:hint="eastAsia"/>
            <w:lang w:eastAsia="zh-CN"/>
          </w:rPr>
          <w:t xml:space="preserve"> </w:t>
        </w:r>
        <w:r w:rsidRPr="00C46C83">
          <w:rPr>
            <w:rStyle w:val="Hyperlink"/>
            <w:lang w:eastAsia="zh-CN"/>
          </w:rPr>
          <w:t>–</w:t>
        </w:r>
        <w:r w:rsidR="00640A62">
          <w:rPr>
            <w:rStyle w:val="Hyperlink"/>
            <w:lang w:eastAsia="zh-CN"/>
          </w:rPr>
          <w:t xml:space="preserve"> </w:t>
        </w:r>
        <w:r w:rsidRPr="00C46C83">
          <w:rPr>
            <w:rStyle w:val="Hyperlink"/>
            <w:rFonts w:hint="eastAsia"/>
            <w:lang w:eastAsia="zh-CN"/>
          </w:rPr>
          <w:t>从加密货币到央行数字货币</w:t>
        </w:r>
      </w:hyperlink>
      <w:r>
        <w:rPr>
          <w:rFonts w:hint="eastAsia"/>
          <w:lang w:eastAsia="zh-CN"/>
        </w:rPr>
        <w:t>已于</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25</w:t>
      </w:r>
      <w:r>
        <w:rPr>
          <w:rFonts w:hint="eastAsia"/>
          <w:lang w:eastAsia="zh-CN"/>
        </w:rPr>
        <w:t>日至</w:t>
      </w:r>
      <w:r>
        <w:rPr>
          <w:rFonts w:hint="eastAsia"/>
          <w:lang w:eastAsia="zh-CN"/>
        </w:rPr>
        <w:t>27</w:t>
      </w:r>
      <w:r>
        <w:rPr>
          <w:rFonts w:hint="eastAsia"/>
          <w:lang w:eastAsia="zh-CN"/>
        </w:rPr>
        <w:t>日在线举行。</w:t>
      </w:r>
      <w:hyperlink r:id="rId25" w:history="1">
        <w:r w:rsidRPr="00C46C83">
          <w:rPr>
            <w:rStyle w:val="Hyperlink"/>
            <w:rFonts w:hint="eastAsia"/>
            <w:lang w:eastAsia="zh-CN"/>
          </w:rPr>
          <w:t>第二届大会</w:t>
        </w:r>
      </w:hyperlink>
      <w:r>
        <w:rPr>
          <w:rFonts w:hint="eastAsia"/>
          <w:lang w:eastAsia="zh-CN"/>
        </w:rPr>
        <w:t>定于</w:t>
      </w:r>
      <w:r>
        <w:rPr>
          <w:rFonts w:hint="eastAsia"/>
          <w:lang w:eastAsia="zh-CN"/>
        </w:rPr>
        <w:t>2023</w:t>
      </w:r>
      <w:r>
        <w:rPr>
          <w:rFonts w:hint="eastAsia"/>
          <w:lang w:eastAsia="zh-CN"/>
        </w:rPr>
        <w:t>年</w:t>
      </w:r>
      <w:r>
        <w:rPr>
          <w:rFonts w:hint="eastAsia"/>
          <w:lang w:eastAsia="zh-CN"/>
        </w:rPr>
        <w:t>1</w:t>
      </w:r>
      <w:r>
        <w:rPr>
          <w:rFonts w:hint="eastAsia"/>
          <w:lang w:eastAsia="zh-CN"/>
        </w:rPr>
        <w:t>月</w:t>
      </w:r>
      <w:r>
        <w:rPr>
          <w:rFonts w:hint="eastAsia"/>
          <w:lang w:eastAsia="zh-CN"/>
        </w:rPr>
        <w:t>24-27</w:t>
      </w:r>
      <w:r>
        <w:rPr>
          <w:rFonts w:hint="eastAsia"/>
          <w:lang w:eastAsia="zh-CN"/>
        </w:rPr>
        <w:t>日在线举行。</w:t>
      </w:r>
      <w:hyperlink r:id="rId26" w:history="1">
        <w:r w:rsidRPr="00C46C83">
          <w:rPr>
            <w:rStyle w:val="Hyperlink"/>
            <w:rFonts w:hint="eastAsia"/>
            <w:lang w:eastAsia="zh-CN"/>
          </w:rPr>
          <w:t>数字货币全球举措</w:t>
        </w:r>
      </w:hyperlink>
      <w:r>
        <w:rPr>
          <w:rFonts w:hint="eastAsia"/>
          <w:lang w:eastAsia="zh-CN"/>
        </w:rPr>
        <w:t>的政策和治理工作组于</w:t>
      </w:r>
      <w:r>
        <w:rPr>
          <w:rFonts w:hint="eastAsia"/>
          <w:lang w:eastAsia="zh-CN"/>
        </w:rPr>
        <w:t>2022</w:t>
      </w:r>
      <w:r>
        <w:rPr>
          <w:rFonts w:hint="eastAsia"/>
          <w:lang w:eastAsia="zh-CN"/>
        </w:rPr>
        <w:t>年</w:t>
      </w:r>
      <w:r>
        <w:rPr>
          <w:rFonts w:hint="eastAsia"/>
          <w:lang w:eastAsia="zh-CN"/>
        </w:rPr>
        <w:t>5</w:t>
      </w:r>
      <w:r>
        <w:rPr>
          <w:rFonts w:hint="eastAsia"/>
          <w:lang w:eastAsia="zh-CN"/>
        </w:rPr>
        <w:t>月完成了一份</w:t>
      </w:r>
      <w:hyperlink r:id="rId27" w:history="1">
        <w:r w:rsidRPr="00C46C83">
          <w:rPr>
            <w:rStyle w:val="Hyperlink"/>
            <w:rFonts w:hint="eastAsia"/>
            <w:lang w:eastAsia="zh-CN"/>
          </w:rPr>
          <w:t>关于数字货币和金融包容性的报告</w:t>
        </w:r>
      </w:hyperlink>
      <w:r>
        <w:rPr>
          <w:rFonts w:hint="eastAsia"/>
          <w:lang w:eastAsia="zh-CN"/>
        </w:rPr>
        <w:t>，为实现央行数字货币（</w:t>
      </w:r>
      <w:r>
        <w:rPr>
          <w:rFonts w:hint="eastAsia"/>
          <w:lang w:eastAsia="zh-CN"/>
        </w:rPr>
        <w:t>CBDC</w:t>
      </w:r>
      <w:r>
        <w:rPr>
          <w:rFonts w:hint="eastAsia"/>
          <w:lang w:eastAsia="zh-CN"/>
        </w:rPr>
        <w:t>）金融包容性提供了高层次的设计原则。该报告已提交给</w:t>
      </w:r>
      <w:r>
        <w:rPr>
          <w:rFonts w:hint="eastAsia"/>
          <w:lang w:eastAsia="zh-CN"/>
        </w:rPr>
        <w:t>ITU-T</w:t>
      </w:r>
      <w:r>
        <w:rPr>
          <w:rFonts w:hint="eastAsia"/>
          <w:lang w:eastAsia="zh-CN"/>
        </w:rPr>
        <w:t>第</w:t>
      </w:r>
      <w:r>
        <w:rPr>
          <w:rFonts w:hint="eastAsia"/>
          <w:lang w:eastAsia="zh-CN"/>
        </w:rPr>
        <w:t>3</w:t>
      </w:r>
      <w:r>
        <w:rPr>
          <w:rFonts w:hint="eastAsia"/>
          <w:lang w:eastAsia="zh-CN"/>
        </w:rPr>
        <w:t>研究组（</w:t>
      </w:r>
      <w:r>
        <w:rPr>
          <w:rFonts w:hint="eastAsia"/>
          <w:lang w:eastAsia="zh-CN"/>
        </w:rPr>
        <w:t>SG3</w:t>
      </w:r>
      <w:r>
        <w:rPr>
          <w:rFonts w:hint="eastAsia"/>
          <w:lang w:eastAsia="zh-CN"/>
        </w:rPr>
        <w:t>）（见</w:t>
      </w:r>
      <w:hyperlink w:anchor="_5.2_Digital_financial" w:history="1">
        <w:r>
          <w:rPr>
            <w:rStyle w:val="Hyperlink"/>
            <w:rFonts w:hint="eastAsia"/>
            <w:lang w:eastAsia="zh-CN"/>
          </w:rPr>
          <w:t>第</w:t>
        </w:r>
        <w:r w:rsidRPr="00821BE1">
          <w:rPr>
            <w:rStyle w:val="Hyperlink"/>
          </w:rPr>
          <w:t>5.2</w:t>
        </w:r>
      </w:hyperlink>
      <w:r>
        <w:rPr>
          <w:rStyle w:val="Hyperlink"/>
          <w:rFonts w:hint="eastAsia"/>
          <w:lang w:eastAsia="zh-CN"/>
        </w:rPr>
        <w:t>节</w:t>
      </w:r>
      <w:r>
        <w:rPr>
          <w:rFonts w:hint="eastAsia"/>
          <w:lang w:eastAsia="zh-CN"/>
        </w:rPr>
        <w:t>）。</w:t>
      </w:r>
    </w:p>
    <w:p w14:paraId="2315AF27" w14:textId="57B4E943" w:rsidR="00C46C83" w:rsidRDefault="00CC398B" w:rsidP="00FF46C7">
      <w:pPr>
        <w:ind w:firstLineChars="200" w:firstLine="480"/>
        <w:rPr>
          <w:lang w:eastAsia="zh-CN"/>
        </w:rPr>
      </w:pPr>
      <w:hyperlink r:id="rId28" w:history="1">
        <w:r w:rsidR="00C46C83" w:rsidRPr="00C46C83">
          <w:rPr>
            <w:rStyle w:val="Hyperlink"/>
            <w:rFonts w:hint="eastAsia"/>
            <w:lang w:eastAsia="zh-CN"/>
          </w:rPr>
          <w:t>共建可持续智慧城市（</w:t>
        </w:r>
        <w:r w:rsidR="00C46C83" w:rsidRPr="00C46C83">
          <w:rPr>
            <w:rStyle w:val="Hyperlink"/>
            <w:rFonts w:hint="eastAsia"/>
            <w:lang w:eastAsia="zh-CN"/>
          </w:rPr>
          <w:t>U4SSC</w:t>
        </w:r>
        <w:r w:rsidR="00C46C83" w:rsidRPr="00C46C83">
          <w:rPr>
            <w:rStyle w:val="Hyperlink"/>
            <w:rFonts w:hint="eastAsia"/>
            <w:lang w:eastAsia="zh-CN"/>
          </w:rPr>
          <w:t>）</w:t>
        </w:r>
      </w:hyperlink>
      <w:r w:rsidR="00C46C83">
        <w:rPr>
          <w:rFonts w:hint="eastAsia"/>
          <w:lang w:eastAsia="zh-CN"/>
        </w:rPr>
        <w:t>举措得到了</w:t>
      </w:r>
      <w:r w:rsidR="00C46C83">
        <w:rPr>
          <w:rFonts w:hint="eastAsia"/>
          <w:lang w:eastAsia="zh-CN"/>
        </w:rPr>
        <w:t>18</w:t>
      </w:r>
      <w:r w:rsidR="00C46C83">
        <w:rPr>
          <w:rFonts w:hint="eastAsia"/>
          <w:lang w:eastAsia="zh-CN"/>
        </w:rPr>
        <w:t>个联合国机构的支持，目的是实现可持续发展目标（</w:t>
      </w:r>
      <w:r w:rsidR="00C46C83">
        <w:rPr>
          <w:rFonts w:hint="eastAsia"/>
          <w:lang w:eastAsia="zh-CN"/>
        </w:rPr>
        <w:t>SDG</w:t>
      </w:r>
      <w:r w:rsidR="00C46C83">
        <w:rPr>
          <w:rFonts w:hint="eastAsia"/>
          <w:lang w:eastAsia="zh-CN"/>
        </w:rPr>
        <w:t>）</w:t>
      </w:r>
      <w:r w:rsidR="00C46C83">
        <w:rPr>
          <w:rFonts w:hint="eastAsia"/>
          <w:lang w:eastAsia="zh-CN"/>
        </w:rPr>
        <w:t>11</w:t>
      </w:r>
      <w:r w:rsidR="00C46C83">
        <w:rPr>
          <w:rFonts w:hint="eastAsia"/>
          <w:lang w:eastAsia="zh-CN"/>
        </w:rPr>
        <w:t>（</w:t>
      </w:r>
      <w:r w:rsidR="00FF46C7">
        <w:rPr>
          <w:rFonts w:hint="eastAsia"/>
          <w:lang w:eastAsia="zh-CN"/>
        </w:rPr>
        <w:t>“</w:t>
      </w:r>
      <w:r w:rsidR="00C46C83">
        <w:rPr>
          <w:rFonts w:hint="eastAsia"/>
          <w:lang w:eastAsia="zh-CN"/>
        </w:rPr>
        <w:t>使城市和人类住区具有包容性、安全性、复原力和可持续性</w:t>
      </w:r>
      <w:r w:rsidR="00FF46C7">
        <w:rPr>
          <w:rFonts w:hint="eastAsia"/>
          <w:lang w:eastAsia="zh-CN"/>
        </w:rPr>
        <w:t>”</w:t>
      </w:r>
      <w:r w:rsidR="00C46C83">
        <w:rPr>
          <w:rFonts w:hint="eastAsia"/>
          <w:lang w:eastAsia="zh-CN"/>
        </w:rPr>
        <w:t>）。加纳的</w:t>
      </w:r>
      <w:r w:rsidR="00C46C83">
        <w:rPr>
          <w:rFonts w:hint="eastAsia"/>
          <w:lang w:eastAsia="zh-CN"/>
        </w:rPr>
        <w:t>Kyebi</w:t>
      </w:r>
      <w:r w:rsidR="00C46C83">
        <w:rPr>
          <w:rFonts w:hint="eastAsia"/>
          <w:lang w:eastAsia="zh-CN"/>
        </w:rPr>
        <w:t>是实施</w:t>
      </w:r>
      <w:hyperlink r:id="rId29" w:history="1">
        <w:r w:rsidR="00C46C83" w:rsidRPr="00C46C83">
          <w:rPr>
            <w:rStyle w:val="Hyperlink"/>
            <w:rFonts w:hint="eastAsia"/>
            <w:lang w:eastAsia="zh-CN"/>
          </w:rPr>
          <w:t>U4SSC</w:t>
        </w:r>
        <w:r w:rsidR="00C46C83" w:rsidRPr="00C46C83">
          <w:rPr>
            <w:rStyle w:val="Hyperlink"/>
            <w:rFonts w:hint="eastAsia"/>
            <w:lang w:eastAsia="zh-CN"/>
          </w:rPr>
          <w:t>关键绩效指标</w:t>
        </w:r>
      </w:hyperlink>
      <w:r w:rsidR="00C46C83">
        <w:rPr>
          <w:rFonts w:hint="eastAsia"/>
          <w:lang w:eastAsia="zh-CN"/>
        </w:rPr>
        <w:t>的最新城市。奥地利建立了第一个</w:t>
      </w:r>
      <w:hyperlink r:id="rId30" w:history="1">
        <w:r w:rsidR="00C46C83" w:rsidRPr="00C46C83">
          <w:rPr>
            <w:rStyle w:val="Hyperlink"/>
            <w:rFonts w:hint="eastAsia"/>
            <w:lang w:eastAsia="zh-CN"/>
          </w:rPr>
          <w:t>U4SSC</w:t>
        </w:r>
        <w:r w:rsidR="00C46C83" w:rsidRPr="00C46C83">
          <w:rPr>
            <w:rStyle w:val="Hyperlink"/>
            <w:rFonts w:hint="eastAsia"/>
            <w:lang w:eastAsia="zh-CN"/>
          </w:rPr>
          <w:t>中心</w:t>
        </w:r>
      </w:hyperlink>
      <w:r w:rsidR="00C46C83">
        <w:rPr>
          <w:rFonts w:hint="eastAsia"/>
          <w:lang w:eastAsia="zh-CN"/>
        </w:rPr>
        <w:t>。</w:t>
      </w:r>
      <w:r w:rsidR="00C46C83">
        <w:rPr>
          <w:rFonts w:hint="eastAsia"/>
          <w:lang w:eastAsia="zh-CN"/>
        </w:rPr>
        <w:t>U4SSC</w:t>
      </w:r>
      <w:r w:rsidR="00C46C83">
        <w:rPr>
          <w:rFonts w:hint="eastAsia"/>
          <w:lang w:eastAsia="zh-CN"/>
        </w:rPr>
        <w:t>在报告期内发布了</w:t>
      </w:r>
      <w:hyperlink r:id="rId31" w:history="1">
        <w:r w:rsidR="00C46C83" w:rsidRPr="00C46C83">
          <w:rPr>
            <w:rStyle w:val="Hyperlink"/>
            <w:rFonts w:hint="eastAsia"/>
            <w:lang w:eastAsia="zh-CN"/>
          </w:rPr>
          <w:t>两份新的报告</w:t>
        </w:r>
      </w:hyperlink>
      <w:r w:rsidR="00C46C83">
        <w:rPr>
          <w:rFonts w:hint="eastAsia"/>
          <w:lang w:eastAsia="zh-CN"/>
        </w:rPr>
        <w:t>：</w:t>
      </w:r>
      <w:bookmarkStart w:id="13" w:name="_Hlk121492947"/>
      <w:r w:rsidR="00C46C83">
        <w:rPr>
          <w:rFonts w:hint="eastAsia"/>
          <w:lang w:eastAsia="zh-CN"/>
        </w:rPr>
        <w:t>《智慧旅游：发展成为更安全和更具复原力的目的地之路》和《重新定义智慧城市平台，为起码的互操作性机制创造条件》</w:t>
      </w:r>
      <w:bookmarkEnd w:id="13"/>
      <w:r w:rsidR="00C46C83">
        <w:rPr>
          <w:rFonts w:hint="eastAsia"/>
          <w:lang w:eastAsia="zh-CN"/>
        </w:rPr>
        <w:t>（见</w:t>
      </w:r>
      <w:hyperlink w:anchor="_5.3_Smart_cities" w:history="1">
        <w:r w:rsidR="00C46C83">
          <w:rPr>
            <w:rStyle w:val="Hyperlink"/>
            <w:rFonts w:hint="eastAsia"/>
            <w:lang w:eastAsia="zh-CN"/>
          </w:rPr>
          <w:t>第</w:t>
        </w:r>
        <w:r w:rsidR="00C46C83" w:rsidRPr="00821BE1">
          <w:rPr>
            <w:rStyle w:val="Hyperlink"/>
          </w:rPr>
          <w:t>5.3</w:t>
        </w:r>
      </w:hyperlink>
      <w:r w:rsidR="00C46C83">
        <w:rPr>
          <w:rStyle w:val="Hyperlink"/>
          <w:rFonts w:hint="eastAsia"/>
          <w:lang w:eastAsia="zh-CN"/>
        </w:rPr>
        <w:t>节</w:t>
      </w:r>
      <w:r w:rsidR="00C46C83">
        <w:rPr>
          <w:rFonts w:hint="eastAsia"/>
          <w:lang w:eastAsia="zh-CN"/>
        </w:rPr>
        <w:t>）。</w:t>
      </w:r>
    </w:p>
    <w:p w14:paraId="10F91873" w14:textId="016AFDBA" w:rsidR="00AA2C3E" w:rsidRDefault="00C46C83" w:rsidP="00FF46C7">
      <w:pPr>
        <w:ind w:firstLineChars="200" w:firstLine="480"/>
        <w:rPr>
          <w:lang w:eastAsia="zh-CN"/>
        </w:rPr>
      </w:pP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17</w:t>
      </w:r>
      <w:r>
        <w:rPr>
          <w:rFonts w:hint="eastAsia"/>
          <w:lang w:eastAsia="zh-CN"/>
        </w:rPr>
        <w:t>日至</w:t>
      </w:r>
      <w:r>
        <w:rPr>
          <w:rFonts w:hint="eastAsia"/>
          <w:lang w:eastAsia="zh-CN"/>
        </w:rPr>
        <w:t>18</w:t>
      </w:r>
      <w:r>
        <w:rPr>
          <w:rFonts w:hint="eastAsia"/>
          <w:lang w:eastAsia="zh-CN"/>
        </w:rPr>
        <w:t>日，在埃及沙姆沙伊赫举办了</w:t>
      </w:r>
      <w:hyperlink r:id="rId32" w:history="1">
        <w:r w:rsidRPr="00C46C83">
          <w:rPr>
            <w:rStyle w:val="Hyperlink"/>
            <w:rFonts w:hint="eastAsia"/>
            <w:lang w:eastAsia="zh-CN"/>
          </w:rPr>
          <w:t>联合国气候变化大会（</w:t>
        </w:r>
        <w:r w:rsidRPr="00C46C83">
          <w:rPr>
            <w:rStyle w:val="Hyperlink"/>
            <w:rFonts w:hint="eastAsia"/>
            <w:lang w:eastAsia="zh-CN"/>
          </w:rPr>
          <w:t>COP27</w:t>
        </w:r>
        <w:r w:rsidRPr="00C46C83">
          <w:rPr>
            <w:rStyle w:val="Hyperlink"/>
            <w:rFonts w:hint="eastAsia"/>
            <w:lang w:eastAsia="zh-CN"/>
          </w:rPr>
          <w:t>）</w:t>
        </w:r>
      </w:hyperlink>
      <w:r>
        <w:rPr>
          <w:rFonts w:hint="eastAsia"/>
          <w:lang w:eastAsia="zh-CN"/>
        </w:rPr>
        <w:t>。国际电联在一系列联合国合作伙伴的支持下组织了一次展览</w:t>
      </w:r>
      <w:r w:rsidR="00FF46C7">
        <w:rPr>
          <w:rFonts w:hint="eastAsia"/>
          <w:lang w:eastAsia="zh-CN"/>
        </w:rPr>
        <w:t xml:space="preserve"> </w:t>
      </w:r>
      <w:r w:rsidR="00F77746">
        <w:rPr>
          <w:lang w:eastAsia="zh-CN"/>
        </w:rPr>
        <w:t>–</w:t>
      </w:r>
      <w:r w:rsidR="00FF46C7">
        <w:rPr>
          <w:lang w:eastAsia="zh-CN"/>
        </w:rPr>
        <w:t xml:space="preserve"> </w:t>
      </w:r>
      <w:r>
        <w:rPr>
          <w:rFonts w:hint="eastAsia"/>
          <w:lang w:eastAsia="zh-CN"/>
        </w:rPr>
        <w:t>主题为</w:t>
      </w:r>
      <w:r w:rsidR="00F77746">
        <w:rPr>
          <w:rFonts w:hint="eastAsia"/>
          <w:lang w:eastAsia="zh-CN"/>
        </w:rPr>
        <w:t>“</w:t>
      </w:r>
      <w:r>
        <w:rPr>
          <w:rFonts w:hint="eastAsia"/>
          <w:lang w:eastAsia="zh-CN"/>
        </w:rPr>
        <w:t>将数字创新转化为气候行动，实现净零排放</w:t>
      </w:r>
      <w:r w:rsidR="00F77746">
        <w:rPr>
          <w:rFonts w:hint="eastAsia"/>
          <w:lang w:eastAsia="zh-CN"/>
        </w:rPr>
        <w:t>”</w:t>
      </w:r>
      <w:r>
        <w:rPr>
          <w:rFonts w:hint="eastAsia"/>
          <w:lang w:eastAsia="zh-CN"/>
        </w:rPr>
        <w:t>。</w:t>
      </w:r>
      <w:r>
        <w:rPr>
          <w:rFonts w:hint="eastAsia"/>
          <w:lang w:eastAsia="zh-CN"/>
        </w:rPr>
        <w:t>TSB/ITU-T</w:t>
      </w:r>
      <w:r>
        <w:rPr>
          <w:rFonts w:hint="eastAsia"/>
          <w:lang w:eastAsia="zh-CN"/>
        </w:rPr>
        <w:t>领导国际电联组织了六场关于可持续数字化转型的</w:t>
      </w:r>
      <w:r>
        <w:rPr>
          <w:rFonts w:hint="eastAsia"/>
          <w:lang w:eastAsia="zh-CN"/>
        </w:rPr>
        <w:t>COP27</w:t>
      </w:r>
      <w:r>
        <w:rPr>
          <w:rFonts w:hint="eastAsia"/>
          <w:lang w:eastAsia="zh-CN"/>
        </w:rPr>
        <w:t>活动，涉及的主题包括电子废弃物和循环经济、减排、以及智慧城市及社区（见</w:t>
      </w:r>
      <w:hyperlink w:anchor="_5.4_Environment,_climate" w:history="1">
        <w:r>
          <w:rPr>
            <w:rStyle w:val="Hyperlink"/>
            <w:rFonts w:hint="eastAsia"/>
            <w:lang w:eastAsia="zh-CN"/>
          </w:rPr>
          <w:t>第</w:t>
        </w:r>
        <w:r w:rsidRPr="00821BE1">
          <w:rPr>
            <w:rStyle w:val="Hyperlink"/>
          </w:rPr>
          <w:t>5.4</w:t>
        </w:r>
      </w:hyperlink>
      <w:r>
        <w:rPr>
          <w:rStyle w:val="Hyperlink"/>
          <w:rFonts w:hint="eastAsia"/>
          <w:lang w:eastAsia="zh-CN"/>
        </w:rPr>
        <w:t>节</w:t>
      </w:r>
      <w:r>
        <w:rPr>
          <w:rFonts w:hint="eastAsia"/>
          <w:lang w:eastAsia="zh-CN"/>
        </w:rPr>
        <w:t>）。</w:t>
      </w:r>
    </w:p>
    <w:p w14:paraId="1DDC1D10" w14:textId="715F6619" w:rsidR="00A61E40" w:rsidRDefault="00CC398B" w:rsidP="00FF46C7">
      <w:pPr>
        <w:ind w:firstLineChars="200" w:firstLine="480"/>
      </w:pPr>
      <w:hyperlink r:id="rId33" w:history="1">
        <w:r w:rsidR="00A61E40" w:rsidRPr="00A61E40">
          <w:rPr>
            <w:rStyle w:val="Hyperlink"/>
            <w:rFonts w:hint="eastAsia"/>
          </w:rPr>
          <w:t>国际电联</w:t>
        </w:r>
        <w:r w:rsidR="00A61E40" w:rsidRPr="00A61E40">
          <w:rPr>
            <w:rStyle w:val="Hyperlink"/>
            <w:rFonts w:hint="eastAsia"/>
          </w:rPr>
          <w:t>-</w:t>
        </w:r>
        <w:r w:rsidR="00A61E40" w:rsidRPr="00A61E40">
          <w:rPr>
            <w:rStyle w:val="Hyperlink"/>
            <w:rFonts w:hint="eastAsia"/>
          </w:rPr>
          <w:t>联合国欧洲经济委员会（</w:t>
        </w:r>
        <w:r w:rsidR="00A61E40" w:rsidRPr="00A61E40">
          <w:rPr>
            <w:rStyle w:val="Hyperlink"/>
            <w:rFonts w:hint="eastAsia"/>
          </w:rPr>
          <w:t>ITU-UNECE</w:t>
        </w:r>
        <w:r w:rsidR="00A61E40" w:rsidRPr="00A61E40">
          <w:rPr>
            <w:rStyle w:val="Hyperlink"/>
            <w:rFonts w:hint="eastAsia"/>
          </w:rPr>
          <w:t>）未来网络汽车专题研讨会</w:t>
        </w:r>
      </w:hyperlink>
      <w:r w:rsidR="00A61E40">
        <w:rPr>
          <w:rFonts w:hint="eastAsia"/>
        </w:rPr>
        <w:t>于</w:t>
      </w:r>
      <w:r w:rsidR="00A61E40">
        <w:rPr>
          <w:rFonts w:hint="eastAsia"/>
        </w:rPr>
        <w:t>2022</w:t>
      </w:r>
      <w:r w:rsidR="00A61E40">
        <w:rPr>
          <w:rFonts w:hint="eastAsia"/>
        </w:rPr>
        <w:t>年</w:t>
      </w:r>
      <w:r w:rsidR="00A61E40">
        <w:rPr>
          <w:rFonts w:hint="eastAsia"/>
        </w:rPr>
        <w:t>3</w:t>
      </w:r>
      <w:r w:rsidR="00A61E40">
        <w:rPr>
          <w:rFonts w:hint="eastAsia"/>
        </w:rPr>
        <w:t>月</w:t>
      </w:r>
      <w:r w:rsidR="00A61E40">
        <w:rPr>
          <w:rFonts w:hint="eastAsia"/>
        </w:rPr>
        <w:t>22</w:t>
      </w:r>
      <w:r w:rsidR="00A61E40">
        <w:rPr>
          <w:rFonts w:hint="eastAsia"/>
        </w:rPr>
        <w:t>日至</w:t>
      </w:r>
      <w:r w:rsidR="00A61E40">
        <w:rPr>
          <w:rFonts w:hint="eastAsia"/>
        </w:rPr>
        <w:t>25</w:t>
      </w:r>
      <w:r w:rsidR="00A61E40">
        <w:rPr>
          <w:rFonts w:hint="eastAsia"/>
        </w:rPr>
        <w:t>日在线举行。下一次会议，即</w:t>
      </w:r>
      <w:r w:rsidR="00A61E40">
        <w:rPr>
          <w:rFonts w:hint="eastAsia"/>
        </w:rPr>
        <w:t>2023</w:t>
      </w:r>
      <w:r w:rsidR="00A61E40">
        <w:rPr>
          <w:rFonts w:hint="eastAsia"/>
        </w:rPr>
        <w:t>年</w:t>
      </w:r>
      <w:r w:rsidR="00A61E40">
        <w:rPr>
          <w:rFonts w:hint="eastAsia"/>
        </w:rPr>
        <w:t>3</w:t>
      </w:r>
      <w:r w:rsidR="00A61E40">
        <w:rPr>
          <w:rFonts w:hint="eastAsia"/>
        </w:rPr>
        <w:t>月</w:t>
      </w:r>
      <w:r w:rsidR="00A61E40">
        <w:rPr>
          <w:rFonts w:hint="eastAsia"/>
        </w:rPr>
        <w:t>13</w:t>
      </w:r>
      <w:r w:rsidR="00A61E40">
        <w:rPr>
          <w:rFonts w:hint="eastAsia"/>
        </w:rPr>
        <w:t>日至</w:t>
      </w:r>
      <w:r w:rsidR="00A61E40">
        <w:rPr>
          <w:rFonts w:hint="eastAsia"/>
        </w:rPr>
        <w:t>16</w:t>
      </w:r>
      <w:r w:rsidR="00A61E40">
        <w:rPr>
          <w:rFonts w:hint="eastAsia"/>
        </w:rPr>
        <w:t>日，也将在网上举行。</w:t>
      </w:r>
      <w:r w:rsidR="00A61E40">
        <w:rPr>
          <w:rFonts w:hint="eastAsia"/>
        </w:rPr>
        <w:lastRenderedPageBreak/>
        <w:t>该年度专题研讨会研究了车辆连接、自动流动性的最新进展以及人工智能在运输部门的作用，分享了对技术、商业和监管的相关影响的独特见解（见</w:t>
      </w:r>
      <w:hyperlink w:anchor="_5.5_Intelligent_transport" w:history="1">
        <w:r w:rsidR="00A61E40">
          <w:rPr>
            <w:rStyle w:val="Hyperlink"/>
            <w:rFonts w:hint="eastAsia"/>
            <w:lang w:eastAsia="zh-CN"/>
          </w:rPr>
          <w:t>第</w:t>
        </w:r>
        <w:r w:rsidR="00A61E40" w:rsidRPr="00821BE1">
          <w:rPr>
            <w:rStyle w:val="Hyperlink"/>
          </w:rPr>
          <w:t>5.5</w:t>
        </w:r>
      </w:hyperlink>
      <w:r w:rsidR="00A61E40">
        <w:rPr>
          <w:rStyle w:val="Hyperlink"/>
          <w:rFonts w:hint="eastAsia"/>
          <w:lang w:eastAsia="zh-CN"/>
        </w:rPr>
        <w:t>节</w:t>
      </w:r>
      <w:r w:rsidR="00A61E40">
        <w:rPr>
          <w:rFonts w:hint="eastAsia"/>
        </w:rPr>
        <w:t>）。</w:t>
      </w:r>
    </w:p>
    <w:p w14:paraId="2053BEEA" w14:textId="55D3F892" w:rsidR="00A61E40" w:rsidRDefault="00A61E40" w:rsidP="00FF46C7">
      <w:pPr>
        <w:ind w:firstLineChars="200" w:firstLine="480"/>
      </w:pPr>
      <w:r>
        <w:rPr>
          <w:rFonts w:hint="eastAsia"/>
        </w:rPr>
        <w:t>下一次</w:t>
      </w:r>
      <w:hyperlink r:id="rId34" w:history="1">
        <w:r w:rsidRPr="00A61E40">
          <w:rPr>
            <w:rStyle w:val="Hyperlink"/>
            <w:rFonts w:hint="eastAsia"/>
          </w:rPr>
          <w:t>CxO</w:t>
        </w:r>
        <w:r w:rsidRPr="00A61E40">
          <w:rPr>
            <w:rStyle w:val="Hyperlink"/>
            <w:rFonts w:hint="eastAsia"/>
          </w:rPr>
          <w:t>会议</w:t>
        </w:r>
      </w:hyperlink>
      <w:r>
        <w:rPr>
          <w:rFonts w:hint="eastAsia"/>
        </w:rPr>
        <w:t>将于</w:t>
      </w:r>
      <w:r>
        <w:rPr>
          <w:rFonts w:hint="eastAsia"/>
        </w:rPr>
        <w:t>2022</w:t>
      </w:r>
      <w:r>
        <w:rPr>
          <w:rFonts w:hint="eastAsia"/>
        </w:rPr>
        <w:t>年</w:t>
      </w:r>
      <w:r>
        <w:rPr>
          <w:rFonts w:hint="eastAsia"/>
        </w:rPr>
        <w:t>12</w:t>
      </w:r>
      <w:r>
        <w:rPr>
          <w:rFonts w:hint="eastAsia"/>
        </w:rPr>
        <w:t>月</w:t>
      </w:r>
      <w:r>
        <w:rPr>
          <w:rFonts w:hint="eastAsia"/>
        </w:rPr>
        <w:t>6</w:t>
      </w:r>
      <w:r>
        <w:rPr>
          <w:rFonts w:hint="eastAsia"/>
        </w:rPr>
        <w:t>日在阿拉伯联合酋长国迪拜举行的</w:t>
      </w:r>
      <w:bookmarkStart w:id="14" w:name="_Hlk121493147"/>
      <w:r>
        <w:rPr>
          <w:rFonts w:hint="eastAsia"/>
        </w:rPr>
        <w:t>《电信</w:t>
      </w:r>
      <w:r w:rsidR="00F77746">
        <w:rPr>
          <w:rFonts w:hint="eastAsia"/>
          <w:lang w:eastAsia="zh-CN"/>
        </w:rPr>
        <w:t>评论</w:t>
      </w:r>
      <w:r>
        <w:rPr>
          <w:rFonts w:hint="eastAsia"/>
        </w:rPr>
        <w:t>》领袖峰会</w:t>
      </w:r>
      <w:bookmarkEnd w:id="14"/>
      <w:r>
        <w:rPr>
          <w:rFonts w:hint="eastAsia"/>
        </w:rPr>
        <w:t>上举行，并有更多人在线参与，由《电信</w:t>
      </w:r>
      <w:r w:rsidR="00F77746">
        <w:rPr>
          <w:rFonts w:hint="eastAsia"/>
          <w:lang w:eastAsia="zh-CN"/>
        </w:rPr>
        <w:t>评论</w:t>
      </w:r>
      <w:r>
        <w:rPr>
          <w:rFonts w:hint="eastAsia"/>
        </w:rPr>
        <w:t>》在阿联酋电信和数字政府监管局、</w:t>
      </w:r>
      <w:r>
        <w:rPr>
          <w:rFonts w:hint="eastAsia"/>
        </w:rPr>
        <w:t>du</w:t>
      </w:r>
      <w:r>
        <w:rPr>
          <w:rFonts w:hint="eastAsia"/>
        </w:rPr>
        <w:t>、</w:t>
      </w:r>
      <w:r>
        <w:rPr>
          <w:rFonts w:hint="eastAsia"/>
        </w:rPr>
        <w:t>TELUS</w:t>
      </w:r>
      <w:r>
        <w:rPr>
          <w:rFonts w:hint="eastAsia"/>
        </w:rPr>
        <w:t>、</w:t>
      </w:r>
      <w:r>
        <w:rPr>
          <w:rFonts w:hint="eastAsia"/>
        </w:rPr>
        <w:t>IBM</w:t>
      </w:r>
      <w:r>
        <w:rPr>
          <w:rFonts w:hint="eastAsia"/>
        </w:rPr>
        <w:t>和华为的支持下主办（见</w:t>
      </w:r>
      <w:hyperlink w:anchor="_5.6_CTO_and" w:history="1">
        <w:r>
          <w:rPr>
            <w:rStyle w:val="Hyperlink"/>
            <w:rFonts w:hint="eastAsia"/>
            <w:lang w:eastAsia="zh-CN"/>
          </w:rPr>
          <w:t>第</w:t>
        </w:r>
        <w:r w:rsidRPr="00821BE1">
          <w:rPr>
            <w:rStyle w:val="Hyperlink"/>
          </w:rPr>
          <w:t>5.6</w:t>
        </w:r>
      </w:hyperlink>
      <w:r>
        <w:rPr>
          <w:rStyle w:val="Hyperlink"/>
          <w:rFonts w:hint="eastAsia"/>
          <w:lang w:eastAsia="zh-CN"/>
        </w:rPr>
        <w:t>节</w:t>
      </w:r>
      <w:r>
        <w:rPr>
          <w:rFonts w:hint="eastAsia"/>
        </w:rPr>
        <w:t>）。</w:t>
      </w:r>
    </w:p>
    <w:p w14:paraId="47CFD127" w14:textId="7552A57C" w:rsidR="00A61E40" w:rsidRDefault="00CC398B" w:rsidP="00FF46C7">
      <w:pPr>
        <w:ind w:firstLineChars="200" w:firstLine="480"/>
      </w:pPr>
      <w:hyperlink r:id="rId35" w:history="1">
        <w:r w:rsidR="00A61E40" w:rsidRPr="00A61E40">
          <w:rPr>
            <w:rStyle w:val="Hyperlink"/>
            <w:rFonts w:hint="eastAsia"/>
          </w:rPr>
          <w:t>国际电联学术成员</w:t>
        </w:r>
      </w:hyperlink>
      <w:r w:rsidR="00A61E40">
        <w:rPr>
          <w:rFonts w:hint="eastAsia"/>
        </w:rPr>
        <w:t>、</w:t>
      </w:r>
      <w:hyperlink r:id="rId36" w:history="1">
        <w:r w:rsidR="00A61E40" w:rsidRPr="00A61E40">
          <w:rPr>
            <w:rStyle w:val="Hyperlink"/>
            <w:rFonts w:hint="eastAsia"/>
          </w:rPr>
          <w:t>有关未来与发展技术</w:t>
        </w:r>
        <w:r w:rsidR="00A61E40" w:rsidRPr="00A61E40">
          <w:rPr>
            <w:rStyle w:val="Hyperlink"/>
            <w:rFonts w:hint="eastAsia"/>
            <w:lang w:eastAsia="zh-CN"/>
          </w:rPr>
          <w:t>的</w:t>
        </w:r>
        <w:r w:rsidR="00A61E40" w:rsidRPr="00A61E40">
          <w:rPr>
            <w:rStyle w:val="Hyperlink"/>
            <w:rFonts w:hint="eastAsia"/>
          </w:rPr>
          <w:t>《国际电联期刊》</w:t>
        </w:r>
      </w:hyperlink>
      <w:r w:rsidR="00A61E40">
        <w:rPr>
          <w:rFonts w:hint="eastAsia"/>
        </w:rPr>
        <w:t>和</w:t>
      </w:r>
      <w:hyperlink r:id="rId37" w:history="1">
        <w:r w:rsidR="00A61E40" w:rsidRPr="00A61E40">
          <w:rPr>
            <w:rStyle w:val="Hyperlink"/>
            <w:rFonts w:hint="eastAsia"/>
          </w:rPr>
          <w:t>国际电联“大视野”大会</w:t>
        </w:r>
      </w:hyperlink>
      <w:r w:rsidR="00A61E40">
        <w:rPr>
          <w:rFonts w:hint="eastAsia"/>
        </w:rPr>
        <w:t>形成了学术界参与国际电联工作的主要途径。《国际电联期刊》自</w:t>
      </w:r>
      <w:r w:rsidR="00A61E40">
        <w:rPr>
          <w:rFonts w:hint="eastAsia"/>
        </w:rPr>
        <w:t>2020</w:t>
      </w:r>
      <w:r w:rsidR="00A61E40">
        <w:rPr>
          <w:rFonts w:hint="eastAsia"/>
        </w:rPr>
        <w:t>年</w:t>
      </w:r>
      <w:r w:rsidR="00A61E40">
        <w:rPr>
          <w:rFonts w:hint="eastAsia"/>
        </w:rPr>
        <w:t>9</w:t>
      </w:r>
      <w:r w:rsidR="00A61E40">
        <w:rPr>
          <w:rFonts w:hint="eastAsia"/>
        </w:rPr>
        <w:t>月推出以来，已经发表了</w:t>
      </w:r>
      <w:r w:rsidR="00A61E40">
        <w:rPr>
          <w:rFonts w:hint="eastAsia"/>
        </w:rPr>
        <w:t>449</w:t>
      </w:r>
      <w:r w:rsidR="00A61E40">
        <w:rPr>
          <w:rFonts w:hint="eastAsia"/>
        </w:rPr>
        <w:t>位作者的</w:t>
      </w:r>
      <w:r w:rsidR="00A61E40">
        <w:rPr>
          <w:rFonts w:hint="eastAsia"/>
        </w:rPr>
        <w:t>129</w:t>
      </w:r>
      <w:r w:rsidR="00A61E40">
        <w:rPr>
          <w:rFonts w:hint="eastAsia"/>
        </w:rPr>
        <w:t>篇论文，对作者和读者都是免费的。</w:t>
      </w:r>
      <w:r w:rsidR="00A61E40">
        <w:rPr>
          <w:rFonts w:hint="eastAsia"/>
        </w:rPr>
        <w:t>2022</w:t>
      </w:r>
      <w:r w:rsidR="00A61E40">
        <w:rPr>
          <w:rFonts w:hint="eastAsia"/>
        </w:rPr>
        <w:t>年</w:t>
      </w:r>
      <w:r w:rsidR="00A61E40">
        <w:rPr>
          <w:rFonts w:hint="eastAsia"/>
        </w:rPr>
        <w:t>12</w:t>
      </w:r>
      <w:r w:rsidR="00A61E40">
        <w:rPr>
          <w:rFonts w:hint="eastAsia"/>
        </w:rPr>
        <w:t>月</w:t>
      </w:r>
      <w:r w:rsidR="00A61E40">
        <w:rPr>
          <w:rFonts w:hint="eastAsia"/>
        </w:rPr>
        <w:t>7</w:t>
      </w:r>
      <w:r w:rsidR="00A61E40">
        <w:rPr>
          <w:rFonts w:hint="eastAsia"/>
        </w:rPr>
        <w:t>日至</w:t>
      </w:r>
      <w:r w:rsidR="00A61E40">
        <w:rPr>
          <w:rFonts w:hint="eastAsia"/>
        </w:rPr>
        <w:t>9</w:t>
      </w:r>
      <w:r w:rsidR="00A61E40">
        <w:rPr>
          <w:rFonts w:hint="eastAsia"/>
        </w:rPr>
        <w:t>日在加纳阿克拉举办的“大视野”活动将探讨使元空间成为现实所需的创新（见</w:t>
      </w:r>
      <w:hyperlink w:anchor="_6_Academia" w:history="1">
        <w:r w:rsidR="00A61E40">
          <w:rPr>
            <w:rStyle w:val="Hyperlink"/>
            <w:rFonts w:hint="eastAsia"/>
            <w:lang w:eastAsia="zh-CN"/>
          </w:rPr>
          <w:t>第</w:t>
        </w:r>
        <w:r w:rsidR="00A61E40" w:rsidRPr="00DD2950">
          <w:rPr>
            <w:rStyle w:val="Hyperlink"/>
          </w:rPr>
          <w:t>6</w:t>
        </w:r>
      </w:hyperlink>
      <w:r w:rsidR="00A61E40">
        <w:rPr>
          <w:rStyle w:val="Hyperlink"/>
          <w:rFonts w:hint="eastAsia"/>
          <w:lang w:eastAsia="zh-CN"/>
        </w:rPr>
        <w:t>节</w:t>
      </w:r>
      <w:r w:rsidR="00A61E40">
        <w:rPr>
          <w:rFonts w:hint="eastAsia"/>
        </w:rPr>
        <w:t>）。</w:t>
      </w:r>
    </w:p>
    <w:p w14:paraId="0A979D36" w14:textId="556D4E4B" w:rsidR="00A61E40" w:rsidRDefault="00CC398B" w:rsidP="00FF46C7">
      <w:pPr>
        <w:ind w:firstLineChars="200" w:firstLine="480"/>
      </w:pPr>
      <w:hyperlink r:id="rId38" w:history="1">
        <w:r w:rsidR="00A61E40" w:rsidRPr="00A61E40">
          <w:rPr>
            <w:rStyle w:val="Hyperlink"/>
            <w:rFonts w:hint="eastAsia"/>
          </w:rPr>
          <w:t>国际电联</w:t>
        </w:r>
        <w:r w:rsidR="00A61E40" w:rsidRPr="00A61E40">
          <w:rPr>
            <w:rStyle w:val="Hyperlink"/>
            <w:rFonts w:hint="eastAsia"/>
            <w:lang w:eastAsia="zh-CN"/>
          </w:rPr>
          <w:t>“</w:t>
        </w:r>
        <w:r w:rsidR="00A61E40" w:rsidRPr="00A61E40">
          <w:rPr>
            <w:rStyle w:val="Hyperlink"/>
            <w:rFonts w:hint="eastAsia"/>
          </w:rPr>
          <w:t>缩小标准化工作差距</w:t>
        </w:r>
        <w:r w:rsidR="00A61E40" w:rsidRPr="00A61E40">
          <w:rPr>
            <w:rStyle w:val="Hyperlink"/>
            <w:rFonts w:hint="eastAsia"/>
            <w:lang w:eastAsia="zh-CN"/>
          </w:rPr>
          <w:t>”</w:t>
        </w:r>
        <w:r w:rsidR="00A61E40" w:rsidRPr="00A61E40">
          <w:rPr>
            <w:rStyle w:val="Hyperlink"/>
            <w:rFonts w:hint="eastAsia"/>
          </w:rPr>
          <w:t>（</w:t>
        </w:r>
        <w:r w:rsidR="00A61E40" w:rsidRPr="00A61E40">
          <w:rPr>
            <w:rStyle w:val="Hyperlink"/>
            <w:rFonts w:hint="eastAsia"/>
          </w:rPr>
          <w:t>BSG</w:t>
        </w:r>
        <w:r w:rsidR="00A61E40" w:rsidRPr="00A61E40">
          <w:rPr>
            <w:rStyle w:val="Hyperlink"/>
            <w:rFonts w:hint="eastAsia"/>
          </w:rPr>
          <w:t>）项目</w:t>
        </w:r>
      </w:hyperlink>
      <w:r w:rsidR="00A61E40">
        <w:rPr>
          <w:rFonts w:hint="eastAsia"/>
        </w:rPr>
        <w:t>提高了发展中国家参与国际信息通信技术（</w:t>
      </w:r>
      <w:r w:rsidR="00A61E40">
        <w:rPr>
          <w:rFonts w:hint="eastAsia"/>
        </w:rPr>
        <w:t>ICT</w:t>
      </w:r>
      <w:r w:rsidR="00A61E40">
        <w:rPr>
          <w:rFonts w:hint="eastAsia"/>
        </w:rPr>
        <w:t>）标准制定和实施的能力。在报告期内，共举办了</w:t>
      </w:r>
      <w:r w:rsidR="00A61E40">
        <w:rPr>
          <w:rFonts w:hint="eastAsia"/>
        </w:rPr>
        <w:t>8</w:t>
      </w:r>
      <w:r w:rsidR="00A61E40">
        <w:rPr>
          <w:rFonts w:hint="eastAsia"/>
        </w:rPr>
        <w:t>期有关研究组有效性的</w:t>
      </w:r>
      <w:r w:rsidR="00A61E40">
        <w:rPr>
          <w:rFonts w:hint="eastAsia"/>
        </w:rPr>
        <w:t>BSG</w:t>
      </w:r>
      <w:r w:rsidR="00A61E40">
        <w:rPr>
          <w:rFonts w:hint="eastAsia"/>
        </w:rPr>
        <w:t>培训班，接纳</w:t>
      </w:r>
      <w:r w:rsidR="00A61E40">
        <w:rPr>
          <w:rFonts w:hint="eastAsia"/>
        </w:rPr>
        <w:t>225</w:t>
      </w:r>
      <w:r w:rsidR="00A61E40">
        <w:rPr>
          <w:rFonts w:hint="eastAsia"/>
        </w:rPr>
        <w:t>名</w:t>
      </w:r>
      <w:r w:rsidR="00A61E40">
        <w:rPr>
          <w:rFonts w:hint="eastAsia"/>
        </w:rPr>
        <w:t>ITU-T</w:t>
      </w:r>
      <w:r w:rsidR="00A61E40">
        <w:rPr>
          <w:rFonts w:hint="eastAsia"/>
        </w:rPr>
        <w:t>代表参加。关于</w:t>
      </w:r>
      <w:r w:rsidR="00A61E40">
        <w:rPr>
          <w:rFonts w:hint="eastAsia"/>
        </w:rPr>
        <w:t>ITU-T A.1</w:t>
      </w:r>
      <w:r w:rsidR="00A61E40">
        <w:rPr>
          <w:rFonts w:hint="eastAsia"/>
        </w:rPr>
        <w:t>建议书</w:t>
      </w:r>
      <w:r w:rsidR="00A61E40">
        <w:rPr>
          <w:rFonts w:hint="eastAsia"/>
          <w:lang w:eastAsia="zh-CN"/>
        </w:rPr>
        <w:t>“</w:t>
      </w:r>
      <w:r w:rsidR="00A61E40">
        <w:rPr>
          <w:rFonts w:hint="eastAsia"/>
        </w:rPr>
        <w:t>国际电联电信标准化部门研究组的工作方法</w:t>
      </w:r>
      <w:r w:rsidR="00A61E40">
        <w:rPr>
          <w:rFonts w:hint="eastAsia"/>
          <w:lang w:eastAsia="zh-CN"/>
        </w:rPr>
        <w:t>”</w:t>
      </w:r>
      <w:r w:rsidR="00A61E40">
        <w:rPr>
          <w:rFonts w:hint="eastAsia"/>
        </w:rPr>
        <w:t>的</w:t>
      </w:r>
      <w:hyperlink r:id="rId39" w:history="1">
        <w:r w:rsidR="00A61E40" w:rsidRPr="00A61E40">
          <w:rPr>
            <w:rStyle w:val="Hyperlink"/>
            <w:rFonts w:hint="eastAsia"/>
          </w:rPr>
          <w:t>培训课程</w:t>
        </w:r>
      </w:hyperlink>
      <w:r w:rsidR="00A61E40">
        <w:rPr>
          <w:rFonts w:hint="eastAsia"/>
        </w:rPr>
        <w:t>在</w:t>
      </w:r>
      <w:r w:rsidR="00A61E40">
        <w:rPr>
          <w:rFonts w:hint="eastAsia"/>
        </w:rPr>
        <w:t>2020</w:t>
      </w:r>
      <w:r w:rsidR="00A61E40">
        <w:rPr>
          <w:rFonts w:hint="eastAsia"/>
        </w:rPr>
        <w:t>年世界电信标准化大会（</w:t>
      </w:r>
      <w:r w:rsidR="00A61E40">
        <w:rPr>
          <w:rFonts w:hint="eastAsia"/>
        </w:rPr>
        <w:t>WTSA-20</w:t>
      </w:r>
      <w:r w:rsidR="00A61E40">
        <w:rPr>
          <w:rFonts w:hint="eastAsia"/>
        </w:rPr>
        <w:t>）之后得到更新（见</w:t>
      </w:r>
      <w:hyperlink w:anchor="_12_Bridging_the" w:history="1">
        <w:r w:rsidR="00A61E40">
          <w:rPr>
            <w:rStyle w:val="Hyperlink"/>
            <w:rFonts w:hint="eastAsia"/>
            <w:lang w:eastAsia="zh-CN"/>
          </w:rPr>
          <w:t>第</w:t>
        </w:r>
        <w:r w:rsidR="00A61E40" w:rsidRPr="00DD2950">
          <w:rPr>
            <w:rStyle w:val="Hyperlink"/>
          </w:rPr>
          <w:t>12</w:t>
        </w:r>
      </w:hyperlink>
      <w:r w:rsidR="00A61E40">
        <w:rPr>
          <w:rStyle w:val="Hyperlink"/>
          <w:rFonts w:hint="eastAsia"/>
          <w:lang w:eastAsia="zh-CN"/>
        </w:rPr>
        <w:t>节</w:t>
      </w:r>
      <w:r w:rsidR="00A61E40">
        <w:rPr>
          <w:rFonts w:hint="eastAsia"/>
        </w:rPr>
        <w:t>）。</w:t>
      </w:r>
    </w:p>
    <w:p w14:paraId="2CCC42E6" w14:textId="59A11E4F" w:rsidR="00AA2C3E" w:rsidRDefault="00A61E40" w:rsidP="00FF46C7">
      <w:pPr>
        <w:ind w:firstLineChars="200" w:firstLine="480"/>
      </w:pPr>
      <w:r>
        <w:rPr>
          <w:rFonts w:hint="eastAsia"/>
        </w:rPr>
        <w:t>在</w:t>
      </w:r>
      <w:r>
        <w:rPr>
          <w:rFonts w:hint="eastAsia"/>
        </w:rPr>
        <w:t>WTSA-20</w:t>
      </w:r>
      <w:r>
        <w:rPr>
          <w:rFonts w:hint="eastAsia"/>
        </w:rPr>
        <w:t>期间，于</w:t>
      </w:r>
      <w:r>
        <w:rPr>
          <w:rFonts w:hint="eastAsia"/>
        </w:rPr>
        <w:t>2022</w:t>
      </w:r>
      <w:r>
        <w:rPr>
          <w:rFonts w:hint="eastAsia"/>
        </w:rPr>
        <w:t>年</w:t>
      </w:r>
      <w:r>
        <w:rPr>
          <w:rFonts w:hint="eastAsia"/>
        </w:rPr>
        <w:t>3</w:t>
      </w:r>
      <w:r>
        <w:rPr>
          <w:rFonts w:hint="eastAsia"/>
        </w:rPr>
        <w:t>月</w:t>
      </w:r>
      <w:r>
        <w:rPr>
          <w:rFonts w:hint="eastAsia"/>
        </w:rPr>
        <w:t>8</w:t>
      </w:r>
      <w:r>
        <w:rPr>
          <w:rFonts w:hint="eastAsia"/>
        </w:rPr>
        <w:t>日组织了</w:t>
      </w:r>
      <w:hyperlink r:id="rId40" w:history="1">
        <w:r w:rsidRPr="00F77746">
          <w:rPr>
            <w:rStyle w:val="Hyperlink"/>
            <w:rFonts w:hint="eastAsia"/>
          </w:rPr>
          <w:t>第二次女性标准化专家组（</w:t>
        </w:r>
        <w:r w:rsidRPr="00F77746">
          <w:rPr>
            <w:rStyle w:val="Hyperlink"/>
            <w:rFonts w:hint="eastAsia"/>
          </w:rPr>
          <w:t>WISE</w:t>
        </w:r>
        <w:r w:rsidR="00FF46C7">
          <w:rPr>
            <w:rStyle w:val="Hyperlink"/>
            <w:rFonts w:hint="eastAsia"/>
            <w:lang w:eastAsia="zh-CN"/>
          </w:rPr>
          <w:t>）</w:t>
        </w:r>
      </w:hyperlink>
      <w:r>
        <w:rPr>
          <w:rFonts w:hint="eastAsia"/>
        </w:rPr>
        <w:t>活动，主题是</w:t>
      </w:r>
      <w:r w:rsidR="00F77746">
        <w:rPr>
          <w:rFonts w:hint="eastAsia"/>
          <w:lang w:eastAsia="zh-CN"/>
        </w:rPr>
        <w:t>“</w:t>
      </w:r>
      <w:r>
        <w:rPr>
          <w:rFonts w:hint="eastAsia"/>
        </w:rPr>
        <w:t>为什么性别在制定标准中很重要</w:t>
      </w:r>
      <w:r w:rsidR="00F77746">
        <w:rPr>
          <w:rFonts w:hint="eastAsia"/>
          <w:lang w:eastAsia="zh-CN"/>
        </w:rPr>
        <w:t>”</w:t>
      </w:r>
      <w:r>
        <w:rPr>
          <w:rFonts w:hint="eastAsia"/>
        </w:rPr>
        <w:t>。</w:t>
      </w:r>
      <w:r>
        <w:rPr>
          <w:rFonts w:hint="eastAsia"/>
        </w:rPr>
        <w:t>TSB</w:t>
      </w:r>
      <w:r>
        <w:rPr>
          <w:rFonts w:hint="eastAsia"/>
        </w:rPr>
        <w:t>正在准备一项调查，以收集</w:t>
      </w:r>
      <w:r>
        <w:rPr>
          <w:rFonts w:hint="eastAsia"/>
        </w:rPr>
        <w:t>ITU-T</w:t>
      </w:r>
      <w:r>
        <w:rPr>
          <w:rFonts w:hint="eastAsia"/>
        </w:rPr>
        <w:t>成员对加速改善</w:t>
      </w:r>
      <w:r>
        <w:rPr>
          <w:rFonts w:hint="eastAsia"/>
        </w:rPr>
        <w:t>ITU-T</w:t>
      </w:r>
      <w:r>
        <w:rPr>
          <w:rFonts w:hint="eastAsia"/>
        </w:rPr>
        <w:t>性别平衡的各种方法的更多见解。</w:t>
      </w:r>
      <w:r>
        <w:rPr>
          <w:rFonts w:hint="eastAsia"/>
        </w:rPr>
        <w:t>TSB</w:t>
      </w:r>
      <w:r>
        <w:rPr>
          <w:rFonts w:hint="eastAsia"/>
        </w:rPr>
        <w:t>还邀请</w:t>
      </w:r>
      <w:r>
        <w:rPr>
          <w:rFonts w:hint="eastAsia"/>
        </w:rPr>
        <w:t>ITU-T</w:t>
      </w:r>
      <w:r>
        <w:rPr>
          <w:rFonts w:hint="eastAsia"/>
        </w:rPr>
        <w:t>成员和参与标准制定过程的工作人员参加关于促进性别平等的标准制定</w:t>
      </w:r>
      <w:hyperlink r:id="rId41" w:history="1">
        <w:r w:rsidRPr="00F77746">
          <w:rPr>
            <w:rStyle w:val="Hyperlink"/>
            <w:rFonts w:hint="eastAsia"/>
          </w:rPr>
          <w:t>培训课程</w:t>
        </w:r>
      </w:hyperlink>
      <w:r>
        <w:rPr>
          <w:rFonts w:hint="eastAsia"/>
        </w:rPr>
        <w:t>（见</w:t>
      </w:r>
      <w:hyperlink w:anchor="_13_Gender" w:history="1">
        <w:r w:rsidR="00F77746">
          <w:rPr>
            <w:rStyle w:val="Hyperlink"/>
            <w:rFonts w:hint="eastAsia"/>
            <w:lang w:eastAsia="zh-CN"/>
          </w:rPr>
          <w:t>第</w:t>
        </w:r>
        <w:r w:rsidR="00F77746" w:rsidRPr="00DD2950">
          <w:rPr>
            <w:rStyle w:val="Hyperlink"/>
          </w:rPr>
          <w:t>13</w:t>
        </w:r>
      </w:hyperlink>
      <w:r w:rsidR="00F77746">
        <w:rPr>
          <w:rStyle w:val="Hyperlink"/>
          <w:rFonts w:hint="eastAsia"/>
          <w:lang w:eastAsia="zh-CN"/>
        </w:rPr>
        <w:t>节</w:t>
      </w:r>
      <w:r>
        <w:rPr>
          <w:rFonts w:hint="eastAsia"/>
        </w:rPr>
        <w:t>）。</w:t>
      </w:r>
    </w:p>
    <w:p w14:paraId="2661D133" w14:textId="36CA3B26" w:rsidR="0003086B" w:rsidRDefault="0003086B" w:rsidP="00FF46C7">
      <w:pPr>
        <w:ind w:firstLineChars="200" w:firstLine="480"/>
      </w:pPr>
      <w:r>
        <w:rPr>
          <w:rFonts w:hint="eastAsia"/>
        </w:rPr>
        <w:t>测试实验室现在可以获得国际电联对其测试产品是否符合国际电联建议书的能力的正式认可。首批</w:t>
      </w:r>
      <w:r>
        <w:rPr>
          <w:rFonts w:hint="eastAsia"/>
        </w:rPr>
        <w:t>9</w:t>
      </w:r>
      <w:r>
        <w:rPr>
          <w:rFonts w:hint="eastAsia"/>
        </w:rPr>
        <w:t>家测试实验室已被列入新的</w:t>
      </w:r>
      <w:hyperlink r:id="rId42" w:history="1">
        <w:r w:rsidRPr="0003086B">
          <w:rPr>
            <w:rStyle w:val="Hyperlink"/>
            <w:rFonts w:hint="eastAsia"/>
          </w:rPr>
          <w:t>国际测试实验室数据库</w:t>
        </w:r>
      </w:hyperlink>
      <w:r>
        <w:rPr>
          <w:rFonts w:hint="eastAsia"/>
        </w:rPr>
        <w:t>，供国际电联认可的设施使用。对于寻求基于标准的解决方案的买家，补充性的</w:t>
      </w:r>
      <w:hyperlink r:id="rId43" w:history="1">
        <w:r w:rsidRPr="0003086B">
          <w:rPr>
            <w:rStyle w:val="Hyperlink"/>
            <w:rFonts w:hint="eastAsia"/>
          </w:rPr>
          <w:t>国际电联产品合规数据库</w:t>
        </w:r>
      </w:hyperlink>
      <w:r>
        <w:rPr>
          <w:rFonts w:hint="eastAsia"/>
        </w:rPr>
        <w:t>列出了符合</w:t>
      </w:r>
      <w:r>
        <w:rPr>
          <w:rFonts w:hint="eastAsia"/>
        </w:rPr>
        <w:t>ITU-T</w:t>
      </w:r>
      <w:r>
        <w:rPr>
          <w:rFonts w:hint="eastAsia"/>
        </w:rPr>
        <w:t>建议书的产品。由</w:t>
      </w:r>
      <w:hyperlink r:id="rId44" w:history="1">
        <w:r w:rsidRPr="0003086B">
          <w:rPr>
            <w:rStyle w:val="Hyperlink"/>
            <w:rFonts w:hint="eastAsia"/>
          </w:rPr>
          <w:t>ITU-T</w:t>
        </w:r>
        <w:r w:rsidRPr="0003086B">
          <w:rPr>
            <w:rStyle w:val="Hyperlink"/>
            <w:rFonts w:hint="eastAsia"/>
          </w:rPr>
          <w:t>合格评定指导委员会</w:t>
        </w:r>
      </w:hyperlink>
      <w:r>
        <w:rPr>
          <w:rFonts w:hint="eastAsia"/>
        </w:rPr>
        <w:t>支持的测试实验室认可计划是国际电联</w:t>
      </w:r>
      <w:r>
        <w:rPr>
          <w:rFonts w:hint="eastAsia"/>
        </w:rPr>
        <w:t xml:space="preserve"> </w:t>
      </w:r>
      <w:r>
        <w:rPr>
          <w:rFonts w:hint="eastAsia"/>
        </w:rPr>
        <w:t>一致性和互操作性项目的最新举措（见</w:t>
      </w:r>
      <w:hyperlink w:anchor="_8_Conformity_and" w:history="1">
        <w:r>
          <w:rPr>
            <w:rStyle w:val="Hyperlink"/>
            <w:rFonts w:hint="eastAsia"/>
            <w:lang w:eastAsia="zh-CN"/>
          </w:rPr>
          <w:t>第</w:t>
        </w:r>
        <w:r w:rsidRPr="00DD2950">
          <w:rPr>
            <w:rStyle w:val="Hyperlink"/>
          </w:rPr>
          <w:t>8</w:t>
        </w:r>
      </w:hyperlink>
      <w:r>
        <w:rPr>
          <w:rStyle w:val="Hyperlink"/>
          <w:rFonts w:hint="eastAsia"/>
          <w:lang w:eastAsia="zh-CN"/>
        </w:rPr>
        <w:t>节</w:t>
      </w:r>
      <w:r>
        <w:rPr>
          <w:rFonts w:hint="eastAsia"/>
        </w:rPr>
        <w:t>）。</w:t>
      </w:r>
    </w:p>
    <w:p w14:paraId="11A35F75" w14:textId="302BCAC1" w:rsidR="0003086B" w:rsidRDefault="0003086B" w:rsidP="00FF46C7">
      <w:pPr>
        <w:ind w:firstLineChars="200" w:firstLine="480"/>
      </w:pPr>
      <w:r>
        <w:rPr>
          <w:rFonts w:hint="eastAsia"/>
        </w:rPr>
        <w:t>国际电联通过提高对残疾人获取</w:t>
      </w:r>
      <w:r>
        <w:rPr>
          <w:rFonts w:hint="eastAsia"/>
        </w:rPr>
        <w:t>ICT</w:t>
      </w:r>
      <w:r>
        <w:rPr>
          <w:rFonts w:hint="eastAsia"/>
          <w:lang w:eastAsia="zh-CN"/>
        </w:rPr>
        <w:t>权力</w:t>
      </w:r>
      <w:r>
        <w:rPr>
          <w:rFonts w:hint="eastAsia"/>
        </w:rPr>
        <w:t>的认识致力于增强残疾人对</w:t>
      </w:r>
      <w:r>
        <w:rPr>
          <w:rFonts w:hint="eastAsia"/>
        </w:rPr>
        <w:t>ICT</w:t>
      </w:r>
      <w:r>
        <w:rPr>
          <w:rFonts w:hint="eastAsia"/>
        </w:rPr>
        <w:t>的获取，将无障碍获取纳入国际</w:t>
      </w:r>
      <w:r>
        <w:rPr>
          <w:rFonts w:hint="eastAsia"/>
        </w:rPr>
        <w:t>ICT</w:t>
      </w:r>
      <w:r>
        <w:rPr>
          <w:rFonts w:hint="eastAsia"/>
        </w:rPr>
        <w:t>标准制定的主流，并就关键的无障碍获取问题提供教育和培训。</w:t>
      </w:r>
      <w:r>
        <w:rPr>
          <w:rFonts w:hint="eastAsia"/>
        </w:rPr>
        <w:t>ITU-T</w:t>
      </w:r>
      <w:r>
        <w:rPr>
          <w:rFonts w:hint="eastAsia"/>
        </w:rPr>
        <w:t>与世界卫生组织合作制定的一项</w:t>
      </w:r>
      <w:hyperlink r:id="rId45" w:history="1">
        <w:r w:rsidRPr="0003086B">
          <w:rPr>
            <w:rStyle w:val="Hyperlink"/>
            <w:rFonts w:hint="eastAsia"/>
          </w:rPr>
          <w:t>新的建议书</w:t>
        </w:r>
      </w:hyperlink>
      <w:r>
        <w:rPr>
          <w:rFonts w:hint="eastAsia"/>
        </w:rPr>
        <w:t>定义了远程医疗服务的无障碍获取要求（见</w:t>
      </w:r>
      <w:hyperlink w:anchor="_9_Mainstreaming_accessibility" w:history="1">
        <w:r>
          <w:rPr>
            <w:rStyle w:val="Hyperlink"/>
            <w:rFonts w:hint="eastAsia"/>
            <w:lang w:eastAsia="zh-CN"/>
          </w:rPr>
          <w:t>第</w:t>
        </w:r>
        <w:r w:rsidRPr="00DD2950">
          <w:rPr>
            <w:rStyle w:val="Hyperlink"/>
          </w:rPr>
          <w:t>9</w:t>
        </w:r>
      </w:hyperlink>
      <w:r>
        <w:rPr>
          <w:rStyle w:val="Hyperlink"/>
          <w:rFonts w:hint="eastAsia"/>
          <w:lang w:eastAsia="zh-CN"/>
        </w:rPr>
        <w:t>节</w:t>
      </w:r>
      <w:r>
        <w:rPr>
          <w:rFonts w:hint="eastAsia"/>
        </w:rPr>
        <w:t>）。</w:t>
      </w:r>
    </w:p>
    <w:p w14:paraId="4391BB62" w14:textId="4F80F24C" w:rsidR="0003086B" w:rsidRDefault="0003086B" w:rsidP="00FF46C7">
      <w:pPr>
        <w:ind w:firstLineChars="200" w:firstLine="480"/>
      </w:pPr>
      <w:r>
        <w:rPr>
          <w:rFonts w:hint="eastAsia"/>
        </w:rPr>
        <w:t>在报告期内，共出版了</w:t>
      </w:r>
      <w:r>
        <w:rPr>
          <w:rFonts w:hint="eastAsia"/>
        </w:rPr>
        <w:t>13,500</w:t>
      </w:r>
      <w:r>
        <w:rPr>
          <w:rFonts w:hint="eastAsia"/>
        </w:rPr>
        <w:t>多页</w:t>
      </w:r>
      <w:r>
        <w:rPr>
          <w:rFonts w:hint="eastAsia"/>
        </w:rPr>
        <w:t>ITU-T</w:t>
      </w:r>
      <w:r>
        <w:rPr>
          <w:rFonts w:hint="eastAsia"/>
        </w:rPr>
        <w:t>建议书和增补。所有</w:t>
      </w:r>
      <w:r>
        <w:rPr>
          <w:rFonts w:hint="eastAsia"/>
        </w:rPr>
        <w:t>ITU-T</w:t>
      </w:r>
      <w:r>
        <w:rPr>
          <w:rFonts w:hint="eastAsia"/>
        </w:rPr>
        <w:t>建议书的主要版本都被转换为可追溯的</w:t>
      </w:r>
      <w:r>
        <w:rPr>
          <w:rFonts w:hint="eastAsia"/>
        </w:rPr>
        <w:t>ePub</w:t>
      </w:r>
      <w:r>
        <w:rPr>
          <w:rFonts w:hint="eastAsia"/>
        </w:rPr>
        <w:t>格式，并与通常的</w:t>
      </w:r>
      <w:r>
        <w:rPr>
          <w:rFonts w:hint="eastAsia"/>
        </w:rPr>
        <w:t>PDF</w:t>
      </w:r>
      <w:r>
        <w:rPr>
          <w:rFonts w:hint="eastAsia"/>
        </w:rPr>
        <w:t>格式一起发布，供免费下载（见</w:t>
      </w:r>
      <w:hyperlink w:anchor="_14.1_Recommendations_and" w:history="1">
        <w:r>
          <w:rPr>
            <w:rStyle w:val="Hyperlink"/>
            <w:rFonts w:hint="eastAsia"/>
            <w:lang w:eastAsia="zh-CN"/>
          </w:rPr>
          <w:t>第</w:t>
        </w:r>
        <w:r w:rsidRPr="00DD2950">
          <w:rPr>
            <w:rStyle w:val="Hyperlink"/>
          </w:rPr>
          <w:t>14.1</w:t>
        </w:r>
      </w:hyperlink>
      <w:r>
        <w:rPr>
          <w:rStyle w:val="Hyperlink"/>
          <w:rFonts w:hint="eastAsia"/>
          <w:lang w:eastAsia="zh-CN"/>
        </w:rPr>
        <w:t>节</w:t>
      </w:r>
      <w:r>
        <w:rPr>
          <w:rFonts w:hint="eastAsia"/>
        </w:rPr>
        <w:t>）。</w:t>
      </w:r>
    </w:p>
    <w:p w14:paraId="48CE7B10" w14:textId="56AC9FF5" w:rsidR="0003086B" w:rsidRDefault="0003086B" w:rsidP="00FF46C7">
      <w:pPr>
        <w:ind w:firstLineChars="200" w:firstLine="480"/>
      </w:pPr>
      <w:r>
        <w:rPr>
          <w:rFonts w:hint="eastAsia"/>
        </w:rPr>
        <w:t>TSB</w:t>
      </w:r>
      <w:r>
        <w:rPr>
          <w:rFonts w:hint="eastAsia"/>
        </w:rPr>
        <w:t>继续收集</w:t>
      </w:r>
      <w:r>
        <w:rPr>
          <w:rFonts w:hint="eastAsia"/>
        </w:rPr>
        <w:t>ITU-T</w:t>
      </w:r>
      <w:r>
        <w:rPr>
          <w:rFonts w:hint="eastAsia"/>
        </w:rPr>
        <w:t>研究组提出的所有新术语和定义，并将其输入在线</w:t>
      </w:r>
      <w:hyperlink r:id="rId46" w:anchor="/" w:history="1">
        <w:r w:rsidRPr="0003086B">
          <w:rPr>
            <w:rStyle w:val="Hyperlink"/>
            <w:rFonts w:hint="eastAsia"/>
          </w:rPr>
          <w:t>国际电联术语和定义数据库</w:t>
        </w:r>
      </w:hyperlink>
      <w:r>
        <w:rPr>
          <w:rFonts w:hint="eastAsia"/>
        </w:rPr>
        <w:t>。</w:t>
      </w:r>
      <w:r>
        <w:rPr>
          <w:rFonts w:hint="eastAsia"/>
        </w:rPr>
        <w:t>TSB</w:t>
      </w:r>
      <w:r>
        <w:rPr>
          <w:rFonts w:hint="eastAsia"/>
        </w:rPr>
        <w:t>继续翻译在传统批准程序下批准的所有建议书，以及所有电信标准化顾问组（</w:t>
      </w:r>
      <w:r>
        <w:rPr>
          <w:rFonts w:hint="eastAsia"/>
        </w:rPr>
        <w:t>TSAG</w:t>
      </w:r>
      <w:r>
        <w:rPr>
          <w:rFonts w:hint="eastAsia"/>
        </w:rPr>
        <w:t>）报告。</w:t>
      </w:r>
      <w:r>
        <w:rPr>
          <w:rFonts w:hint="eastAsia"/>
          <w:lang w:eastAsia="zh-CN"/>
        </w:rPr>
        <w:t>根据</w:t>
      </w:r>
      <w:r>
        <w:rPr>
          <w:rFonts w:hint="eastAsia"/>
        </w:rPr>
        <w:t>要求，</w:t>
      </w:r>
      <w:r>
        <w:rPr>
          <w:rFonts w:hint="eastAsia"/>
        </w:rPr>
        <w:t>TSB</w:t>
      </w:r>
      <w:r>
        <w:rPr>
          <w:rFonts w:hint="eastAsia"/>
        </w:rPr>
        <w:t>在本报告期内翻译了</w:t>
      </w:r>
      <w:r>
        <w:rPr>
          <w:rFonts w:hint="eastAsia"/>
        </w:rPr>
        <w:t>6</w:t>
      </w:r>
      <w:r>
        <w:rPr>
          <w:rFonts w:hint="eastAsia"/>
        </w:rPr>
        <w:t>份在替代批准程序下批准的建议书（见</w:t>
      </w:r>
      <w:hyperlink w:anchor="_14.2_Official_languages" w:history="1">
        <w:r>
          <w:rPr>
            <w:rStyle w:val="Hyperlink"/>
            <w:rFonts w:hint="eastAsia"/>
            <w:lang w:eastAsia="zh-CN"/>
          </w:rPr>
          <w:t>第</w:t>
        </w:r>
        <w:r w:rsidRPr="00DD2950">
          <w:rPr>
            <w:rStyle w:val="Hyperlink"/>
          </w:rPr>
          <w:t>14.2</w:t>
        </w:r>
      </w:hyperlink>
      <w:r>
        <w:rPr>
          <w:rStyle w:val="Hyperlink"/>
          <w:rFonts w:hint="eastAsia"/>
          <w:lang w:eastAsia="zh-CN"/>
        </w:rPr>
        <w:t>节</w:t>
      </w:r>
      <w:r>
        <w:rPr>
          <w:rFonts w:hint="eastAsia"/>
        </w:rPr>
        <w:t>）。</w:t>
      </w:r>
    </w:p>
    <w:p w14:paraId="4A7A5CAC" w14:textId="78042DB6" w:rsidR="00AA2C3E" w:rsidRPr="000E3711" w:rsidRDefault="0003086B" w:rsidP="00FF46C7">
      <w:pPr>
        <w:ind w:firstLineChars="200" w:firstLine="480"/>
        <w:rPr>
          <w:bCs/>
        </w:rPr>
      </w:pPr>
      <w:r>
        <w:rPr>
          <w:rFonts w:hint="eastAsia"/>
        </w:rPr>
        <w:t>除了国际电联的基础设施服务外，</w:t>
      </w:r>
      <w:r>
        <w:rPr>
          <w:rFonts w:hint="eastAsia"/>
        </w:rPr>
        <w:t>TSB</w:t>
      </w:r>
      <w:r>
        <w:rPr>
          <w:rFonts w:hint="eastAsia"/>
        </w:rPr>
        <w:t>还不断开发新的应用，酌情使用开源和机器学习解决方案，同时加强现有的应用，以进一步扩大其正在进行的数字化转型。</w:t>
      </w:r>
      <w:r>
        <w:rPr>
          <w:rFonts w:hint="eastAsia"/>
          <w:lang w:eastAsia="zh-CN"/>
        </w:rPr>
        <w:t>“</w:t>
      </w:r>
      <w:hyperlink r:id="rId47" w:history="1">
        <w:r w:rsidRPr="0003086B">
          <w:rPr>
            <w:rStyle w:val="Hyperlink"/>
            <w:rFonts w:hint="eastAsia"/>
          </w:rPr>
          <w:t>基于人工智能的国际电联活动与联合国可持续发展目标（</w:t>
        </w:r>
        <w:r w:rsidRPr="0003086B">
          <w:rPr>
            <w:rStyle w:val="Hyperlink"/>
            <w:rFonts w:hint="eastAsia"/>
          </w:rPr>
          <w:t>UN-SDG</w:t>
        </w:r>
        <w:r w:rsidRPr="0003086B">
          <w:rPr>
            <w:rStyle w:val="Hyperlink"/>
            <w:rFonts w:hint="eastAsia"/>
          </w:rPr>
          <w:t>）的对照</w:t>
        </w:r>
      </w:hyperlink>
      <w:r>
        <w:rPr>
          <w:rFonts w:hint="eastAsia"/>
          <w:lang w:eastAsia="zh-CN"/>
        </w:rPr>
        <w:t>”</w:t>
      </w:r>
      <w:r>
        <w:rPr>
          <w:rFonts w:hint="eastAsia"/>
        </w:rPr>
        <w:t>根据语义相关性将国际电联的工作与联合国可持续发展目标进行对照（见</w:t>
      </w:r>
      <w:hyperlink w:anchor="_15_Services_and" w:history="1">
        <w:r>
          <w:rPr>
            <w:rStyle w:val="Hyperlink"/>
            <w:rFonts w:hint="eastAsia"/>
            <w:bCs/>
            <w:lang w:eastAsia="zh-CN"/>
          </w:rPr>
          <w:t>第</w:t>
        </w:r>
        <w:r w:rsidRPr="00DD2950">
          <w:rPr>
            <w:rStyle w:val="Hyperlink"/>
            <w:bCs/>
          </w:rPr>
          <w:t>15</w:t>
        </w:r>
      </w:hyperlink>
      <w:r>
        <w:rPr>
          <w:rStyle w:val="Hyperlink"/>
          <w:rFonts w:hint="eastAsia"/>
          <w:bCs/>
          <w:lang w:eastAsia="zh-CN"/>
        </w:rPr>
        <w:t>节</w:t>
      </w:r>
      <w:r>
        <w:rPr>
          <w:rFonts w:hint="eastAsia"/>
        </w:rPr>
        <w:t>）。</w:t>
      </w:r>
    </w:p>
    <w:p w14:paraId="2939E2DC" w14:textId="541EE1F4" w:rsidR="00136E7B" w:rsidRPr="00C32576" w:rsidRDefault="5EE8545A" w:rsidP="222B8D80">
      <w:pPr>
        <w:pStyle w:val="Heading1"/>
        <w:jc w:val="center"/>
      </w:pPr>
      <w:bookmarkStart w:id="15" w:name="_Toc480527765"/>
      <w:bookmarkStart w:id="16" w:name="_Toc120896423"/>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r w:rsidRPr="00C32576">
        <w:lastRenderedPageBreak/>
        <w:t xml:space="preserve">Annex – Full </w:t>
      </w:r>
      <w:r w:rsidR="00A9765D">
        <w:t>r</w:t>
      </w:r>
      <w:r w:rsidRPr="00C32576">
        <w:t xml:space="preserve">eport of activities in ITU-T </w:t>
      </w:r>
      <w:r w:rsidR="00526CBB">
        <w:t>in the study period</w:t>
      </w:r>
      <w:bookmarkEnd w:id="15"/>
      <w:bookmarkEnd w:id="16"/>
    </w:p>
    <w:p w14:paraId="1C91FA37" w14:textId="73C541A6" w:rsidR="00A63A18" w:rsidRPr="00C32576" w:rsidRDefault="00136E7B" w:rsidP="000B3E92">
      <w:pPr>
        <w:pStyle w:val="Heading1"/>
        <w:spacing w:before="240"/>
      </w:pPr>
      <w:bookmarkStart w:id="26" w:name="_1_Achievements_in"/>
      <w:bookmarkStart w:id="27" w:name="_1_ITU-T_Study"/>
      <w:bookmarkStart w:id="28" w:name="_Toc120896424"/>
      <w:bookmarkStart w:id="29" w:name="_Toc480527766"/>
      <w:bookmarkEnd w:id="26"/>
      <w:bookmarkEnd w:id="27"/>
      <w:r w:rsidRPr="00C32576">
        <w:t>1</w:t>
      </w:r>
      <w:r w:rsidRPr="00C32576">
        <w:tab/>
        <w:t xml:space="preserve">ITU-T </w:t>
      </w:r>
      <w:r w:rsidR="000C1BFA">
        <w:t>S</w:t>
      </w:r>
      <w:r w:rsidR="00F17FE4">
        <w:t xml:space="preserve">tudy </w:t>
      </w:r>
      <w:r w:rsidR="000C1BFA">
        <w:t>G</w:t>
      </w:r>
      <w:r w:rsidR="00F17FE4">
        <w:t>roups</w:t>
      </w:r>
      <w:bookmarkEnd w:id="28"/>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8"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49"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CC398B">
      <w:pPr>
        <w:numPr>
          <w:ilvl w:val="0"/>
          <w:numId w:val="26"/>
        </w:numPr>
      </w:pPr>
      <w:hyperlink r:id="rId50"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CC398B">
      <w:pPr>
        <w:numPr>
          <w:ilvl w:val="0"/>
          <w:numId w:val="26"/>
        </w:numPr>
      </w:pPr>
      <w:hyperlink r:id="rId51"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CC398B">
      <w:pPr>
        <w:numPr>
          <w:ilvl w:val="0"/>
          <w:numId w:val="26"/>
        </w:numPr>
      </w:pPr>
      <w:hyperlink r:id="rId52"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CC398B">
      <w:pPr>
        <w:numPr>
          <w:ilvl w:val="0"/>
          <w:numId w:val="26"/>
        </w:numPr>
      </w:pPr>
      <w:hyperlink r:id="rId53"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CC398B">
      <w:pPr>
        <w:numPr>
          <w:ilvl w:val="0"/>
          <w:numId w:val="26"/>
        </w:numPr>
      </w:pPr>
      <w:hyperlink r:id="rId54"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CC398B">
      <w:pPr>
        <w:numPr>
          <w:ilvl w:val="0"/>
          <w:numId w:val="26"/>
        </w:numPr>
      </w:pPr>
      <w:hyperlink r:id="rId55"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CC398B">
      <w:pPr>
        <w:numPr>
          <w:ilvl w:val="0"/>
          <w:numId w:val="26"/>
        </w:numPr>
      </w:pPr>
      <w:hyperlink r:id="rId56"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CC398B">
      <w:pPr>
        <w:numPr>
          <w:ilvl w:val="0"/>
          <w:numId w:val="26"/>
        </w:numPr>
      </w:pPr>
      <w:hyperlink r:id="rId57"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CC398B">
      <w:pPr>
        <w:numPr>
          <w:ilvl w:val="0"/>
          <w:numId w:val="26"/>
        </w:numPr>
      </w:pPr>
      <w:hyperlink r:id="rId58"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CC398B">
      <w:pPr>
        <w:numPr>
          <w:ilvl w:val="0"/>
          <w:numId w:val="26"/>
        </w:numPr>
      </w:pPr>
      <w:hyperlink r:id="rId59"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CC398B">
      <w:pPr>
        <w:numPr>
          <w:ilvl w:val="0"/>
          <w:numId w:val="26"/>
        </w:numPr>
      </w:pPr>
      <w:hyperlink r:id="rId60"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31" w:name="_Toc120896425"/>
      <w:r>
        <w:t>1</w:t>
      </w:r>
      <w:r w:rsidRPr="00C32576">
        <w:t>.</w:t>
      </w:r>
      <w:r w:rsidR="000E3711">
        <w:t>2</w:t>
      </w:r>
      <w:r w:rsidRPr="00C32576">
        <w:tab/>
      </w:r>
      <w:r>
        <w:t>Non-attendance of chairmen and vice-chairmen</w:t>
      </w:r>
      <w:bookmarkEnd w:id="31"/>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Urbain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r>
              <w:rPr>
                <w:lang w:eastAsia="en-US"/>
              </w:rPr>
              <w:t xml:space="preserve">Saidiahrol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lastRenderedPageBreak/>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r>
              <w:rPr>
                <w:lang w:eastAsia="en-US"/>
              </w:rPr>
              <w:t>Gökhan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r w:rsidRPr="00FA09DE">
              <w:rPr>
                <w:lang w:eastAsia="en-US"/>
              </w:rPr>
              <w:t>Gökhan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32" w:name="_2_ITU-T_Focus"/>
      <w:bookmarkStart w:id="33" w:name="_Toc120896426"/>
      <w:bookmarkStart w:id="34" w:name="_Hlk60057887"/>
      <w:bookmarkEnd w:id="32"/>
      <w:r w:rsidRPr="00C32576">
        <w:rPr>
          <w:rFonts w:eastAsiaTheme="minorEastAsia"/>
        </w:rPr>
        <w:t>2</w:t>
      </w:r>
      <w:r w:rsidRPr="00C32576">
        <w:rPr>
          <w:rFonts w:eastAsiaTheme="minorEastAsia"/>
        </w:rPr>
        <w:tab/>
      </w:r>
      <w:r w:rsidRPr="00C32576">
        <w:t>ITU-T Focus Groups</w:t>
      </w:r>
      <w:bookmarkEnd w:id="33"/>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1"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5" w:name="_2.1_Active_groups"/>
      <w:bookmarkStart w:id="36" w:name="_Toc120896427"/>
      <w:bookmarkEnd w:id="35"/>
      <w:r w:rsidRPr="00C32576">
        <w:t>2.1</w:t>
      </w:r>
      <w:r w:rsidRPr="00C32576">
        <w:tab/>
        <w:t>Active groups</w:t>
      </w:r>
      <w:bookmarkEnd w:id="36"/>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7"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CC398B" w:rsidP="007E1768">
            <w:pPr>
              <w:shd w:val="clear" w:color="auto" w:fill="FFFFFF"/>
            </w:pPr>
            <w:hyperlink r:id="rId62"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CC398B" w:rsidP="007F6669">
            <w:pPr>
              <w:rPr>
                <w:lang w:eastAsia="en-US"/>
              </w:rPr>
            </w:pPr>
            <w:hyperlink r:id="rId63"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CC398B" w:rsidP="007F6669">
            <w:pPr>
              <w:rPr>
                <w:lang w:eastAsia="en-US"/>
              </w:rPr>
            </w:pPr>
            <w:hyperlink r:id="rId64"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CC398B" w:rsidP="007F6669">
            <w:pPr>
              <w:rPr>
                <w:lang w:eastAsia="en-US"/>
              </w:rPr>
            </w:pPr>
            <w:hyperlink r:id="rId65"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CC398B" w:rsidP="007F6669">
            <w:pPr>
              <w:rPr>
                <w:lang w:eastAsia="en-US"/>
              </w:rPr>
            </w:pPr>
            <w:hyperlink r:id="rId66"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CC398B" w:rsidP="007F6669">
            <w:pPr>
              <w:rPr>
                <w:lang w:eastAsia="en-US"/>
              </w:rPr>
            </w:pPr>
            <w:hyperlink r:id="rId67"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8" w:name="_2.2_Concluded_groups"/>
      <w:bookmarkStart w:id="39" w:name="_Toc120896428"/>
      <w:bookmarkEnd w:id="37"/>
      <w:bookmarkEnd w:id="38"/>
      <w:r w:rsidRPr="00C32576">
        <w:t>2.</w:t>
      </w:r>
      <w:r w:rsidR="00D335E4">
        <w:t>2</w:t>
      </w:r>
      <w:r w:rsidRPr="00C32576">
        <w:tab/>
      </w:r>
      <w:r>
        <w:t xml:space="preserve">Concluded </w:t>
      </w:r>
      <w:r w:rsidRPr="00C32576">
        <w:t>groups</w:t>
      </w:r>
      <w:bookmarkEnd w:id="39"/>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CC398B" w:rsidP="00552B61">
            <w:pPr>
              <w:shd w:val="clear" w:color="auto" w:fill="FFFFFF"/>
            </w:pPr>
            <w:hyperlink r:id="rId68"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CC398B" w:rsidP="00552B61">
            <w:pPr>
              <w:rPr>
                <w:lang w:eastAsia="en-US"/>
              </w:rPr>
            </w:pPr>
            <w:hyperlink r:id="rId69"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40" w:name="_2.8_IPTV_and"/>
      <w:bookmarkStart w:id="41" w:name="a353677d2-7347-4cd3-8301-15d8ee365aeb"/>
      <w:bookmarkStart w:id="42" w:name="_3.4_e-Health"/>
      <w:bookmarkStart w:id="43" w:name="_3.6_Aviation_applications"/>
      <w:bookmarkStart w:id="44" w:name="_6.5_Focus_Group"/>
      <w:bookmarkStart w:id="45" w:name="_7.5_Focus_Group"/>
      <w:bookmarkStart w:id="46" w:name="_7.2_TSB_Director’s"/>
      <w:bookmarkStart w:id="47" w:name="_13_Chief_Technology"/>
      <w:bookmarkStart w:id="48" w:name="_8.1_ITU-UNECE_event"/>
      <w:bookmarkStart w:id="49" w:name="_8.3_3rd_ITU"/>
      <w:bookmarkStart w:id="50" w:name="_8.5_Standards_collaboration,"/>
      <w:bookmarkStart w:id="51" w:name="_8.6_Montevideo_forum"/>
      <w:bookmarkStart w:id="52" w:name="_8.8_Accessible_Inclusion"/>
      <w:bookmarkStart w:id="53" w:name="_10_Chief_Technology"/>
      <w:bookmarkStart w:id="54" w:name="_3_Collaboration_initiatives"/>
      <w:bookmarkStart w:id="55" w:name="_3_Workshops_and"/>
      <w:bookmarkStart w:id="56" w:name="_Toc120896429"/>
      <w:bookmarkEnd w:id="17"/>
      <w:bookmarkEnd w:id="18"/>
      <w:bookmarkEnd w:id="19"/>
      <w:bookmarkEnd w:id="20"/>
      <w:bookmarkEnd w:id="21"/>
      <w:bookmarkEnd w:id="22"/>
      <w:bookmarkEnd w:id="23"/>
      <w:bookmarkEnd w:id="24"/>
      <w:bookmarkEnd w:id="25"/>
      <w:bookmarkEnd w:id="29"/>
      <w:bookmarkEnd w:id="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eastAsiaTheme="minorEastAsia"/>
        </w:rPr>
        <w:t>3</w:t>
      </w:r>
      <w:r w:rsidRPr="003E7B9E">
        <w:rPr>
          <w:rFonts w:eastAsiaTheme="minorEastAsia"/>
        </w:rPr>
        <w:tab/>
      </w:r>
      <w:r>
        <w:rPr>
          <w:rFonts w:eastAsiaTheme="minorEastAsia"/>
        </w:rPr>
        <w:t>Workshops and symposia</w:t>
      </w:r>
      <w:bookmarkEnd w:id="56"/>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0">
        <w:r w:rsidRPr="00C32576">
          <w:rPr>
            <w:rStyle w:val="Hyperlink"/>
          </w:rPr>
          <w:t>AI for Good</w:t>
        </w:r>
      </w:hyperlink>
      <w:r w:rsidRPr="00C32576">
        <w:t xml:space="preserve"> digital platform</w:t>
      </w:r>
      <w:r>
        <w:t xml:space="preserve">. A listing of all past and planned events can be found on the </w:t>
      </w:r>
      <w:hyperlink r:id="rId71"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7" w:name="_4_Virtual_meetings"/>
      <w:bookmarkStart w:id="58" w:name="_Toc120896430"/>
      <w:bookmarkEnd w:id="57"/>
      <w:r>
        <w:rPr>
          <w:rFonts w:eastAsiaTheme="minorEastAsia"/>
        </w:rPr>
        <w:t>4</w:t>
      </w:r>
      <w:r w:rsidRPr="003E7B9E">
        <w:rPr>
          <w:rFonts w:eastAsiaTheme="minorEastAsia"/>
        </w:rPr>
        <w:tab/>
        <w:t>Virtual meetings</w:t>
      </w:r>
      <w:bookmarkEnd w:id="58"/>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77777777" w:rsidR="005E1EFB" w:rsidRDefault="005E1EFB" w:rsidP="005E1EFB">
      <w:r>
        <w:t xml:space="preserve">Statistics on e-meetings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2017: 1,072 e-meetings;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 (until end-October): 3,656 e-meetings; 50,220 attendees</w:t>
      </w:r>
    </w:p>
    <w:p w14:paraId="3D388EE9" w14:textId="7A00F38C" w:rsidR="005E1EFB" w:rsidRPr="00535DB5" w:rsidRDefault="005E1EFB" w:rsidP="00535DB5">
      <w:pPr>
        <w:jc w:val="center"/>
        <w:rPr>
          <w:highlight w:val="yellow"/>
        </w:rPr>
      </w:pPr>
      <w:r>
        <w:rPr>
          <w:noProof/>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20896431"/>
      <w:r>
        <w:rPr>
          <w:rFonts w:eastAsiaTheme="minorEastAsia"/>
        </w:rPr>
        <w:t>5</w:t>
      </w:r>
      <w:r w:rsidR="005404EF" w:rsidRPr="00C32576">
        <w:rPr>
          <w:rFonts w:eastAsiaTheme="minorEastAsia"/>
        </w:rPr>
        <w:tab/>
      </w:r>
      <w:r w:rsidR="005404EF" w:rsidRPr="00C32576">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20896432"/>
      <w:bookmarkStart w:id="63" w:name="_Hlk119497450"/>
      <w:bookmarkEnd w:id="61"/>
      <w:r>
        <w:t>5</w:t>
      </w:r>
      <w:r w:rsidR="005404EF" w:rsidRPr="00C32576">
        <w:t>.1</w:t>
      </w:r>
      <w:r w:rsidR="005404EF" w:rsidRPr="00C32576">
        <w:tab/>
        <w:t>Artificial intelligence and machine learning</w:t>
      </w:r>
      <w:bookmarkEnd w:id="62"/>
    </w:p>
    <w:p w14:paraId="4045643D" w14:textId="76F1ADAB" w:rsidR="0009233E" w:rsidRPr="00A62912" w:rsidRDefault="00CC398B" w:rsidP="0009233E">
      <w:pPr>
        <w:pStyle w:val="NormalWeb"/>
        <w:shd w:val="clear" w:color="auto" w:fill="FFFFFF" w:themeFill="background1"/>
        <w:spacing w:before="120" w:beforeAutospacing="0" w:after="0" w:afterAutospacing="0"/>
        <w:textAlignment w:val="baseline"/>
      </w:pPr>
      <w:hyperlink r:id="rId73">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4"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4"/>
      <w:r>
        <w:t>This fourth summit follows summits</w:t>
      </w:r>
      <w:r>
        <w:rPr>
          <w:bCs/>
        </w:rPr>
        <w:t xml:space="preserve"> held in Geneva in 2017, 2018, and 2019.</w:t>
      </w:r>
      <w:r w:rsidR="005C3E5C">
        <w:rPr>
          <w:bCs/>
        </w:rPr>
        <w:t xml:space="preserve"> The upcoming summit </w:t>
      </w:r>
      <w:bookmarkStart w:id="65" w:name="_Hlk120615385"/>
      <w:r w:rsidR="005C3E5C">
        <w:rPr>
          <w:bCs/>
        </w:rPr>
        <w:t>will be preceded by expert-oriented ML workshops on 5 July, drawing on expertise from the AI for Good Discovery programme.</w:t>
      </w:r>
      <w:bookmarkEnd w:id="65"/>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6"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6"/>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4"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7" w:name="_Hlk120617537"/>
      <w:r w:rsidR="00E6527F">
        <w:t>Over 11,000 people have created profiles on the Neural Network since its launch in February and roughly 200 new profiles are created each week.</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5">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77F3B5BD" w14:textId="48EC1D45" w:rsidR="00EF4CAA" w:rsidRDefault="0009233E" w:rsidP="00EF4CAA">
      <w:pPr>
        <w:rPr>
          <w:bCs/>
        </w:rPr>
      </w:pPr>
      <w:bookmarkStart w:id="69"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CC398B" w:rsidP="0009233E">
      <w:pPr>
        <w:rPr>
          <w:bCs/>
        </w:rPr>
      </w:pPr>
      <w:hyperlink r:id="rId76"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7"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8"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79"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70" w:name="_5.2_Digital_financial"/>
      <w:bookmarkStart w:id="71" w:name="_Toc120896433"/>
      <w:bookmarkStart w:id="72" w:name="_Hlk120017847"/>
      <w:bookmarkEnd w:id="69"/>
      <w:bookmarkEnd w:id="70"/>
      <w:r>
        <w:t>5</w:t>
      </w:r>
      <w:r w:rsidR="005404EF" w:rsidRPr="00C32576">
        <w:t>.</w:t>
      </w:r>
      <w:r w:rsidR="0002435B" w:rsidRPr="00C32576">
        <w:t>2</w:t>
      </w:r>
      <w:r w:rsidR="005404EF" w:rsidRPr="00C32576">
        <w:tab/>
        <w:t>Digital financial inclusion</w:t>
      </w:r>
      <w:r w:rsidR="00E55E57">
        <w:t xml:space="preserve"> and fintech</w:t>
      </w:r>
      <w:bookmarkEnd w:id="71"/>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4"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5"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3" w:name="_Hlk120615522"/>
      <w:r w:rsidR="00AB7F98">
        <w:rPr>
          <w:color w:val="0D0D0D" w:themeColor="text1" w:themeTint="F2"/>
        </w:rPr>
        <w:t>the</w:t>
      </w:r>
      <w:r w:rsidR="00AB7F98" w:rsidRPr="00727F08">
        <w:rPr>
          <w:color w:val="0D0D0D" w:themeColor="text1" w:themeTint="F2"/>
          <w:lang w:val="en-US"/>
        </w:rPr>
        <w:t xml:space="preserve"> </w:t>
      </w:r>
      <w:hyperlink r:id="rId86"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3"/>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Organisation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7F4CC1EC" w:rsidR="003E00E7" w:rsidRPr="003E00E7" w:rsidRDefault="003E00E7" w:rsidP="00063AC8">
      <w:pPr>
        <w:rPr>
          <w:b/>
          <w:bCs/>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7"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4"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4"/>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CC398B">
      <w:pPr>
        <w:numPr>
          <w:ilvl w:val="0"/>
          <w:numId w:val="22"/>
        </w:numPr>
        <w:rPr>
          <w:color w:val="0D0D0D" w:themeColor="text1" w:themeTint="F2"/>
        </w:rPr>
      </w:pPr>
      <w:hyperlink r:id="rId88"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CC398B">
      <w:pPr>
        <w:numPr>
          <w:ilvl w:val="0"/>
          <w:numId w:val="22"/>
        </w:numPr>
        <w:rPr>
          <w:color w:val="0D0D0D" w:themeColor="text1" w:themeTint="F2"/>
        </w:rPr>
      </w:pPr>
      <w:hyperlink r:id="rId89"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FF55D2" w:rsidRDefault="00CC398B">
      <w:pPr>
        <w:numPr>
          <w:ilvl w:val="0"/>
          <w:numId w:val="22"/>
        </w:numPr>
        <w:rPr>
          <w:color w:val="0D0D0D" w:themeColor="text1" w:themeTint="F2"/>
        </w:rPr>
      </w:pPr>
      <w:hyperlink r:id="rId90" w:history="1">
        <w:r w:rsidR="005C2626" w:rsidRPr="00811898">
          <w:rPr>
            <w:rStyle w:val="Hyperlink"/>
          </w:rPr>
          <w:t>Peru</w:t>
        </w:r>
      </w:hyperlink>
      <w:r w:rsidR="005C2626" w:rsidRPr="00FF55D2">
        <w:rPr>
          <w:color w:val="0D0D0D" w:themeColor="text1" w:themeTint="F2"/>
        </w:rPr>
        <w:t>, 8-9 September 2022, hosted by the Superintendencia de Banca, Seguros y AFP</w:t>
      </w:r>
      <w:r w:rsidR="005C2626">
        <w:rPr>
          <w:color w:val="0D0D0D" w:themeColor="text1" w:themeTint="F2"/>
        </w:rPr>
        <w:t xml:space="preserve"> </w:t>
      </w:r>
      <w:r w:rsidR="005C2626" w:rsidRPr="00FF55D2">
        <w:rPr>
          <w:color w:val="0D0D0D" w:themeColor="text1" w:themeTint="F2"/>
        </w:rPr>
        <w:t>del Perú</w:t>
      </w:r>
    </w:p>
    <w:p w14:paraId="1CF0F619" w14:textId="3AE9389D" w:rsidR="005C2626" w:rsidRPr="003253DC" w:rsidRDefault="00CC398B">
      <w:pPr>
        <w:numPr>
          <w:ilvl w:val="0"/>
          <w:numId w:val="22"/>
        </w:numPr>
        <w:rPr>
          <w:color w:val="0D0D0D" w:themeColor="text1" w:themeTint="F2"/>
          <w:lang w:val="fr-FR"/>
        </w:rPr>
      </w:pPr>
      <w:hyperlink r:id="rId91" w:history="1">
        <w:r w:rsidR="005C2626" w:rsidRPr="003253DC">
          <w:rPr>
            <w:rStyle w:val="Hyperlink"/>
            <w:lang w:val="fr-FR"/>
          </w:rPr>
          <w:t>Côte d’Ivoire</w:t>
        </w:r>
      </w:hyperlink>
      <w:r w:rsidR="005C2626" w:rsidRPr="003253DC">
        <w:rPr>
          <w:color w:val="0D0D0D" w:themeColor="text1" w:themeTint="F2"/>
          <w:lang w:val="fr-FR"/>
        </w:rPr>
        <w:t>, 6-7 September 2022, hosted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CC398B">
      <w:pPr>
        <w:numPr>
          <w:ilvl w:val="0"/>
          <w:numId w:val="22"/>
        </w:numPr>
        <w:rPr>
          <w:color w:val="0D0D0D" w:themeColor="text1" w:themeTint="F2"/>
          <w:lang w:val="fr-CH"/>
        </w:rPr>
      </w:pPr>
      <w:hyperlink r:id="rId92" w:history="1">
        <w:r w:rsidR="005C2626" w:rsidRPr="003253DC">
          <w:rPr>
            <w:rStyle w:val="Hyperlink"/>
            <w:lang w:val="fr-FR"/>
          </w:rPr>
          <w:t>Democratic Republic of Congo</w:t>
        </w:r>
      </w:hyperlink>
      <w:r w:rsidR="005C2626" w:rsidRPr="00FF55D2">
        <w:rPr>
          <w:color w:val="0D0D0D" w:themeColor="text1" w:themeTint="F2"/>
          <w:lang w:val="fr-CH"/>
        </w:rPr>
        <w:t>, 26-27 July 2022, hosted by the Autorité de Régulation de la Poste et des Télécommunication du Congo</w:t>
      </w:r>
    </w:p>
    <w:p w14:paraId="09EDCE97" w14:textId="77777777" w:rsidR="005C2626" w:rsidRPr="00FF55D2" w:rsidRDefault="00CC398B">
      <w:pPr>
        <w:numPr>
          <w:ilvl w:val="0"/>
          <w:numId w:val="22"/>
        </w:numPr>
        <w:rPr>
          <w:color w:val="0D0D0D" w:themeColor="text1" w:themeTint="F2"/>
        </w:rPr>
      </w:pPr>
      <w:hyperlink r:id="rId93"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CC398B">
      <w:pPr>
        <w:numPr>
          <w:ilvl w:val="0"/>
          <w:numId w:val="22"/>
        </w:numPr>
        <w:rPr>
          <w:color w:val="0D0D0D" w:themeColor="text1" w:themeTint="F2"/>
        </w:rPr>
      </w:pPr>
      <w:hyperlink r:id="rId94"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CC398B">
      <w:pPr>
        <w:numPr>
          <w:ilvl w:val="0"/>
          <w:numId w:val="22"/>
        </w:numPr>
        <w:rPr>
          <w:color w:val="0D0D0D" w:themeColor="text1" w:themeTint="F2"/>
        </w:rPr>
      </w:pPr>
      <w:hyperlink r:id="rId95"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CC398B">
      <w:pPr>
        <w:numPr>
          <w:ilvl w:val="0"/>
          <w:numId w:val="22"/>
        </w:numPr>
        <w:rPr>
          <w:color w:val="0D0D0D" w:themeColor="text1" w:themeTint="F2"/>
        </w:rPr>
      </w:pPr>
      <w:hyperlink r:id="rId96"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CC398B">
      <w:pPr>
        <w:numPr>
          <w:ilvl w:val="0"/>
          <w:numId w:val="22"/>
        </w:numPr>
        <w:rPr>
          <w:color w:val="0D0D0D" w:themeColor="text1" w:themeTint="F2"/>
        </w:rPr>
      </w:pPr>
      <w:hyperlink r:id="rId97"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CC398B">
      <w:pPr>
        <w:numPr>
          <w:ilvl w:val="0"/>
          <w:numId w:val="22"/>
        </w:numPr>
        <w:rPr>
          <w:color w:val="0D0D0D" w:themeColor="text1" w:themeTint="F2"/>
        </w:rPr>
      </w:pPr>
      <w:hyperlink r:id="rId98"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CC398B">
      <w:pPr>
        <w:numPr>
          <w:ilvl w:val="0"/>
          <w:numId w:val="22"/>
        </w:numPr>
        <w:rPr>
          <w:color w:val="0D0D0D" w:themeColor="text1" w:themeTint="F2"/>
        </w:rPr>
      </w:pPr>
      <w:hyperlink r:id="rId99"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CC398B">
      <w:pPr>
        <w:numPr>
          <w:ilvl w:val="0"/>
          <w:numId w:val="22"/>
        </w:numPr>
        <w:rPr>
          <w:color w:val="0D0D0D" w:themeColor="text1" w:themeTint="F2"/>
        </w:rPr>
      </w:pPr>
      <w:hyperlink r:id="rId100"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CC398B">
      <w:pPr>
        <w:numPr>
          <w:ilvl w:val="0"/>
          <w:numId w:val="22"/>
        </w:numPr>
        <w:rPr>
          <w:color w:val="0D0D0D" w:themeColor="text1" w:themeTint="F2"/>
        </w:rPr>
      </w:pPr>
      <w:hyperlink r:id="rId101"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CC398B">
      <w:pPr>
        <w:pStyle w:val="ListParagraph"/>
        <w:numPr>
          <w:ilvl w:val="0"/>
          <w:numId w:val="22"/>
        </w:numPr>
        <w:spacing w:before="120"/>
        <w:contextualSpacing w:val="0"/>
        <w:rPr>
          <w:rFonts w:ascii="Times New Roman" w:hAnsi="Times New Roman"/>
          <w:sz w:val="24"/>
          <w:lang w:eastAsia="en-GB"/>
        </w:rPr>
      </w:pPr>
      <w:hyperlink r:id="rId102"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lastRenderedPageBreak/>
        <w:t>Digital currency:</w:t>
      </w:r>
      <w:r>
        <w:t xml:space="preserve"> </w:t>
      </w:r>
      <w:r w:rsidR="005404EF" w:rsidRPr="00063AC8">
        <w:t>The</w:t>
      </w:r>
      <w:r w:rsidR="005404EF" w:rsidRPr="00C32576">
        <w:t xml:space="preserve"> </w:t>
      </w:r>
      <w:hyperlink r:id="rId103"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4"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5"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6"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stablecoins.</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opics such as interoperability for central bank digital currencies and stablecoins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5"/>
    </w:p>
    <w:p w14:paraId="2E5CE685" w14:textId="1FC70CDB" w:rsidR="00AB7F98" w:rsidRPr="00AB7F98" w:rsidRDefault="002B1E57" w:rsidP="00AB7F98">
      <w:pPr>
        <w:rPr>
          <w:lang w:eastAsia="en-GB"/>
        </w:rPr>
      </w:pPr>
      <w:r>
        <w:rPr>
          <w:lang w:eastAsia="en-GB"/>
        </w:rPr>
        <w:t xml:space="preserve">The </w:t>
      </w:r>
      <w:hyperlink r:id="rId105"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6"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7" w:name="_5.3_Smart_cities"/>
      <w:bookmarkStart w:id="78" w:name="_Toc120896434"/>
      <w:bookmarkEnd w:id="72"/>
      <w:bookmarkEnd w:id="76"/>
      <w:bookmarkEnd w:id="77"/>
      <w:r>
        <w:t>5</w:t>
      </w:r>
      <w:r w:rsidR="005404EF" w:rsidRPr="00C32576">
        <w:t>.</w:t>
      </w:r>
      <w:r w:rsidR="0002435B" w:rsidRPr="00C32576">
        <w:t>3</w:t>
      </w:r>
      <w:r w:rsidR="005404EF" w:rsidRPr="00C32576">
        <w:tab/>
        <w:t>Smart cities and communities</w:t>
      </w:r>
      <w:bookmarkEnd w:id="78"/>
    </w:p>
    <w:p w14:paraId="376DE531" w14:textId="4CBCCFBE" w:rsidR="00DE4DA1" w:rsidRPr="00C32576" w:rsidRDefault="00656EC4" w:rsidP="00D54EFE">
      <w:bookmarkStart w:id="79" w:name="_Hlk120615721"/>
      <w:r>
        <w:t xml:space="preserve">The </w:t>
      </w:r>
      <w:hyperlink r:id="rId107">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9"/>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8"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09"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80" w:name="_Hlk120615772"/>
      <w:r w:rsidR="00E465C5">
        <w:t>A U4SSC Ceremony to celebrate Kyebi, Ghana – the latest city to implement the U4SSC KPIs – took place in Ghana on 7 December 2022.</w:t>
      </w:r>
      <w:bookmarkEnd w:id="80"/>
    </w:p>
    <w:p w14:paraId="4795E83D" w14:textId="5263A8DC" w:rsidR="00E465C5" w:rsidRDefault="00E465C5" w:rsidP="00E465C5">
      <w:bookmarkStart w:id="81" w:name="_Hlk120615740"/>
      <w:r w:rsidRPr="008450B4">
        <w:t>The</w:t>
      </w:r>
      <w:r>
        <w:t xml:space="preserve"> first </w:t>
      </w:r>
      <w:hyperlink r:id="rId110" w:history="1">
        <w:r w:rsidRPr="008450B4">
          <w:rPr>
            <w:rStyle w:val="Hyperlink"/>
          </w:rPr>
          <w:t>U4SSC Hub</w:t>
        </w:r>
      </w:hyperlink>
      <w:r>
        <w:t xml:space="preserve"> was established in Austria and launched during GSS-20 </w:t>
      </w:r>
      <w:bookmarkEnd w:id="81"/>
      <w:r>
        <w:t xml:space="preserve">by </w:t>
      </w:r>
      <w:r w:rsidRPr="00D677B0">
        <w:t>H.E. Karoline</w:t>
      </w:r>
      <w:r w:rsidR="00FA47CF">
        <w:t xml:space="preserve"> </w:t>
      </w:r>
      <w:r w:rsidRPr="00D677B0">
        <w:t xml:space="preserve">Edtstadler,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2" w:name="_Hlk120615835"/>
      <w:r>
        <w:t xml:space="preserve">U4SSC published </w:t>
      </w:r>
      <w:hyperlink r:id="rId111"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3" w:name="_Hlk120615973"/>
      <w:bookmarkStart w:id="84" w:name="_Hlk120615853"/>
      <w:bookmarkEnd w:id="82"/>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3"/>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4"/>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2"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CC398B">
      <w:pPr>
        <w:pStyle w:val="ListParagraph"/>
        <w:numPr>
          <w:ilvl w:val="0"/>
          <w:numId w:val="18"/>
        </w:numPr>
        <w:spacing w:before="120"/>
        <w:ind w:left="714" w:hanging="357"/>
        <w:contextualSpacing w:val="0"/>
        <w:rPr>
          <w:rFonts w:ascii="Times New Roman" w:hAnsi="Times New Roman"/>
          <w:sz w:val="24"/>
        </w:rPr>
      </w:pPr>
      <w:hyperlink r:id="rId113"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CC398B">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CC398B">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CC398B">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CC398B">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CC398B">
      <w:pPr>
        <w:pStyle w:val="ListParagraph"/>
        <w:numPr>
          <w:ilvl w:val="0"/>
          <w:numId w:val="18"/>
        </w:numPr>
        <w:spacing w:before="120"/>
        <w:ind w:left="714" w:hanging="357"/>
        <w:contextualSpacing w:val="0"/>
        <w:rPr>
          <w:rFonts w:ascii="Times New Roman" w:hAnsi="Times New Roman"/>
          <w:sz w:val="24"/>
        </w:rPr>
      </w:pPr>
      <w:hyperlink r:id="rId118"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CC398B">
      <w:pPr>
        <w:pStyle w:val="ListParagraph"/>
        <w:numPr>
          <w:ilvl w:val="0"/>
          <w:numId w:val="18"/>
        </w:numPr>
        <w:spacing w:before="120"/>
        <w:ind w:left="714" w:hanging="357"/>
        <w:contextualSpacing w:val="0"/>
        <w:rPr>
          <w:rFonts w:ascii="Times New Roman" w:hAnsi="Times New Roman"/>
          <w:sz w:val="24"/>
        </w:rPr>
      </w:pPr>
      <w:hyperlink r:id="rId119"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CC398B">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5" w:name="_3.4_Intelligent_transport"/>
      <w:bookmarkStart w:id="86" w:name="_5.4_Environment,_climate"/>
      <w:bookmarkStart w:id="87" w:name="_Toc120896435"/>
      <w:bookmarkEnd w:id="60"/>
      <w:bookmarkEnd w:id="85"/>
      <w:bookmarkEnd w:id="86"/>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7"/>
      <w:r w:rsidR="00597B3D">
        <w:t xml:space="preserve"> </w:t>
      </w:r>
    </w:p>
    <w:p w14:paraId="2E10EA43" w14:textId="77777777" w:rsidR="00570F4B" w:rsidRDefault="00570F4B" w:rsidP="007C660F">
      <w:pPr>
        <w:rPr>
          <w:lang w:eastAsia="en-US"/>
        </w:rPr>
      </w:pPr>
      <w:bookmarkStart w:id="88" w:name="_Hlk120616015"/>
      <w:r w:rsidRPr="00570F4B">
        <w:rPr>
          <w:lang w:eastAsia="en-US"/>
        </w:rPr>
        <w:t>The </w:t>
      </w:r>
      <w:hyperlink r:id="rId121"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8"/>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CC398B">
      <w:pPr>
        <w:pStyle w:val="ListParagraph"/>
        <w:numPr>
          <w:ilvl w:val="0"/>
          <w:numId w:val="18"/>
        </w:numPr>
        <w:spacing w:before="120"/>
        <w:ind w:left="714" w:hanging="357"/>
        <w:contextualSpacing w:val="0"/>
        <w:rPr>
          <w:rFonts w:ascii="Times New Roman" w:hAnsi="Times New Roman"/>
          <w:sz w:val="24"/>
        </w:rPr>
      </w:pPr>
      <w:hyperlink r:id="rId122" w:history="1">
        <w:r w:rsidR="00570F4B" w:rsidRPr="00CB7DA4">
          <w:rPr>
            <w:rStyle w:val="Hyperlink"/>
            <w:rFonts w:ascii="Times New Roman" w:hAnsi="Times New Roman"/>
            <w:sz w:val="24"/>
          </w:rPr>
          <w:t>Management of e-waste as a source of urban mining within the concept of circular economy (refurbish, reuse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CC398B">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CC398B">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CC398B">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CC398B">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CC398B">
      <w:pPr>
        <w:pStyle w:val="ListParagraph"/>
        <w:numPr>
          <w:ilvl w:val="0"/>
          <w:numId w:val="18"/>
        </w:numPr>
        <w:spacing w:before="120"/>
        <w:ind w:left="714" w:hanging="357"/>
        <w:contextualSpacing w:val="0"/>
        <w:rPr>
          <w:rFonts w:ascii="Times New Roman" w:hAnsi="Times New Roman"/>
          <w:sz w:val="24"/>
        </w:rPr>
      </w:pPr>
      <w:hyperlink r:id="rId127"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8"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65F6726B" w14:textId="4F25F460" w:rsidR="00E465C5" w:rsidRPr="00570F4B" w:rsidRDefault="00577F44" w:rsidP="004C3AFB">
      <w:r>
        <w:t>A</w:t>
      </w:r>
      <w:r w:rsidR="00E465C5">
        <w:t xml:space="preserve"> </w:t>
      </w:r>
      <w:hyperlink r:id="rId129"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89" w:name="_5.5_Intelligent_transport"/>
      <w:bookmarkStart w:id="90" w:name="_Toc120896436"/>
      <w:bookmarkEnd w:id="89"/>
      <w:r>
        <w:t>5</w:t>
      </w:r>
      <w:r w:rsidR="007C660F" w:rsidRPr="00C32576">
        <w:t>.</w:t>
      </w:r>
      <w:r w:rsidR="007C660F">
        <w:t>5</w:t>
      </w:r>
      <w:r w:rsidR="007C660F" w:rsidRPr="00C32576">
        <w:tab/>
      </w:r>
      <w:r w:rsidR="007C660F">
        <w:t>Intelligent transport systems</w:t>
      </w:r>
      <w:bookmarkEnd w:id="90"/>
      <w:r w:rsidR="007C660F">
        <w:t xml:space="preserve"> </w:t>
      </w:r>
    </w:p>
    <w:p w14:paraId="075F4101" w14:textId="2D0D197D" w:rsidR="007D6E1F" w:rsidRDefault="007D6E1F" w:rsidP="001E31C5">
      <w:bookmarkStart w:id="91" w:name="_Hlk92287189"/>
      <w:r>
        <w:t xml:space="preserve">The ITU-T focus groups on </w:t>
      </w:r>
      <w:hyperlink r:id="rId130" w:history="1">
        <w:r w:rsidRPr="00CF47AE">
          <w:rPr>
            <w:rStyle w:val="Hyperlink"/>
          </w:rPr>
          <w:t>AI for autonomous and assisted driving</w:t>
        </w:r>
      </w:hyperlink>
      <w:r>
        <w:t xml:space="preserve"> </w:t>
      </w:r>
      <w:r w:rsidR="00CF47AE">
        <w:t xml:space="preserve">and </w:t>
      </w:r>
      <w:hyperlink r:id="rId131"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2" w:name="_Hlk120616326"/>
      <w:r>
        <w:t>The</w:t>
      </w:r>
      <w:r w:rsidR="0078408C">
        <w:t xml:space="preserve"> </w:t>
      </w:r>
      <w:hyperlink r:id="rId132"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2"/>
    </w:p>
    <w:p w14:paraId="5B606D9C" w14:textId="6B466A0C" w:rsidR="001E31C5" w:rsidRPr="00C32576" w:rsidRDefault="001E31C5" w:rsidP="001E31C5">
      <w:r w:rsidRPr="00C32576">
        <w:t xml:space="preserve">The </w:t>
      </w:r>
      <w:hyperlink r:id="rId133"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4"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3" w:name="_5.6_CTO_and"/>
      <w:bookmarkStart w:id="94" w:name="_Toc120896437"/>
      <w:bookmarkEnd w:id="93"/>
      <w:r>
        <w:t>5</w:t>
      </w:r>
      <w:r w:rsidR="003E2E2A" w:rsidRPr="00C32576">
        <w:t>.</w:t>
      </w:r>
      <w:r>
        <w:t>6</w:t>
      </w:r>
      <w:r w:rsidR="003E2E2A" w:rsidRPr="00C32576">
        <w:tab/>
      </w:r>
      <w:r w:rsidR="003E2E2A">
        <w:t>CTO and CxO meetings</w:t>
      </w:r>
      <w:bookmarkEnd w:id="94"/>
    </w:p>
    <w:p w14:paraId="1F793E73" w14:textId="3206F00C" w:rsidR="003E2E2A" w:rsidRDefault="00CC398B" w:rsidP="003E2E2A">
      <w:hyperlink r:id="rId135"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95"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6" w:history="1">
        <w:r w:rsidR="00251558" w:rsidRPr="004C3AFB">
          <w:rPr>
            <w:rStyle w:val="Hyperlink"/>
          </w:rPr>
          <w:t>CxO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96" w:name="_4_Academia"/>
      <w:bookmarkStart w:id="97" w:name="_6_Academia"/>
      <w:bookmarkStart w:id="98" w:name="_Toc120896438"/>
      <w:bookmarkStart w:id="99" w:name="_Hlk92298430"/>
      <w:bookmarkEnd w:id="91"/>
      <w:bookmarkEnd w:id="95"/>
      <w:bookmarkEnd w:id="96"/>
      <w:bookmarkEnd w:id="97"/>
      <w:r>
        <w:t>6</w:t>
      </w:r>
      <w:r w:rsidR="0002435B" w:rsidRPr="00C32576">
        <w:tab/>
        <w:t>Academia</w:t>
      </w:r>
      <w:bookmarkEnd w:id="98"/>
    </w:p>
    <w:p w14:paraId="0B568CA4" w14:textId="5B635696" w:rsidR="00794706" w:rsidRPr="00794706" w:rsidRDefault="00CC398B" w:rsidP="00794706">
      <w:hyperlink r:id="rId137" w:history="1">
        <w:r w:rsidR="00973621" w:rsidRPr="00617C11">
          <w:rPr>
            <w:rStyle w:val="Hyperlink"/>
          </w:rPr>
          <w:t>ITU Academia membership</w:t>
        </w:r>
      </w:hyperlink>
      <w:r w:rsidR="00794706">
        <w:t>, the</w:t>
      </w:r>
      <w:r w:rsidR="00794706" w:rsidRPr="00C32576">
        <w:t xml:space="preserve"> </w:t>
      </w:r>
      <w:hyperlink r:id="rId138" w:history="1">
        <w:r w:rsidR="00794706" w:rsidRPr="00C32576">
          <w:rPr>
            <w:rStyle w:val="Hyperlink"/>
          </w:rPr>
          <w:t>ITU Journal on Future and Evolving Technologies</w:t>
        </w:r>
      </w:hyperlink>
      <w:r w:rsidR="003D374A">
        <w:t xml:space="preserve">, </w:t>
      </w:r>
      <w:r w:rsidR="00F15D4B">
        <w:t xml:space="preserve">and </w:t>
      </w:r>
      <w:hyperlink r:id="rId139"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0" w:name="_Toc120896439"/>
      <w:r>
        <w:t>6</w:t>
      </w:r>
      <w:r w:rsidR="0002435B" w:rsidRPr="00C32576">
        <w:t>.1</w:t>
      </w:r>
      <w:r w:rsidR="0002435B" w:rsidRPr="00C32576">
        <w:tab/>
        <w:t>ITU Journal</w:t>
      </w:r>
      <w:bookmarkEnd w:id="100"/>
    </w:p>
    <w:p w14:paraId="60F38547" w14:textId="04797907" w:rsidR="00F15D4B" w:rsidRDefault="00E00BE5" w:rsidP="00E00BE5">
      <w:r w:rsidRPr="00C32576">
        <w:t xml:space="preserve">The </w:t>
      </w:r>
      <w:hyperlink r:id="rId140"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1" w:history="1">
        <w:r w:rsidRPr="00150F5F">
          <w:rPr>
            <w:rStyle w:val="Hyperlink"/>
            <w:lang w:val="en-US"/>
          </w:rPr>
          <w:t>Prof</w:t>
        </w:r>
        <w:r>
          <w:rPr>
            <w:rStyle w:val="Hyperlink"/>
            <w:lang w:val="en-US"/>
          </w:rPr>
          <w:t xml:space="preserve">essor </w:t>
        </w:r>
        <w:r w:rsidRPr="00150F5F">
          <w:rPr>
            <w:rStyle w:val="Hyperlink"/>
            <w:lang w:val="en-US"/>
          </w:rPr>
          <w:t>Ian F. Akyildiz</w:t>
        </w:r>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101"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2" w:name="_Toc120896440"/>
      <w:bookmarkEnd w:id="101"/>
      <w:r>
        <w:lastRenderedPageBreak/>
        <w:t>6</w:t>
      </w:r>
      <w:r w:rsidR="0002435B" w:rsidRPr="00C32576">
        <w:t>.2</w:t>
      </w:r>
      <w:r w:rsidR="0002435B" w:rsidRPr="00C32576">
        <w:tab/>
        <w:t>ITU Kaleidoscope academic conferences</w:t>
      </w:r>
      <w:bookmarkEnd w:id="102"/>
    </w:p>
    <w:p w14:paraId="38A3EBE5" w14:textId="57C732A1" w:rsidR="00A3606E" w:rsidRDefault="0002435B" w:rsidP="0002435B">
      <w:r w:rsidRPr="00C32576">
        <w:t xml:space="preserve">The </w:t>
      </w:r>
      <w:hyperlink r:id="rId142"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3"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3" w:name="_5_Cooperation_and"/>
      <w:bookmarkStart w:id="104" w:name="_Toc120896441"/>
      <w:bookmarkStart w:id="105" w:name="_Hlk90559120"/>
      <w:bookmarkEnd w:id="99"/>
      <w:bookmarkEnd w:id="103"/>
      <w:r>
        <w:t>7</w:t>
      </w:r>
      <w:r w:rsidR="00A13428" w:rsidRPr="00C32576">
        <w:tab/>
      </w:r>
      <w:r w:rsidR="00054496">
        <w:t>C</w:t>
      </w:r>
      <w:r w:rsidR="00A13428" w:rsidRPr="00C32576">
        <w:t>ooperation and coordination</w:t>
      </w:r>
      <w:bookmarkEnd w:id="104"/>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4"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6" w:name="_Toc120896442"/>
      <w:r>
        <w:t>7</w:t>
      </w:r>
      <w:r w:rsidR="008404E2">
        <w:t>.1</w:t>
      </w:r>
      <w:r w:rsidR="000737FD" w:rsidRPr="00C32576">
        <w:tab/>
      </w:r>
      <w:r w:rsidR="008404E2">
        <w:t>Intern</w:t>
      </w:r>
      <w:r w:rsidR="000737FD" w:rsidRPr="00C32576">
        <w:t xml:space="preserve">ational standardization </w:t>
      </w:r>
      <w:r w:rsidR="0075760B">
        <w:t>bodies</w:t>
      </w:r>
      <w:bookmarkEnd w:id="106"/>
    </w:p>
    <w:p w14:paraId="5954FED7" w14:textId="6CF98199" w:rsidR="008404E2" w:rsidRPr="008404E2" w:rsidRDefault="00CC398B" w:rsidP="008404E2">
      <w:hyperlink r:id="rId145"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07"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6"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CC398B">
      <w:pPr>
        <w:numPr>
          <w:ilvl w:val="0"/>
          <w:numId w:val="24"/>
        </w:numPr>
        <w:ind w:left="714" w:hanging="357"/>
      </w:pPr>
      <w:hyperlink r:id="rId147"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8"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07"/>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CC398B" w:rsidP="008404E2">
      <w:hyperlink r:id="rId149"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50" w:history="1">
        <w:r w:rsidRPr="008404E2">
          <w:rPr>
            <w:color w:val="0000FF"/>
            <w:u w:val="single"/>
          </w:rPr>
          <w:t>TSAG TD138</w:t>
        </w:r>
      </w:hyperlink>
      <w:r w:rsidRPr="008404E2">
        <w:t>).</w:t>
      </w:r>
    </w:p>
    <w:p w14:paraId="121CA6F6" w14:textId="77777777" w:rsidR="00E20C3C" w:rsidRPr="00054496" w:rsidRDefault="00CC398B" w:rsidP="00E20C3C">
      <w:hyperlink r:id="rId151"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CC398B" w:rsidP="00E20C3C">
      <w:hyperlink r:id="rId152"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3" w:history="1">
        <w:r w:rsidRPr="00054496">
          <w:rPr>
            <w:rStyle w:val="Hyperlink"/>
          </w:rPr>
          <w:t>here</w:t>
        </w:r>
      </w:hyperlink>
      <w:r w:rsidRPr="00054496">
        <w:t>.</w:t>
      </w:r>
    </w:p>
    <w:p w14:paraId="75334222" w14:textId="34CF7A10" w:rsidR="00D61217" w:rsidRDefault="00CC398B" w:rsidP="00E20C3C">
      <w:hyperlink r:id="rId154"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5"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8" w:name="_Toc120896443"/>
      <w:bookmarkStart w:id="109" w:name="_Hlk119500548"/>
      <w:r>
        <w:t>7</w:t>
      </w:r>
      <w:r w:rsidR="00A13428">
        <w:t>.2</w:t>
      </w:r>
      <w:r w:rsidR="005005E0">
        <w:tab/>
      </w:r>
      <w:r w:rsidR="00A13428">
        <w:t xml:space="preserve">National and regional standardization </w:t>
      </w:r>
      <w:r w:rsidR="0007304D">
        <w:t>bodies</w:t>
      </w:r>
      <w:bookmarkEnd w:id="108"/>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10" w:name="_Toc120896444"/>
      <w:bookmarkStart w:id="111"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10"/>
    </w:p>
    <w:bookmarkEnd w:id="111"/>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2" w:name="_Toc120896445"/>
      <w:bookmarkEnd w:id="109"/>
      <w:r>
        <w:rPr>
          <w:lang w:val="en-US"/>
        </w:rPr>
        <w:lastRenderedPageBreak/>
        <w:t>7</w:t>
      </w:r>
      <w:r w:rsidR="00A13428" w:rsidRPr="006175FF">
        <w:rPr>
          <w:lang w:val="en-US"/>
        </w:rPr>
        <w:t>.</w:t>
      </w:r>
      <w:r>
        <w:rPr>
          <w:lang w:val="en-US"/>
        </w:rPr>
        <w:t>4</w:t>
      </w:r>
      <w:r w:rsidR="00A13428" w:rsidRPr="006175FF">
        <w:rPr>
          <w:lang w:val="en-US"/>
        </w:rPr>
        <w:tab/>
        <w:t>ITU Sectors</w:t>
      </w:r>
      <w:bookmarkEnd w:id="112"/>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CC398B">
      <w:pPr>
        <w:numPr>
          <w:ilvl w:val="0"/>
          <w:numId w:val="17"/>
        </w:numPr>
      </w:pPr>
      <w:hyperlink r:id="rId156">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CC398B">
      <w:pPr>
        <w:numPr>
          <w:ilvl w:val="0"/>
          <w:numId w:val="17"/>
        </w:numPr>
      </w:pPr>
      <w:hyperlink r:id="rId157"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CC398B">
      <w:pPr>
        <w:numPr>
          <w:ilvl w:val="0"/>
          <w:numId w:val="17"/>
        </w:numPr>
      </w:pPr>
      <w:hyperlink r:id="rId158"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3" w:name="_5.6_External_cooperation"/>
      <w:bookmarkStart w:id="114" w:name="_Toc120896446"/>
      <w:bookmarkEnd w:id="113"/>
      <w:r>
        <w:t>7</w:t>
      </w:r>
      <w:r w:rsidR="00054496" w:rsidRPr="00AE00A2">
        <w:t>.</w:t>
      </w:r>
      <w:r>
        <w:t>5</w:t>
      </w:r>
      <w:r w:rsidR="00054496" w:rsidRPr="00AE00A2">
        <w:tab/>
        <w:t>External cooperation</w:t>
      </w:r>
      <w:bookmarkEnd w:id="114"/>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59" w:history="1">
        <w:r w:rsidRPr="00C32576">
          <w:rPr>
            <w:rStyle w:val="Hyperlink"/>
          </w:rPr>
          <w:t>web page</w:t>
        </w:r>
      </w:hyperlink>
      <w:r w:rsidRPr="00C32576">
        <w:rPr>
          <w:color w:val="000000"/>
        </w:rPr>
        <w:t>.</w:t>
      </w:r>
    </w:p>
    <w:p w14:paraId="41FC0305" w14:textId="4BB9CC14" w:rsidR="00054496" w:rsidRPr="00054496" w:rsidRDefault="00CC398B" w:rsidP="00054496">
      <w:hyperlink r:id="rId160"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CC398B" w:rsidP="00054496">
      <w:hyperlink r:id="rId161"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2"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CC398B" w:rsidP="00054496">
      <w:hyperlink r:id="rId163"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CC398B" w:rsidP="00054496">
      <w:hyperlink r:id="rId164"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CC398B" w:rsidP="00054496">
      <w:hyperlink r:id="rId165"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CC398B" w:rsidP="00054496">
      <w:hyperlink r:id="rId166"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7" w:history="1">
        <w:r w:rsidRPr="00054496">
          <w:rPr>
            <w:rStyle w:val="Hyperlink"/>
          </w:rPr>
          <w:t>World Summit on the Information Society (WSIS)</w:t>
        </w:r>
      </w:hyperlink>
      <w:r w:rsidRPr="00054496">
        <w:t>.</w:t>
      </w:r>
    </w:p>
    <w:p w14:paraId="3CB68421" w14:textId="679BB781" w:rsidR="00936054" w:rsidRDefault="00CC398B" w:rsidP="00054496">
      <w:hyperlink r:id="rId168"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15"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69"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70" w:history="1">
        <w:r w:rsidRPr="00366FB8">
          <w:rPr>
            <w:rStyle w:val="Hyperlink"/>
          </w:rPr>
          <w:t>G.dsssc</w:t>
        </w:r>
      </w:hyperlink>
      <w:r w:rsidRPr="00366FB8">
        <w:t>).</w:t>
      </w:r>
    </w:p>
    <w:bookmarkEnd w:id="115"/>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71" w:history="1">
        <w:r w:rsidRPr="00054496">
          <w:rPr>
            <w:rStyle w:val="Hyperlink"/>
          </w:rPr>
          <w:t>ITU-T A.4:</w:t>
        </w:r>
      </w:hyperlink>
      <w:r w:rsidRPr="00054496">
        <w:t> procedures for communicating with forums and consortia, </w:t>
      </w:r>
      <w:hyperlink r:id="rId172" w:history="1">
        <w:r w:rsidRPr="00054496">
          <w:rPr>
            <w:rStyle w:val="Hyperlink"/>
          </w:rPr>
          <w:t>ITU-T A.5:</w:t>
        </w:r>
      </w:hyperlink>
      <w:r w:rsidRPr="00054496">
        <w:t> making reference to documents from other organizations, </w:t>
      </w:r>
      <w:hyperlink r:id="rId173"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6" w:name="_6_Conformity_and"/>
      <w:bookmarkStart w:id="117" w:name="_8_Conformity_and"/>
      <w:bookmarkStart w:id="118" w:name="_Toc416161352"/>
      <w:bookmarkStart w:id="119" w:name="_Toc438553972"/>
      <w:bookmarkStart w:id="120" w:name="_Toc453929091"/>
      <w:bookmarkStart w:id="121" w:name="_Toc453932962"/>
      <w:bookmarkStart w:id="122" w:name="_Toc454295868"/>
      <w:bookmarkStart w:id="123" w:name="_Toc462664223"/>
      <w:bookmarkStart w:id="124" w:name="_Toc480527817"/>
      <w:bookmarkStart w:id="125" w:name="_Toc18509736"/>
      <w:bookmarkStart w:id="126" w:name="_Toc120896447"/>
      <w:bookmarkStart w:id="127" w:name="_Hlk119584239"/>
      <w:bookmarkEnd w:id="116"/>
      <w:bookmarkEnd w:id="117"/>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18"/>
      <w:r w:rsidR="00A13428" w:rsidRPr="00180522">
        <w:rPr>
          <w:rFonts w:eastAsiaTheme="minorEastAsia"/>
        </w:rPr>
        <w:t xml:space="preserve"> </w:t>
      </w:r>
      <w:bookmarkEnd w:id="119"/>
      <w:bookmarkEnd w:id="120"/>
      <w:bookmarkEnd w:id="121"/>
      <w:bookmarkEnd w:id="122"/>
      <w:bookmarkEnd w:id="123"/>
      <w:bookmarkEnd w:id="124"/>
      <w:bookmarkEnd w:id="125"/>
      <w:r w:rsidR="00A13428">
        <w:rPr>
          <w:rFonts w:eastAsiaTheme="minorEastAsia"/>
        </w:rPr>
        <w:t>programme</w:t>
      </w:r>
      <w:bookmarkEnd w:id="126"/>
    </w:p>
    <w:p w14:paraId="34E3D0FE" w14:textId="77777777" w:rsidR="006262A1" w:rsidRDefault="006262A1" w:rsidP="006262A1">
      <w:pPr>
        <w:snapToGrid w:val="0"/>
      </w:pPr>
      <w:r w:rsidRPr="00241944">
        <w:t xml:space="preserve">The </w:t>
      </w:r>
      <w:hyperlink r:id="rId174"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28" w:name="_Hlk120609855"/>
      <w:r w:rsidRPr="000C6BE2">
        <w:t xml:space="preserve">Testing labs can now obtain official recognition from ITU for their competence to test the conformance of products with </w:t>
      </w:r>
      <w:r>
        <w:t>ITU-T Recommendations (</w:t>
      </w:r>
      <w:hyperlink r:id="rId175"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6"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7"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8"/>
    <w:p w14:paraId="72F119BF" w14:textId="77777777" w:rsidR="006262A1" w:rsidRPr="000C6BE2" w:rsidRDefault="006262A1" w:rsidP="006262A1">
      <w:pPr>
        <w:snapToGrid w:val="0"/>
      </w:pPr>
      <w:r w:rsidRPr="000C6BE2">
        <w:t>ITU-T determined the key criteria and</w:t>
      </w:r>
      <w:r>
        <w:t xml:space="preserve"> </w:t>
      </w:r>
      <w:hyperlink r:id="rId178"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79"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80"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81" w:tgtFrame="_blank" w:history="1">
        <w:r w:rsidRPr="000C6BE2">
          <w:rPr>
            <w:rStyle w:val="Hyperlink"/>
          </w:rPr>
          <w:t>application form</w:t>
        </w:r>
      </w:hyperlink>
      <w:r w:rsidRPr="000C6BE2">
        <w:t>. Labs successful in their application are announced in the</w:t>
      </w:r>
      <w:r>
        <w:t xml:space="preserve"> </w:t>
      </w:r>
      <w:hyperlink r:id="rId182"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3" w:tgtFrame="_blank" w:history="1">
        <w:r w:rsidRPr="000C6BE2">
          <w:rPr>
            <w:rStyle w:val="Hyperlink"/>
          </w:rPr>
          <w:t>application form</w:t>
        </w:r>
      </w:hyperlink>
      <w:r w:rsidRPr="000C6BE2">
        <w:t>.</w:t>
      </w:r>
      <w:r>
        <w:t xml:space="preserve"> All criteria for populating the database are listed </w:t>
      </w:r>
      <w:hyperlink r:id="rId184"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29"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9"/>
      <w:r w:rsidRPr="00CB7DA4">
        <w:t>.</w:t>
      </w:r>
    </w:p>
    <w:p w14:paraId="357EC817" w14:textId="77777777" w:rsidR="006262A1" w:rsidRPr="000C6BE2" w:rsidRDefault="006262A1" w:rsidP="006262A1">
      <w:pPr>
        <w:snapToGrid w:val="0"/>
      </w:pPr>
      <w:bookmarkStart w:id="130" w:name="_Hlk120609943"/>
      <w:r w:rsidRPr="000C6BE2">
        <w:lastRenderedPageBreak/>
        <w:t>The testing lab recognition scheme is the latest initiative under</w:t>
      </w:r>
      <w:r>
        <w:t xml:space="preserve"> </w:t>
      </w:r>
      <w:r w:rsidRPr="00911687">
        <w:t>ITU’s C&amp;I programme</w:t>
      </w:r>
      <w:r w:rsidRPr="000C6BE2">
        <w:t xml:space="preserve">. </w:t>
      </w:r>
      <w:bookmarkEnd w:id="130"/>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31" w:name="_7_Mainstreaming_accessibility"/>
      <w:bookmarkStart w:id="132" w:name="_9_Mainstreaming_accessibility"/>
      <w:bookmarkStart w:id="133" w:name="_Toc120896448"/>
      <w:bookmarkEnd w:id="127"/>
      <w:bookmarkEnd w:id="131"/>
      <w:bookmarkEnd w:id="132"/>
      <w:r>
        <w:t>9</w:t>
      </w:r>
      <w:r w:rsidR="005005E0" w:rsidRPr="00C32576">
        <w:tab/>
      </w:r>
      <w:r w:rsidR="005005E0">
        <w:t>Mainstreaming accessibility</w:t>
      </w:r>
      <w:bookmarkEnd w:id="133"/>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5"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6"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7"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8"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89"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4" w:name="_Toc480527828"/>
      <w:bookmarkStart w:id="135" w:name="_Toc505855760"/>
      <w:bookmarkStart w:id="136" w:name="_Toc120896449"/>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4"/>
      <w:bookmarkEnd w:id="135"/>
      <w:bookmarkEnd w:id="136"/>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90"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91"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2" w:history="1">
        <w:r w:rsidRPr="00E338FB">
          <w:rPr>
            <w:rStyle w:val="Hyperlink"/>
            <w:rFonts w:asciiTheme="majorBidi" w:hAnsiTheme="majorBidi" w:cstheme="majorBidi"/>
          </w:rPr>
          <w:t>ITU-T and ITU-R Recommendations</w:t>
        </w:r>
      </w:hyperlink>
      <w:bookmarkStart w:id="137" w:name="_10.1_TSB_Director's"/>
      <w:bookmarkEnd w:id="137"/>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3"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4"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8" w:name="_9_Membership"/>
      <w:bookmarkStart w:id="139" w:name="_11_Membership"/>
      <w:bookmarkStart w:id="140" w:name="_Toc120896450"/>
      <w:bookmarkStart w:id="141" w:name="_Hlk119427841"/>
      <w:bookmarkStart w:id="142" w:name="_Hlk92290514"/>
      <w:bookmarkStart w:id="143" w:name="_Toc438553987"/>
      <w:bookmarkStart w:id="144" w:name="_Toc453929111"/>
      <w:bookmarkStart w:id="145" w:name="_Toc453932982"/>
      <w:bookmarkStart w:id="146" w:name="_Toc454295888"/>
      <w:bookmarkStart w:id="147" w:name="_Toc462664268"/>
      <w:bookmarkStart w:id="148" w:name="_Toc480527861"/>
      <w:bookmarkEnd w:id="105"/>
      <w:bookmarkEnd w:id="138"/>
      <w:bookmarkEnd w:id="139"/>
      <w:r>
        <w:t>11</w:t>
      </w:r>
      <w:r w:rsidR="001C4B4F" w:rsidRPr="003B574C">
        <w:tab/>
        <w:t>Membership</w:t>
      </w:r>
      <w:bookmarkStart w:id="149" w:name="_Hlk82640787"/>
      <w:bookmarkEnd w:id="140"/>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t>New Sector Members welcomed in the reporting period:</w:t>
      </w:r>
    </w:p>
    <w:p w14:paraId="5EBEB4F8" w14:textId="36FF4F14" w:rsidR="003E7B9E" w:rsidRDefault="00EC0DBC" w:rsidP="003E7B9E">
      <w:pPr>
        <w:rPr>
          <w:rFonts w:eastAsia="Times New Roman"/>
        </w:rPr>
      </w:pPr>
      <w:r>
        <w:rPr>
          <w:rFonts w:eastAsia="Times New Roman"/>
        </w:rPr>
        <w:t>State Grid Corporation of China; Afnic; Globe Telecom, Inc.; Telecommunication Standards Development Society, India (TSDSI); Libyana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 xml:space="preserve">Shuangdeng Group Co., Ltd (Chinashoto) (SG5); Mukti Mandiri Lestari (SG5); EFTS Group (SG12); Cerence GmbH (SG12); Case On IT (SG12); Fondation B-COM (SG13); Technology Innovation Institute (SG13); Beijing BizSeer Technology Co. Ltd. (SG13); Senko Advanced Components (Euro) Ltd. (SG15); Skyworks </w:t>
      </w:r>
      <w:r w:rsidRPr="00D52022">
        <w:rPr>
          <w:rFonts w:ascii="Times" w:eastAsia="Times" w:hAnsi="Times" w:cs="Times"/>
        </w:rPr>
        <w:lastRenderedPageBreak/>
        <w:t>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49"/>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0" w:name="_10_Virtual_meetings"/>
      <w:bookmarkStart w:id="151" w:name="_Toc462664274"/>
      <w:bookmarkStart w:id="152" w:name="_Toc480527863"/>
      <w:bookmarkStart w:id="153" w:name="_11_Bridging_the"/>
      <w:bookmarkStart w:id="154" w:name="_12_Bridging_the"/>
      <w:bookmarkStart w:id="155" w:name="_Toc416161356"/>
      <w:bookmarkStart w:id="156" w:name="_Toc438553979"/>
      <w:bookmarkStart w:id="157" w:name="_Toc453929098"/>
      <w:bookmarkStart w:id="158" w:name="_Toc453932969"/>
      <w:bookmarkStart w:id="159" w:name="_Toc454295875"/>
      <w:bookmarkStart w:id="160" w:name="_Toc480527846"/>
      <w:bookmarkStart w:id="161" w:name="_Toc51042269"/>
      <w:bookmarkStart w:id="162" w:name="_Toc120896451"/>
      <w:bookmarkStart w:id="163" w:name="_Toc453929120"/>
      <w:bookmarkStart w:id="164" w:name="_Toc453932991"/>
      <w:bookmarkStart w:id="165" w:name="_Toc454295897"/>
      <w:bookmarkStart w:id="166" w:name="_Toc387390042"/>
      <w:bookmarkStart w:id="167" w:name="_Toc416161372"/>
      <w:bookmarkStart w:id="168" w:name="_Toc438553998"/>
      <w:bookmarkEnd w:id="141"/>
      <w:bookmarkEnd w:id="142"/>
      <w:bookmarkEnd w:id="143"/>
      <w:bookmarkEnd w:id="144"/>
      <w:bookmarkEnd w:id="145"/>
      <w:bookmarkEnd w:id="146"/>
      <w:bookmarkEnd w:id="147"/>
      <w:bookmarkEnd w:id="148"/>
      <w:bookmarkEnd w:id="150"/>
      <w:bookmarkEnd w:id="151"/>
      <w:bookmarkEnd w:id="152"/>
      <w:bookmarkEnd w:id="153"/>
      <w:bookmarkEnd w:id="154"/>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55"/>
      <w:bookmarkEnd w:id="156"/>
      <w:bookmarkEnd w:id="157"/>
      <w:bookmarkEnd w:id="158"/>
      <w:bookmarkEnd w:id="159"/>
      <w:bookmarkEnd w:id="160"/>
      <w:bookmarkEnd w:id="161"/>
      <w:bookmarkEnd w:id="162"/>
    </w:p>
    <w:p w14:paraId="58113AEE" w14:textId="4ED28EBF" w:rsidR="00B83A2A" w:rsidRPr="00C32576" w:rsidRDefault="00CC398B" w:rsidP="00B83A2A">
      <w:hyperlink r:id="rId196"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lastRenderedPageBreak/>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69"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70" w:name="_Hlk92456849"/>
      <w:bookmarkStart w:id="171"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7"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2"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8"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72"/>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70"/>
    <w:bookmarkEnd w:id="171"/>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99"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CC398B">
      <w:pPr>
        <w:numPr>
          <w:ilvl w:val="0"/>
          <w:numId w:val="24"/>
        </w:numPr>
        <w:tabs>
          <w:tab w:val="left" w:pos="1134"/>
          <w:tab w:val="left" w:pos="1871"/>
          <w:tab w:val="left" w:pos="2268"/>
        </w:tabs>
        <w:overflowPunct w:val="0"/>
        <w:autoSpaceDE w:val="0"/>
        <w:autoSpaceDN w:val="0"/>
        <w:adjustRightInd w:val="0"/>
        <w:textAlignment w:val="baseline"/>
      </w:pPr>
      <w:hyperlink r:id="rId200"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73" w:name="_Toc475354527"/>
      <w:bookmarkStart w:id="174"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201"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3"/>
    <w:bookmarkEnd w:id="174"/>
    <w:p w14:paraId="1EB2AF49" w14:textId="4D1718E0" w:rsidR="00B83A2A" w:rsidRPr="00C32576" w:rsidRDefault="007E65AE" w:rsidP="00B83A2A">
      <w:r w:rsidRPr="00D22378">
        <w:rPr>
          <w:rFonts w:eastAsia="SimSun"/>
          <w:b/>
          <w:bCs/>
        </w:rPr>
        <w:t>e-Learning courses:</w:t>
      </w:r>
      <w:r>
        <w:rPr>
          <w:rFonts w:eastAsia="SimSun"/>
        </w:rPr>
        <w:t xml:space="preserve"> </w:t>
      </w:r>
      <w:bookmarkStart w:id="175" w:name="_Hlk120609652"/>
      <w:r w:rsidR="00AE6237">
        <w:rPr>
          <w:rFonts w:eastAsia="SimSun"/>
        </w:rPr>
        <w:t xml:space="preserve">The </w:t>
      </w:r>
      <w:hyperlink r:id="rId202" w:history="1">
        <w:r w:rsidR="00AE6237" w:rsidRPr="00AE6237">
          <w:rPr>
            <w:rStyle w:val="Hyperlink"/>
            <w:rFonts w:eastAsia="SimSun"/>
          </w:rPr>
          <w:t>training course</w:t>
        </w:r>
      </w:hyperlink>
      <w:r w:rsidR="00AE6237">
        <w:rPr>
          <w:rFonts w:eastAsia="SimSun"/>
        </w:rPr>
        <w:t xml:space="preserve"> on </w:t>
      </w:r>
      <w:hyperlink r:id="rId203"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5"/>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4"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5"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76" w:name="_Toc480527856"/>
      <w:bookmarkStart w:id="177" w:name="_Toc51042277"/>
      <w:r w:rsidRPr="00D22378">
        <w:rPr>
          <w:b/>
          <w:bCs/>
        </w:rPr>
        <w:t xml:space="preserve">Fellowships: </w:t>
      </w:r>
      <w:bookmarkEnd w:id="176"/>
      <w:bookmarkEnd w:id="177"/>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6" r:link="rId207">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78" w:name="_12_Publications"/>
      <w:bookmarkStart w:id="179" w:name="_12_Gender"/>
      <w:bookmarkStart w:id="180" w:name="_13_Gender"/>
      <w:bookmarkStart w:id="181" w:name="_Toc120896452"/>
      <w:bookmarkEnd w:id="169"/>
      <w:bookmarkEnd w:id="178"/>
      <w:bookmarkEnd w:id="179"/>
      <w:bookmarkEnd w:id="180"/>
      <w:r w:rsidRPr="006E2B83">
        <w:t>1</w:t>
      </w:r>
      <w:r w:rsidR="005C2626">
        <w:t>3</w:t>
      </w:r>
      <w:r w:rsidRPr="006E2B83">
        <w:tab/>
        <w:t>Gender</w:t>
      </w:r>
      <w:bookmarkEnd w:id="181"/>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82"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82"/>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11"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3"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2"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3"/>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3"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84" w:name="_Hlk120616516"/>
      <w:r>
        <w:rPr>
          <w:rFonts w:asciiTheme="majorBidi" w:hAnsiTheme="majorBidi" w:cstheme="majorBidi"/>
        </w:rPr>
        <w:t xml:space="preserve">The </w:t>
      </w:r>
      <w:hyperlink r:id="rId214"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84"/>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5" r:link="rId216">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7" r:link="rId218">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9" r:link="rId220">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3" r:link="rId224">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5" r:link="rId226">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7" r:link="rId228">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5" w:name="_Toc120896453"/>
      <w:bookmarkStart w:id="186" w:name="_Hlk119499545"/>
      <w:r>
        <w:t>1</w:t>
      </w:r>
      <w:r w:rsidR="005C2626">
        <w:t>4</w:t>
      </w:r>
      <w:r w:rsidR="00136E7B" w:rsidRPr="00C32576">
        <w:tab/>
        <w:t>Publications</w:t>
      </w:r>
      <w:bookmarkEnd w:id="185"/>
    </w:p>
    <w:p w14:paraId="2CDD2E04" w14:textId="7D88A496" w:rsidR="000B0258" w:rsidRPr="00C32576" w:rsidRDefault="0017570A" w:rsidP="0048381E">
      <w:pPr>
        <w:pStyle w:val="Heading2"/>
      </w:pPr>
      <w:bookmarkStart w:id="187" w:name="_12.1_Recommendations_and"/>
      <w:bookmarkStart w:id="188" w:name="_13.1_Recommendations_and"/>
      <w:bookmarkStart w:id="189" w:name="_14.1_Recommendations_and"/>
      <w:bookmarkStart w:id="190" w:name="_Toc120896454"/>
      <w:bookmarkEnd w:id="187"/>
      <w:bookmarkEnd w:id="188"/>
      <w:bookmarkEnd w:id="189"/>
      <w:r>
        <w:t>1</w:t>
      </w:r>
      <w:r w:rsidR="005C2626">
        <w:t>4</w:t>
      </w:r>
      <w:r w:rsidR="000B0258" w:rsidRPr="00C32576">
        <w:t>.1</w:t>
      </w:r>
      <w:r w:rsidR="000B0258" w:rsidRPr="00C32576">
        <w:tab/>
        <w:t>Recommendations and Supplements</w:t>
      </w:r>
      <w:bookmarkEnd w:id="190"/>
    </w:p>
    <w:p w14:paraId="46571281" w14:textId="49C5FD5C" w:rsidR="00CE6518" w:rsidRPr="00C32576" w:rsidRDefault="00CE6518" w:rsidP="00CE6518">
      <w:bookmarkStart w:id="191"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191"/>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192"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192"/>
      <w:r w:rsidRPr="00C32576">
        <w:t>The ePub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9"/>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193" w:name="_Toc120896455"/>
      <w:r>
        <w:t>1</w:t>
      </w:r>
      <w:r w:rsidR="005C2626">
        <w:t>4</w:t>
      </w:r>
      <w:r w:rsidRPr="00C32576">
        <w:t>.1</w:t>
      </w:r>
      <w:r>
        <w:t>.1</w:t>
      </w:r>
      <w:r w:rsidRPr="00C32576">
        <w:tab/>
        <w:t xml:space="preserve">Recommendations </w:t>
      </w:r>
      <w:r w:rsidR="00451176">
        <w:t>deleted</w:t>
      </w:r>
      <w:r>
        <w:t xml:space="preserve"> between WTSAs</w:t>
      </w:r>
      <w:bookmarkEnd w:id="193"/>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4" w:name="_14.2_Official_languages"/>
      <w:bookmarkStart w:id="195" w:name="_Toc120896456"/>
      <w:bookmarkEnd w:id="194"/>
      <w:r>
        <w:t>1</w:t>
      </w:r>
      <w:r w:rsidR="005C2626">
        <w:t>4</w:t>
      </w:r>
      <w:r w:rsidRPr="00C32576">
        <w:t>.2</w:t>
      </w:r>
      <w:r w:rsidRPr="00C32576">
        <w:tab/>
        <w:t>Official languages of the Union on an equal footing</w:t>
      </w:r>
      <w:bookmarkEnd w:id="195"/>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30"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196" w:name="_12.2_Official_languages"/>
      <w:bookmarkStart w:id="197" w:name="_13.2_Official_languages"/>
      <w:bookmarkStart w:id="198" w:name="_13_Services_and"/>
      <w:bookmarkStart w:id="199" w:name="_14_Services_and"/>
      <w:bookmarkStart w:id="200" w:name="_15_Services_and"/>
      <w:bookmarkStart w:id="201" w:name="_Toc416161374"/>
      <w:bookmarkStart w:id="202" w:name="_Toc438553999"/>
      <w:bookmarkStart w:id="203" w:name="_Toc453929121"/>
      <w:bookmarkStart w:id="204" w:name="_Toc453932992"/>
      <w:bookmarkStart w:id="205" w:name="_Toc454295898"/>
      <w:bookmarkStart w:id="206" w:name="_Toc462664276"/>
      <w:bookmarkStart w:id="207" w:name="_Toc480527868"/>
      <w:bookmarkStart w:id="208" w:name="_Ref16697318"/>
      <w:bookmarkStart w:id="209" w:name="_Toc120896457"/>
      <w:bookmarkEnd w:id="163"/>
      <w:bookmarkEnd w:id="164"/>
      <w:bookmarkEnd w:id="165"/>
      <w:bookmarkEnd w:id="166"/>
      <w:bookmarkEnd w:id="167"/>
      <w:bookmarkEnd w:id="168"/>
      <w:bookmarkEnd w:id="186"/>
      <w:bookmarkEnd w:id="196"/>
      <w:bookmarkEnd w:id="197"/>
      <w:bookmarkEnd w:id="198"/>
      <w:bookmarkEnd w:id="199"/>
      <w:bookmarkEnd w:id="200"/>
      <w:r w:rsidRPr="00C32576">
        <w:t>1</w:t>
      </w:r>
      <w:r w:rsidR="005C2626">
        <w:t>5</w:t>
      </w:r>
      <w:r w:rsidR="00136E7B" w:rsidRPr="00C32576">
        <w:tab/>
        <w:t>Services and tools</w:t>
      </w:r>
      <w:bookmarkEnd w:id="201"/>
      <w:bookmarkEnd w:id="202"/>
      <w:bookmarkEnd w:id="203"/>
      <w:bookmarkEnd w:id="204"/>
      <w:bookmarkEnd w:id="205"/>
      <w:bookmarkEnd w:id="206"/>
      <w:bookmarkEnd w:id="207"/>
      <w:bookmarkEnd w:id="208"/>
      <w:bookmarkEnd w:id="209"/>
    </w:p>
    <w:p w14:paraId="5F88433C" w14:textId="722D2536" w:rsidR="003D5F16" w:rsidRDefault="003D5F16" w:rsidP="003D5F16">
      <w:bookmarkStart w:id="210"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1"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11"/>
    </w:p>
    <w:p w14:paraId="643BAE9E" w14:textId="5A192D8E" w:rsidR="000E3711" w:rsidRPr="000E3711" w:rsidRDefault="000E3711" w:rsidP="000E3711">
      <w:pPr>
        <w:rPr>
          <w:bCs/>
        </w:rPr>
      </w:pPr>
      <w:bookmarkStart w:id="212" w:name="_Hlk120616944"/>
      <w:r w:rsidRPr="000E3711">
        <w:rPr>
          <w:bCs/>
        </w:rPr>
        <w:t>The "</w:t>
      </w:r>
      <w:hyperlink r:id="rId231">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2"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3" w:name="_Toc120896459"/>
      <w:bookmarkEnd w:id="210"/>
      <w:bookmarkEnd w:id="212"/>
      <w:r w:rsidRPr="00C32576">
        <w:t>1</w:t>
      </w:r>
      <w:r w:rsidR="005C2626">
        <w:t>5</w:t>
      </w:r>
      <w:r w:rsidRPr="00C32576">
        <w:t>.</w:t>
      </w:r>
      <w:r w:rsidR="000E3711">
        <w:t>2</w:t>
      </w:r>
      <w:r w:rsidRPr="00C32576">
        <w:tab/>
        <w:t xml:space="preserve">ITU-T </w:t>
      </w:r>
      <w:r>
        <w:t>applications</w:t>
      </w:r>
      <w:bookmarkEnd w:id="213"/>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CC398B" w:rsidP="003D5F16">
      <w:pPr>
        <w:numPr>
          <w:ilvl w:val="0"/>
          <w:numId w:val="9"/>
        </w:numPr>
        <w:rPr>
          <w:lang w:val="fr-FR" w:eastAsia="en-US"/>
        </w:rPr>
      </w:pPr>
      <w:hyperlink r:id="rId233" w:history="1">
        <w:r w:rsidR="003D5F16" w:rsidRPr="003D5F16">
          <w:rPr>
            <w:rStyle w:val="Hyperlink"/>
            <w:lang w:val="fr-FR" w:eastAsia="en-US"/>
          </w:rPr>
          <w:t>Work Programme</w:t>
        </w:r>
      </w:hyperlink>
      <w:r w:rsidR="003D5F16" w:rsidRPr="003D5F16">
        <w:rPr>
          <w:lang w:val="fr-FR" w:eastAsia="en-US"/>
        </w:rPr>
        <w:t xml:space="preserve">, </w:t>
      </w:r>
      <w:hyperlink r:id="rId234" w:history="1">
        <w:r w:rsidR="003D5F16" w:rsidRPr="003D5F16">
          <w:rPr>
            <w:rStyle w:val="Hyperlink"/>
            <w:lang w:val="fr-FR" w:eastAsia="en-US"/>
          </w:rPr>
          <w:t>Recommendations</w:t>
        </w:r>
      </w:hyperlink>
      <w:r w:rsidR="003D5F16" w:rsidRPr="003D5F16">
        <w:rPr>
          <w:lang w:val="fr-FR" w:eastAsia="en-US"/>
        </w:rPr>
        <w:t xml:space="preserve">, </w:t>
      </w:r>
      <w:hyperlink r:id="rId235" w:history="1">
        <w:r w:rsidR="003D5F16" w:rsidRPr="003D5F16">
          <w:rPr>
            <w:rStyle w:val="Hyperlink"/>
            <w:lang w:val="fr-FR" w:eastAsia="en-US"/>
          </w:rPr>
          <w:t xml:space="preserve">IPR </w:t>
        </w:r>
      </w:hyperlink>
      <w:r w:rsidR="003D5F16" w:rsidRPr="003D5F16">
        <w:rPr>
          <w:lang w:val="fr-FR" w:eastAsia="en-US"/>
        </w:rPr>
        <w:t xml:space="preserve"> &amp; </w:t>
      </w:r>
      <w:hyperlink r:id="rId236"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CC398B" w:rsidP="003D5F16">
      <w:pPr>
        <w:numPr>
          <w:ilvl w:val="0"/>
          <w:numId w:val="9"/>
        </w:numPr>
        <w:rPr>
          <w:lang w:eastAsia="en-US"/>
        </w:rPr>
      </w:pPr>
      <w:hyperlink r:id="rId237">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CC398B" w:rsidP="003D5F16">
      <w:pPr>
        <w:numPr>
          <w:ilvl w:val="0"/>
          <w:numId w:val="9"/>
        </w:numPr>
        <w:rPr>
          <w:lang w:eastAsia="en-US"/>
        </w:rPr>
      </w:pPr>
      <w:hyperlink r:id="rId238">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CC398B" w:rsidP="003D5F16">
      <w:pPr>
        <w:numPr>
          <w:ilvl w:val="0"/>
          <w:numId w:val="9"/>
        </w:numPr>
        <w:rPr>
          <w:lang w:eastAsia="en-US"/>
        </w:rPr>
      </w:pPr>
      <w:hyperlink r:id="rId239"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CC398B" w:rsidP="003D5F16">
      <w:pPr>
        <w:numPr>
          <w:ilvl w:val="0"/>
          <w:numId w:val="9"/>
        </w:numPr>
        <w:rPr>
          <w:lang w:eastAsia="en-US"/>
        </w:rPr>
      </w:pPr>
      <w:hyperlink r:id="rId240"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CC398B" w:rsidP="003D5F16">
      <w:pPr>
        <w:numPr>
          <w:ilvl w:val="0"/>
          <w:numId w:val="9"/>
        </w:numPr>
        <w:rPr>
          <w:lang w:eastAsia="en-US"/>
        </w:rPr>
      </w:pPr>
      <w:hyperlink r:id="rId241"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CC398B" w:rsidP="003D5F16">
      <w:pPr>
        <w:numPr>
          <w:ilvl w:val="0"/>
          <w:numId w:val="9"/>
        </w:numPr>
        <w:rPr>
          <w:lang w:eastAsia="en-US"/>
        </w:rPr>
      </w:pPr>
      <w:hyperlink r:id="rId242"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CC398B" w:rsidP="003D5F16">
      <w:pPr>
        <w:numPr>
          <w:ilvl w:val="0"/>
          <w:numId w:val="9"/>
        </w:numPr>
        <w:rPr>
          <w:lang w:eastAsia="en-US"/>
        </w:rPr>
      </w:pPr>
      <w:hyperlink r:id="rId243"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4" w:name="_Toc120896460"/>
      <w:r w:rsidRPr="00C32576">
        <w:t>1</w:t>
      </w:r>
      <w:r w:rsidR="005C2626">
        <w:t>5</w:t>
      </w:r>
      <w:r w:rsidRPr="00C32576">
        <w:t>.</w:t>
      </w:r>
      <w:r w:rsidR="000E3711">
        <w:t>3</w:t>
      </w:r>
      <w:r w:rsidRPr="00C32576">
        <w:tab/>
        <w:t>ITU-</w:t>
      </w:r>
      <w:r>
        <w:t>wide applications</w:t>
      </w:r>
      <w:bookmarkEnd w:id="214"/>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CC398B">
      <w:pPr>
        <w:numPr>
          <w:ilvl w:val="0"/>
          <w:numId w:val="10"/>
        </w:numPr>
        <w:rPr>
          <w:bCs/>
        </w:rPr>
      </w:pPr>
      <w:hyperlink r:id="rId244"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CC398B">
      <w:pPr>
        <w:numPr>
          <w:ilvl w:val="0"/>
          <w:numId w:val="10"/>
        </w:numPr>
        <w:rPr>
          <w:bCs/>
        </w:rPr>
      </w:pPr>
      <w:hyperlink r:id="rId245">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CC398B">
      <w:pPr>
        <w:numPr>
          <w:ilvl w:val="0"/>
          <w:numId w:val="10"/>
        </w:numPr>
        <w:rPr>
          <w:bCs/>
        </w:rPr>
      </w:pPr>
      <w:hyperlink r:id="rId246">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CC398B">
      <w:pPr>
        <w:numPr>
          <w:ilvl w:val="0"/>
          <w:numId w:val="10"/>
        </w:numPr>
        <w:rPr>
          <w:bCs/>
        </w:rPr>
      </w:pPr>
      <w:hyperlink r:id="rId247"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CC398B">
      <w:pPr>
        <w:numPr>
          <w:ilvl w:val="0"/>
          <w:numId w:val="10"/>
        </w:numPr>
        <w:rPr>
          <w:bCs/>
        </w:rPr>
      </w:pPr>
      <w:hyperlink r:id="rId248"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15" w:name="_Toc120896461"/>
      <w:r w:rsidRPr="00C32576">
        <w:t>1</w:t>
      </w:r>
      <w:r w:rsidR="005C2626">
        <w:t>5</w:t>
      </w:r>
      <w:r w:rsidRPr="00C32576">
        <w:t>.</w:t>
      </w:r>
      <w:r w:rsidR="000E3711">
        <w:t>4</w:t>
      </w:r>
      <w:r w:rsidRPr="00C32576">
        <w:tab/>
        <w:t>ITU-</w:t>
      </w:r>
      <w:r>
        <w:t>T services</w:t>
      </w:r>
      <w:bookmarkEnd w:id="215"/>
    </w:p>
    <w:p w14:paraId="70B371CC" w14:textId="596DF015" w:rsidR="003D5F16" w:rsidRDefault="003D5F16" w:rsidP="003D5F16">
      <w:pPr>
        <w:rPr>
          <w:bCs/>
        </w:rPr>
      </w:pPr>
      <w:r w:rsidRPr="003D5F16">
        <w:rPr>
          <w:bCs/>
        </w:rPr>
        <w:t xml:space="preserve">The </w:t>
      </w:r>
      <w:hyperlink r:id="rId249"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50"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51"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16"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16"/>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2"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3"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4"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17" w:name="_Toc120896463"/>
      <w:r w:rsidRPr="00C32576">
        <w:t>1</w:t>
      </w:r>
      <w:r w:rsidR="005C2626">
        <w:t>5</w:t>
      </w:r>
      <w:r w:rsidRPr="00C32576">
        <w:t>.</w:t>
      </w:r>
      <w:r w:rsidR="000E3711">
        <w:t>6</w:t>
      </w:r>
      <w:r w:rsidRPr="00C32576">
        <w:tab/>
        <w:t>ITU-</w:t>
      </w:r>
      <w:r>
        <w:t>T SharePoint collaboration sites</w:t>
      </w:r>
      <w:bookmarkEnd w:id="217"/>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5"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6"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7"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8"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59"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60"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61"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62"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3"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4"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5"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6"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7"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8"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69"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70"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71"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2"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3"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4"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5"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CC398B">
      <w:pPr>
        <w:numPr>
          <w:ilvl w:val="0"/>
          <w:numId w:val="11"/>
        </w:numPr>
        <w:rPr>
          <w:bCs/>
          <w:lang w:eastAsia="en-US"/>
        </w:rPr>
      </w:pPr>
      <w:hyperlink r:id="rId276"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7"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18" w:name="_Toc117161212"/>
      <w:bookmarkStart w:id="219" w:name="_Toc120622862"/>
      <w:bookmarkStart w:id="220" w:name="_Toc120896464"/>
      <w:bookmarkEnd w:id="3"/>
      <w:bookmarkEnd w:id="4"/>
      <w:bookmarkEnd w:id="5"/>
      <w:r w:rsidRPr="00444359">
        <w:lastRenderedPageBreak/>
        <w:t>Appendix I – List of approved texts and texts undergoing approval</w:t>
      </w:r>
      <w:bookmarkEnd w:id="218"/>
      <w:bookmarkEnd w:id="219"/>
      <w:bookmarkEnd w:id="220"/>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21" w:name="_Toc480527886"/>
      <w:bookmarkStart w:id="222" w:name="_Toc480527890"/>
      <w:r w:rsidRPr="0002157C">
        <w:t>I.1.1</w:t>
      </w:r>
      <w:r w:rsidRPr="0002157C">
        <w:tab/>
        <w:t>G.fast and DSL: Breathing new life into existing copper infrastructure</w:t>
      </w:r>
    </w:p>
    <w:p w14:paraId="33214D96" w14:textId="77777777" w:rsidR="007D1345" w:rsidRPr="0002157C" w:rsidRDefault="00CC398B" w:rsidP="007D1345">
      <w:hyperlink r:id="rId278"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Add codepoints for the support of G.fastback Recommendation.</w:t>
      </w:r>
    </w:p>
    <w:p w14:paraId="64541CD1" w14:textId="77777777" w:rsidR="007D1345" w:rsidRPr="0002157C" w:rsidRDefault="00CC398B" w:rsidP="007D1345">
      <w:hyperlink r:id="rId279" w:history="1">
        <w:r w:rsidR="007D1345" w:rsidRPr="0002157C">
          <w:rPr>
            <w:rStyle w:val="Hyperlink"/>
            <w:b/>
            <w:bCs/>
          </w:rPr>
          <w:t>ITU-T G.997.2 Amd.3 “Physical layer management for G.fast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CC398B" w:rsidP="007D1345">
      <w:hyperlink r:id="rId280" w:history="1">
        <w:r w:rsidR="007D1345" w:rsidRPr="0002157C">
          <w:rPr>
            <w:rStyle w:val="Hyperlink"/>
            <w:b/>
            <w:bCs/>
          </w:rPr>
          <w:t>ITU-T G.997.3 Amd.1 “Physical layer management for MGfast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CC398B" w:rsidP="007D1345">
      <w:hyperlink r:id="rId281" w:history="1">
        <w:r w:rsidR="007D1345" w:rsidRPr="0002157C">
          <w:rPr>
            <w:rStyle w:val="Hyperlink"/>
            <w:b/>
            <w:bCs/>
          </w:rPr>
          <w:t>ITU-T G.9701 (2019) Amd.4 “Fast access to subscriber terminals (G.fast)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CC398B" w:rsidP="007D1345">
      <w:hyperlink r:id="rId282" w:history="1">
        <w:r w:rsidR="007D1345" w:rsidRPr="0002157C">
          <w:rPr>
            <w:rStyle w:val="Hyperlink"/>
            <w:b/>
            <w:bCs/>
          </w:rPr>
          <w:t>ITU-T G.9702 “Transceiver and system specifications for backhaul applications based on G.fast”</w:t>
        </w:r>
      </w:hyperlink>
      <w:r w:rsidR="007D1345"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CC398B" w:rsidP="007D1345">
      <w:hyperlink r:id="rId283" w:history="1">
        <w:r w:rsidR="007D1345" w:rsidRPr="0002157C">
          <w:rPr>
            <w:rStyle w:val="Hyperlink"/>
            <w:b/>
            <w:bCs/>
          </w:rPr>
          <w:t>ITU-T G.9711 Amd.1 “Multi-gigabit fast access to subscriber terminals (MGfast)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23" w:name="_Toc480527892"/>
      <w:r w:rsidRPr="0002157C">
        <w:t>I.1.2</w:t>
      </w:r>
      <w:r w:rsidRPr="0002157C">
        <w:tab/>
        <w:t>Ultra-high-speed optical access</w:t>
      </w:r>
      <w:bookmarkEnd w:id="223"/>
    </w:p>
    <w:p w14:paraId="2C182FE9" w14:textId="77777777" w:rsidR="007D1345" w:rsidRPr="0002157C" w:rsidRDefault="00CC398B" w:rsidP="007D1345">
      <w:hyperlink r:id="rId284"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CC398B" w:rsidP="007D1345">
      <w:hyperlink r:id="rId285"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CC398B" w:rsidP="007D1345">
      <w:hyperlink r:id="rId286"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CC398B" w:rsidP="007D1345">
      <w:hyperlink r:id="rId287"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CC398B" w:rsidP="007D1345">
      <w:hyperlink r:id="rId288"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21"/>
    </w:p>
    <w:p w14:paraId="4120B573" w14:textId="77777777" w:rsidR="007D1345" w:rsidRPr="0002157C" w:rsidRDefault="00CC398B" w:rsidP="007D1345">
      <w:hyperlink r:id="rId289"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CC398B" w:rsidP="007D1345">
      <w:hyperlink r:id="rId290"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CC398B" w:rsidP="007D1345">
      <w:pPr>
        <w:rPr>
          <w:b/>
          <w:bCs/>
        </w:rPr>
      </w:pPr>
      <w:hyperlink r:id="rId291"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CC398B" w:rsidP="007D1345">
      <w:hyperlink r:id="rId292"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24" w:name="_Toc480527887"/>
      <w:r w:rsidRPr="0002157C">
        <w:t>I.1.5</w:t>
      </w:r>
      <w:r w:rsidRPr="0002157C">
        <w:tab/>
        <w:t xml:space="preserve">Optical </w:t>
      </w:r>
      <w:bookmarkEnd w:id="224"/>
      <w:r w:rsidRPr="0002157C">
        <w:t>transport network (OTN)</w:t>
      </w:r>
    </w:p>
    <w:p w14:paraId="41F0CC64" w14:textId="77777777" w:rsidR="007D1345" w:rsidRPr="0002157C" w:rsidRDefault="00CC398B" w:rsidP="007D1345">
      <w:hyperlink r:id="rId293" w:history="1">
        <w:r w:rsidR="007D1345" w:rsidRPr="0002157C">
          <w:rPr>
            <w:rStyle w:val="Hyperlink"/>
            <w:b/>
            <w:bCs/>
          </w:rPr>
          <w:t>ITU-T G.709/Y.1331 Amd.2 “Interfaces for the optical transport network - Amendment 2”</w:t>
        </w:r>
      </w:hyperlink>
      <w:r w:rsidR="007D1345" w:rsidRPr="0002157C">
        <w:t xml:space="preserve">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4DDDE3DB" w14:textId="77777777" w:rsidR="007D1345" w:rsidRPr="0002157C" w:rsidRDefault="00CC398B" w:rsidP="007D1345">
      <w:hyperlink r:id="rId294" w:history="1">
        <w:r w:rsidR="007D1345" w:rsidRPr="0002157C">
          <w:rPr>
            <w:rStyle w:val="Hyperlink"/>
            <w:b/>
            <w:bCs/>
          </w:rPr>
          <w:t>ITU-T G.709.1/Y.1331 Amd.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CC398B" w:rsidP="007D1345">
      <w:hyperlink r:id="rId295" w:history="1">
        <w:r w:rsidR="007D1345" w:rsidRPr="0002157C">
          <w:rPr>
            <w:rStyle w:val="Hyperlink"/>
            <w:b/>
            <w:bCs/>
          </w:rPr>
          <w:t>ITU-T G.709.3 Amd. 1 (revised) “Flexible OTN long reach interfaces - Amendment 1”</w:t>
        </w:r>
      </w:hyperlink>
      <w:r w:rsidR="007D1345" w:rsidRPr="0002157C">
        <w:t xml:space="preserve"> updates the text in Annex G of G.709.3 to support the FlexO-x-DO TS, PS and MFAS overhead bit values.</w:t>
      </w:r>
    </w:p>
    <w:p w14:paraId="136D6E86" w14:textId="77777777" w:rsidR="007D1345" w:rsidRPr="0002157C" w:rsidRDefault="00CC398B" w:rsidP="007D1345">
      <w:hyperlink r:id="rId296"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6835B7B6" w14:textId="77777777" w:rsidR="007D1345" w:rsidRPr="0002157C" w:rsidRDefault="00CC398B" w:rsidP="007D1345">
      <w:hyperlink r:id="rId297"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Clause 6.1 to indicate that TPmode and portmode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TPmode and portmode </w:t>
      </w:r>
    </w:p>
    <w:p w14:paraId="5B1E4104" w14:textId="77777777" w:rsidR="007D1345" w:rsidRPr="0002157C" w:rsidRDefault="007D1345" w:rsidP="007D1345">
      <w:r w:rsidRPr="0002157C">
        <w:t>-</w:t>
      </w:r>
      <w:r w:rsidRPr="0002157C">
        <w:tab/>
        <w:t>New Appendix IX to describe the behaviour of TPmode and portmode that are moved from clause 6.1.</w:t>
      </w:r>
    </w:p>
    <w:p w14:paraId="32B12B91" w14:textId="77777777" w:rsidR="007D1345" w:rsidRPr="0002157C" w:rsidRDefault="00CC398B" w:rsidP="007D1345">
      <w:hyperlink r:id="rId298" w:history="1">
        <w:r w:rsidR="007D1345" w:rsidRPr="0002157C">
          <w:rPr>
            <w:rStyle w:val="Hyperlink"/>
            <w:b/>
            <w:bCs/>
          </w:rPr>
          <w:t>ITU-T G.873.1 Amd.1 “Optical transport network: Linear protection - Amendment 1”</w:t>
        </w:r>
      </w:hyperlink>
      <w:r w:rsidR="007D1345" w:rsidRPr="0002157C">
        <w:t xml:space="preserve"> adds ODUCn as a server layer of protected entities in Table 8-1 and provides minor editorial changes.</w:t>
      </w:r>
    </w:p>
    <w:p w14:paraId="51E12FD8" w14:textId="77777777" w:rsidR="007D1345" w:rsidRPr="0002157C" w:rsidRDefault="00CC398B" w:rsidP="007D1345">
      <w:hyperlink r:id="rId299"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CC398B" w:rsidP="007D1345">
      <w:hyperlink r:id="rId300"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25" w:name="_Toc480527889"/>
      <w:r w:rsidRPr="0002157C">
        <w:t>I.1.6</w:t>
      </w:r>
      <w:r w:rsidRPr="0002157C">
        <w:tab/>
        <w:t>Transport network control aspects</w:t>
      </w:r>
      <w:bookmarkEnd w:id="225"/>
    </w:p>
    <w:p w14:paraId="62A04062" w14:textId="77777777" w:rsidR="007D1345" w:rsidRPr="0002157C" w:rsidRDefault="00CC398B" w:rsidP="007D1345">
      <w:hyperlink r:id="rId301"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CC398B" w:rsidP="007D1345">
      <w:hyperlink r:id="rId302"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CC398B" w:rsidP="007D1345">
      <w:hyperlink r:id="rId303"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CC398B" w:rsidP="007D1345">
      <w:hyperlink r:id="rId304"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CC398B" w:rsidP="007D1345">
      <w:hyperlink r:id="rId305" w:history="1">
        <w:r w:rsidR="007D1345" w:rsidRPr="0002157C">
          <w:rPr>
            <w:rStyle w:val="Hyperlink"/>
            <w:b/>
            <w:bCs/>
          </w:rPr>
          <w:t>ITU-T G.7711/Y.1702 (revised) “Generic protocol-neutral information model for transport resources”</w:t>
        </w:r>
      </w:hyperlink>
      <w:r w:rsidR="007D1345"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4044B8D6" w14:textId="77777777" w:rsidR="007D1345" w:rsidRPr="0002157C" w:rsidRDefault="00CC398B" w:rsidP="007D1345">
      <w:hyperlink r:id="rId306" w:history="1">
        <w:r w:rsidR="007D1345" w:rsidRPr="0002157C">
          <w:rPr>
            <w:rStyle w:val="Hyperlink"/>
            <w:b/>
            <w:bCs/>
          </w:rPr>
          <w:t>ITU-T G.7712/Y.1703 Amd.1 “Architecture and specification of data communication network - Amendment 1”</w:t>
        </w:r>
      </w:hyperlink>
      <w:r w:rsidR="007D1345"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CC398B" w:rsidP="007D1345">
      <w:hyperlink r:id="rId307"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CC398B" w:rsidP="007D1345">
      <w:hyperlink r:id="rId308"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CC398B" w:rsidP="007D1345">
      <w:hyperlink r:id="rId309"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CC398B" w:rsidP="007D1345">
      <w:hyperlink r:id="rId310"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CC398B" w:rsidP="007D1345">
      <w:hyperlink r:id="rId311"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CC398B" w:rsidP="007D1345">
      <w:hyperlink r:id="rId312"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CC398B" w:rsidP="007D1345">
      <w:hyperlink r:id="rId313"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CC398B" w:rsidP="007D1345">
      <w:hyperlink r:id="rId314"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CC398B" w:rsidP="007D1345">
      <w:hyperlink r:id="rId315"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CC398B" w:rsidP="007D1345">
      <w:hyperlink r:id="rId316"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to add new clause 6.6 and update Annex A regarding FlexE aware mapping</w:t>
      </w:r>
    </w:p>
    <w:p w14:paraId="22B95ED6" w14:textId="77777777" w:rsidR="007D1345" w:rsidRPr="0002157C" w:rsidRDefault="007D1345" w:rsidP="007D1345">
      <w:r w:rsidRPr="0002157C">
        <w:t>–</w:t>
      </w:r>
      <w:r w:rsidRPr="0002157C">
        <w:tab/>
        <w:t>to include common processes for FlexE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CC398B" w:rsidP="007D1345">
      <w:hyperlink r:id="rId317"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CC398B" w:rsidP="007D1345">
      <w:hyperlink r:id="rId318"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Addition of FlexE to SD layer adaptation functions</w:t>
      </w:r>
    </w:p>
    <w:p w14:paraId="25E2CBC2" w14:textId="77777777" w:rsidR="007D1345" w:rsidRPr="0002157C" w:rsidRDefault="007D1345" w:rsidP="007D1345">
      <w:r w:rsidRPr="0002157C">
        <w:t>•</w:t>
      </w:r>
      <w:r w:rsidRPr="0002157C">
        <w:tab/>
        <w:t>Addition of FlexE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CC398B" w:rsidP="007D1345">
      <w:hyperlink r:id="rId319"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Addition of FlexO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CC398B" w:rsidP="007D1345">
      <w:hyperlink r:id="rId320"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CC398B" w:rsidP="007D1345">
      <w:hyperlink r:id="rId321"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CC398B" w:rsidP="007D1345">
      <w:hyperlink r:id="rId322"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CC398B" w:rsidP="007D1345">
      <w:hyperlink r:id="rId323"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CC398B" w:rsidP="007D1345">
      <w:hyperlink r:id="rId324"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CC398B" w:rsidP="007D1345">
      <w:hyperlink r:id="rId325"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CC398B" w:rsidP="007D1345">
      <w:hyperlink r:id="rId326"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CC398B" w:rsidP="007D1345">
      <w:hyperlink r:id="rId327"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CC398B" w:rsidP="007D1345">
      <w:hyperlink r:id="rId328"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CC398B" w:rsidP="007D1345">
      <w:hyperlink r:id="rId329"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CC398B" w:rsidP="007D1345">
      <w:hyperlink r:id="rId330"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CC398B" w:rsidP="007D1345">
      <w:hyperlink r:id="rId331" w:history="1">
        <w:r w:rsidR="007D1345" w:rsidRPr="0002157C">
          <w:rPr>
            <w:rStyle w:val="Hyperlink"/>
            <w:b/>
            <w:bCs/>
          </w:rPr>
          <w:t>ITU-T G.8273.2/Y.1368.2 (2020) Amd.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CC398B" w:rsidP="007D1345">
      <w:hyperlink r:id="rId332"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CC398B" w:rsidP="007D1345">
      <w:hyperlink r:id="rId333"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CC398B" w:rsidP="007D1345">
      <w:hyperlink r:id="rId334"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CC398B" w:rsidP="007D1345">
      <w:hyperlink r:id="rId335" w:history="1">
        <w:r w:rsidR="007D1345" w:rsidRPr="0002157C">
          <w:rPr>
            <w:rStyle w:val="Hyperlink"/>
            <w:b/>
            <w:bCs/>
          </w:rPr>
          <w:t>ITU-T G.8275/Y.1369 (2020) Amd.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1D46ED44" w14:textId="77777777" w:rsidR="007D1345" w:rsidRPr="0002157C" w:rsidRDefault="00CC398B" w:rsidP="007D1345">
      <w:hyperlink r:id="rId336"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Replace masterOnly procedures with a pointer to the procedures defined in [IEEE 1588-2019]</w:t>
      </w:r>
    </w:p>
    <w:p w14:paraId="046CE4D2" w14:textId="77777777" w:rsidR="007D1345" w:rsidRPr="0002157C" w:rsidRDefault="007D1345" w:rsidP="007D1345">
      <w:r w:rsidRPr="0002157C">
        <w:t>-</w:t>
      </w:r>
      <w:r w:rsidRPr="0002157C">
        <w:tab/>
        <w:t>Add new per port notMaster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New Appendix XV on considerations of deploying ePRTC and PRTC in the network.</w:t>
      </w:r>
    </w:p>
    <w:p w14:paraId="36EA7B1F" w14:textId="77777777" w:rsidR="007D1345" w:rsidRPr="0002157C" w:rsidRDefault="00CC398B" w:rsidP="007D1345">
      <w:hyperlink r:id="rId337"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CC398B" w:rsidP="007D1345">
      <w:hyperlink r:id="rId338"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Replaced masterOnly procedures with a pointer to the procedures defined in [IEEE 1588-2019]</w:t>
      </w:r>
    </w:p>
    <w:p w14:paraId="5FE08F89" w14:textId="77777777" w:rsidR="007D1345" w:rsidRPr="0002157C" w:rsidRDefault="007D1345" w:rsidP="007D1345">
      <w:r w:rsidRPr="0002157C">
        <w:t>-</w:t>
      </w:r>
      <w:r w:rsidRPr="0002157C">
        <w:tab/>
        <w:t>Added new per port notMaster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22"/>
    </w:p>
    <w:p w14:paraId="04D2CA50" w14:textId="77777777" w:rsidR="007D1345" w:rsidRPr="0002157C" w:rsidRDefault="00CC398B" w:rsidP="007D1345">
      <w:hyperlink r:id="rId339"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CC398B" w:rsidP="007D1345">
      <w:hyperlink r:id="rId340"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CC398B" w:rsidP="007D1345">
      <w:hyperlink r:id="rId341" w:history="1">
        <w:r w:rsidR="007D1345" w:rsidRPr="0002157C">
          <w:rPr>
            <w:rStyle w:val="Hyperlink"/>
            <w:b/>
            <w:bCs/>
          </w:rPr>
          <w:t>ITU-T J.198.1 “Functional requirements for third-generation HiNoC”</w:t>
        </w:r>
      </w:hyperlink>
      <w:r w:rsidR="007D1345"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CC398B" w:rsidP="007D1345">
      <w:pPr>
        <w:rPr>
          <w:lang w:eastAsia="en-US"/>
        </w:rPr>
      </w:pPr>
      <w:hyperlink r:id="rId342"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CC398B" w:rsidP="007D1345">
      <w:hyperlink r:id="rId343"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7B640280" w14:textId="77777777" w:rsidR="007D1345" w:rsidRPr="0002157C" w:rsidRDefault="00CC398B" w:rsidP="007D1345">
      <w:hyperlink r:id="rId344"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NOTE – The structure and content of this Recommendation have been organized for ease of use through direct reference to the original source material, based on the recognition of CableLabs by ITU in accordance with Recommendation ITU-T A.5.</w:t>
      </w:r>
    </w:p>
    <w:p w14:paraId="7305039E" w14:textId="77777777" w:rsidR="007D1345" w:rsidRPr="0002157C" w:rsidRDefault="00CC398B" w:rsidP="007D1345">
      <w:pPr>
        <w:rPr>
          <w:lang w:eastAsia="en-US"/>
        </w:rPr>
      </w:pPr>
      <w:hyperlink r:id="rId345"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Part 1:</w:t>
      </w:r>
      <w:r w:rsidRPr="003253DC">
        <w:rPr>
          <w:lang w:val="fr-FR" w:eastAsia="en-US"/>
        </w:rPr>
        <w:tab/>
        <w:t>Requirements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Architecture and functional specifications;</w:t>
      </w:r>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CC398B" w:rsidP="007D1345">
      <w:pPr>
        <w:rPr>
          <w:lang w:eastAsia="en-US"/>
        </w:rPr>
      </w:pPr>
      <w:hyperlink r:id="rId346"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CC398B" w:rsidP="007D1345">
      <w:pPr>
        <w:rPr>
          <w:lang w:eastAsia="en-US"/>
        </w:rPr>
      </w:pPr>
      <w:hyperlink r:id="rId347"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CC398B" w:rsidP="007D1345">
      <w:pPr>
        <w:rPr>
          <w:lang w:eastAsia="en-US"/>
        </w:rPr>
      </w:pPr>
      <w:hyperlink r:id="rId348"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CC398B" w:rsidP="007D1345">
      <w:pPr>
        <w:rPr>
          <w:lang w:eastAsia="en-US"/>
        </w:rPr>
      </w:pPr>
      <w:hyperlink r:id="rId349"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CC398B" w:rsidP="007D1345">
      <w:pPr>
        <w:rPr>
          <w:lang w:eastAsia="en-US"/>
        </w:rPr>
      </w:pPr>
      <w:hyperlink r:id="rId350"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CC398B" w:rsidP="007D1345">
      <w:pPr>
        <w:rPr>
          <w:lang w:eastAsia="en-US"/>
        </w:rPr>
      </w:pPr>
      <w:hyperlink r:id="rId351"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CC398B" w:rsidP="007D1345">
      <w:pPr>
        <w:rPr>
          <w:lang w:eastAsia="en-US"/>
        </w:rPr>
      </w:pPr>
      <w:hyperlink r:id="rId352"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CC398B" w:rsidP="007D1345">
      <w:pPr>
        <w:rPr>
          <w:lang w:eastAsia="en-US"/>
        </w:rPr>
      </w:pPr>
      <w:hyperlink r:id="rId353"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CC398B" w:rsidP="007D1345">
      <w:pPr>
        <w:rPr>
          <w:lang w:eastAsia="en-US"/>
        </w:rPr>
      </w:pPr>
      <w:hyperlink r:id="rId354"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CC398B" w:rsidP="007D1345">
      <w:hyperlink r:id="rId355"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CC398B" w:rsidP="007D1345">
      <w:hyperlink r:id="rId356"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CC398B" w:rsidP="007D1345">
      <w:hyperlink r:id="rId357"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CC398B" w:rsidP="007D1345">
      <w:hyperlink r:id="rId358"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CC398B" w:rsidP="007D1345">
      <w:hyperlink r:id="rId359"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CC398B" w:rsidP="007D1345">
      <w:hyperlink r:id="rId360" w:history="1">
        <w:r w:rsidR="007D1345" w:rsidRPr="0002157C">
          <w:rPr>
            <w:rStyle w:val="Hyperlink"/>
            <w:b/>
            <w:bCs/>
          </w:rPr>
          <w:t>ITU-T J.Suppl.10 (revised) “Correspondence between CableLabs DOCSIS Specifications and ITU-T J-series Recommendations”</w:t>
        </w:r>
      </w:hyperlink>
      <w:r w:rsidR="007D1345" w:rsidRPr="0002157C">
        <w:t xml:space="preserve"> clarifies the relationship between the multiple generations of CableLabs DOCSIS specifications and the ITU-T J-series of DOCSIS-based Recommendations.</w:t>
      </w:r>
    </w:p>
    <w:p w14:paraId="54D73137" w14:textId="77777777" w:rsidR="007D1345" w:rsidRPr="0002157C" w:rsidRDefault="007D1345" w:rsidP="007D1345">
      <w:pPr>
        <w:pStyle w:val="Headingb"/>
      </w:pPr>
      <w:bookmarkStart w:id="226" w:name="_Toc480527893"/>
      <w:r w:rsidRPr="0002157C">
        <w:t>I.2.2</w:t>
      </w:r>
      <w:r w:rsidRPr="0002157C">
        <w:tab/>
      </w:r>
      <w:bookmarkEnd w:id="226"/>
      <w:r w:rsidRPr="0002157C">
        <w:t>Smart ubiquitous networks, next-generation networks evolution, and future networks</w:t>
      </w:r>
    </w:p>
    <w:p w14:paraId="5E87F2FB" w14:textId="77777777" w:rsidR="007D1345" w:rsidRPr="0002157C" w:rsidRDefault="00CC398B" w:rsidP="007D1345">
      <w:hyperlink r:id="rId361"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20816585" w14:textId="77777777" w:rsidR="007D1345" w:rsidRPr="0002157C" w:rsidRDefault="00CC398B" w:rsidP="007D1345">
      <w:hyperlink r:id="rId362"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CC398B" w:rsidP="007D1345">
      <w:hyperlink r:id="rId363"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CC398B" w:rsidP="007D1345">
      <w:hyperlink r:id="rId364"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CC398B" w:rsidP="007D1345">
      <w:hyperlink r:id="rId365"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CC398B" w:rsidP="007D1345">
      <w:hyperlink r:id="rId366"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CC398B" w:rsidP="007D1345">
      <w:hyperlink r:id="rId367"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27" w:name="_Hlk50422856"/>
      <w:bookmarkStart w:id="228"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CC398B" w:rsidP="007D1345">
      <w:pPr>
        <w:rPr>
          <w:bCs/>
        </w:rPr>
      </w:pPr>
      <w:hyperlink r:id="rId368"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CC398B" w:rsidP="007D1345">
      <w:hyperlink r:id="rId369"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CC398B" w:rsidP="007D1345">
      <w:hyperlink r:id="rId370"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CC398B" w:rsidP="007D1345">
      <w:hyperlink r:id="rId371"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CC398B" w:rsidP="007D1345">
      <w:hyperlink r:id="rId372"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CC398B" w:rsidP="007D1345">
      <w:hyperlink r:id="rId373"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xml:space="preserve">: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CC398B" w:rsidP="007D1345">
      <w:hyperlink r:id="rId374"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CC398B" w:rsidP="007D1345">
      <w:hyperlink r:id="rId375"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CC398B" w:rsidP="007D1345">
      <w:hyperlink r:id="rId376"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CC398B" w:rsidP="007D1345">
      <w:hyperlink r:id="rId377"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CC398B" w:rsidP="007D1345">
      <w:hyperlink r:id="rId378"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CC398B" w:rsidP="007D1345">
      <w:hyperlink r:id="rId379"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CC398B" w:rsidP="007D1345">
      <w:hyperlink r:id="rId380"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CC398B" w:rsidP="007D1345">
      <w:hyperlink r:id="rId381"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CC398B" w:rsidP="007D1345">
      <w:hyperlink r:id="rId382" w:history="1">
        <w:r w:rsidR="007D1345" w:rsidRPr="0002157C">
          <w:rPr>
            <w:rStyle w:val="Hyperlink"/>
            <w:b/>
            <w:bCs/>
          </w:rPr>
          <w:t>ITU-T Y.3116 “Traffic typization IMT-2020 management based on an artificial intelligent approach”</w:t>
        </w:r>
      </w:hyperlink>
      <w:r w:rsidR="007D1345" w:rsidRPr="0002157C">
        <w:t>: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5A57468D" w14:textId="77777777" w:rsidR="007D1345" w:rsidRPr="0002157C" w:rsidRDefault="00CC398B" w:rsidP="007D1345">
      <w:hyperlink r:id="rId383"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27"/>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CC398B" w:rsidP="007D1345">
      <w:hyperlink r:id="rId384"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CC398B" w:rsidP="007D1345">
      <w:hyperlink r:id="rId385"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29"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29"/>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CC398B" w:rsidP="007D1345">
      <w:hyperlink r:id="rId386"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28"/>
    </w:p>
    <w:p w14:paraId="5415C6E1" w14:textId="77777777" w:rsidR="007D1345" w:rsidRPr="0002157C" w:rsidRDefault="007D1345" w:rsidP="007D1345">
      <w:pPr>
        <w:pStyle w:val="Headingb"/>
      </w:pPr>
      <w:bookmarkStart w:id="230" w:name="_Toc480527895"/>
      <w:r w:rsidRPr="0002157C">
        <w:t>I.2.7</w:t>
      </w:r>
      <w:r w:rsidRPr="0002157C">
        <w:tab/>
        <w:t>Cloud computing</w:t>
      </w:r>
      <w:bookmarkEnd w:id="230"/>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CC398B" w:rsidP="007D1345">
      <w:pPr>
        <w:rPr>
          <w:bCs/>
        </w:rPr>
      </w:pPr>
      <w:hyperlink r:id="rId387"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CC398B" w:rsidP="007D1345">
      <w:hyperlink r:id="rId388"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CC398B" w:rsidP="007D1345">
      <w:hyperlink r:id="rId389"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CC398B" w:rsidP="007D1345">
      <w:hyperlink r:id="rId390" w:history="1">
        <w:r w:rsidR="007D1345" w:rsidRPr="0002157C">
          <w:rPr>
            <w:rStyle w:val="Hyperlink"/>
            <w:b/>
            <w:bCs/>
          </w:rPr>
          <w:t>ITU-T Y.3529 “Cloud computing - Data model framework for NaaS OSS virtualized network function”</w:t>
        </w:r>
      </w:hyperlink>
      <w:r w:rsidR="007D1345"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2E06E469" w14:textId="77777777" w:rsidR="007D1345" w:rsidRPr="0002157C" w:rsidRDefault="00CC398B" w:rsidP="007D1345">
      <w:hyperlink r:id="rId391"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CC398B" w:rsidP="007D1345">
      <w:hyperlink r:id="rId392"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CC398B" w:rsidP="007D1345">
      <w:hyperlink r:id="rId393"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CC398B" w:rsidP="007D1345">
      <w:hyperlink r:id="rId394"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CC398B" w:rsidP="007D1345">
      <w:hyperlink r:id="rId395"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CC398B" w:rsidP="007D1345">
      <w:hyperlink r:id="rId396"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CC398B" w:rsidP="007D1345">
      <w:hyperlink r:id="rId397"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E5343E6" w14:textId="77777777" w:rsidR="007D1345" w:rsidRPr="0002157C" w:rsidRDefault="00CC398B" w:rsidP="007D1345">
      <w:hyperlink r:id="rId398"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31"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CC398B" w:rsidP="007D1345">
      <w:hyperlink r:id="rId399"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CC398B" w:rsidP="007D1345">
      <w:pPr>
        <w:rPr>
          <w:lang w:eastAsia="en-US"/>
        </w:rPr>
      </w:pPr>
      <w:hyperlink r:id="rId400"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CC398B" w:rsidP="007D1345">
      <w:pPr>
        <w:rPr>
          <w:lang w:eastAsia="en-US"/>
        </w:rPr>
      </w:pPr>
      <w:hyperlink r:id="rId401"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CC398B" w:rsidP="007D1345">
      <w:hyperlink r:id="rId402"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CC398B" w:rsidP="007D1345">
      <w:hyperlink r:id="rId403"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CC398B" w:rsidP="007D1345">
      <w:hyperlink r:id="rId404"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CC398B" w:rsidP="007D1345">
      <w:hyperlink r:id="rId405"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CC398B" w:rsidP="007D1345">
      <w:hyperlink r:id="rId406"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CC398B" w:rsidP="007D1345">
      <w:hyperlink r:id="rId407"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CC398B" w:rsidP="007D1345">
      <w:hyperlink r:id="rId408"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lastRenderedPageBreak/>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CC398B" w:rsidP="007D1345">
      <w:hyperlink r:id="rId409"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5C0DF15C" w14:textId="77777777" w:rsidR="007D1345" w:rsidRPr="0002157C" w:rsidRDefault="00CC398B" w:rsidP="007D1345">
      <w:hyperlink r:id="rId410"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CC398B" w:rsidP="007D1345">
      <w:hyperlink r:id="rId411"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32" w:name="_Toc480527898"/>
      <w:r w:rsidRPr="0002157C">
        <w:t>I.3.3</w:t>
      </w:r>
      <w:r w:rsidRPr="0002157C">
        <w:tab/>
        <w:t>IPTV and digital signage</w:t>
      </w:r>
      <w:bookmarkEnd w:id="232"/>
    </w:p>
    <w:p w14:paraId="09AA00A4" w14:textId="77777777" w:rsidR="007D1345" w:rsidRPr="0002157C" w:rsidRDefault="00CC398B" w:rsidP="007D1345">
      <w:hyperlink r:id="rId412"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CC398B" w:rsidP="007D1345">
      <w:hyperlink r:id="rId413"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CC398B" w:rsidP="007D1345">
      <w:hyperlink r:id="rId414"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CC398B" w:rsidP="007D1345">
      <w:hyperlink r:id="rId415"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CC398B" w:rsidP="007D1345">
      <w:hyperlink r:id="rId416"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CC398B" w:rsidP="007D1345">
      <w:hyperlink r:id="rId417"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CC398B" w:rsidP="007D1345">
      <w:hyperlink r:id="rId418"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CC398B" w:rsidP="007D1345">
      <w:hyperlink r:id="rId419"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defects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CC398B" w:rsidP="007D1345">
      <w:hyperlink r:id="rId420"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CC398B" w:rsidP="007D1345">
      <w:hyperlink r:id="rId421"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CC398B" w:rsidP="007D1345">
      <w:hyperlink r:id="rId422"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CC398B" w:rsidP="007D1345">
      <w:hyperlink r:id="rId423"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CC398B" w:rsidP="007D1345">
      <w:hyperlink r:id="rId424"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CC398B" w:rsidP="007D1345">
      <w:hyperlink r:id="rId425"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Propose updates to H.245 to support SCTP: split dtls-sctp into udp-dtls-sctp and tcp-dtls-sctp</w:t>
      </w:r>
    </w:p>
    <w:p w14:paraId="381053A3" w14:textId="77777777" w:rsidR="007D1345" w:rsidRPr="0002157C" w:rsidRDefault="007D1345" w:rsidP="007D1345">
      <w:r w:rsidRPr="0002157C">
        <w:t>–</w:t>
      </w:r>
      <w:r w:rsidRPr="0002157C">
        <w:tab/>
        <w:t>Add ExtendedAudioCapability and ExtendedDataCapability in H.245.</w:t>
      </w:r>
    </w:p>
    <w:p w14:paraId="6565649C" w14:textId="77777777" w:rsidR="007D1345" w:rsidRPr="0002157C" w:rsidRDefault="00CC398B" w:rsidP="007D1345">
      <w:hyperlink r:id="rId426"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CC398B" w:rsidP="007D1345">
      <w:hyperlink r:id="rId427"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8" w:history="1">
        <w:r w:rsidR="007D1345" w:rsidRPr="0002157C">
          <w:rPr>
            <w:rStyle w:val="Hyperlink"/>
          </w:rPr>
          <w:t>https://www.itu.int/wftp3/av-arch/jvet-site/bitstream_exchange/VVC/FDIS/</w:t>
        </w:r>
      </w:hyperlink>
    </w:p>
    <w:p w14:paraId="70822DA4" w14:textId="77777777" w:rsidR="007D1345" w:rsidRPr="0002157C" w:rsidRDefault="00CC398B" w:rsidP="007D1345">
      <w:hyperlink r:id="rId429"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Subcommittee SC 29, Coding of audio, picture, multimedia and hypermedia information, and corresponds with ISO/IEC 23090-16 as technically aligned twin text.</w:t>
      </w:r>
    </w:p>
    <w:p w14:paraId="4D1DD866" w14:textId="77777777" w:rsidR="007D1345" w:rsidRPr="0002157C" w:rsidRDefault="00CC398B" w:rsidP="007D1345">
      <w:hyperlink r:id="rId430"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CC398B" w:rsidP="007D1345">
      <w:hyperlink r:id="rId431"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CC398B" w:rsidP="007D1345">
      <w:hyperlink r:id="rId432"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w:t>
      </w:r>
      <w:r w:rsidR="007D1345" w:rsidRPr="0002157C">
        <w:lastRenderedPageBreak/>
        <w:t>ITU-T F.743.1, "Requirements for intelligent visual surveillance". This edition updates the title, functional architecture, delete the service control flow and signaling, as well as revising the references points.</w:t>
      </w:r>
    </w:p>
    <w:p w14:paraId="1F88F21F" w14:textId="77777777" w:rsidR="007D1345" w:rsidRPr="0002157C" w:rsidRDefault="00CC398B" w:rsidP="007D1345">
      <w:hyperlink r:id="rId433"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CC398B" w:rsidP="007D1345">
      <w:hyperlink r:id="rId434" w:history="1">
        <w:r w:rsidR="007D1345" w:rsidRPr="0002157C">
          <w:rPr>
            <w:rStyle w:val="Hyperlink"/>
            <w:b/>
            <w:bCs/>
          </w:rPr>
          <w:t>ITU-T T.701.21 “Guidance on audio description”</w:t>
        </w:r>
      </w:hyperlink>
      <w:r w:rsidR="007D1345" w:rsidRPr="0002157C">
        <w:rPr>
          <w:b/>
          <w:bCs/>
        </w:rPr>
        <w:t xml:space="preserve">: </w:t>
      </w:r>
      <w:r w:rsidR="007D1345"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CC398B" w:rsidP="007D1345">
      <w:hyperlink r:id="rId435"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Audiovisual content (such as video) often contain text, which cannot be easily 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33" w:name="_Hlk92368985"/>
      <w:bookmarkEnd w:id="231"/>
      <w:r w:rsidRPr="0002157C">
        <w:t>I.4.1</w:t>
      </w:r>
      <w:r w:rsidRPr="0002157C">
        <w:tab/>
        <w:t>Internet of Things and Smart City</w:t>
      </w:r>
    </w:p>
    <w:p w14:paraId="59696295" w14:textId="77777777" w:rsidR="007D1345" w:rsidRPr="0002157C" w:rsidRDefault="00CC398B" w:rsidP="007D1345">
      <w:pPr>
        <w:rPr>
          <w:b/>
          <w:bCs/>
        </w:rPr>
      </w:pPr>
      <w:hyperlink r:id="rId436"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CC398B" w:rsidP="007D1345">
      <w:hyperlink r:id="rId437"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04A97C9C" w14:textId="77777777" w:rsidR="007D1345" w:rsidRPr="0002157C" w:rsidRDefault="00CC398B" w:rsidP="007D1345">
      <w:hyperlink r:id="rId438"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33"/>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CC398B" w:rsidP="007D1345">
      <w:hyperlink r:id="rId439"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CC398B" w:rsidP="007D1345">
      <w:hyperlink r:id="rId440"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CC398B" w:rsidP="007D1345">
      <w:hyperlink r:id="rId441"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CC398B" w:rsidP="007D1345">
      <w:hyperlink r:id="rId442"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CC398B" w:rsidP="007D1345">
      <w:hyperlink r:id="rId443"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34"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CC398B" w:rsidP="007D1345">
      <w:hyperlink r:id="rId444"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CC398B" w:rsidP="007D1345">
      <w:hyperlink r:id="rId445"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CC398B" w:rsidP="007D1345">
      <w:hyperlink r:id="rId446"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35" w:name="_Hlk92369235"/>
    <w:bookmarkEnd w:id="234"/>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35"/>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36" w:name="_Toc480527902"/>
      <w:bookmarkStart w:id="237" w:name="_Hlk92369251"/>
      <w:r w:rsidRPr="0002157C">
        <w:lastRenderedPageBreak/>
        <w:t>I.4.4</w:t>
      </w:r>
      <w:r w:rsidRPr="0002157C">
        <w:tab/>
        <w:t>Connected vehicles, automated driving and intelligent transport systems</w:t>
      </w:r>
      <w:bookmarkEnd w:id="236"/>
    </w:p>
    <w:bookmarkEnd w:id="237"/>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CC398B" w:rsidP="007D1345">
      <w:hyperlink r:id="rId447"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CC398B" w:rsidP="007D1345">
      <w:hyperlink r:id="rId448"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w:t>
      </w:r>
      <w:r w:rsidRPr="0002157C">
        <w:lastRenderedPageBreak/>
        <w:t>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38"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CC398B" w:rsidP="007D1345">
      <w:hyperlink r:id="rId449"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CC398B" w:rsidP="007D1345">
      <w:hyperlink r:id="rId450"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 xml:space="preserve">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w:t>
      </w:r>
      <w:r w:rsidRPr="0002157C">
        <w:lastRenderedPageBreak/>
        <w:t>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CC398B" w:rsidP="007D1345">
      <w:hyperlink r:id="rId451"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38"/>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w:t>
      </w:r>
      <w:r w:rsidRPr="0002157C">
        <w:lastRenderedPageBreak/>
        <w:t>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39" w:name="_Toc480527903"/>
      <w:r w:rsidRPr="0002157C">
        <w:t>I.5.1</w:t>
      </w:r>
      <w:r w:rsidRPr="0002157C">
        <w:tab/>
        <w:t>New security standards</w:t>
      </w:r>
      <w:bookmarkEnd w:id="239"/>
    </w:p>
    <w:p w14:paraId="3C3E8523" w14:textId="77777777" w:rsidR="007D1345" w:rsidRPr="0002157C" w:rsidRDefault="00CC398B" w:rsidP="007D1345">
      <w:pPr>
        <w:rPr>
          <w:b/>
          <w:bCs/>
        </w:rPr>
      </w:pPr>
      <w:hyperlink r:id="rId452"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40"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40"/>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CC398B" w:rsidP="007D1345">
      <w:hyperlink r:id="rId453"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CC398B" w:rsidP="007D1345">
      <w:hyperlink r:id="rId454"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CC398B" w:rsidP="007D1345">
      <w:hyperlink r:id="rId455"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w:t>
      </w:r>
      <w:r w:rsidR="007D1345" w:rsidRPr="0002157C">
        <w:lastRenderedPageBreak/>
        <w:t>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CC398B" w:rsidP="007D1345">
      <w:hyperlink r:id="rId456"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CC398B" w:rsidP="007D1345">
      <w:hyperlink r:id="rId457"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xml:space="preserve">: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w:t>
      </w:r>
      <w:r w:rsidRPr="0002157C">
        <w:lastRenderedPageBreak/>
        <w:t>(such as device attestations, authentication, and credential provisioning) which are needed for building such a zero-touch mIoT deployment platform.</w:t>
      </w:r>
    </w:p>
    <w:p w14:paraId="16528A57" w14:textId="77777777" w:rsidR="007D1345" w:rsidRPr="0002157C" w:rsidRDefault="00CC398B" w:rsidP="007D1345">
      <w:hyperlink r:id="rId458"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CC398B" w:rsidP="007D1345">
      <w:hyperlink r:id="rId459"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CC398B" w:rsidP="007D1345">
      <w:hyperlink r:id="rId460"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w:t>
      </w:r>
      <w:r w:rsidRPr="0002157C">
        <w:lastRenderedPageBreak/>
        <w:t>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CC398B" w:rsidP="007D1345">
      <w:hyperlink r:id="rId461"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CC398B" w:rsidP="007D1345">
      <w:pPr>
        <w:rPr>
          <w:bCs/>
        </w:rPr>
      </w:pPr>
      <w:hyperlink r:id="rId462" w:history="1">
        <w:r w:rsidR="007D1345" w:rsidRPr="0002157C">
          <w:rPr>
            <w:rStyle w:val="Hyperlink"/>
            <w:b/>
          </w:rPr>
          <w:t>ITU-T X.1409 “Security services based on distributed ledger technology”</w:t>
        </w:r>
      </w:hyperlink>
      <w:r w:rsidR="007D1345" w:rsidRPr="0002157C">
        <w:rPr>
          <w:bCs/>
        </w:rPr>
        <w:t xml:space="preserve">: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w:t>
      </w:r>
      <w:r w:rsidR="007D1345" w:rsidRPr="0002157C">
        <w:rPr>
          <w:bCs/>
        </w:rPr>
        <w:lastRenderedPageBreak/>
        <w:t>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CC398B" w:rsidP="007D1345">
      <w:pPr>
        <w:rPr>
          <w:bCs/>
        </w:rPr>
      </w:pPr>
      <w:hyperlink r:id="rId463" w:history="1">
        <w:r w:rsidR="007D1345" w:rsidRPr="0002157C">
          <w:rPr>
            <w:rStyle w:val="Hyperlink"/>
            <w:b/>
          </w:rPr>
          <w:t>ITU-T X.1453 “Security threats and requirements for video management systems”</w:t>
        </w:r>
      </w:hyperlink>
      <w:r w:rsidR="007D1345"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w:t>
      </w:r>
      <w:r w:rsidRPr="0002157C">
        <w:rPr>
          <w:bCs/>
        </w:rPr>
        <w:lastRenderedPageBreak/>
        <w:t>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41"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CC398B" w:rsidP="007D1345">
      <w:hyperlink r:id="rId464"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CC398B" w:rsidP="007D1345">
      <w:hyperlink r:id="rId465"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41"/>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CC398B" w:rsidP="007D1345">
      <w:hyperlink r:id="rId466"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CC398B" w:rsidP="007D1345">
      <w:hyperlink r:id="rId467"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w:t>
      </w:r>
      <w:r w:rsidR="007D1345" w:rsidRPr="0002157C">
        <w:lastRenderedPageBreak/>
        <w:t>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CC398B" w:rsidP="007D1345">
      <w:hyperlink r:id="rId468"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CC398B" w:rsidP="007D1345">
      <w:hyperlink r:id="rId469"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CC398B" w:rsidP="007D1345">
      <w:hyperlink r:id="rId470"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CC398B" w:rsidP="007D1345">
      <w:hyperlink r:id="rId471"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6409C021" w14:textId="77777777" w:rsidR="007D1345" w:rsidRPr="0002157C" w:rsidRDefault="00CC398B" w:rsidP="007D1345">
      <w:hyperlink r:id="rId472"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CC398B" w:rsidP="007D1345">
      <w:hyperlink r:id="rId473"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3B62BD5" w14:textId="77777777" w:rsidR="007D1345" w:rsidRPr="0002157C" w:rsidRDefault="007D1345" w:rsidP="007D1345">
      <w:bookmarkStart w:id="242" w:name="_Hlk92369350"/>
      <w:r w:rsidRPr="0002157C">
        <w:rPr>
          <w:b/>
          <w:bCs/>
        </w:rPr>
        <w:t>ITU-T Y.4500.3 ”oneM2M - Security solutions” (under approval)</w:t>
      </w:r>
      <w:r w:rsidRPr="0002157C">
        <w:t xml:space="preserve"> provides specifications for M2M security and privacy protection.</w:t>
      </w:r>
    </w:p>
    <w:bookmarkEnd w:id="242"/>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CC398B" w:rsidP="007D1345">
      <w:hyperlink r:id="rId474"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CC398B" w:rsidP="007D1345">
      <w:hyperlink r:id="rId475"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43" w:name="_Hlk92369370"/>
      <w:r w:rsidRPr="0002157C">
        <w:t>I.5.2</w:t>
      </w:r>
      <w:r w:rsidRPr="0002157C">
        <w:tab/>
        <w:t>Quantum key distribution networks</w:t>
      </w:r>
    </w:p>
    <w:p w14:paraId="496AEFBA" w14:textId="77777777" w:rsidR="007D1345" w:rsidRPr="0002157C" w:rsidRDefault="00CC398B" w:rsidP="007D1345">
      <w:hyperlink r:id="rId476"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CC398B" w:rsidP="007D1345">
      <w:hyperlink r:id="rId477"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43"/>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CC398B" w:rsidP="007D1345">
      <w:hyperlink r:id="rId478"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CC398B" w:rsidP="007D1345">
      <w:hyperlink r:id="rId479"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w:t>
      </w:r>
      <w:r w:rsidR="007D1345" w:rsidRPr="0002157C">
        <w:lastRenderedPageBreak/>
        <w:t>specifies the functional requirements, functional architecture model, reference points and operational procedures for SSNs.</w:t>
      </w:r>
    </w:p>
    <w:p w14:paraId="6E32B586" w14:textId="77777777" w:rsidR="007D1345" w:rsidRPr="0002157C" w:rsidRDefault="00CC398B" w:rsidP="007D1345">
      <w:hyperlink r:id="rId480"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2A6AD6EF" w14:textId="77777777" w:rsidR="007D1345" w:rsidRPr="0002157C" w:rsidRDefault="00CC398B" w:rsidP="007D1345">
      <w:hyperlink r:id="rId481"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CC398B" w:rsidP="007D1345">
      <w:hyperlink r:id="rId482"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7AF2F192" w14:textId="77777777" w:rsidR="007D1345" w:rsidRPr="0002157C" w:rsidRDefault="007D1345" w:rsidP="007D1345">
      <w:pPr>
        <w:pStyle w:val="Headingb"/>
      </w:pPr>
      <w:bookmarkStart w:id="244" w:name="_Hlk92369388"/>
      <w:r w:rsidRPr="0002157C">
        <w:t>I.5.3</w:t>
      </w:r>
      <w:r w:rsidRPr="0002157C">
        <w:tab/>
        <w:t>Trust</w:t>
      </w:r>
    </w:p>
    <w:p w14:paraId="552A6F4A" w14:textId="77777777" w:rsidR="007D1345" w:rsidRPr="0002157C" w:rsidRDefault="00CC398B" w:rsidP="007D1345">
      <w:hyperlink r:id="rId483"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xml:space="preserve">: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w:t>
      </w:r>
      <w:r w:rsidR="007D1345" w:rsidRPr="0002157C">
        <w:lastRenderedPageBreak/>
        <w:t>over IP networks. Furthermore, the SS7 logic migrated to DIAMETER which is currently widely used for interconnection of IMS-based networks, including 4G (VoLTE/ViLTE).</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CC398B" w:rsidP="007D1345">
      <w:hyperlink r:id="rId484"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45" w:name="_Hlk92369409"/>
      <w:bookmarkEnd w:id="244"/>
      <w:r w:rsidRPr="0002157C">
        <w:t>I.5.4</w:t>
      </w:r>
      <w:r w:rsidRPr="0002157C">
        <w:tab/>
        <w:t>Distributed Ledger Technology</w:t>
      </w:r>
    </w:p>
    <w:p w14:paraId="11608F93" w14:textId="77777777" w:rsidR="007D1345" w:rsidRPr="0002157C" w:rsidRDefault="00CC398B" w:rsidP="007D1345">
      <w:hyperlink r:id="rId485"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CC398B" w:rsidP="007D1345">
      <w:hyperlink r:id="rId486"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w:t>
      </w:r>
      <w:r w:rsidR="007D1345" w:rsidRPr="0002157C">
        <w:lastRenderedPageBreak/>
        <w:t>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CC398B" w:rsidP="007D1345">
      <w:hyperlink r:id="rId487"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w:t>
      </w:r>
      <w:r w:rsidRPr="0002157C">
        <w:lastRenderedPageBreak/>
        <w:t>and openness. This Recommendation can be used as a guidance of DLT system when facing regulation for DLT service providers and DLT system developers.</w:t>
      </w:r>
    </w:p>
    <w:p w14:paraId="50786157" w14:textId="77777777" w:rsidR="007D1345" w:rsidRPr="0002157C" w:rsidRDefault="00CC398B" w:rsidP="007D1345">
      <w:hyperlink r:id="rId488"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45"/>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w:t>
      </w:r>
      <w:r w:rsidRPr="0002157C">
        <w:lastRenderedPageBreak/>
        <w:t>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CC398B" w:rsidP="007D1345">
      <w:pPr>
        <w:rPr>
          <w:b/>
          <w:bCs/>
        </w:rPr>
      </w:pPr>
      <w:hyperlink r:id="rId489"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46" w:name="_Toc480527904"/>
      <w:r w:rsidRPr="0002157C">
        <w:t>I.6.1</w:t>
      </w:r>
      <w:r w:rsidRPr="0002157C">
        <w:tab/>
        <w:t>Green ICT standards</w:t>
      </w:r>
      <w:bookmarkEnd w:id="246"/>
    </w:p>
    <w:p w14:paraId="2AACAA92" w14:textId="77777777" w:rsidR="007D1345" w:rsidRPr="0002157C" w:rsidRDefault="00CC398B" w:rsidP="007D1345">
      <w:hyperlink r:id="rId490"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CC398B" w:rsidP="007D1345">
      <w:pPr>
        <w:rPr>
          <w:rStyle w:val="Hyperlink"/>
          <w:bCs/>
          <w:color w:val="auto"/>
          <w:u w:val="none"/>
        </w:rPr>
      </w:pPr>
      <w:hyperlink r:id="rId491"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CC398B" w:rsidP="007D1345">
      <w:pPr>
        <w:rPr>
          <w:rStyle w:val="Hyperlink"/>
          <w:bCs/>
          <w:color w:val="auto"/>
          <w:u w:val="none"/>
        </w:rPr>
      </w:pPr>
      <w:hyperlink r:id="rId492"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CC398B" w:rsidP="007D1345">
      <w:pPr>
        <w:rPr>
          <w:rStyle w:val="Hyperlink"/>
          <w:bCs/>
          <w:color w:val="auto"/>
          <w:u w:val="none"/>
        </w:rPr>
      </w:pPr>
      <w:hyperlink r:id="rId493"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CC398B" w:rsidP="007D1345">
      <w:pPr>
        <w:rPr>
          <w:rStyle w:val="Hyperlink"/>
          <w:bCs/>
          <w:color w:val="auto"/>
          <w:u w:val="none"/>
        </w:rPr>
      </w:pPr>
      <w:hyperlink r:id="rId494"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CC398B" w:rsidP="007D1345">
      <w:pPr>
        <w:rPr>
          <w:rStyle w:val="Hyperlink"/>
          <w:bCs/>
          <w:color w:val="auto"/>
          <w:u w:val="none"/>
        </w:rPr>
      </w:pPr>
      <w:hyperlink r:id="rId495"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CC398B" w:rsidP="007D1345">
      <w:pPr>
        <w:rPr>
          <w:rStyle w:val="Hyperlink"/>
          <w:bCs/>
          <w:color w:val="auto"/>
          <w:u w:val="none"/>
        </w:rPr>
      </w:pPr>
      <w:hyperlink r:id="rId496" w:history="1">
        <w:r w:rsidR="007D1345" w:rsidRPr="0002157C">
          <w:rPr>
            <w:rStyle w:val="Hyperlink"/>
            <w:b/>
          </w:rPr>
          <w:t>ITU-T L.1230 “Specifications of 10 kVAC input and up to 400 VDC output integrated power system in data center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04AFF7DD" w14:textId="77777777" w:rsidR="007D1345" w:rsidRPr="0002157C" w:rsidRDefault="00CC398B" w:rsidP="007D1345">
      <w:pPr>
        <w:rPr>
          <w:rStyle w:val="Hyperlink"/>
          <w:bCs/>
          <w:color w:val="auto"/>
          <w:u w:val="none"/>
        </w:rPr>
      </w:pPr>
      <w:hyperlink r:id="rId497"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ITU-T L.1306 “Specification of edge data center infrastructure” (under approval)</w:t>
      </w:r>
      <w:r w:rsidRPr="0002157C">
        <w:rPr>
          <w:rStyle w:val="Hyperlink"/>
          <w:bCs/>
          <w:color w:val="auto"/>
          <w:u w:val="none"/>
        </w:rPr>
        <w:t xml:space="preserve"> makes systematic requirements on infrastructure including ICT equipment, power feedingsystem, cooling </w:t>
      </w:r>
      <w:r w:rsidRPr="0002157C">
        <w:rPr>
          <w:rStyle w:val="Hyperlink"/>
          <w:bCs/>
          <w:color w:val="auto"/>
          <w:u w:val="none"/>
        </w:rPr>
        <w:lastRenderedPageBreak/>
        <w:t>system, monitoring system, etc. to get green, safe, reliable, smart, energy-saving for edge data center.</w:t>
      </w:r>
    </w:p>
    <w:p w14:paraId="25C3C442" w14:textId="77777777" w:rsidR="007D1345" w:rsidRPr="0002157C" w:rsidRDefault="00CC398B" w:rsidP="007D1345">
      <w:pPr>
        <w:rPr>
          <w:rStyle w:val="Hyperlink"/>
          <w:bCs/>
          <w:color w:val="auto"/>
          <w:u w:val="none"/>
        </w:rPr>
      </w:pPr>
      <w:hyperlink r:id="rId498"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CC398B" w:rsidP="007D1345">
      <w:hyperlink r:id="rId499"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CC398B" w:rsidP="007D1345">
      <w:hyperlink r:id="rId500" w:history="1">
        <w:r w:rsidR="007D1345" w:rsidRPr="0002157C">
          <w:rPr>
            <w:rStyle w:val="Hyperlink"/>
            <w:b/>
            <w:bCs/>
          </w:rPr>
          <w:t>ITU-T L.1333 “Carbon data intensity for network energy performance monitoring”</w:t>
        </w:r>
      </w:hyperlink>
      <w:r w:rsidR="007D1345"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47"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CC398B" w:rsidP="007D1345">
      <w:hyperlink r:id="rId501"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w:t>
      </w:r>
      <w:r w:rsidRPr="0002157C">
        <w:lastRenderedPageBreak/>
        <w:t>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CC398B" w:rsidP="007D1345">
      <w:hyperlink r:id="rId502"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CC398B" w:rsidP="007D1345">
      <w:hyperlink r:id="rId503"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w:t>
      </w:r>
      <w:r w:rsidR="007D1345" w:rsidRPr="0002157C">
        <w:lastRenderedPageBreak/>
        <w:t>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CC398B" w:rsidP="007D1345">
      <w:hyperlink r:id="rId504"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47"/>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CC398B" w:rsidP="007D1345">
      <w:hyperlink r:id="rId505"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CC398B" w:rsidP="007D1345">
      <w:hyperlink r:id="rId506"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CC398B" w:rsidP="007D1345">
      <w:hyperlink r:id="rId507"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CC398B" w:rsidP="007D1345">
      <w:hyperlink r:id="rId508"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w:t>
      </w:r>
      <w:r w:rsidRPr="0002157C">
        <w:lastRenderedPageBreak/>
        <w:t>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09"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48" w:name="_Toc480527905"/>
      <w:bookmarkStart w:id="249" w:name="_Hlk92369831"/>
      <w:r w:rsidRPr="0002157C">
        <w:lastRenderedPageBreak/>
        <w:t>I.6.2</w:t>
      </w:r>
      <w:r w:rsidRPr="0002157C">
        <w:tab/>
        <w:t>Electromagnetic fields</w:t>
      </w:r>
      <w:bookmarkEnd w:id="248"/>
    </w:p>
    <w:p w14:paraId="6899E591" w14:textId="77777777" w:rsidR="007D1345" w:rsidRPr="0002157C" w:rsidRDefault="00CC398B" w:rsidP="007D1345">
      <w:hyperlink r:id="rId510" w:history="1">
        <w:r w:rsidR="007D1345" w:rsidRPr="001B73A7">
          <w:rPr>
            <w:rStyle w:val="Hyperlink"/>
            <w:b/>
            <w:bCs/>
          </w:rPr>
          <w:t>ITU-T K.20 (revised) “Resistibility of telecommunication equipment installed in a telecommunication centre to overvoltages and overcurrents”</w:t>
        </w:r>
      </w:hyperlink>
      <w:r w:rsidR="007D1345"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CC398B" w:rsidP="007D1345">
      <w:hyperlink r:id="rId511" w:history="1">
        <w:r w:rsidR="007D1345" w:rsidRPr="0002157C">
          <w:rPr>
            <w:rStyle w:val="Hyperlink"/>
            <w:b/>
            <w:bCs/>
          </w:rPr>
          <w:t>ITU-T K.21 (revised) “Resistibility of telecommunication equipment installed in customer premises to overvoltages and overcurrents”</w:t>
        </w:r>
      </w:hyperlink>
      <w:r w:rsidR="007D1345"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DB65BB5" w14:textId="77777777" w:rsidR="007D1345" w:rsidRPr="0002157C" w:rsidRDefault="00CC398B" w:rsidP="007D1345">
      <w:hyperlink r:id="rId512" w:history="1">
        <w:r w:rsidR="007D1345" w:rsidRPr="007A0F6C">
          <w:rPr>
            <w:rStyle w:val="Hyperlink"/>
            <w:b/>
            <w:bCs/>
          </w:rPr>
          <w:t>ITU-T K.45 (revised) “Resistibility of telecommunication equipment installed in the access and trunk networks to overvoltages and overcurrents”</w:t>
        </w:r>
      </w:hyperlink>
      <w:r w:rsidR="007D1345"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49"/>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CC398B" w:rsidP="007D1345">
      <w:hyperlink r:id="rId513"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CC398B" w:rsidP="007D1345">
      <w:hyperlink r:id="rId514"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w:t>
      </w:r>
      <w:r w:rsidR="007D1345" w:rsidRPr="0002157C">
        <w:lastRenderedPageBreak/>
        <w:t>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CC398B" w:rsidP="007D1345">
      <w:hyperlink r:id="rId515"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CC398B" w:rsidP="007D1345">
      <w:hyperlink r:id="rId516"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CC398B" w:rsidP="007D1345">
      <w:hyperlink r:id="rId517"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w:t>
      </w:r>
      <w:r w:rsidR="007D1345" w:rsidRPr="0002157C">
        <w:lastRenderedPageBreak/>
        <w:t>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4C68C63" w14:textId="77777777" w:rsidR="007D1345" w:rsidRPr="0002157C" w:rsidRDefault="00CC398B" w:rsidP="007D1345">
      <w:hyperlink r:id="rId518"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CC398B" w:rsidP="007D1345">
      <w:pPr>
        <w:rPr>
          <w:bCs/>
        </w:rPr>
      </w:pPr>
      <w:hyperlink r:id="rId519"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CC398B" w:rsidP="007D1345">
      <w:pPr>
        <w:rPr>
          <w:bCs/>
        </w:rPr>
      </w:pPr>
      <w:hyperlink r:id="rId520"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CC398B" w:rsidP="007D1345">
      <w:pPr>
        <w:rPr>
          <w:bCs/>
        </w:rPr>
      </w:pPr>
      <w:hyperlink r:id="rId521"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CC398B" w:rsidP="007D1345">
      <w:pPr>
        <w:rPr>
          <w:bCs/>
        </w:rPr>
      </w:pPr>
      <w:hyperlink r:id="rId522"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CC398B" w:rsidP="007D1345">
      <w:pPr>
        <w:rPr>
          <w:bCs/>
        </w:rPr>
      </w:pPr>
      <w:hyperlink r:id="rId523"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w:t>
      </w:r>
      <w:r w:rsidR="007D1345" w:rsidRPr="0002157C">
        <w:rPr>
          <w:bCs/>
        </w:rPr>
        <w:lastRenderedPageBreak/>
        <w:t>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CC398B" w:rsidP="007D1345">
      <w:pPr>
        <w:rPr>
          <w:bCs/>
        </w:rPr>
      </w:pPr>
      <w:hyperlink r:id="rId524"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CC398B" w:rsidP="007D1345">
      <w:pPr>
        <w:rPr>
          <w:bCs/>
        </w:rPr>
      </w:pPr>
      <w:hyperlink r:id="rId525"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CC398B" w:rsidP="007D1345">
      <w:pPr>
        <w:rPr>
          <w:bCs/>
        </w:rPr>
      </w:pPr>
      <w:hyperlink r:id="rId526"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w:t>
      </w:r>
      <w:r w:rsidR="007D1345" w:rsidRPr="0002157C">
        <w:rPr>
          <w:bCs/>
        </w:rPr>
        <w:lastRenderedPageBreak/>
        <w:t>on electrical insulation, partial discharge, electrical safety, resistibility and lightning surge protection.</w:t>
      </w:r>
    </w:p>
    <w:p w14:paraId="412C2B36" w14:textId="77777777" w:rsidR="007D1345" w:rsidRPr="0002157C" w:rsidRDefault="00CC398B" w:rsidP="007D1345">
      <w:pPr>
        <w:rPr>
          <w:bCs/>
        </w:rPr>
      </w:pPr>
      <w:hyperlink r:id="rId527"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CC398B" w:rsidP="007D1345">
      <w:pPr>
        <w:rPr>
          <w:bCs/>
        </w:rPr>
      </w:pPr>
      <w:hyperlink r:id="rId528"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CC398B" w:rsidP="007D1345">
      <w:pPr>
        <w:rPr>
          <w:bCs/>
        </w:rPr>
      </w:pPr>
      <w:hyperlink r:id="rId529"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CC398B" w:rsidP="007D1345">
      <w:pPr>
        <w:rPr>
          <w:bCs/>
        </w:rPr>
      </w:pPr>
      <w:hyperlink r:id="rId530"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CC398B" w:rsidP="007D1345">
      <w:pPr>
        <w:rPr>
          <w:bCs/>
        </w:rPr>
      </w:pPr>
      <w:hyperlink r:id="rId531"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w:t>
      </w:r>
      <w:r w:rsidRPr="0002157C">
        <w:rPr>
          <w:bCs/>
        </w:rPr>
        <w:lastRenderedPageBreak/>
        <w:t>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50" w:name="_Hlk92369862"/>
      <w:bookmarkStart w:id="251"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52" w:name="_Hlk92369876"/>
      <w:bookmarkEnd w:id="250"/>
      <w:r w:rsidRPr="0002157C">
        <w:lastRenderedPageBreak/>
        <w:t>I.8</w:t>
      </w:r>
      <w:r w:rsidRPr="0002157C">
        <w:tab/>
        <w:t>Quality of service and experience, and network performance</w:t>
      </w:r>
      <w:bookmarkEnd w:id="251"/>
    </w:p>
    <w:p w14:paraId="4D47AEBE" w14:textId="77777777" w:rsidR="007D1345" w:rsidRPr="0002157C" w:rsidRDefault="00CC398B" w:rsidP="007D1345">
      <w:hyperlink r:id="rId532"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CC398B" w:rsidP="007D1345">
      <w:hyperlink r:id="rId533"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CC398B" w:rsidP="007D1345">
      <w:hyperlink r:id="rId534"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0C0A89BB" w14:textId="77777777" w:rsidR="007D1345" w:rsidRPr="0002157C" w:rsidRDefault="00CC398B" w:rsidP="007D1345">
      <w:hyperlink r:id="rId535" w:history="1">
        <w:r w:rsidR="007D1345" w:rsidRPr="0002157C">
          <w:rPr>
            <w:rStyle w:val="Hyperlink"/>
            <w:b/>
            <w:bCs/>
          </w:rPr>
          <w:t>ITU-T G.1036 “Quality of experience (QoE) influencing factors for augmented reality (AR) services”</w:t>
        </w:r>
      </w:hyperlink>
      <w:r w:rsidR="007D1345" w:rsidRPr="0002157C">
        <w:t xml:space="preserve"> lists typical use cases of augmented reality services and identifies the key QoE factors in it, and also gives a suggested scheme for AR QoE assessment in future works.</w:t>
      </w:r>
    </w:p>
    <w:p w14:paraId="0B5285E8" w14:textId="77777777" w:rsidR="007D1345" w:rsidRPr="0002157C" w:rsidRDefault="00CC398B" w:rsidP="007D1345">
      <w:hyperlink r:id="rId536" w:history="1">
        <w:r w:rsidR="007D1345" w:rsidRPr="0002157C">
          <w:rPr>
            <w:rStyle w:val="Hyperlink"/>
            <w:b/>
            <w:bCs/>
          </w:rPr>
          <w:t>ITU-T G.Suppl.77 “Influencing factors on quality of experience (QoE)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QoE key factors of video CAT and CRS.</w:t>
      </w:r>
    </w:p>
    <w:p w14:paraId="77E7C6E1" w14:textId="77777777" w:rsidR="007D1345" w:rsidRPr="0002157C" w:rsidRDefault="00CC398B" w:rsidP="007D1345">
      <w:hyperlink r:id="rId537"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w:t>
      </w:r>
      <w:r w:rsidR="007D1345" w:rsidRPr="0002157C">
        <w:lastRenderedPageBreak/>
        <w:t>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CC398B" w:rsidP="007D1345">
      <w:hyperlink r:id="rId538"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52"/>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CC398B" w:rsidP="007D1345">
      <w:pPr>
        <w:widowControl w:val="0"/>
      </w:pPr>
      <w:hyperlink r:id="rId539"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CC398B" w:rsidP="007D1345">
      <w:pPr>
        <w:widowControl w:val="0"/>
      </w:pPr>
      <w:hyperlink r:id="rId540"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CC398B" w:rsidP="007D1345">
      <w:pPr>
        <w:widowControl w:val="0"/>
      </w:pPr>
      <w:hyperlink r:id="rId541"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CC398B" w:rsidP="007D1345">
      <w:pPr>
        <w:widowControl w:val="0"/>
      </w:pPr>
      <w:hyperlink r:id="rId542"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CC398B" w:rsidP="007D1345">
      <w:pPr>
        <w:widowControl w:val="0"/>
      </w:pPr>
      <w:hyperlink r:id="rId543"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53" w:name="_Hlk92369892"/>
    <w:p w14:paraId="0E442187" w14:textId="77777777" w:rsidR="007D1345" w:rsidRPr="0002157C" w:rsidRDefault="007D1345" w:rsidP="007D1345">
      <w:pPr>
        <w:widowControl w:val="0"/>
      </w:pPr>
      <w:r w:rsidRPr="0002157C">
        <w:rPr>
          <w:b/>
          <w:bCs/>
        </w:rPr>
        <w:lastRenderedPageBreak/>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53"/>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66C6E5BF" w14:textId="77777777" w:rsidR="007D1345" w:rsidRPr="0002157C" w:rsidRDefault="00CC398B" w:rsidP="007D1345">
      <w:pPr>
        <w:widowControl w:val="0"/>
      </w:pPr>
      <w:hyperlink r:id="rId544"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CC398B" w:rsidP="007D1345">
      <w:pPr>
        <w:widowControl w:val="0"/>
      </w:pPr>
      <w:hyperlink r:id="rId545"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CC398B" w:rsidP="007D1345">
      <w:pPr>
        <w:widowControl w:val="0"/>
      </w:pPr>
      <w:hyperlink r:id="rId546" w:history="1">
        <w:r w:rsidR="007D1345" w:rsidRPr="0002157C">
          <w:rPr>
            <w:rStyle w:val="Hyperlink"/>
            <w:b/>
            <w:bCs/>
          </w:rPr>
          <w:t>ITU-T P.1320 “QoE assessment of extended reality (XR) meetings”</w:t>
        </w:r>
      </w:hyperlink>
      <w:r w:rsidR="007D1345"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1CBA9D96" w14:textId="77777777" w:rsidR="007D1345" w:rsidRPr="0002157C" w:rsidRDefault="00CC398B" w:rsidP="007D1345">
      <w:pPr>
        <w:widowControl w:val="0"/>
      </w:pPr>
      <w:hyperlink r:id="rId547" w:history="1">
        <w:r w:rsidR="007D1345" w:rsidRPr="0002157C">
          <w:rPr>
            <w:rStyle w:val="Hyperlink"/>
            <w:b/>
            <w:bCs/>
          </w:rPr>
          <w:t>ITU-T P.1402 “Guidance for the development of machine learning based solutions for QoS/QoE prediction and network performances management in telecommunication scenarios”</w:t>
        </w:r>
      </w:hyperlink>
      <w:r w:rsidR="007D1345"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CC398B" w:rsidP="007D1345">
      <w:pPr>
        <w:widowControl w:val="0"/>
      </w:pPr>
      <w:hyperlink r:id="rId548"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w:t>
      </w:r>
      <w:r w:rsidR="007D1345" w:rsidRPr="0002157C">
        <w:lastRenderedPageBreak/>
        <w:t>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2B1D8B57" w14:textId="77777777" w:rsidR="007D1345" w:rsidRPr="0002157C" w:rsidRDefault="00CC398B" w:rsidP="007D1345">
      <w:hyperlink r:id="rId549"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CC398B" w:rsidP="007D1345">
      <w:hyperlink r:id="rId550"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CC398B" w:rsidP="007D1345">
      <w:hyperlink r:id="rId551"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CC398B" w:rsidP="007D1345">
      <w:pPr>
        <w:pStyle w:val="Headingb"/>
        <w:rPr>
          <w:b w:val="0"/>
        </w:rPr>
      </w:pPr>
      <w:hyperlink r:id="rId552"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w:t>
      </w:r>
      <w:r w:rsidR="007D1345" w:rsidRPr="0002157C">
        <w:rPr>
          <w:b w:val="0"/>
        </w:rPr>
        <w:lastRenderedPageBreak/>
        <w:t>describes QoS and Network Performance (NP) on QKDN and specifies the associated relative parameters for QoS and their definitions.</w:t>
      </w:r>
      <w:bookmarkStart w:id="254"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CC398B" w:rsidP="007D1345">
      <w:hyperlink r:id="rId553"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CC398B" w:rsidP="007D1345">
      <w:pPr>
        <w:spacing w:before="240"/>
      </w:pPr>
      <w:hyperlink r:id="rId554"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CC398B" w:rsidP="007D1345">
      <w:hyperlink r:id="rId555" w:history="1">
        <w:r w:rsidR="007D1345" w:rsidRPr="0002157C">
          <w:rPr>
            <w:rStyle w:val="Hyperlink"/>
            <w:b/>
            <w:bCs/>
          </w:rPr>
          <w:t>ITU-T Technical Report GSTR-5GQoE “QoE requirements for real-time multimedia services over 5G networks”</w:t>
        </w:r>
      </w:hyperlink>
      <w:r w:rsidR="007D1345"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The relevant QoE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An analysis of the key factors to evaluate the QoE of the service.</w:t>
      </w:r>
    </w:p>
    <w:p w14:paraId="65D2D041" w14:textId="77777777" w:rsidR="007D1345" w:rsidRPr="0002157C" w:rsidRDefault="007D1345" w:rsidP="007D1345">
      <w:pPr>
        <w:pStyle w:val="Headingb"/>
      </w:pPr>
      <w:r w:rsidRPr="0002157C">
        <w:lastRenderedPageBreak/>
        <w:t>I.9</w:t>
      </w:r>
      <w:r w:rsidRPr="0002157C">
        <w:tab/>
        <w:t>Conformity, interoperability and testing</w:t>
      </w:r>
      <w:bookmarkEnd w:id="254"/>
    </w:p>
    <w:p w14:paraId="638C2940" w14:textId="77777777" w:rsidR="007D1345" w:rsidRPr="0002157C" w:rsidRDefault="00CC398B" w:rsidP="007D1345">
      <w:pPr>
        <w:pStyle w:val="Headingb"/>
        <w:keepNext w:val="0"/>
        <w:rPr>
          <w:b w:val="0"/>
        </w:rPr>
      </w:pPr>
      <w:hyperlink r:id="rId556"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CC398B" w:rsidP="007D1345">
      <w:pPr>
        <w:rPr>
          <w:b/>
          <w:bCs/>
        </w:rPr>
      </w:pPr>
      <w:hyperlink r:id="rId557"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55" w:name="_Hlk92369913"/>
      <w:r w:rsidRPr="0002157C">
        <w:t>I.11</w:t>
      </w:r>
      <w:r w:rsidRPr="0002157C">
        <w:tab/>
        <w:t>Combating Counterfeiting and the use of stolen ICT devices</w:t>
      </w:r>
    </w:p>
    <w:p w14:paraId="71346142" w14:textId="77777777" w:rsidR="007D1345" w:rsidRPr="0002157C" w:rsidRDefault="00CC398B" w:rsidP="007D1345">
      <w:pPr>
        <w:rPr>
          <w:rStyle w:val="Hyperlink"/>
          <w:bCs/>
          <w:color w:val="auto"/>
          <w:u w:val="none"/>
        </w:rPr>
      </w:pPr>
      <w:hyperlink r:id="rId558"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55"/>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CC398B" w:rsidP="007D1345">
      <w:hyperlink r:id="rId559"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CC398B" w:rsidP="007D1345">
      <w:hyperlink r:id="rId560"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CC398B" w:rsidP="007D1345">
      <w:hyperlink r:id="rId561"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CC398B" w:rsidP="007D1345">
      <w:hyperlink r:id="rId562"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CC398B" w:rsidP="007D1345">
      <w:hyperlink r:id="rId563" w:history="1">
        <w:r w:rsidR="007D1345" w:rsidRPr="0002157C">
          <w:rPr>
            <w:rStyle w:val="Hyperlink"/>
            <w:b/>
            <w:bCs/>
          </w:rPr>
          <w:t>ITU-T Q.3721 “Procedures for Programming Protocol-Independent Packet Processors (p4) Switch-based vBNG”</w:t>
        </w:r>
      </w:hyperlink>
      <w:r w:rsidR="007D1345" w:rsidRPr="0002157C">
        <w:t xml:space="preserve"> specifies the architecture, interfaces, and procedures for Programming Protocol-Independent Packet Processors (p4) Switch-based vBNG.</w:t>
      </w:r>
    </w:p>
    <w:p w14:paraId="72FC32F7" w14:textId="77777777" w:rsidR="007D1345" w:rsidRPr="0002157C" w:rsidRDefault="00CC398B" w:rsidP="007D1345">
      <w:hyperlink r:id="rId564" w:history="1">
        <w:r w:rsidR="007D1345" w:rsidRPr="0002157C">
          <w:rPr>
            <w:rStyle w:val="Hyperlink"/>
            <w:b/>
            <w:bCs/>
          </w:rPr>
          <w:t>ITU-T Q.5003 “Signalling requirement and architecture for federated multi-access edge computing”</w:t>
        </w:r>
      </w:hyperlink>
      <w:r w:rsidR="007D1345" w:rsidRPr="0002157C">
        <w:t xml:space="preserve">: MEC is considered as a key successful factor in 5G era that can provide low latency </w:t>
      </w:r>
      <w:r w:rsidR="007D1345" w:rsidRPr="0002157C">
        <w:lastRenderedPageBreak/>
        <w:t>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56"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CC398B" w:rsidP="007D1345">
      <w:hyperlink r:id="rId565"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CC398B" w:rsidP="007D1345">
      <w:hyperlink r:id="rId566"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CC398B" w:rsidP="007D1345">
      <w:hyperlink r:id="rId567"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CC398B" w:rsidP="007D1345">
      <w:hyperlink r:id="rId568"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r w:rsidR="007D1345" w:rsidRPr="0002157C">
        <w:lastRenderedPageBreak/>
        <w:t>system and integration testing. The specification of test suites for physical layer protocols is outside the scope of this Recommendation.</w:t>
      </w:r>
    </w:p>
    <w:p w14:paraId="70345050" w14:textId="77777777" w:rsidR="007D1345" w:rsidRPr="0002157C" w:rsidRDefault="00CC398B" w:rsidP="007D1345">
      <w:pPr>
        <w:rPr>
          <w:lang w:eastAsia="en-US"/>
        </w:rPr>
      </w:pPr>
      <w:hyperlink r:id="rId569"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CC398B" w:rsidP="007D1345">
      <w:pPr>
        <w:rPr>
          <w:lang w:eastAsia="en-US"/>
        </w:rPr>
      </w:pPr>
      <w:hyperlink r:id="rId570"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CC398B" w:rsidP="007D1345">
      <w:hyperlink r:id="rId571"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CC398B" w:rsidP="007D1345">
      <w:hyperlink r:id="rId572"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CC398B" w:rsidP="007D1345">
      <w:hyperlink r:id="rId573"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CC398B" w:rsidP="007D1345">
      <w:hyperlink r:id="rId574"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w:t>
      </w:r>
      <w:r w:rsidR="007D1345" w:rsidRPr="0002157C">
        <w:lastRenderedPageBreak/>
        <w:t>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CC398B" w:rsidP="007D1345">
      <w:hyperlink r:id="rId575"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CC398B" w:rsidP="007D1345">
      <w:hyperlink r:id="rId576"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CC398B" w:rsidP="007D1345">
      <w:hyperlink r:id="rId577"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56"/>
    </w:p>
    <w:bookmarkEnd w:id="0"/>
    <w:p w14:paraId="1272C10F" w14:textId="77777777" w:rsidR="00640A62" w:rsidRDefault="00640A62" w:rsidP="0032202E">
      <w:pPr>
        <w:pStyle w:val="Reasons"/>
      </w:pPr>
    </w:p>
    <w:p w14:paraId="16AB967C" w14:textId="607863C1" w:rsidR="00373D43" w:rsidRPr="00180BDF" w:rsidRDefault="00640A62" w:rsidP="00640A62">
      <w:pPr>
        <w:jc w:val="center"/>
      </w:pPr>
      <w:r>
        <w:t>______________</w:t>
      </w:r>
    </w:p>
    <w:sectPr w:rsidR="00373D43" w:rsidRPr="00180BDF" w:rsidSect="00D16770">
      <w:headerReference w:type="even" r:id="rId578"/>
      <w:headerReference w:type="default" r:id="rId579"/>
      <w:footerReference w:type="even" r:id="rId580"/>
      <w:footerReference w:type="default" r:id="rId581"/>
      <w:headerReference w:type="first" r:id="rId582"/>
      <w:footerReference w:type="first" r:id="rId58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CB27" w14:textId="77777777" w:rsidR="00CB06AF" w:rsidRDefault="00CB06AF">
      <w:r>
        <w:separator/>
      </w:r>
    </w:p>
  </w:endnote>
  <w:endnote w:type="continuationSeparator" w:id="0">
    <w:p w14:paraId="66CCBDAC" w14:textId="77777777" w:rsidR="00CB06AF" w:rsidRDefault="00CB06AF">
      <w:r>
        <w:continuationSeparator/>
      </w:r>
    </w:p>
  </w:endnote>
  <w:endnote w:type="continuationNotice" w:id="1">
    <w:p w14:paraId="17A055F8" w14:textId="77777777" w:rsidR="00CB06AF" w:rsidRDefault="00CB06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D828" w14:textId="77777777" w:rsidR="00CC398B" w:rsidRDefault="00CC3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E7A2" w14:textId="238B06D5" w:rsidR="008023A6" w:rsidRPr="00CC398B" w:rsidRDefault="008023A6" w:rsidP="00CC3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D2B0" w14:textId="77777777" w:rsidR="00CC398B" w:rsidRDefault="00CC3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E49E" w14:textId="77777777" w:rsidR="00CB06AF" w:rsidRDefault="00CB06AF">
      <w:r>
        <w:separator/>
      </w:r>
    </w:p>
  </w:footnote>
  <w:footnote w:type="continuationSeparator" w:id="0">
    <w:p w14:paraId="26637CF6" w14:textId="77777777" w:rsidR="00CB06AF" w:rsidRDefault="00CB06AF">
      <w:r>
        <w:continuationSeparator/>
      </w:r>
    </w:p>
  </w:footnote>
  <w:footnote w:type="continuationNotice" w:id="1">
    <w:p w14:paraId="75B7B3CA" w14:textId="77777777" w:rsidR="00CB06AF" w:rsidRDefault="00CB06A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3C0E" w14:textId="77777777" w:rsidR="00CC398B" w:rsidRDefault="00CC3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47730B73" w:rsidR="009041B0" w:rsidRDefault="006C4954" w:rsidP="009041B0">
    <w:pPr>
      <w:pStyle w:val="Header"/>
    </w:pPr>
    <w:r>
      <w:rPr>
        <w:noProof/>
      </w:rPr>
      <w:t>TSAG-TD</w:t>
    </w:r>
    <w:r w:rsidR="00C9088A">
      <w:rPr>
        <w:noProof/>
      </w:rPr>
      <w:t>0</w:t>
    </w:r>
    <w:r>
      <w:rPr>
        <w:noProof/>
      </w:rPr>
      <w:t>20</w:t>
    </w:r>
    <w:r w:rsidR="00CC398B">
      <w:rPr>
        <w:noProof/>
      </w:rPr>
      <w:t>-C</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BFDE" w14:textId="77777777" w:rsidR="00CC398B" w:rsidRDefault="00CC3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18"/>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86B"/>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FF4"/>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A62"/>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3A6"/>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6A8"/>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1E40"/>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AC0"/>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C83"/>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9C8"/>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6AF"/>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98B"/>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BA7"/>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746"/>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6C7"/>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qFormat/>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329/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5129" TargetMode="External"/><Relationship Id="rId531" Type="http://schemas.openxmlformats.org/officeDocument/2006/relationships/hyperlink" Target="https://www.itu.int/ITU-T/recommendations/rec.aspx?id=15083" TargetMode="External"/><Relationship Id="rId170" Type="http://schemas.openxmlformats.org/officeDocument/2006/relationships/hyperlink" Target="https://www.itu.int/ITU-T/workprog/wp_item.aspx?isn=17090" TargetMode="External"/><Relationship Id="rId268" Type="http://schemas.openxmlformats.org/officeDocument/2006/relationships/hyperlink" Target="https://extranet.itu.int/sites/itu-t/focusgroups/qit4n" TargetMode="External"/><Relationship Id="rId475" Type="http://schemas.openxmlformats.org/officeDocument/2006/relationships/hyperlink" Target="https://www.itu.int/pub/publications.aspx?lang=en&amp;parent=T-TUT-ICTS-2022-1" TargetMode="External"/><Relationship Id="rId32" Type="http://schemas.openxmlformats.org/officeDocument/2006/relationships/hyperlink" Target="https://unfccc.int/cop27" TargetMode="External"/><Relationship Id="rId128" Type="http://schemas.openxmlformats.org/officeDocument/2006/relationships/hyperlink" Target="https://www.itu.int/en/ITU-T/climatechange/symposia/202210/Pages/default.aspx" TargetMode="External"/><Relationship Id="rId335" Type="http://schemas.openxmlformats.org/officeDocument/2006/relationships/hyperlink" Target="https://www.itu.int/rec/T-REC-G.8275-202211-I!Amd3" TargetMode="External"/><Relationship Id="rId542" Type="http://schemas.openxmlformats.org/officeDocument/2006/relationships/hyperlink" Target="https://www.itu.int/ITU-T/recommendations/rec.aspx?id=15010" TargetMode="External"/><Relationship Id="rId181" Type="http://schemas.openxmlformats.org/officeDocument/2006/relationships/hyperlink" Target="https://www.itu.int/net/itu-t/cdb/secured/reg-tldb.aspx" TargetMode="External"/><Relationship Id="rId402" Type="http://schemas.openxmlformats.org/officeDocument/2006/relationships/hyperlink" Target="https://www.itu.int/ITU-T/recommendations/rec.aspx?rec=6304" TargetMode="External"/><Relationship Id="rId279" Type="http://schemas.openxmlformats.org/officeDocument/2006/relationships/hyperlink" Target="https://www.itu.int/ITU-T/recommendations/rec.aspx?id=14888" TargetMode="External"/><Relationship Id="rId486" Type="http://schemas.openxmlformats.org/officeDocument/2006/relationships/hyperlink" Target="https://www.itu.int/ITU-T/recommendations/rec.aspx?id=14966" TargetMode="External"/><Relationship Id="rId43" Type="http://schemas.openxmlformats.org/officeDocument/2006/relationships/hyperlink" Target="http://www.itu.int/net/itu-t/cdb/ConformityDB.aspx" TargetMode="External"/><Relationship Id="rId139" Type="http://schemas.openxmlformats.org/officeDocument/2006/relationships/hyperlink" Target="https://www.itu.int/en/ITU-T/academia/kaleidoscope/Pages/default.aspx" TargetMode="External"/><Relationship Id="rId346" Type="http://schemas.openxmlformats.org/officeDocument/2006/relationships/hyperlink" Target="https://www.itu.int/ITU-T/recommendations/rec.aspx?id=14868" TargetMode="External"/><Relationship Id="rId553" Type="http://schemas.openxmlformats.org/officeDocument/2006/relationships/hyperlink" Target="https://www.itu.int/ITU-T/recommendations/rec.aspx?id=14999" TargetMode="External"/><Relationship Id="rId192" Type="http://schemas.openxmlformats.org/officeDocument/2006/relationships/hyperlink" Target="http://www.itu.int/en/ITU-T/publications/Pages/recs.aspx" TargetMode="External"/><Relationship Id="rId206" Type="http://schemas.openxmlformats.org/officeDocument/2006/relationships/image" Target="media/image2.png"/><Relationship Id="rId413" Type="http://schemas.openxmlformats.org/officeDocument/2006/relationships/hyperlink" Target="https://www.itu.int/ITU-T/recommendations/rec.aspx?id=14954" TargetMode="External"/><Relationship Id="rId497" Type="http://schemas.openxmlformats.org/officeDocument/2006/relationships/hyperlink" Target="https://www.itu.int/ITU-T/recommendations/rec.aspx?id=15026" TargetMode="External"/><Relationship Id="rId357" Type="http://schemas.openxmlformats.org/officeDocument/2006/relationships/hyperlink" Target="https://www.itu.int/ITU-T/recommendations/rec.aspx?id=14844" TargetMode="External"/><Relationship Id="rId54" Type="http://schemas.openxmlformats.org/officeDocument/2006/relationships/hyperlink" Target="https://www.itu.int/go/tsg11" TargetMode="External"/><Relationship Id="rId217" Type="http://schemas.openxmlformats.org/officeDocument/2006/relationships/image" Target="media/image5.png"/><Relationship Id="rId564" Type="http://schemas.openxmlformats.org/officeDocument/2006/relationships/hyperlink" Target="https://www.itu.int/ITU-T/recommendations/rec.aspx?id=14925" TargetMode="External"/><Relationship Id="rId424" Type="http://schemas.openxmlformats.org/officeDocument/2006/relationships/hyperlink" Target="https://www.itu.int/ITU-T/recommendations/rec.aspx?id=14946" TargetMode="External"/><Relationship Id="rId270" Type="http://schemas.openxmlformats.org/officeDocument/2006/relationships/hyperlink" Target="https://extranet.itu.int/sites/itu-t/focusgroups/tbfxg" TargetMode="External"/><Relationship Id="rId65" Type="http://schemas.openxmlformats.org/officeDocument/2006/relationships/hyperlink" Target="https://www.itu.int/en/ITU-T/focusgroups/an/Pages/default.aspx" TargetMode="External"/><Relationship Id="rId130" Type="http://schemas.openxmlformats.org/officeDocument/2006/relationships/hyperlink" Target="https://www.itu.int/en/ITU-T/focusgroups/ai4ad/Pages/default.aspx" TargetMode="External"/><Relationship Id="rId368" Type="http://schemas.openxmlformats.org/officeDocument/2006/relationships/hyperlink" Target="https://www.itu.int/ITU-T/recommendations/rec.aspx?id=15079" TargetMode="External"/><Relationship Id="rId575" Type="http://schemas.openxmlformats.org/officeDocument/2006/relationships/hyperlink" Target="https://www.itu.int/ITU-T/recommendations/rec.aspx?id=15100" TargetMode="External"/><Relationship Id="rId228" Type="http://schemas.openxmlformats.org/officeDocument/2006/relationships/image" Target="cid:image039.png@01D7DC8E.86972C80" TargetMode="External"/><Relationship Id="rId435" Type="http://schemas.openxmlformats.org/officeDocument/2006/relationships/hyperlink" Target="https://www.itu.int/ITU-T/recommendations/rec.aspx?id=14973" TargetMode="External"/><Relationship Id="rId281" Type="http://schemas.openxmlformats.org/officeDocument/2006/relationships/hyperlink" Target="https://www.itu.int/ITU-T/recommendations/rec.aspx?id=14891" TargetMode="External"/><Relationship Id="rId502" Type="http://schemas.openxmlformats.org/officeDocument/2006/relationships/hyperlink" Target="https://www.itu.int/ITU-T/recommendations/rec.aspx?id=15032" TargetMode="External"/><Relationship Id="rId76" Type="http://schemas.openxmlformats.org/officeDocument/2006/relationships/hyperlink" Target="https://aiforgood.itu.int/about-ai-for-good/aiml-in-5g-challenge/" TargetMode="External"/><Relationship Id="rId141" Type="http://schemas.openxmlformats.org/officeDocument/2006/relationships/hyperlink" Target="https://www.itu.int/en/journal/j-fet/Pages/editorial-board.aspx" TargetMode="External"/><Relationship Id="rId379" Type="http://schemas.openxmlformats.org/officeDocument/2006/relationships/hyperlink" Target="https://www.itu.int/ITU-T/recommendations/rec.aspx?id=14851" TargetMode="External"/><Relationship Id="rId586" Type="http://schemas.openxmlformats.org/officeDocument/2006/relationships/theme" Target="theme/theme1.xml"/><Relationship Id="rId7" Type="http://schemas.openxmlformats.org/officeDocument/2006/relationships/settings" Target="settings.xml"/><Relationship Id="rId239" Type="http://schemas.openxmlformats.org/officeDocument/2006/relationships/hyperlink" Target="http://www.itu.int/myworkspace" TargetMode="External"/><Relationship Id="rId446" Type="http://schemas.openxmlformats.org/officeDocument/2006/relationships/hyperlink" Target="https://www.itu.int/ITU-T/recommendations/rec.aspx?id=15072" TargetMode="External"/><Relationship Id="rId250" Type="http://schemas.openxmlformats.org/officeDocument/2006/relationships/hyperlink" Target="https://www.itu.int/en/ITU-T/ewm/Pages/EWM-Updates.aspx" TargetMode="External"/><Relationship Id="rId292" Type="http://schemas.openxmlformats.org/officeDocument/2006/relationships/hyperlink" Target="https://www.itu.int/ITU-T/recommendations/rec.aspx?id=14939" TargetMode="External"/><Relationship Id="rId306" Type="http://schemas.openxmlformats.org/officeDocument/2006/relationships/hyperlink" Target="https://www.itu.int/ITU-T/recommendations/rec.aspx?id=14900" TargetMode="External"/><Relationship Id="rId488" Type="http://schemas.openxmlformats.org/officeDocument/2006/relationships/hyperlink" Target="https://www.itu.int/ITU-T/recommendations/rec.aspx?id=14800" TargetMode="External"/><Relationship Id="rId45" Type="http://schemas.openxmlformats.org/officeDocument/2006/relationships/hyperlink" Target="https://www.itu.int/itu-t/recommendations/rec.aspx?rec=14967" TargetMode="External"/><Relationship Id="rId87" Type="http://schemas.openxmlformats.org/officeDocument/2006/relationships/hyperlink" Target="https://figi.itu.int/figi-resources/dfs-security-lab/" TargetMode="External"/><Relationship Id="rId110" Type="http://schemas.openxmlformats.org/officeDocument/2006/relationships/hyperlink" Target="https://u4ssc.itu.int/u4ssc-hub/" TargetMode="External"/><Relationship Id="rId348" Type="http://schemas.openxmlformats.org/officeDocument/2006/relationships/hyperlink" Target="https://www.itu.int/ITU-T/recommendations/rec.aspx?id=14870" TargetMode="External"/><Relationship Id="rId513" Type="http://schemas.openxmlformats.org/officeDocument/2006/relationships/hyperlink" Target="https://www.itu.int/ITU-T/recommendations/rec.aspx?id=15179" TargetMode="External"/><Relationship Id="rId555" Type="http://schemas.openxmlformats.org/officeDocument/2006/relationships/hyperlink" Target="https://www.itu.int/pub/publications.aspx?lang=en&amp;parent=T-TUT-QOS-2022-1" TargetMode="External"/><Relationship Id="rId152" Type="http://schemas.openxmlformats.org/officeDocument/2006/relationships/hyperlink" Target="https://www.worldstandardscooperation.org/what-we-do/standards-programme-coordination-group-spcg/" TargetMode="External"/><Relationship Id="rId194" Type="http://schemas.openxmlformats.org/officeDocument/2006/relationships/hyperlink" Target="https://www.itu.int/net4/ipr/search.aspx" TargetMode="External"/><Relationship Id="rId208" Type="http://schemas.openxmlformats.org/officeDocument/2006/relationships/image" Target="media/image3.png"/><Relationship Id="rId415" Type="http://schemas.openxmlformats.org/officeDocument/2006/relationships/hyperlink" Target="https://www.itu.int/ITU-T/recommendations/rec.aspx?id=14956" TargetMode="External"/><Relationship Id="rId457" Type="http://schemas.openxmlformats.org/officeDocument/2006/relationships/hyperlink" Target="https://www.itu.int/ITU-T/recommendations/rec.aspx?id=14990" TargetMode="External"/><Relationship Id="rId261" Type="http://schemas.openxmlformats.org/officeDocument/2006/relationships/hyperlink" Target="https://extranet.itu.int/sites/itu-t/jointgroups/" TargetMode="External"/><Relationship Id="rId499" Type="http://schemas.openxmlformats.org/officeDocument/2006/relationships/hyperlink" Target="https://www.itu.int/ITU-T/recommendations/rec.aspx?id=14940" TargetMode="External"/><Relationship Id="rId14" Type="http://schemas.openxmlformats.org/officeDocument/2006/relationships/hyperlink" Target="https://www.itu.int/en/ITU-T/focusgroups/ai4ad/Pages/default.aspx" TargetMode="External"/><Relationship Id="rId56" Type="http://schemas.openxmlformats.org/officeDocument/2006/relationships/hyperlink" Target="https://www.itu.int/go/tsg13" TargetMode="External"/><Relationship Id="rId317" Type="http://schemas.openxmlformats.org/officeDocument/2006/relationships/hyperlink" Target="https://www.itu.int/ITU-T/recommendations/rec.aspx?id=14914" TargetMode="External"/><Relationship Id="rId359" Type="http://schemas.openxmlformats.org/officeDocument/2006/relationships/hyperlink" Target="https://www.itu.int/ITU-T/recommendations/rec.aspx?id=14845" TargetMode="External"/><Relationship Id="rId524" Type="http://schemas.openxmlformats.org/officeDocument/2006/relationships/hyperlink" Target="https://www.itu.int/ITU-T/recommendations/rec.aspx?id=14937" TargetMode="External"/><Relationship Id="rId566" Type="http://schemas.openxmlformats.org/officeDocument/2006/relationships/hyperlink" Target="https://www.itu.int/ITU-T/recommendations/rec.aspx?id=15091" TargetMode="External"/><Relationship Id="rId98" Type="http://schemas.openxmlformats.org/officeDocument/2006/relationships/hyperlink" Target="https://www.itu.int/en/ITU-T/webinars/dfs/sc/20220412/Pages/default.aspx" TargetMode="External"/><Relationship Id="rId121" Type="http://schemas.openxmlformats.org/officeDocument/2006/relationships/hyperlink" Target="https://unfccc.int/cop27" TargetMode="External"/><Relationship Id="rId163" Type="http://schemas.openxmlformats.org/officeDocument/2006/relationships/hyperlink" Target="https://www.itu.int/en/ITU-T/extcoop/FIGIresources/authentication/Pages/default.aspx" TargetMode="External"/><Relationship Id="rId219" Type="http://schemas.openxmlformats.org/officeDocument/2006/relationships/image" Target="media/image6.png"/><Relationship Id="rId370" Type="http://schemas.openxmlformats.org/officeDocument/2006/relationships/hyperlink" Target="https://www.itu.int/ITU-T/recommendations/rec.aspx?id=15047" TargetMode="External"/><Relationship Id="rId426" Type="http://schemas.openxmlformats.org/officeDocument/2006/relationships/hyperlink" Target="https://www.itu.int/ITU-T/recommendations/rec.aspx?id=14948" TargetMode="External"/><Relationship Id="rId230" Type="http://schemas.openxmlformats.org/officeDocument/2006/relationships/hyperlink" Target="https://www.itu.int/br_tsb_terms/" TargetMode="External"/><Relationship Id="rId468" Type="http://schemas.openxmlformats.org/officeDocument/2006/relationships/hyperlink" Target="https://www.itu.int/ITU-T/recommendations/rec.aspx?rec=15119" TargetMode="External"/><Relationship Id="rId25" Type="http://schemas.openxmlformats.org/officeDocument/2006/relationships/hyperlink" Target="https://www.itu.int/en/ITU-T/Workshops-and-Seminars/2023/0124/Pages/default.aspx" TargetMode="External"/><Relationship Id="rId67" Type="http://schemas.openxmlformats.org/officeDocument/2006/relationships/hyperlink" Target="https://www.itu.int/en/ITU-T/focusgroups/ai4h/Pages/default.aspx" TargetMode="External"/><Relationship Id="rId272" Type="http://schemas.openxmlformats.org/officeDocument/2006/relationships/hyperlink" Target="https://extranet.itu.int/sites/itu-t/initiatives/circulardesign" TargetMode="External"/><Relationship Id="rId328" Type="http://schemas.openxmlformats.org/officeDocument/2006/relationships/hyperlink" Target="https://www.itu.int/rec/T-REC-G.8271.2-202211-I!Amd1" TargetMode="External"/><Relationship Id="rId535" Type="http://schemas.openxmlformats.org/officeDocument/2006/relationships/hyperlink" Target="https://www.itu.int/ITU-T/recommendations/rec.aspx?id=15009" TargetMode="External"/><Relationship Id="rId577" Type="http://schemas.openxmlformats.org/officeDocument/2006/relationships/hyperlink" Target="https://www.itu.int/ITU-T/recommendations/rec.aspx?id=15102" TargetMode="External"/><Relationship Id="rId132" Type="http://schemas.openxmlformats.org/officeDocument/2006/relationships/hyperlink" Target="https://fnc.itu.int/" TargetMode="External"/><Relationship Id="rId174" Type="http://schemas.openxmlformats.org/officeDocument/2006/relationships/hyperlink" Target="https://www.itu.int/en/ITU-T/C-I/Pages/default.aspx" TargetMode="External"/><Relationship Id="rId381" Type="http://schemas.openxmlformats.org/officeDocument/2006/relationships/hyperlink" Target="https://www.itu.int/ITU-T/recommendations/rec.aspx?id=14854" TargetMode="External"/><Relationship Id="rId241" Type="http://schemas.openxmlformats.org/officeDocument/2006/relationships/hyperlink" Target="https://www.itu.int/myworkspace/" TargetMode="External"/><Relationship Id="rId437" Type="http://schemas.openxmlformats.org/officeDocument/2006/relationships/hyperlink" Target="https://www.itu.int/ITU-T/recommendations/rec.aspx?id=14990" TargetMode="External"/><Relationship Id="rId479" Type="http://schemas.openxmlformats.org/officeDocument/2006/relationships/hyperlink" Target="https://www.itu.int/ITU-T/recommendations/rec.aspx?id=14865" TargetMode="External"/><Relationship Id="rId36" Type="http://schemas.openxmlformats.org/officeDocument/2006/relationships/hyperlink" Target="https://www.itu.int/en/journal/j-fet/Pages/default.aspx" TargetMode="External"/><Relationship Id="rId283" Type="http://schemas.openxmlformats.org/officeDocument/2006/relationships/hyperlink" Target="https://www.itu.int/rec/T-REC-G.9711-202204-I!Amd1" TargetMode="External"/><Relationship Id="rId339" Type="http://schemas.openxmlformats.org/officeDocument/2006/relationships/hyperlink" Target="https://www.itu.int/ITU-T/recommendations/rec.aspx?id=15122" TargetMode="External"/><Relationship Id="rId490" Type="http://schemas.openxmlformats.org/officeDocument/2006/relationships/hyperlink" Target="https://www.itu.int/ITU-T/recommendations/rec.aspx?id=14847" TargetMode="External"/><Relationship Id="rId504" Type="http://schemas.openxmlformats.org/officeDocument/2006/relationships/hyperlink" Target="https://www.itu.int/ITU-T/recommendations/rec.aspx?id=15034" TargetMode="External"/><Relationship Id="rId546" Type="http://schemas.openxmlformats.org/officeDocument/2006/relationships/hyperlink" Target="https://www.itu.int/ITU-T/recommendations/rec.aspx?id=15011" TargetMode="External"/><Relationship Id="rId78" Type="http://schemas.openxmlformats.org/officeDocument/2006/relationships/hyperlink" Target="https://github.com/ITU-AI-ML-in-5G-Challenge" TargetMode="External"/><Relationship Id="rId101" Type="http://schemas.openxmlformats.org/officeDocument/2006/relationships/hyperlink" Target="https://www.itu.int/en/ITU-T/webinars/dfs/sc/20220216/Pages/default.aspx" TargetMode="External"/><Relationship Id="rId143" Type="http://schemas.openxmlformats.org/officeDocument/2006/relationships/hyperlink" Target="https://www.itu.int/en/ITU-T/academia/kaleidoscope/2022/Pages/default.aspx" TargetMode="External"/><Relationship Id="rId185" Type="http://schemas.openxmlformats.org/officeDocument/2006/relationships/hyperlink" Target="https://www.itu.int/itu-t/recommendations/rec.aspx?rec=14967" TargetMode="External"/><Relationship Id="rId350" Type="http://schemas.openxmlformats.org/officeDocument/2006/relationships/hyperlink" Target="https://www.itu.int/ITU-T/recommendations/rec.aspx?id=14871" TargetMode="External"/><Relationship Id="rId406" Type="http://schemas.openxmlformats.org/officeDocument/2006/relationships/hyperlink" Target="https://www.itu.int/ITU-T/recommendations/rec.aspx?id=14856" TargetMode="External"/><Relationship Id="rId9" Type="http://schemas.openxmlformats.org/officeDocument/2006/relationships/footnotes" Target="footnotes.xml"/><Relationship Id="rId210" Type="http://schemas.openxmlformats.org/officeDocument/2006/relationships/chart" Target="charts/chart8.xml"/><Relationship Id="rId392" Type="http://schemas.openxmlformats.org/officeDocument/2006/relationships/hyperlink" Target="https://www.itu.int/ITU-T/recommendations/rec.aspx?id=14861" TargetMode="External"/><Relationship Id="rId448" Type="http://schemas.openxmlformats.org/officeDocument/2006/relationships/hyperlink" Target="https://www.itu.int/ITU-T/recommendations/rec.aspx?id=14994" TargetMode="External"/><Relationship Id="rId252" Type="http://schemas.openxmlformats.org/officeDocument/2006/relationships/hyperlink" Target="http://itu.int/go/itu-t/rgm" TargetMode="External"/><Relationship Id="rId294" Type="http://schemas.openxmlformats.org/officeDocument/2006/relationships/hyperlink" Target="https://www.itu.int/rec/T-REC-G.709.1-202211-I!Amd3" TargetMode="External"/><Relationship Id="rId308" Type="http://schemas.openxmlformats.org/officeDocument/2006/relationships/hyperlink" Target="https://www.itu.int/rec/T-REC-G.7718-202211-I!Amd1" TargetMode="External"/><Relationship Id="rId515" Type="http://schemas.openxmlformats.org/officeDocument/2006/relationships/hyperlink" Target="https://www.itu.int/ITU-T/recommendations/rec.aspx?id=15038" TargetMode="External"/><Relationship Id="rId47" Type="http://schemas.openxmlformats.org/officeDocument/2006/relationships/hyperlink" Target="https://aisdg.itu.int/" TargetMode="External"/><Relationship Id="rId89" Type="http://schemas.openxmlformats.org/officeDocument/2006/relationships/hyperlink" Target="https://www.itu.int/en/ITU-T/webinars/dfs/sc/20220913/Pages/default.aspx" TargetMode="External"/><Relationship Id="rId112" Type="http://schemas.openxmlformats.org/officeDocument/2006/relationships/hyperlink" Target="https://www.itu.int/en/ITU-T/webinars/dt4cc/Pages/default.aspx" TargetMode="External"/><Relationship Id="rId154" Type="http://schemas.openxmlformats.org/officeDocument/2006/relationships/hyperlink" Target="https://www.itu.int/hub/2020/10/new-smart-city-standards-joint-task-force-established-by-itu-iso-and-iec/" TargetMode="External"/><Relationship Id="rId361" Type="http://schemas.openxmlformats.org/officeDocument/2006/relationships/hyperlink" Target="https://www.itu.int/ITU-T/recommendations/rec.aspx?id=14923" TargetMode="External"/><Relationship Id="rId557" Type="http://schemas.openxmlformats.org/officeDocument/2006/relationships/hyperlink" Target="https://www.itu.int/ITU-T/recommendations/rec.aspx?id=15046" TargetMode="External"/><Relationship Id="rId196" Type="http://schemas.openxmlformats.org/officeDocument/2006/relationships/hyperlink" Target="https://www.itu.int/en/ITU-T/gap/Pages/default.aspx" TargetMode="External"/><Relationship Id="rId417" Type="http://schemas.openxmlformats.org/officeDocument/2006/relationships/hyperlink" Target="https://www.itu.int/ITU-T/recommendations/rec.aspx?id=14958" TargetMode="External"/><Relationship Id="rId459" Type="http://schemas.openxmlformats.org/officeDocument/2006/relationships/hyperlink" Target="https://www.itu.int/ITU-T/recommendations/rec.aspx?id=15103" TargetMode="External"/><Relationship Id="rId16" Type="http://schemas.openxmlformats.org/officeDocument/2006/relationships/hyperlink" Target="https://www.itu.int/en/ITU-T/focusgroups/Pages/default.aspx" TargetMode="External"/><Relationship Id="rId221" Type="http://schemas.openxmlformats.org/officeDocument/2006/relationships/chart" Target="charts/chart9.xml"/><Relationship Id="rId263" Type="http://schemas.openxmlformats.org/officeDocument/2006/relationships/hyperlink" Target="https://extranet.itu.int/sites/itu-t/focusgroups/ai4ad" TargetMode="External"/><Relationship Id="rId319" Type="http://schemas.openxmlformats.org/officeDocument/2006/relationships/hyperlink" Target="https://www.itu.int/rec/T-REC-G.781.1-202211-I!Amd1" TargetMode="External"/><Relationship Id="rId470" Type="http://schemas.openxmlformats.org/officeDocument/2006/relationships/hyperlink" Target="https://www.itu.int/ITU-T/recommendations/rec.aspx?id=14865" TargetMode="External"/><Relationship Id="rId526" Type="http://schemas.openxmlformats.org/officeDocument/2006/relationships/hyperlink" Target="https://www.itu.int/ITU-T/recommendations/rec.aspx?id=14846" TargetMode="External"/><Relationship Id="rId58" Type="http://schemas.openxmlformats.org/officeDocument/2006/relationships/hyperlink" Target="https://www.itu.int/go/tsg16" TargetMode="External"/><Relationship Id="rId123"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330" Type="http://schemas.openxmlformats.org/officeDocument/2006/relationships/hyperlink" Target="https://www.itu.int/ITU-T/recommendations/rec.aspx?id=14904" TargetMode="External"/><Relationship Id="rId568" Type="http://schemas.openxmlformats.org/officeDocument/2006/relationships/hyperlink" Target="https://www.itu.int/ITU-T/recommendations/rec.aspx?id=15093" TargetMode="External"/><Relationship Id="rId165" Type="http://schemas.openxmlformats.org/officeDocument/2006/relationships/hyperlink" Target="https://www.itu.int/en/ITU-T/extcoop/ai-data-commons/Pages/default.aspx" TargetMode="External"/><Relationship Id="rId372" Type="http://schemas.openxmlformats.org/officeDocument/2006/relationships/hyperlink" Target="https://www.itu.int/ITU-T/recommendations/rec.aspx?id=14991" TargetMode="External"/><Relationship Id="rId428" Type="http://schemas.openxmlformats.org/officeDocument/2006/relationships/hyperlink" Target="https://www.itu.int/wftp3/av-arch/jvet-site/bitstream_exchange/VVC/FDIS/" TargetMode="External"/><Relationship Id="rId232" Type="http://schemas.openxmlformats.org/officeDocument/2006/relationships/hyperlink" Target="https://www.itu.int/myworkspace/" TargetMode="External"/><Relationship Id="rId274" Type="http://schemas.openxmlformats.org/officeDocument/2006/relationships/hyperlink" Target="https://extranet.itu.int/sites/itu-t/initiatives/E-waste" TargetMode="External"/><Relationship Id="rId481" Type="http://schemas.openxmlformats.org/officeDocument/2006/relationships/hyperlink" Target="https://www.itu.int/ITU-T/recommendations/rec.aspx?id=15064" TargetMode="External"/><Relationship Id="rId27" Type="http://schemas.openxmlformats.org/officeDocument/2006/relationships/hyperlink" Target="https://www.itu.int/en/ITU-T/extcoop/dcgi/Documents/Final%20Report_DCGI_Digital%20Currencies%20and%20Financial%20Inclusion.pdf" TargetMode="External"/><Relationship Id="rId69" Type="http://schemas.openxmlformats.org/officeDocument/2006/relationships/hyperlink" Target="https://www.itu.int/en/ITU-T/focusgroups/vm/Pages/default.aspx" TargetMode="External"/><Relationship Id="rId134" Type="http://schemas.openxmlformats.org/officeDocument/2006/relationships/hyperlink" Target="https://www.itu.int/net4/ITU-T/landscape" TargetMode="External"/><Relationship Id="rId537" Type="http://schemas.openxmlformats.org/officeDocument/2006/relationships/hyperlink" Target="https://www.itu.int/ITU-T/recommendations/rec.aspx?id=15002" TargetMode="External"/><Relationship Id="rId579" Type="http://schemas.openxmlformats.org/officeDocument/2006/relationships/header" Target="header2.xml"/><Relationship Id="rId80" Type="http://schemas.openxmlformats.org/officeDocument/2006/relationships/chart" Target="charts/chart2.xml"/><Relationship Id="rId176" Type="http://schemas.openxmlformats.org/officeDocument/2006/relationships/hyperlink" Target="https://itu.int/go/tldb" TargetMode="External"/><Relationship Id="rId341" Type="http://schemas.openxmlformats.org/officeDocument/2006/relationships/hyperlink" Target="https://www.itu.int/ITU-T/recommendations/rec.aspx?id=14838" TargetMode="External"/><Relationship Id="rId383" Type="http://schemas.openxmlformats.org/officeDocument/2006/relationships/hyperlink" Target="https://www.itu.int/ITU-T/recommendations/rec.aspx?id=14857" TargetMode="External"/><Relationship Id="rId439" Type="http://schemas.openxmlformats.org/officeDocument/2006/relationships/hyperlink" Target="https://www.itu.int/ITU-T/recommendations/rec.aspx?id=14813" TargetMode="External"/><Relationship Id="rId201" Type="http://schemas.openxmlformats.org/officeDocument/2006/relationships/hyperlink" Target="https://www.itu.int/en/ITU-T/gap/Documents/nss-rep-may.pdf" TargetMode="External"/><Relationship Id="rId243" Type="http://schemas.openxmlformats.org/officeDocument/2006/relationships/hyperlink" Target="https://tsbcloud.itu.int/nextcloud/login" TargetMode="External"/><Relationship Id="rId285" Type="http://schemas.openxmlformats.org/officeDocument/2006/relationships/hyperlink" Target="https://www.itu.int/ITU-T/recommendations/rec.aspx?id=15125" TargetMode="External"/><Relationship Id="rId450" Type="http://schemas.openxmlformats.org/officeDocument/2006/relationships/hyperlink" Target="https://www.itu.int/ITU-T/recommendations/rec.aspx?id=14967" TargetMode="External"/><Relationship Id="rId506" Type="http://schemas.openxmlformats.org/officeDocument/2006/relationships/hyperlink" Target="https://www.itu.int/ITU-T/recommendations/rec.aspx?id=15086" TargetMode="External"/><Relationship Id="rId38" Type="http://schemas.openxmlformats.org/officeDocument/2006/relationships/hyperlink" Target="https://www.itu.int/en/ITU-T/gap/Pages/default.aspx" TargetMode="External"/><Relationship Id="rId103" Type="http://schemas.openxmlformats.org/officeDocument/2006/relationships/hyperlink" Target="https://www.itu.int/en/ITU-T/extcoop/dcgi/Pages/default.aspx" TargetMode="External"/><Relationship Id="rId310" Type="http://schemas.openxmlformats.org/officeDocument/2006/relationships/hyperlink" Target="https://www.itu.int/ITU-T/recommendations/rec.aspx?id=14908" TargetMode="External"/><Relationship Id="rId492" Type="http://schemas.openxmlformats.org/officeDocument/2006/relationships/hyperlink" Target="https://www.itu.int/ITU-T/recommendations/rec.aspx?id=14848" TargetMode="External"/><Relationship Id="rId548" Type="http://schemas.openxmlformats.org/officeDocument/2006/relationships/hyperlink" Target="https://www.itu.int/ITU-T/recommendations/rec.aspx?id=15013" TargetMode="External"/><Relationship Id="rId91" Type="http://schemas.openxmlformats.org/officeDocument/2006/relationships/hyperlink" Target="https://www.itu.int/en/ITU-T/webinars/dfs/sc/20220906/Pages/default.aspx" TargetMode="External"/><Relationship Id="rId145" Type="http://schemas.openxmlformats.org/officeDocument/2006/relationships/hyperlink" Target="https://www.itu.int/en/ITU-T/extcoop/Pages/wsc.aspx" TargetMode="External"/><Relationship Id="rId187" Type="http://schemas.openxmlformats.org/officeDocument/2006/relationships/hyperlink" Target="https://www.itu.int/itu-t/recommendations/rec.aspx?rec=14973" TargetMode="External"/><Relationship Id="rId352" Type="http://schemas.openxmlformats.org/officeDocument/2006/relationships/hyperlink" Target="https://www.itu.int/ITU-T/recommendations/rec.aspx?id=14873" TargetMode="External"/><Relationship Id="rId394" Type="http://schemas.openxmlformats.org/officeDocument/2006/relationships/hyperlink" Target="https://www.itu.int/ITU-T/recommendations/rec.aspx?id=15061" TargetMode="External"/><Relationship Id="rId408" Type="http://schemas.openxmlformats.org/officeDocument/2006/relationships/hyperlink" Target="https://www.itu.int/ITU-T/recommendations/rec.aspx?id=15059" TargetMode="External"/><Relationship Id="rId212" Type="http://schemas.openxmlformats.org/officeDocument/2006/relationships/hyperlink" Target="https://learnqi.unece.org/courses/gender-responsive-standards/" TargetMode="External"/><Relationship Id="rId254" Type="http://schemas.openxmlformats.org/officeDocument/2006/relationships/hyperlink" Target="http://itu.int/go/itu-t/rgm-guide" TargetMode="External"/><Relationship Id="rId49" Type="http://schemas.openxmlformats.org/officeDocument/2006/relationships/hyperlink" Target="https://www.itu.int/en/ITU-T/studygroups/Pages/default.aspx" TargetMode="External"/><Relationship Id="rId114" Type="http://schemas.openxmlformats.org/officeDocument/2006/relationships/hyperlink" Target="https://www.itu.int/en/ITU-T/webinars/DT4CC/20221122/Pages/default.aspx" TargetMode="External"/><Relationship Id="rId296" Type="http://schemas.openxmlformats.org/officeDocument/2006/relationships/hyperlink" Target="https://www.itu.int/ITU-T/recommendations/rec.aspx?id=14896&amp;lang=en" TargetMode="External"/><Relationship Id="rId461" Type="http://schemas.openxmlformats.org/officeDocument/2006/relationships/hyperlink" Target="https://www.itu.int/ITU-T/recommendations/rec.aspx?id=14800" TargetMode="External"/><Relationship Id="rId517" Type="http://schemas.openxmlformats.org/officeDocument/2006/relationships/hyperlink" Target="https://www.itu.int/ITU-T/recommendations/rec.aspx?id=15039" TargetMode="External"/><Relationship Id="rId559" Type="http://schemas.openxmlformats.org/officeDocument/2006/relationships/hyperlink" Target="https://www.itu.int/ITU-T/recommendations/rec.aspx?id=14850" TargetMode="External"/><Relationship Id="rId60" Type="http://schemas.openxmlformats.org/officeDocument/2006/relationships/hyperlink" Target="https://www.itu.int/go/tsg20" TargetMode="External"/><Relationship Id="rId156" Type="http://schemas.openxmlformats.org/officeDocument/2006/relationships/hyperlink" Target="https://www.itu.int/en/irg/ava" TargetMode="External"/><Relationship Id="rId198" Type="http://schemas.openxmlformats.org/officeDocument/2006/relationships/hyperlink" Target="https://www.itu.int/en/ITU-T/Workshops-and-Seminars/2022/0808/Pages/default.aspx" TargetMode="External"/><Relationship Id="rId321" Type="http://schemas.openxmlformats.org/officeDocument/2006/relationships/hyperlink" Target="https://www.itu.int/ITU-T/recommendations/rec.aspx?id=14915" TargetMode="External"/><Relationship Id="rId363" Type="http://schemas.openxmlformats.org/officeDocument/2006/relationships/hyperlink" Target="https://www.itu.int/ITU-T/recommendations/rec.aspx?id=15049" TargetMode="External"/><Relationship Id="rId419" Type="http://schemas.openxmlformats.org/officeDocument/2006/relationships/hyperlink" Target="https://www.itu.int/ITU-T/recommendations/rec.aspx?id=14960" TargetMode="External"/><Relationship Id="rId570" Type="http://schemas.openxmlformats.org/officeDocument/2006/relationships/hyperlink" Target="https://www.itu.int/ITU-T/recommendations/rec.aspx?id=15095" TargetMode="External"/><Relationship Id="rId223" Type="http://schemas.openxmlformats.org/officeDocument/2006/relationships/image" Target="media/image7.png"/><Relationship Id="rId430" Type="http://schemas.openxmlformats.org/officeDocument/2006/relationships/hyperlink" Target="https://www.itu.int/ITU-T/recommendations/rec.aspx?id=14949" TargetMode="External"/><Relationship Id="rId18" Type="http://schemas.openxmlformats.org/officeDocument/2006/relationships/hyperlink" Target="https://www.itu.int/en/ITU-T/Workshops-and-Seminars/Pages/default.aspx" TargetMode="External"/><Relationship Id="rId265" Type="http://schemas.openxmlformats.org/officeDocument/2006/relationships/hyperlink" Target="https://extranet.itu.int/sites/itu-t/focusgroups/ai4h/" TargetMode="External"/><Relationship Id="rId472" Type="http://schemas.openxmlformats.org/officeDocument/2006/relationships/hyperlink" Target="https://www.itu.int/ITU-T/recommendations/rec.aspx?id=15064" TargetMode="External"/><Relationship Id="rId528" Type="http://schemas.openxmlformats.org/officeDocument/2006/relationships/hyperlink" Target="https://www.itu.int/ITU-T/recommendations/rec.aspx?id=15089" TargetMode="External"/><Relationship Id="rId125" Type="http://schemas.openxmlformats.org/officeDocument/2006/relationships/hyperlink" Target="https://www.uncclearn.org/climate-classroom-cop27-digital-transformation-for-people-oriented-cities-and-communities-reducing-the-environmental-impact-of-cities/" TargetMode="External"/><Relationship Id="rId167" Type="http://schemas.openxmlformats.org/officeDocument/2006/relationships/hyperlink" Target="https://www.itu.int/wsis/index.html" TargetMode="External"/><Relationship Id="rId332" Type="http://schemas.openxmlformats.org/officeDocument/2006/relationships/hyperlink" Target="https://www.itu.int/rec/T-REC-G.8273.4-202211-I!Amd2" TargetMode="External"/><Relationship Id="rId374" Type="http://schemas.openxmlformats.org/officeDocument/2006/relationships/hyperlink" Target="https://www.itu.int/ITU-T/recommendations/rec.aspx?id=15052" TargetMode="External"/><Relationship Id="rId581" Type="http://schemas.openxmlformats.org/officeDocument/2006/relationships/footer" Target="footer2.xml"/><Relationship Id="rId71" Type="http://schemas.openxmlformats.org/officeDocument/2006/relationships/hyperlink" Target="https://www.itu.int/en/ITU-T/Workshops-and-Seminars/Pages/default.aspx" TargetMode="External"/><Relationship Id="rId234" Type="http://schemas.openxmlformats.org/officeDocument/2006/relationships/hyperlink" Target="http://www.itu.int/itu-t/recommendations" TargetMode="External"/><Relationship Id="rId2" Type="http://schemas.openxmlformats.org/officeDocument/2006/relationships/customXml" Target="../customXml/item2.xml"/><Relationship Id="rId29" Type="http://schemas.openxmlformats.org/officeDocument/2006/relationships/hyperlink" Target="https://www.itu.int/en/ITU-T/ssc/united/Pages/publication-U4SSC-KPIs.aspx" TargetMode="External"/><Relationship Id="rId276" Type="http://schemas.openxmlformats.org/officeDocument/2006/relationships/hyperlink" Target="https://extranet.itu.int/sites/itu-t/studygroups/2017-2020/sg2/SitePages/Numbering%20Applications%20Monitor.aspx" TargetMode="External"/><Relationship Id="rId441" Type="http://schemas.openxmlformats.org/officeDocument/2006/relationships/hyperlink" Target="https://www.itu.int/ITU-T/recommendations/rec.aspx?id=14825" TargetMode="External"/><Relationship Id="rId483" Type="http://schemas.openxmlformats.org/officeDocument/2006/relationships/hyperlink" Target="https://www.itu.int/ITU-T/recommendations/rec.aspx?id=15042" TargetMode="External"/><Relationship Id="rId539" Type="http://schemas.openxmlformats.org/officeDocument/2006/relationships/hyperlink" Target="https://www.itu.int/rec/T-REC-P.Imp565.1-202206-I" TargetMode="External"/><Relationship Id="rId40" Type="http://schemas.openxmlformats.org/officeDocument/2006/relationships/hyperlink" Target="https://www.itu.int/en/ITU-T/wtsa20/wise/Pages/default.aspx" TargetMode="External"/><Relationship Id="rId136" Type="http://schemas.openxmlformats.org/officeDocument/2006/relationships/hyperlink" Target="https://www.itu.int/en/ITU-T/tsbdir/CxO/Pages/CxO-20221206.aspx" TargetMode="External"/><Relationship Id="rId178" Type="http://schemas.openxmlformats.org/officeDocument/2006/relationships/hyperlink" Target="https://www.itu.int/en/ITU-T/studygroups/com11/casc/Documents/TL-RP_pub_2022-07-15.pdf" TargetMode="External"/><Relationship Id="rId301" Type="http://schemas.openxmlformats.org/officeDocument/2006/relationships/hyperlink" Target="https://www.itu.int/ITU-T/recommendations/rec.aspx?id=14928" TargetMode="External"/><Relationship Id="rId343" Type="http://schemas.openxmlformats.org/officeDocument/2006/relationships/hyperlink" Target="https://www.itu.int/ITU-T/recommendations/rec.aspx?id=15116" TargetMode="External"/><Relationship Id="rId550" Type="http://schemas.openxmlformats.org/officeDocument/2006/relationships/hyperlink" Target="https://www.itu.int/ITU-T/recommendations/rec.aspx?id=15053" TargetMode="External"/><Relationship Id="rId82" Type="http://schemas.openxmlformats.org/officeDocument/2006/relationships/chart" Target="charts/chart4.xml"/><Relationship Id="rId203" Type="http://schemas.openxmlformats.org/officeDocument/2006/relationships/hyperlink" Target="https://www.itu.int/itu-t/recommendations/rec.aspx?rec=13851" TargetMode="External"/><Relationship Id="rId385" Type="http://schemas.openxmlformats.org/officeDocument/2006/relationships/hyperlink" Target="https://www.itu.int/ITU-T/recommendations/rec.aspx?id=14910" TargetMode="External"/><Relationship Id="rId245" Type="http://schemas.openxmlformats.org/officeDocument/2006/relationships/hyperlink" Target="https://www.itu.int/en/ITU-T/C-I/Pages/default.aspx" TargetMode="External"/><Relationship Id="rId287" Type="http://schemas.openxmlformats.org/officeDocument/2006/relationships/hyperlink" Target="https://www.itu.int/ITU-T/recommendations/rec.aspx?id=14918" TargetMode="External"/><Relationship Id="rId410" Type="http://schemas.openxmlformats.org/officeDocument/2006/relationships/hyperlink" Target="https://www.itu.int/ITU-T/recommendations/rec.aspx?id=14863" TargetMode="External"/><Relationship Id="rId452" Type="http://schemas.openxmlformats.org/officeDocument/2006/relationships/hyperlink" Target="https://www.itu.int/ITU-T/recommendations/rec.aspx?id=14644" TargetMode="External"/><Relationship Id="rId494" Type="http://schemas.openxmlformats.org/officeDocument/2006/relationships/hyperlink" Target="https://www.itu.int/ITU-T/recommendations/rec.aspx?id=15024" TargetMode="External"/><Relationship Id="rId508" Type="http://schemas.openxmlformats.org/officeDocument/2006/relationships/hyperlink" Target="https://www.itu.int/ITU-T/recommendations/rec.aspx?id=15088" TargetMode="External"/><Relationship Id="rId105" Type="http://schemas.openxmlformats.org/officeDocument/2006/relationships/hyperlink" Target="https://www.itu.int/en/ITU-T/Workshops-and-Seminars/2023/0124/Pages/default.aspx" TargetMode="External"/><Relationship Id="rId147" Type="http://schemas.openxmlformats.org/officeDocument/2006/relationships/hyperlink" Target="https://www.worldstandardscooperation.org/g20/g20-2022/" TargetMode="External"/><Relationship Id="rId312" Type="http://schemas.openxmlformats.org/officeDocument/2006/relationships/hyperlink" Target="https://www.itu.int/ITU-T/recommendations/rec.aspx?id=14916" TargetMode="External"/><Relationship Id="rId354" Type="http://schemas.openxmlformats.org/officeDocument/2006/relationships/hyperlink" Target="https://www.itu.int/ITU-T/recommendations/rec.aspx?id=14841" TargetMode="External"/><Relationship Id="rId51" Type="http://schemas.openxmlformats.org/officeDocument/2006/relationships/hyperlink" Target="https://www.itu.int/go/tsg3" TargetMode="External"/><Relationship Id="rId93" Type="http://schemas.openxmlformats.org/officeDocument/2006/relationships/hyperlink" Target="https://www.itu.int/en/ITU-T/webinars/dfs/sc/20220704/Pages/default.aspx" TargetMode="External"/><Relationship Id="rId189" Type="http://schemas.openxmlformats.org/officeDocument/2006/relationships/hyperlink" Target="https://www.itu.int/en/ITU-T/accessibility/Pages/default.aspx" TargetMode="External"/><Relationship Id="rId396" Type="http://schemas.openxmlformats.org/officeDocument/2006/relationships/hyperlink" Target="https://www.itu.int/ITU-T/recommendations/rec.aspx?id=15074" TargetMode="External"/><Relationship Id="rId561" Type="http://schemas.openxmlformats.org/officeDocument/2006/relationships/hyperlink" Target="https://www.itu.int/ITU-T/recommendations/rec.aspx?id=14921" TargetMode="External"/><Relationship Id="rId214" Type="http://schemas.openxmlformats.org/officeDocument/2006/relationships/hyperlink" Target="https://www.itu.int/en/ITU-T/wtsa20/wise/Pages/default.aspx" TargetMode="External"/><Relationship Id="rId256" Type="http://schemas.openxmlformats.org/officeDocument/2006/relationships/hyperlink" Target="https://extranet.itu.int/sites/itu-t/studygroups/2022-2024/SitePages/Home.aspx" TargetMode="External"/><Relationship Id="rId298" Type="http://schemas.openxmlformats.org/officeDocument/2006/relationships/hyperlink" Target="https://www.itu.int/rec/T-REC-G.873.1-202202-I!Amd1" TargetMode="External"/><Relationship Id="rId421" Type="http://schemas.openxmlformats.org/officeDocument/2006/relationships/hyperlink" Target="https://www.itu.int/ITU-T/recommendations/rec.aspx?id=14962" TargetMode="External"/><Relationship Id="rId463" Type="http://schemas.openxmlformats.org/officeDocument/2006/relationships/hyperlink" Target="https://www.itu.int/ITU-T/recommendations/rec.aspx?id=14802" TargetMode="External"/><Relationship Id="rId519" Type="http://schemas.openxmlformats.org/officeDocument/2006/relationships/hyperlink" Target="https://www.itu.int/ITU-T/recommendations/rec.aspx?id=14933" TargetMode="External"/><Relationship Id="rId116" Type="http://schemas.openxmlformats.org/officeDocument/2006/relationships/hyperlink" Target="https://www.itu.int/en/ITU-T/webinars/DT4CC/20220428/Pages/default.aspx" TargetMode="External"/><Relationship Id="rId158" Type="http://schemas.openxmlformats.org/officeDocument/2006/relationships/hyperlink" Target="https://www.itu.int/en/irg/ibb" TargetMode="External"/><Relationship Id="rId323" Type="http://schemas.openxmlformats.org/officeDocument/2006/relationships/hyperlink" Target="https://www.itu.int/ITU-T/recommendations/rec.aspx?id=15128" TargetMode="External"/><Relationship Id="rId530" Type="http://schemas.openxmlformats.org/officeDocument/2006/relationships/hyperlink" Target="https://www.itu.int/ITU-T/recommendations/rec.aspx?id=15082"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en/ITU-T/focusgroups/tbfxg/Pages/default.aspx" TargetMode="External"/><Relationship Id="rId365" Type="http://schemas.openxmlformats.org/officeDocument/2006/relationships/hyperlink" Target="https://www.itu.int/ITU-T/recommendations/rec.aspx?id=15051" TargetMode="External"/><Relationship Id="rId572" Type="http://schemas.openxmlformats.org/officeDocument/2006/relationships/hyperlink" Target="https://www.itu.int/ITU-T/recommendations/rec.aspx?id=15097" TargetMode="External"/><Relationship Id="rId225" Type="http://schemas.openxmlformats.org/officeDocument/2006/relationships/image" Target="media/image8.png"/><Relationship Id="rId267" Type="http://schemas.openxmlformats.org/officeDocument/2006/relationships/hyperlink" Target="https://extranet.itu.int/sites/itu-t/focusgroups/ai4ndm/SitePages/Home.aspx" TargetMode="External"/><Relationship Id="rId432" Type="http://schemas.openxmlformats.org/officeDocument/2006/relationships/hyperlink" Target="https://www.itu.int/ITU-T/recommendations/rec.aspx?id=14951" TargetMode="External"/><Relationship Id="rId474" Type="http://schemas.openxmlformats.org/officeDocument/2006/relationships/hyperlink" Target="https://www.itu.int/pub/publications.aspx?lang=en&amp;parent=T-TUT-ICTS-2022-2" TargetMode="External"/><Relationship Id="rId127" Type="http://schemas.openxmlformats.org/officeDocument/2006/relationships/hyperlink" Target="https://www.uncclearn.org/climate-classroom-cop27-information-and-communication-technologies-for-the-net-zero-transition/" TargetMode="External"/><Relationship Id="rId31" Type="http://schemas.openxmlformats.org/officeDocument/2006/relationships/hyperlink" Target="https://u4ssc.itu.int/publications/" TargetMode="External"/><Relationship Id="rId73" Type="http://schemas.openxmlformats.org/officeDocument/2006/relationships/hyperlink" Target="https://aiforgood.itu.int/" TargetMode="External"/><Relationship Id="rId169" Type="http://schemas.openxmlformats.org/officeDocument/2006/relationships/hyperlink" Target="https://www.itu.int/ITU-T/workprog/wp_item.aspx?isn=17089" TargetMode="External"/><Relationship Id="rId334" Type="http://schemas.openxmlformats.org/officeDocument/2006/relationships/hyperlink" Target="https://www.itu.int/ITU-T/recommendations/rec.aspx?id=14905" TargetMode="External"/><Relationship Id="rId376" Type="http://schemas.openxmlformats.org/officeDocument/2006/relationships/hyperlink" Target="https://www.itu.int/ITU-T/recommendations/rec.aspx?id=15056" TargetMode="External"/><Relationship Id="rId541" Type="http://schemas.openxmlformats.org/officeDocument/2006/relationships/hyperlink" Target="https://www.itu.int/ITU-T/recommendations/rec.aspx?id=15078" TargetMode="External"/><Relationship Id="rId583" Type="http://schemas.openxmlformats.org/officeDocument/2006/relationships/footer" Target="footer3.xml"/><Relationship Id="rId4" Type="http://schemas.openxmlformats.org/officeDocument/2006/relationships/customXml" Target="../customXml/item4.xml"/><Relationship Id="rId180" Type="http://schemas.openxmlformats.org/officeDocument/2006/relationships/hyperlink" Target="https://ilac.org/ilac-mra-and-signatories/" TargetMode="External"/><Relationship Id="rId236" Type="http://schemas.openxmlformats.org/officeDocument/2006/relationships/hyperlink" Target="https://www.itu.int/net4/itu-t/ls" TargetMode="External"/><Relationship Id="rId278" Type="http://schemas.openxmlformats.org/officeDocument/2006/relationships/hyperlink" Target="https://www.itu.int/rec/T-REC-G.994.1-202204-I!Amd1" TargetMode="External"/><Relationship Id="rId401" Type="http://schemas.openxmlformats.org/officeDocument/2006/relationships/hyperlink" Target="https://www.itu.int/ITU-T/recommendations/rec.aspx?id=14836" TargetMode="External"/><Relationship Id="rId443" Type="http://schemas.openxmlformats.org/officeDocument/2006/relationships/hyperlink" Target="https://www.itu.int/ITU-T/recommendations/rec.aspx?id=15068" TargetMode="External"/><Relationship Id="rId303" Type="http://schemas.openxmlformats.org/officeDocument/2006/relationships/hyperlink" Target="https://www.itu.int/rec/T-REC-G.7703-202211-I!Amd1" TargetMode="External"/><Relationship Id="rId485" Type="http://schemas.openxmlformats.org/officeDocument/2006/relationships/hyperlink" Target="https://www.itu.int/ITU-T/recommendations/rec.aspx?id=14644" TargetMode="External"/><Relationship Id="rId42" Type="http://schemas.openxmlformats.org/officeDocument/2006/relationships/hyperlink" Target="https://itu.int/go/tldb" TargetMode="External"/><Relationship Id="rId84" Type="http://schemas.openxmlformats.org/officeDocument/2006/relationships/hyperlink" Target="https://www.itu.int/en/ITU-T/dfs/Pages/default.aspx" TargetMode="External"/><Relationship Id="rId138" Type="http://schemas.openxmlformats.org/officeDocument/2006/relationships/hyperlink" Target="https://www.itu.int/en/journal/j-fet/Pages/default.aspx" TargetMode="External"/><Relationship Id="rId345" Type="http://schemas.openxmlformats.org/officeDocument/2006/relationships/hyperlink" Target="https://www.itu.int/ITU-T/recommendations/rec.aspx?id=14839" TargetMode="External"/><Relationship Id="rId387" Type="http://schemas.openxmlformats.org/officeDocument/2006/relationships/hyperlink" Target="https://www.itu.int/ITU-T/recommendations/rec.aspx?id=14804" TargetMode="External"/><Relationship Id="rId510" Type="http://schemas.openxmlformats.org/officeDocument/2006/relationships/hyperlink" Target="https://www.itu.int/ITU-T/recommendations/rec.aspx?id=15177" TargetMode="External"/><Relationship Id="rId552" Type="http://schemas.openxmlformats.org/officeDocument/2006/relationships/hyperlink" Target="https://www.itu.int/ITU-T/recommendations/rec.aspx?id=14864" TargetMode="External"/><Relationship Id="rId191" Type="http://schemas.openxmlformats.org/officeDocument/2006/relationships/hyperlink" Target="http://www.itu.int/en/ITU-T/ipr/Pages/revpatent.aspx" TargetMode="External"/><Relationship Id="rId205" Type="http://schemas.openxmlformats.org/officeDocument/2006/relationships/hyperlink" Target="https://www.itu.int/pub/T-TUT" TargetMode="External"/><Relationship Id="rId247" Type="http://schemas.openxmlformats.org/officeDocument/2006/relationships/hyperlink" Target="https://www.itu.int/itu-t/nnp/" TargetMode="External"/><Relationship Id="rId412" Type="http://schemas.openxmlformats.org/officeDocument/2006/relationships/hyperlink" Target="https://www.itu.int/ITU-T/recommendations/rec.aspx?id=14952" TargetMode="External"/><Relationship Id="rId107" Type="http://schemas.openxmlformats.org/officeDocument/2006/relationships/hyperlink" Target="http://www.itu.int/en/ITU-T/ssc/united/Pages/default.aspx" TargetMode="External"/><Relationship Id="rId289" Type="http://schemas.openxmlformats.org/officeDocument/2006/relationships/hyperlink" Target="https://www.itu.int/ITU-T/recommendations/rec.aspx?id=14892" TargetMode="External"/><Relationship Id="rId454" Type="http://schemas.openxmlformats.org/officeDocument/2006/relationships/hyperlink" Target="https://www.itu.int/ITU-T/recommendations/rec.aspx?id=14988" TargetMode="External"/><Relationship Id="rId496" Type="http://schemas.openxmlformats.org/officeDocument/2006/relationships/hyperlink" Target="https://www.itu.int/ITU-T/recommendations/rec.aspx?id=15025" TargetMode="External"/><Relationship Id="rId11" Type="http://schemas.openxmlformats.org/officeDocument/2006/relationships/image" Target="media/image1.png"/><Relationship Id="rId53" Type="http://schemas.openxmlformats.org/officeDocument/2006/relationships/hyperlink" Target="https://www.itu.int/go/tsg9" TargetMode="External"/><Relationship Id="rId149" Type="http://schemas.openxmlformats.org/officeDocument/2006/relationships/hyperlink" Target="https://www.itu.int/en/ITU-T/extcoop/Pages/WSC-coordination.aspx" TargetMode="External"/><Relationship Id="rId314" Type="http://schemas.openxmlformats.org/officeDocument/2006/relationships/hyperlink" Target="https://www.itu.int/ITU-T/recommendations/rec.aspx?id=14931" TargetMode="External"/><Relationship Id="rId356" Type="http://schemas.openxmlformats.org/officeDocument/2006/relationships/hyperlink" Target="https://www.itu.int/ITU-T/recommendations/rec.aspx?id=14843" TargetMode="External"/><Relationship Id="rId398" Type="http://schemas.openxmlformats.org/officeDocument/2006/relationships/hyperlink" Target="https://www.itu.int/ITU-T/recommendations/rec.aspx?rec=15062" TargetMode="External"/><Relationship Id="rId521" Type="http://schemas.openxmlformats.org/officeDocument/2006/relationships/hyperlink" Target="https://www.itu.int/ITU-T/recommendations/rec.aspx?id=14935" TargetMode="External"/><Relationship Id="rId563" Type="http://schemas.openxmlformats.org/officeDocument/2006/relationships/hyperlink" Target="https://www.itu.int/ITU-T/recommendations/rec.aspx?id=15045" TargetMode="External"/><Relationship Id="rId95" Type="http://schemas.openxmlformats.org/officeDocument/2006/relationships/hyperlink" Target="https://www.itu.int/en/ITU-T/webinars/dfs/sc/20220629/Pages/default.aspx" TargetMode="External"/><Relationship Id="rId160" Type="http://schemas.openxmlformats.org/officeDocument/2006/relationships/hyperlink" Target="https://www.itu.int/en/ITU-T/extcoop/cits/Pages/default.aspx" TargetMode="External"/><Relationship Id="rId216" Type="http://schemas.openxmlformats.org/officeDocument/2006/relationships/image" Target="cid:image001.png@01D7DC8E.86972C80" TargetMode="External"/><Relationship Id="rId423" Type="http://schemas.openxmlformats.org/officeDocument/2006/relationships/hyperlink" Target="https://www.itu.int/ITU-T/recommendations/rec.aspx?id=14964" TargetMode="External"/><Relationship Id="rId258" Type="http://schemas.openxmlformats.org/officeDocument/2006/relationships/hyperlink" Target="https://extranet.itu.int/sites/itu-t/initiatives/sitwg/" TargetMode="External"/><Relationship Id="rId465" Type="http://schemas.openxmlformats.org/officeDocument/2006/relationships/hyperlink" Target="https://www.itu.int/ITU-T/recommendations/rec.aspx?id=14806" TargetMode="External"/><Relationship Id="rId22" Type="http://schemas.openxmlformats.org/officeDocument/2006/relationships/hyperlink" Target="https://figi.itu.int/" TargetMode="External"/><Relationship Id="rId64" Type="http://schemas.openxmlformats.org/officeDocument/2006/relationships/hyperlink" Target="https://www.itu.int/en/ITU-T/focusgroups/ai4ndm/Pages/default.aspx" TargetMode="External"/><Relationship Id="rId118" Type="http://schemas.openxmlformats.org/officeDocument/2006/relationships/hyperlink" Target="https://www.itu.int/en/ITU-T/webinars/20220203/Pages/default.aspx" TargetMode="External"/><Relationship Id="rId325" Type="http://schemas.openxmlformats.org/officeDocument/2006/relationships/hyperlink" Target="https://www.itu.int/rec/T-REC-G.8265.1-202202-I!Amd1" TargetMode="External"/><Relationship Id="rId367" Type="http://schemas.openxmlformats.org/officeDocument/2006/relationships/hyperlink" Target="https://www.itu.int/ITU-T/recommendations/rec.aspx?rec=15041" TargetMode="External"/><Relationship Id="rId532" Type="http://schemas.openxmlformats.org/officeDocument/2006/relationships/hyperlink" Target="https://www.itu.int/ITU-T/recommendations/rec.aspx?id=15000" TargetMode="External"/><Relationship Id="rId574" Type="http://schemas.openxmlformats.org/officeDocument/2006/relationships/hyperlink" Target="https://www.itu.int/ITU-T/recommendations/rec.aspx?id=15099" TargetMode="External"/><Relationship Id="rId171" Type="http://schemas.openxmlformats.org/officeDocument/2006/relationships/hyperlink" Target="https://www.itu.int/rec/T-REC-A.4" TargetMode="External"/><Relationship Id="rId227" Type="http://schemas.openxmlformats.org/officeDocument/2006/relationships/image" Target="media/image9.png"/><Relationship Id="rId269" Type="http://schemas.openxmlformats.org/officeDocument/2006/relationships/hyperlink" Target="https://extranet.itu.int/sites/itu-t/focusgroups/vm/" TargetMode="External"/><Relationship Id="rId434" Type="http://schemas.openxmlformats.org/officeDocument/2006/relationships/hyperlink" Target="https://www.itu.int/ITU-T/recommendations/rec.aspx?id=14972" TargetMode="External"/><Relationship Id="rId476" Type="http://schemas.openxmlformats.org/officeDocument/2006/relationships/hyperlink" Target="https://www.itu.int/ITU-T/recommendations/rec.aspx?id=14995" TargetMode="External"/><Relationship Id="rId33" Type="http://schemas.openxmlformats.org/officeDocument/2006/relationships/hyperlink" Target="https://fnc.itu.int/" TargetMode="External"/><Relationship Id="rId129" Type="http://schemas.openxmlformats.org/officeDocument/2006/relationships/hyperlink" Target="https://www.itu.int/en/ITU-T/Workshops-and-Seminars/2022/0601/Pages/default.aspx" TargetMode="External"/><Relationship Id="rId280" Type="http://schemas.openxmlformats.org/officeDocument/2006/relationships/hyperlink" Target="https://www.itu.int/rec/T-REC-G.997.3-202204-I!Amd1" TargetMode="External"/><Relationship Id="rId336" Type="http://schemas.openxmlformats.org/officeDocument/2006/relationships/hyperlink" Target="https://www.itu.int/ITU-T/recommendations/rec.aspx?id=14913" TargetMode="External"/><Relationship Id="rId501" Type="http://schemas.openxmlformats.org/officeDocument/2006/relationships/hyperlink" Target="https://www.itu.int/ITU-T/recommendations/rec.aspx?id=15029" TargetMode="External"/><Relationship Id="rId543" Type="http://schemas.openxmlformats.org/officeDocument/2006/relationships/hyperlink" Target="https://www.itu.int/rec/T-REC-P.Imp863-202206-I" TargetMode="External"/><Relationship Id="rId75" Type="http://schemas.openxmlformats.org/officeDocument/2006/relationships/hyperlink" Target="https://aiforgood.itu.int/programme/" TargetMode="External"/><Relationship Id="rId140" Type="http://schemas.openxmlformats.org/officeDocument/2006/relationships/hyperlink" Target="https://www.itu.int/en/journal/j-fet/Pages/default.aspx" TargetMode="External"/><Relationship Id="rId182" Type="http://schemas.openxmlformats.org/officeDocument/2006/relationships/hyperlink" Target="https://www.itu.int/pub/T-SP" TargetMode="External"/><Relationship Id="rId378" Type="http://schemas.openxmlformats.org/officeDocument/2006/relationships/hyperlink" Target="https://www.itu.int/pub/publications.aspx?lang=en&amp;parent=T-TUT-ICTS-2022-2" TargetMode="External"/><Relationship Id="rId403" Type="http://schemas.openxmlformats.org/officeDocument/2006/relationships/hyperlink" Target="https://www.itu.int/ITU-T/recommendations/rec.aspx?id=14834" TargetMode="External"/><Relationship Id="rId585" Type="http://schemas.openxmlformats.org/officeDocument/2006/relationships/glossaryDocument" Target="glossary/document.xml"/><Relationship Id="rId6" Type="http://schemas.openxmlformats.org/officeDocument/2006/relationships/styles" Target="styles.xml"/><Relationship Id="rId238" Type="http://schemas.openxmlformats.org/officeDocument/2006/relationships/hyperlink" Target="https://www.itu.int/net4/ITU-T/landscape" TargetMode="External"/><Relationship Id="rId445" Type="http://schemas.openxmlformats.org/officeDocument/2006/relationships/hyperlink" Target="https://www.itu.int/ITU-T/recommendations/rec.aspx?id=15071" TargetMode="External"/><Relationship Id="rId487" Type="http://schemas.openxmlformats.org/officeDocument/2006/relationships/hyperlink" Target="https://www.itu.int/ITU-T/recommendations/rec.aspx?id=14966" TargetMode="External"/><Relationship Id="rId291" Type="http://schemas.openxmlformats.org/officeDocument/2006/relationships/hyperlink" Target="https://www.itu.int/ITU-T/recommendations/rec.aspx?id=14920" TargetMode="External"/><Relationship Id="rId305" Type="http://schemas.openxmlformats.org/officeDocument/2006/relationships/hyperlink" Target="https://www.itu.int/ITU-T/recommendations/rec.aspx?id=14930" TargetMode="External"/><Relationship Id="rId347" Type="http://schemas.openxmlformats.org/officeDocument/2006/relationships/hyperlink" Target="https://www.itu.int/ITU-T/recommendations/rec.aspx?id=14869" TargetMode="External"/><Relationship Id="rId512" Type="http://schemas.openxmlformats.org/officeDocument/2006/relationships/hyperlink" Target="https://www.itu.int/ITU-T/recommendations/rec.aspx?id=15178" TargetMode="External"/><Relationship Id="rId44" Type="http://schemas.openxmlformats.org/officeDocument/2006/relationships/hyperlink" Target="https://www.itu.int/en/ITU-T/studygroups/com11/casc/Pages/default.aspx" TargetMode="External"/><Relationship Id="rId86" Type="http://schemas.openxmlformats.org/officeDocument/2006/relationships/hyperlink" Target="https://figi.itu.int/" TargetMode="External"/><Relationship Id="rId151" Type="http://schemas.openxmlformats.org/officeDocument/2006/relationships/hyperlink" Target="https://www.itu.int/en/ITU-T/gsc/Pages/default.aspx" TargetMode="External"/><Relationship Id="rId389" Type="http://schemas.openxmlformats.org/officeDocument/2006/relationships/hyperlink" Target="https://www.itu.int/ITU-T/recommendations/rec.aspx?id=14858" TargetMode="External"/><Relationship Id="rId554" Type="http://schemas.openxmlformats.org/officeDocument/2006/relationships/hyperlink" Target="https://www.itu.int/pub/publications.aspx?lang=en&amp;parent=T-TUT-QOS-2022" TargetMode="External"/><Relationship Id="rId193" Type="http://schemas.openxmlformats.org/officeDocument/2006/relationships/hyperlink" Target="https://www.itu.int/oth/T0402/en" TargetMode="External"/><Relationship Id="rId207" Type="http://schemas.openxmlformats.org/officeDocument/2006/relationships/image" Target="cid:image001.png@01D90660.A97A4550" TargetMode="External"/><Relationship Id="rId249" Type="http://schemas.openxmlformats.org/officeDocument/2006/relationships/hyperlink" Target="https://www.itu.int/en/ITU-T/ewm/Pages/default.aspx" TargetMode="External"/><Relationship Id="rId414" Type="http://schemas.openxmlformats.org/officeDocument/2006/relationships/hyperlink" Target="https://www.itu.int/ITU-T/recommendations/rec.aspx?id=14955" TargetMode="External"/><Relationship Id="rId456" Type="http://schemas.openxmlformats.org/officeDocument/2006/relationships/hyperlink" Target="https://www.itu.int/ITU-T/recommendations/rec.aspx?id=14798" TargetMode="External"/><Relationship Id="rId498" Type="http://schemas.openxmlformats.org/officeDocument/2006/relationships/hyperlink" Target="https://www.itu.int/ITU-T/recommendations/rec.aspx?id=15027"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tu-t/jca/" TargetMode="External"/><Relationship Id="rId316" Type="http://schemas.openxmlformats.org/officeDocument/2006/relationships/hyperlink" Target="https://www.itu.int/ITU-T/recommendations/rec.aspx?id=14901" TargetMode="External"/><Relationship Id="rId523" Type="http://schemas.openxmlformats.org/officeDocument/2006/relationships/hyperlink" Target="https://www.itu.int/ITU-T/recommendations/rec.aspx?id=14936" TargetMode="External"/><Relationship Id="rId55" Type="http://schemas.openxmlformats.org/officeDocument/2006/relationships/hyperlink" Target="https://www.itu.int/go/tsg12" TargetMode="External"/><Relationship Id="rId97" Type="http://schemas.openxmlformats.org/officeDocument/2006/relationships/hyperlink" Target="https://www.itu.int/en/ITU-T/webinars/dfs/sc/20220524/Pages/default.aspx" TargetMode="External"/><Relationship Id="rId120" Type="http://schemas.openxmlformats.org/officeDocument/2006/relationships/hyperlink" Target="https://www.itu.int/en/ITU-T/webinars/DT4CC/20221207B/Pages/default.aspx" TargetMode="External"/><Relationship Id="rId358" Type="http://schemas.openxmlformats.org/officeDocument/2006/relationships/hyperlink" Target="https://www.itu.int/ITU-T/recommendations/rec.aspx?id=15118" TargetMode="External"/><Relationship Id="rId565" Type="http://schemas.openxmlformats.org/officeDocument/2006/relationships/hyperlink" Target="https://www.itu.int/ITU-T/recommendations/rec.aspx?id=14780" TargetMode="External"/><Relationship Id="rId162" Type="http://schemas.openxmlformats.org/officeDocument/2006/relationships/hyperlink" Target="https://www.itu.int/en/ITU-T/focusgroups/dfc/Pages/default.aspx" TargetMode="External"/><Relationship Id="rId218" Type="http://schemas.openxmlformats.org/officeDocument/2006/relationships/image" Target="cid:image003.png@01D7DC8E.86972C80" TargetMode="External"/><Relationship Id="rId425" Type="http://schemas.openxmlformats.org/officeDocument/2006/relationships/hyperlink" Target="https://www.itu.int/ITU-T/recommendations/rec.aspx?id=14947" TargetMode="External"/><Relationship Id="rId467" Type="http://schemas.openxmlformats.org/officeDocument/2006/relationships/hyperlink" Target="https://www.itu.int/ITU-T/recommendations/rec.aspx?id=14992" TargetMode="External"/><Relationship Id="rId271" Type="http://schemas.openxmlformats.org/officeDocument/2006/relationships/hyperlink" Target="https://extranet.itu.int/sites/itu-t/studygroups/2017-2020/sg11/casc/" TargetMode="External"/><Relationship Id="rId24" Type="http://schemas.openxmlformats.org/officeDocument/2006/relationships/hyperlink" Target="https://www.itu.int/en/ITU-T/Workshops-and-Seminars/2022/0125/Pages/default.aspx" TargetMode="External"/><Relationship Id="rId66" Type="http://schemas.openxmlformats.org/officeDocument/2006/relationships/hyperlink" Target="https://www.itu.int/en/ITU-T/focusgroups/ai4ee/Pages/default.aspx" TargetMode="External"/><Relationship Id="rId131" Type="http://schemas.openxmlformats.org/officeDocument/2006/relationships/hyperlink" Target="https://www.itu.int/en/ITU-T/focusgroups/vm/Pages/default.aspx" TargetMode="External"/><Relationship Id="rId327" Type="http://schemas.openxmlformats.org/officeDocument/2006/relationships/hyperlink" Target="https://www.itu.int/ITU-T/recommendations/rec.aspx?id=15130" TargetMode="External"/><Relationship Id="rId369" Type="http://schemas.openxmlformats.org/officeDocument/2006/relationships/hyperlink" Target="https://www.itu.int/ITU-T/recommendations/rec.aspx?id=14834" TargetMode="External"/><Relationship Id="rId534" Type="http://schemas.openxmlformats.org/officeDocument/2006/relationships/hyperlink" Target="https://www.itu.int/ITU-T/recommendations/rec.aspx?id=15008" TargetMode="External"/><Relationship Id="rId576" Type="http://schemas.openxmlformats.org/officeDocument/2006/relationships/hyperlink" Target="https://www.itu.int/ITU-T/recommendations/rec.aspx?id=15101" TargetMode="External"/><Relationship Id="rId173" Type="http://schemas.openxmlformats.org/officeDocument/2006/relationships/hyperlink" Target="https://www.itu.int/rec/T-REC-A.6" TargetMode="External"/><Relationship Id="rId229" Type="http://schemas.openxmlformats.org/officeDocument/2006/relationships/chart" Target="charts/chart11.xml"/><Relationship Id="rId380" Type="http://schemas.openxmlformats.org/officeDocument/2006/relationships/hyperlink" Target="https://www.itu.int/ITU-T/recommendations/rec.aspx?id=14853" TargetMode="External"/><Relationship Id="rId436" Type="http://schemas.openxmlformats.org/officeDocument/2006/relationships/hyperlink" Target="https://www.itu.int/ITU-T/recommendations/rec.aspx?id=15046" TargetMode="External"/><Relationship Id="rId240" Type="http://schemas.openxmlformats.org/officeDocument/2006/relationships/hyperlink" Target="https://www.itu.int/myworkspace/" TargetMode="External"/><Relationship Id="rId478" Type="http://schemas.openxmlformats.org/officeDocument/2006/relationships/hyperlink" Target="https://www.itu.int/ITU-T/recommendations/rec.aspx?id=14865" TargetMode="External"/><Relationship Id="rId35" Type="http://schemas.openxmlformats.org/officeDocument/2006/relationships/hyperlink" Target="https://www.itu.int/hub/membership/" TargetMode="External"/><Relationship Id="rId77" Type="http://schemas.openxmlformats.org/officeDocument/2006/relationships/hyperlink" Target="https://aiforgood.itu.int/eventcat/ai-ml-in-5g/" TargetMode="External"/><Relationship Id="rId100" Type="http://schemas.openxmlformats.org/officeDocument/2006/relationships/hyperlink" Target="https://www.itu.int/en/ITU-T/webinars/dfs/sc/20220330/Pages/default.aspx" TargetMode="External"/><Relationship Id="rId282" Type="http://schemas.openxmlformats.org/officeDocument/2006/relationships/hyperlink" Target="https://www.itu.int/ITU-T/recommendations/rec.aspx?id=14917" TargetMode="External"/><Relationship Id="rId338" Type="http://schemas.openxmlformats.org/officeDocument/2006/relationships/hyperlink" Target="https://www.itu.int/ITU-T/recommendations/rec.aspx?id=14906" TargetMode="External"/><Relationship Id="rId503" Type="http://schemas.openxmlformats.org/officeDocument/2006/relationships/hyperlink" Target="https://www.itu.int/ITU-T/recommendations/rec.aspx?id=15033" TargetMode="External"/><Relationship Id="rId545" Type="http://schemas.openxmlformats.org/officeDocument/2006/relationships/hyperlink" Target="https://www.itu.int/ITU-T/recommendations/rec.aspx?id=15007" TargetMode="External"/><Relationship Id="rId8" Type="http://schemas.openxmlformats.org/officeDocument/2006/relationships/webSettings" Target="webSettings.xml"/><Relationship Id="rId142" Type="http://schemas.openxmlformats.org/officeDocument/2006/relationships/hyperlink" Target="https://www.itu.int/en/ITU-T/academia/kaleidoscope/Pages/default.aspx" TargetMode="External"/><Relationship Id="rId184" Type="http://schemas.openxmlformats.org/officeDocument/2006/relationships/hyperlink" Target="https://www.itu.int/en/ITU-T/C-I/conformity/Pages/cdb.aspx" TargetMode="External"/><Relationship Id="rId391" Type="http://schemas.openxmlformats.org/officeDocument/2006/relationships/hyperlink" Target="https://www.itu.int/ITU-T/recommendations/rec.aspx?id=14860" TargetMode="External"/><Relationship Id="rId405" Type="http://schemas.openxmlformats.org/officeDocument/2006/relationships/hyperlink" Target="https://www.itu.int/pub/publications.aspx?lang=en&amp;parent=T-TUT-ICTS-2022-2" TargetMode="External"/><Relationship Id="rId447" Type="http://schemas.openxmlformats.org/officeDocument/2006/relationships/hyperlink" Target="https://www.itu.int/ITU-T/recommendations/rec.aspx?id=15103" TargetMode="External"/><Relationship Id="rId251" Type="http://schemas.openxmlformats.org/officeDocument/2006/relationships/hyperlink" Target="https://www.itu.int/en/ITU-T/info/Pages/resources.aspx" TargetMode="External"/><Relationship Id="rId489" Type="http://schemas.openxmlformats.org/officeDocument/2006/relationships/hyperlink" Target="https://www.itu.int/ITU-T/recommendations/rec.aspx?id=15066" TargetMode="External"/><Relationship Id="rId46" Type="http://schemas.openxmlformats.org/officeDocument/2006/relationships/hyperlink" Target="https://www.itu.int/br_tsb_terms/" TargetMode="External"/><Relationship Id="rId293" Type="http://schemas.openxmlformats.org/officeDocument/2006/relationships/hyperlink" Target="https://www.itu.int/ITU-T/recommendations/rec.aspx?id=14894" TargetMode="External"/><Relationship Id="rId307" Type="http://schemas.openxmlformats.org/officeDocument/2006/relationships/hyperlink" Target="https://www.itu.int/ITU-T/recommendations/rec.aspx?id=15145" TargetMode="External"/><Relationship Id="rId349" Type="http://schemas.openxmlformats.org/officeDocument/2006/relationships/hyperlink" Target="https://www.itu.int/ITU-T/recommendations/rec.aspx?id=14840" TargetMode="External"/><Relationship Id="rId514" Type="http://schemas.openxmlformats.org/officeDocument/2006/relationships/hyperlink" Target="https://www.itu.int/ITU-T/recommendations/rec.aspx?id=14875" TargetMode="External"/><Relationship Id="rId556" Type="http://schemas.openxmlformats.org/officeDocument/2006/relationships/hyperlink" Target="https://www.itu.int/ITU-T/recommendations/rec.aspx?id=14926" TargetMode="External"/><Relationship Id="rId88" Type="http://schemas.openxmlformats.org/officeDocument/2006/relationships/hyperlink" Target="https://www.itu.int/en/ITU-T/webinars/dfs/sc/20221013/Pages/default.aspx" TargetMode="External"/><Relationship Id="rId111" Type="http://schemas.openxmlformats.org/officeDocument/2006/relationships/hyperlink" Target="https://u4ssc.itu.int/publications/" TargetMode="External"/><Relationship Id="rId153" Type="http://schemas.openxmlformats.org/officeDocument/2006/relationships/hyperlink" Target="https://www.itu.int/en/ITU-T/extcoop/Documents/tor/ToR_SPCG.pdf" TargetMode="External"/><Relationship Id="rId195" Type="http://schemas.openxmlformats.org/officeDocument/2006/relationships/chart" Target="charts/chart6.xml"/><Relationship Id="rId209" Type="http://schemas.openxmlformats.org/officeDocument/2006/relationships/chart" Target="charts/chart7.xml"/><Relationship Id="rId360" Type="http://schemas.openxmlformats.org/officeDocument/2006/relationships/hyperlink" Target="https://www.itu.int/ITU-T/recommendations/rec.aspx?id=15183" TargetMode="External"/><Relationship Id="rId416" Type="http://schemas.openxmlformats.org/officeDocument/2006/relationships/hyperlink" Target="https://www.itu.int/ITU-T/recommendations/rec.aspx?id=14957" TargetMode="External"/><Relationship Id="rId220" Type="http://schemas.openxmlformats.org/officeDocument/2006/relationships/image" Target="cid:image004.png@01D7DC8E.86972C80" TargetMode="External"/><Relationship Id="rId458" Type="http://schemas.openxmlformats.org/officeDocument/2006/relationships/hyperlink" Target="https://www.itu.int/ITU-T/recommendations/rec.aspx?id=14799" TargetMode="External"/><Relationship Id="rId15" Type="http://schemas.openxmlformats.org/officeDocument/2006/relationships/hyperlink" Target="https://www.itu.int/en/ITU-T/focusgroups/vm/Pages/default.aspx" TargetMode="External"/><Relationship Id="rId57" Type="http://schemas.openxmlformats.org/officeDocument/2006/relationships/hyperlink" Target="https://www.itu.int/go/tsg15" TargetMode="External"/><Relationship Id="rId262" Type="http://schemas.openxmlformats.org/officeDocument/2006/relationships/hyperlink" Target="https://extranet.itu.int/sites/irg/" TargetMode="External"/><Relationship Id="rId318" Type="http://schemas.openxmlformats.org/officeDocument/2006/relationships/hyperlink" Target="https://www.itu.int/rec/T-REC-G.781-202211-I!Amd1" TargetMode="External"/><Relationship Id="rId525" Type="http://schemas.openxmlformats.org/officeDocument/2006/relationships/hyperlink" Target="https://www.itu.int/ITU-T/recommendations/rec.aspx?id=14938" TargetMode="External"/><Relationship Id="rId567" Type="http://schemas.openxmlformats.org/officeDocument/2006/relationships/hyperlink" Target="https://www.itu.int/ITU-T/recommendations/rec.aspx?id=15092" TargetMode="External"/><Relationship Id="rId99" Type="http://schemas.openxmlformats.org/officeDocument/2006/relationships/hyperlink" Target="https://www.itu.int/en/ITU-T/webinars/dfs/sc/20220411/Pages/default.aspx" TargetMode="External"/><Relationship Id="rId122"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164" Type="http://schemas.openxmlformats.org/officeDocument/2006/relationships/hyperlink" Target="https://www.itu.int/en/ITU-T/extcoop/figisymposium/Pages/default.aspx" TargetMode="External"/><Relationship Id="rId371" Type="http://schemas.openxmlformats.org/officeDocument/2006/relationships/hyperlink" Target="https://www.itu.int/ITU-T/recommendations/rec.aspx?id=14808" TargetMode="External"/><Relationship Id="rId427" Type="http://schemas.openxmlformats.org/officeDocument/2006/relationships/hyperlink" Target="https://www.itu.int/ITU-T/recommendations/rec.aspx?id=14969" TargetMode="External"/><Relationship Id="rId469" Type="http://schemas.openxmlformats.org/officeDocument/2006/relationships/hyperlink" Target="https://www.itu.int/ITU-T/recommendations/rec.aspx?id=15165" TargetMode="External"/><Relationship Id="rId26" Type="http://schemas.openxmlformats.org/officeDocument/2006/relationships/hyperlink" Target="https://www.itu.int/en/ITU-T/extcoop/dcgi/Pages/default.aspx" TargetMode="External"/><Relationship Id="rId231" Type="http://schemas.openxmlformats.org/officeDocument/2006/relationships/hyperlink" Target="https://aisdg.itu.int/" TargetMode="External"/><Relationship Id="rId273" Type="http://schemas.openxmlformats.org/officeDocument/2006/relationships/hyperlink" Target="https://extranet.itu.int/sites/itu-t/initiatives/dcgi" TargetMode="External"/><Relationship Id="rId329" Type="http://schemas.openxmlformats.org/officeDocument/2006/relationships/hyperlink" Target="https://www.itu.int/rec/T-REC-G.8272-202211-I!Amd2" TargetMode="External"/><Relationship Id="rId480" Type="http://schemas.openxmlformats.org/officeDocument/2006/relationships/hyperlink" Target="https://www.itu.int/ITU-T/recommendations/rec.aspx?id=15063" TargetMode="External"/><Relationship Id="rId536" Type="http://schemas.openxmlformats.org/officeDocument/2006/relationships/hyperlink" Target="https://www.itu.int/ITU-T/recommendations/rec.aspx?id=14997" TargetMode="External"/><Relationship Id="rId68" Type="http://schemas.openxmlformats.org/officeDocument/2006/relationships/hyperlink" Target="https://www.itu.int/en/ITU-T/focusgroups/ai4ad/Pages/default.aspx" TargetMode="External"/><Relationship Id="rId133" Type="http://schemas.openxmlformats.org/officeDocument/2006/relationships/hyperlink" Target="https://www.itu.int/en/ITU-T/extcoop/cits/Pages/default.aspx" TargetMode="External"/><Relationship Id="rId175" Type="http://schemas.openxmlformats.org/officeDocument/2006/relationships/hyperlink" Target="https://www.itu.int/md/meetingdoc.asp?lang=en&amp;parent=T17-TSB-CIR-0368" TargetMode="External"/><Relationship Id="rId340" Type="http://schemas.openxmlformats.org/officeDocument/2006/relationships/hyperlink" Target="https://www.itu.int/ITU-T/recommendations/rec.aspx?id=15115" TargetMode="External"/><Relationship Id="rId578" Type="http://schemas.openxmlformats.org/officeDocument/2006/relationships/header" Target="header1.xml"/><Relationship Id="rId200" Type="http://schemas.openxmlformats.org/officeDocument/2006/relationships/hyperlink" Target="https://www.itu.int/en/ITU-T/Workshops-and-Seminars/2022/0808/Pages/default.aspx" TargetMode="External"/><Relationship Id="rId382" Type="http://schemas.openxmlformats.org/officeDocument/2006/relationships/hyperlink" Target="https://www.itu.int/ITU-T/recommendations/rec.aspx?id=14855" TargetMode="External"/><Relationship Id="rId438" Type="http://schemas.openxmlformats.org/officeDocument/2006/relationships/hyperlink" Target="https://www.itu.int/ITU-T/recommendations/rec.aspx?id=14799" TargetMode="External"/><Relationship Id="rId242" Type="http://schemas.openxmlformats.org/officeDocument/2006/relationships/hyperlink" Target="https://www.itu.int/myworkspace/" TargetMode="External"/><Relationship Id="rId284" Type="http://schemas.openxmlformats.org/officeDocument/2006/relationships/hyperlink" Target="https://www.itu.int/ITU-T/recommendations/rec.aspx?id=14927" TargetMode="External"/><Relationship Id="rId491" Type="http://schemas.openxmlformats.org/officeDocument/2006/relationships/hyperlink" Target="https://www.itu.int/ITU-T/recommendations/rec.aspx?id=15023" TargetMode="External"/><Relationship Id="rId505" Type="http://schemas.openxmlformats.org/officeDocument/2006/relationships/hyperlink" Target="https://www.itu.int/ITU-T/recommendations/rec.aspx?id=15085" TargetMode="External"/><Relationship Id="rId37" Type="http://schemas.openxmlformats.org/officeDocument/2006/relationships/hyperlink" Target="https://www.itu.int/en/ITU-T/academia/kaleidoscope/Pages/default.aspx" TargetMode="External"/><Relationship Id="rId79" Type="http://schemas.openxmlformats.org/officeDocument/2006/relationships/hyperlink" Target="https://www.itu.int/en/journal/j-fet/Pages/default.aspx" TargetMode="External"/><Relationship Id="rId102" Type="http://schemas.openxmlformats.org/officeDocument/2006/relationships/hyperlink" Target="https://www.itu.int/en/ITU-T/webinars/dfs/sc/20220209/Pages/default.aspx" TargetMode="External"/><Relationship Id="rId144" Type="http://schemas.openxmlformats.org/officeDocument/2006/relationships/hyperlink" Target="https://www.itu.int/en/ITU-T/extcoop/Pages/mou.aspx" TargetMode="External"/><Relationship Id="rId547" Type="http://schemas.openxmlformats.org/officeDocument/2006/relationships/hyperlink" Target="https://www.itu.int/ITU-T/recommendations/rec.aspx?id=15012" TargetMode="External"/><Relationship Id="rId90" Type="http://schemas.openxmlformats.org/officeDocument/2006/relationships/hyperlink" Target="https://www.itu.int/en/ITU-T/webinars/dfs/sc/20220908/Pages/default.aspx" TargetMode="External"/><Relationship Id="rId186" Type="http://schemas.openxmlformats.org/officeDocument/2006/relationships/hyperlink" Target="https://www.itu.int/itu-t/recommendations/rec.aspx?rec=14972" TargetMode="External"/><Relationship Id="rId351" Type="http://schemas.openxmlformats.org/officeDocument/2006/relationships/hyperlink" Target="https://www.itu.int/ITU-T/recommendations/rec.aspx?id=14872" TargetMode="External"/><Relationship Id="rId393" Type="http://schemas.openxmlformats.org/officeDocument/2006/relationships/hyperlink" Target="https://www.itu.int/ITU-T/recommendations/rec.aspx?id=15060" TargetMode="External"/><Relationship Id="rId407" Type="http://schemas.openxmlformats.org/officeDocument/2006/relationships/hyperlink" Target="https://www.itu.int/ITU-T/recommendations/rec.aspx?id=15058" TargetMode="External"/><Relationship Id="rId449" Type="http://schemas.openxmlformats.org/officeDocument/2006/relationships/hyperlink" Target="https://www.itu.int/ITU-T/recommendations/rec.aspx?id=14945" TargetMode="External"/><Relationship Id="rId211" Type="http://schemas.openxmlformats.org/officeDocument/2006/relationships/hyperlink" Target="https://unece.org/gender-responsive-standards-initiative" TargetMode="External"/><Relationship Id="rId253" Type="http://schemas.openxmlformats.org/officeDocument/2006/relationships/hyperlink" Target="http://itu.int/go/itu-t/rgm-support" TargetMode="External"/><Relationship Id="rId295" Type="http://schemas.openxmlformats.org/officeDocument/2006/relationships/hyperlink" Target="https://www.itu.int/rec/T-REC-G.709.3-202211-I!Amd1" TargetMode="External"/><Relationship Id="rId309" Type="http://schemas.openxmlformats.org/officeDocument/2006/relationships/hyperlink" Target="https://www.itu.int/ITU-T/recommendations/rec.aspx?id=15170" TargetMode="External"/><Relationship Id="rId460" Type="http://schemas.openxmlformats.org/officeDocument/2006/relationships/hyperlink" Target="https://www.itu.int/ITU-T/recommendations/rec.aspx?id=14994" TargetMode="External"/><Relationship Id="rId516" Type="http://schemas.openxmlformats.org/officeDocument/2006/relationships/hyperlink" Target="https://www.itu.int/ITU-T/recommendations/rec.aspx?id=14876" TargetMode="External"/><Relationship Id="rId48" Type="http://schemas.openxmlformats.org/officeDocument/2006/relationships/hyperlink" Target="https://www.itu.int/en/ITU-T/publications/Pages/recs.aspx" TargetMode="External"/><Relationship Id="rId113" Type="http://schemas.openxmlformats.org/officeDocument/2006/relationships/hyperlink" Target="https://www.itu.int/en/ITU-T/webinars/DT4CC/20221123/Pages/default.aspx" TargetMode="External"/><Relationship Id="rId320" Type="http://schemas.openxmlformats.org/officeDocument/2006/relationships/hyperlink" Target="https://www.itu.int/rec/T-REC-G.7721-202211-I!Amd1" TargetMode="External"/><Relationship Id="rId558" Type="http://schemas.openxmlformats.org/officeDocument/2006/relationships/hyperlink" Target="https://www.itu.int/ITU-T/recommendations/rec.aspx?id=15023" TargetMode="External"/><Relationship Id="rId155" Type="http://schemas.openxmlformats.org/officeDocument/2006/relationships/hyperlink" Target="https://collaborate.iec.ch/" TargetMode="External"/><Relationship Id="rId197" Type="http://schemas.openxmlformats.org/officeDocument/2006/relationships/hyperlink" Target="https://www.itu.int/en/ITU-T/regional-groups/Pages/default.aspx" TargetMode="External"/><Relationship Id="rId362" Type="http://schemas.openxmlformats.org/officeDocument/2006/relationships/hyperlink" Target="https://www.itu.int/ITU-T/recommendations/rec.aspx?id=14924" TargetMode="External"/><Relationship Id="rId418" Type="http://schemas.openxmlformats.org/officeDocument/2006/relationships/hyperlink" Target="https://www.itu.int/ITU-T/recommendations/rec.aspx?id=14959" TargetMode="External"/><Relationship Id="rId222" Type="http://schemas.openxmlformats.org/officeDocument/2006/relationships/chart" Target="charts/chart10.xml"/><Relationship Id="rId264" Type="http://schemas.openxmlformats.org/officeDocument/2006/relationships/hyperlink" Target="https://extranet.itu.int/sites/itu-t/focusgroups/ai4ee/" TargetMode="External"/><Relationship Id="rId471" Type="http://schemas.openxmlformats.org/officeDocument/2006/relationships/hyperlink" Target="https://www.itu.int/ITU-T/recommendations/rec.aspx?id=15063" TargetMode="External"/><Relationship Id="rId17" Type="http://schemas.openxmlformats.org/officeDocument/2006/relationships/hyperlink" Target="https://aiforgood.itu.int/" TargetMode="External"/><Relationship Id="rId59" Type="http://schemas.openxmlformats.org/officeDocument/2006/relationships/hyperlink" Target="https://www.itu.int/go/tsg17" TargetMode="External"/><Relationship Id="rId124"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527" Type="http://schemas.openxmlformats.org/officeDocument/2006/relationships/hyperlink" Target="https://www.itu.int/ITU-T/recommendations/rec.aspx?id=15022" TargetMode="External"/><Relationship Id="rId569" Type="http://schemas.openxmlformats.org/officeDocument/2006/relationships/hyperlink" Target="https://www.itu.int/ITU-T/recommendations/rec.aspx?id=15094" TargetMode="External"/><Relationship Id="rId70" Type="http://schemas.openxmlformats.org/officeDocument/2006/relationships/hyperlink" Target="https://aiforgood.itu.int/" TargetMode="External"/><Relationship Id="rId166" Type="http://schemas.openxmlformats.org/officeDocument/2006/relationships/hyperlink" Target="https://www.itu.int/en/ITU-T/wsis/Pages/default.aspx" TargetMode="External"/><Relationship Id="rId331" Type="http://schemas.openxmlformats.org/officeDocument/2006/relationships/hyperlink" Target="https://www.itu.int/rec/T-REC-G.8273.2-202211-I!Amd2" TargetMode="External"/><Relationship Id="rId373" Type="http://schemas.openxmlformats.org/officeDocument/2006/relationships/hyperlink" Target="https://www.itu.int/ITU-T/recommendations/rec.aspx?id=14992" TargetMode="External"/><Relationship Id="rId429" Type="http://schemas.openxmlformats.org/officeDocument/2006/relationships/hyperlink" Target="https://www.itu.int/ITU-T/recommendations/rec.aspx?id=14970" TargetMode="External"/><Relationship Id="rId580"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hyperlink" Target="http://www.itu.int/ITU-T/workprog" TargetMode="External"/><Relationship Id="rId440" Type="http://schemas.openxmlformats.org/officeDocument/2006/relationships/hyperlink" Target="https://www.itu.int/ITU-T/recommendations/rec.aspx?id=14824" TargetMode="External"/><Relationship Id="rId28" Type="http://schemas.openxmlformats.org/officeDocument/2006/relationships/hyperlink" Target="http://www.itu.int/en/ITU-T/ssc/united/Pages/default.aspx" TargetMode="External"/><Relationship Id="rId275" Type="http://schemas.openxmlformats.org/officeDocument/2006/relationships/hyperlink" Target="https://extranet.itu.int/sites/itu-t/wtsa-20/prepmeet/Lists/ContactSheet/DefViewContacts.aspx" TargetMode="External"/><Relationship Id="rId300" Type="http://schemas.openxmlformats.org/officeDocument/2006/relationships/hyperlink" Target="https://www.itu.int/ITU-T/recommendations/rec.aspx?id=15126" TargetMode="External"/><Relationship Id="rId482" Type="http://schemas.openxmlformats.org/officeDocument/2006/relationships/hyperlink" Target="https://www.itu.int/ITU-T/recommendations/rec.aspx?id=15065" TargetMode="External"/><Relationship Id="rId538" Type="http://schemas.openxmlformats.org/officeDocument/2006/relationships/hyperlink" Target="https://www.itu.int/ITU-T/recommendations/rec.aspx?id=15003" TargetMode="External"/><Relationship Id="rId81" Type="http://schemas.openxmlformats.org/officeDocument/2006/relationships/chart" Target="charts/chart3.xml"/><Relationship Id="rId135" Type="http://schemas.openxmlformats.org/officeDocument/2006/relationships/hyperlink" Target="http://www.itu.int/en/ITU-T/tsbdir/cto/Pages/default.aspx" TargetMode="External"/><Relationship Id="rId177" Type="http://schemas.openxmlformats.org/officeDocument/2006/relationships/hyperlink" Target="http://www.itu.int/net/itu-t/cdb/ConformityDB.aspx" TargetMode="External"/><Relationship Id="rId342" Type="http://schemas.openxmlformats.org/officeDocument/2006/relationships/hyperlink" Target="https://www.itu.int/ITU-T/recommendations/rec.aspx?id=14867" TargetMode="External"/><Relationship Id="rId384" Type="http://schemas.openxmlformats.org/officeDocument/2006/relationships/hyperlink" Target="https://www.itu.int/ITU-T/recommendations/rec.aspx?id=14909" TargetMode="External"/><Relationship Id="rId202" Type="http://schemas.openxmlformats.org/officeDocument/2006/relationships/hyperlink" Target="https://academy.itu.int/training-courses/full-catalogue/recommendation-itu-t-a1-working-methods-itu-t-study-groups-1" TargetMode="External"/><Relationship Id="rId244" Type="http://schemas.openxmlformats.org/officeDocument/2006/relationships/hyperlink" Target="https://www.itu.int/search" TargetMode="External"/><Relationship Id="rId39" Type="http://schemas.openxmlformats.org/officeDocument/2006/relationships/hyperlink" Target="https://academy.itu.int/training-courses/full-catalogue/recommendation-itu-t-a1-working-methods-itu-t-study-groups-1" TargetMode="External"/><Relationship Id="rId286" Type="http://schemas.openxmlformats.org/officeDocument/2006/relationships/hyperlink" Target="https://www.itu.int/rec/T-REC-G.988-202206-I!Amd5" TargetMode="External"/><Relationship Id="rId451" Type="http://schemas.openxmlformats.org/officeDocument/2006/relationships/hyperlink" Target="https://www.itu.int/ITU-T/recommendations/rec.aspx?id=14953" TargetMode="External"/><Relationship Id="rId493" Type="http://schemas.openxmlformats.org/officeDocument/2006/relationships/hyperlink" Target="https://www.itu.int/ITU-T/recommendations/rec.aspx?id=14849" TargetMode="External"/><Relationship Id="rId507" Type="http://schemas.openxmlformats.org/officeDocument/2006/relationships/hyperlink" Target="https://www.itu.int/ITU-T/recommendations/rec.aspx?id=15087" TargetMode="External"/><Relationship Id="rId549" Type="http://schemas.openxmlformats.org/officeDocument/2006/relationships/hyperlink" Target="https://www.itu.int/ITU-T/recommendations/rec.aspx?id=15052" TargetMode="External"/><Relationship Id="rId50" Type="http://schemas.openxmlformats.org/officeDocument/2006/relationships/hyperlink" Target="https://www.itu.int/go/tsg2" TargetMode="External"/><Relationship Id="rId104" Type="http://schemas.openxmlformats.org/officeDocument/2006/relationships/hyperlink" Target="https://www.itu.int/en/ITU-T/Workshops-and-Seminars/2022/0125/Pages/default.aspx" TargetMode="External"/><Relationship Id="rId146" Type="http://schemas.openxmlformats.org/officeDocument/2006/relationships/hyperlink" Target="https://www.worldstandardscooperation.org/what-we-do/world-standards-day/" TargetMode="External"/><Relationship Id="rId188" Type="http://schemas.openxmlformats.org/officeDocument/2006/relationships/hyperlink" Target="https://www.itu.int/en/action/accessibility/Pages/hlmdd2013.aspx" TargetMode="External"/><Relationship Id="rId311" Type="http://schemas.openxmlformats.org/officeDocument/2006/relationships/hyperlink" Target="https://www.itu.int/ITU-T/recommendations/rec.aspx?id=15120" TargetMode="External"/><Relationship Id="rId353" Type="http://schemas.openxmlformats.org/officeDocument/2006/relationships/hyperlink" Target="https://www.itu.int/ITU-T/recommendations/rec.aspx?id=14874" TargetMode="External"/><Relationship Id="rId395" Type="http://schemas.openxmlformats.org/officeDocument/2006/relationships/hyperlink" Target="https://www.itu.int/ITU-T/recommendations/rec.aspx?id=14806" TargetMode="External"/><Relationship Id="rId409" Type="http://schemas.openxmlformats.org/officeDocument/2006/relationships/hyperlink" Target="https://www.itu.int/ITU-T/recommendations/rec.aspx?id=14862" TargetMode="External"/><Relationship Id="rId560" Type="http://schemas.openxmlformats.org/officeDocument/2006/relationships/hyperlink" Target="https://www.itu.int/ITU-T/recommendations/rec.aspx?id=15044" TargetMode="External"/><Relationship Id="rId92" Type="http://schemas.openxmlformats.org/officeDocument/2006/relationships/hyperlink" Target="https://www.itu.int/en/ITU-T/webinars/dfs/sc/20220725/Pages/default.aspx" TargetMode="External"/><Relationship Id="rId213" Type="http://schemas.openxmlformats.org/officeDocument/2006/relationships/hyperlink" Target="mailto:wise@itu.int" TargetMode="External"/><Relationship Id="rId420" Type="http://schemas.openxmlformats.org/officeDocument/2006/relationships/hyperlink" Target="https://www.itu.int/ITU-T/recommendations/rec.aspx?id=14961" TargetMode="External"/><Relationship Id="rId255" Type="http://schemas.openxmlformats.org/officeDocument/2006/relationships/hyperlink" Target="https://extranet.itu.int/sites/ITU-T/" TargetMode="External"/><Relationship Id="rId297" Type="http://schemas.openxmlformats.org/officeDocument/2006/relationships/hyperlink" Target="https://www.itu.int/rec/T-REC-G.806-202211-I" TargetMode="External"/><Relationship Id="rId462" Type="http://schemas.openxmlformats.org/officeDocument/2006/relationships/hyperlink" Target="https://www.itu.int/ITU-T/recommendations/rec.aspx?id=15035" TargetMode="External"/><Relationship Id="rId518" Type="http://schemas.openxmlformats.org/officeDocument/2006/relationships/hyperlink" Target="https://www.itu.int/ITU-T/recommendations/rec.aspx?id=15040" TargetMode="External"/><Relationship Id="rId115" Type="http://schemas.openxmlformats.org/officeDocument/2006/relationships/hyperlink" Target="https://www.itu.int/en/ITU-T/webinars/DT4CC/20220909/Pages/default.aspx" TargetMode="External"/><Relationship Id="rId157" Type="http://schemas.openxmlformats.org/officeDocument/2006/relationships/hyperlink" Target="https://www.itu.int/en/irg/avqa" TargetMode="External"/><Relationship Id="rId322" Type="http://schemas.openxmlformats.org/officeDocument/2006/relationships/hyperlink" Target="https://www.itu.int/ITU-T/recommendations/rec.aspx?id=15127" TargetMode="External"/><Relationship Id="rId364" Type="http://schemas.openxmlformats.org/officeDocument/2006/relationships/hyperlink" Target="https://www.itu.int/ITU-T/recommendations/rec.aspx?id=15050" TargetMode="External"/><Relationship Id="rId61" Type="http://schemas.openxmlformats.org/officeDocument/2006/relationships/hyperlink" Target="https://www.itu.int/en/ITU-T/focusgroups/Pages/default.aspx" TargetMode="External"/><Relationship Id="rId199" Type="http://schemas.openxmlformats.org/officeDocument/2006/relationships/hyperlink" Target="https://www.itu.int/en/ITU-T/Workshops-and-Seminars/bsg/Pages/default.aspx" TargetMode="External"/><Relationship Id="rId571" Type="http://schemas.openxmlformats.org/officeDocument/2006/relationships/hyperlink" Target="https://www.itu.int/ITU-T/recommendations/rec.aspx?id=15096" TargetMode="External"/><Relationship Id="rId19" Type="http://schemas.openxmlformats.org/officeDocument/2006/relationships/hyperlink" Target="https://aiforgood.itu.int/" TargetMode="External"/><Relationship Id="rId224" Type="http://schemas.openxmlformats.org/officeDocument/2006/relationships/image" Target="cid:image027.png@01D7DC8E.86972C80" TargetMode="External"/><Relationship Id="rId266" Type="http://schemas.openxmlformats.org/officeDocument/2006/relationships/hyperlink" Target="https://extranet.itu.int/sites/itu-t/focusgroups/an/SitePages/Home.aspx" TargetMode="External"/><Relationship Id="rId431" Type="http://schemas.openxmlformats.org/officeDocument/2006/relationships/hyperlink" Target="https://www.itu.int/ITU-T/recommendations/rec.aspx?id=14950" TargetMode="External"/><Relationship Id="rId473" Type="http://schemas.openxmlformats.org/officeDocument/2006/relationships/hyperlink" Target="https://www.itu.int/ITU-T/recommendations/rec.aspx?id=15065" TargetMode="External"/><Relationship Id="rId529" Type="http://schemas.openxmlformats.org/officeDocument/2006/relationships/hyperlink" Target="https://www.itu.int/ITU-T/recommendations/rec.aspx?id=15081" TargetMode="External"/><Relationship Id="rId30" Type="http://schemas.openxmlformats.org/officeDocument/2006/relationships/hyperlink" Target="https://u4ssc.itu.int/u4ssc-hub/" TargetMode="External"/><Relationship Id="rId126"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168" Type="http://schemas.openxmlformats.org/officeDocument/2006/relationships/hyperlink" Target="https://www.itu.int/en/ITU-T/climatechange/task-force-sc/Pages/default.aspx" TargetMode="External"/><Relationship Id="rId333" Type="http://schemas.openxmlformats.org/officeDocument/2006/relationships/hyperlink" Target="https://www.itu.int/ITU-T/recommendations/rec.aspx?id=15131" TargetMode="External"/><Relationship Id="rId540" Type="http://schemas.openxmlformats.org/officeDocument/2006/relationships/hyperlink" Target="https://www.itu.int/ITU-T/recommendations/rec.aspx?id=15004" TargetMode="External"/><Relationship Id="rId72" Type="http://schemas.openxmlformats.org/officeDocument/2006/relationships/chart" Target="charts/chart1.xml"/><Relationship Id="rId375" Type="http://schemas.openxmlformats.org/officeDocument/2006/relationships/hyperlink" Target="https://www.itu.int/ITU-T/recommendations/rec.aspx?id=15055" TargetMode="External"/><Relationship Id="rId582" Type="http://schemas.openxmlformats.org/officeDocument/2006/relationships/header" Target="header3.xml"/><Relationship Id="rId3" Type="http://schemas.openxmlformats.org/officeDocument/2006/relationships/customXml" Target="../customXml/item3.xml"/><Relationship Id="rId235" Type="http://schemas.openxmlformats.org/officeDocument/2006/relationships/hyperlink" Target="https://www.itu.int/net4/ipr/search.aspx?sector=ITU&amp;class=PS" TargetMode="External"/><Relationship Id="rId277" Type="http://schemas.openxmlformats.org/officeDocument/2006/relationships/hyperlink" Target="https://extranet.itu.int/ITU-T/support/" TargetMode="External"/><Relationship Id="rId400" Type="http://schemas.openxmlformats.org/officeDocument/2006/relationships/hyperlink" Target="https://www.itu.int/ITU-T/recommendations/rec.aspx?id=14835" TargetMode="External"/><Relationship Id="rId442" Type="http://schemas.openxmlformats.org/officeDocument/2006/relationships/hyperlink" Target="https://www.itu.int/ITU-T/recommendations/rec.aspx?id=15067" TargetMode="External"/><Relationship Id="rId484" Type="http://schemas.openxmlformats.org/officeDocument/2006/relationships/hyperlink" Target="https://www.itu.int/ITU-T/recommendations/rec.aspx?id=15043" TargetMode="External"/><Relationship Id="rId137" Type="http://schemas.openxmlformats.org/officeDocument/2006/relationships/hyperlink" Target="https://www.itu.int/hub/membership/" TargetMode="External"/><Relationship Id="rId302" Type="http://schemas.openxmlformats.org/officeDocument/2006/relationships/hyperlink" Target="https://www.itu.int/ITU-T/recommendations/rec.aspx?id=14929" TargetMode="External"/><Relationship Id="rId344" Type="http://schemas.openxmlformats.org/officeDocument/2006/relationships/hyperlink" Target="https://www.itu.int/ITU-T/recommendations/rec.aspx?id=15117" TargetMode="External"/><Relationship Id="rId41" Type="http://schemas.openxmlformats.org/officeDocument/2006/relationships/hyperlink" Target="https://learnqi.unece.org/courses/gender-responsive-standards/" TargetMode="External"/><Relationship Id="rId83" Type="http://schemas.openxmlformats.org/officeDocument/2006/relationships/chart" Target="charts/chart5.xml"/><Relationship Id="rId179" Type="http://schemas.openxmlformats.org/officeDocument/2006/relationships/hyperlink" Target="https://www.itu.int/en/ITU-T/extcoop/Documents/mou/MoU-ITU-T-IAF-ILAC-20220824.pdf" TargetMode="External"/><Relationship Id="rId386" Type="http://schemas.openxmlformats.org/officeDocument/2006/relationships/hyperlink" Target="https://www.itu.int/ITU-T/recommendations/rec.aspx?id=14911" TargetMode="External"/><Relationship Id="rId551" Type="http://schemas.openxmlformats.org/officeDocument/2006/relationships/hyperlink" Target="https://www.itu.int/ITU-T/recommendations/rec.aspx?id=15054" TargetMode="External"/><Relationship Id="rId190" Type="http://schemas.openxmlformats.org/officeDocument/2006/relationships/hyperlink" Target="http://www.itu.int/en/ITU-T/ipr/Pages/adhoc.aspx" TargetMode="External"/><Relationship Id="rId204" Type="http://schemas.openxmlformats.org/officeDocument/2006/relationships/hyperlink" Target="http://academy.itu.int" TargetMode="External"/><Relationship Id="rId246" Type="http://schemas.openxmlformats.org/officeDocument/2006/relationships/hyperlink" Target="https://www.itu.int/en/ITU-T/inr/Pages/default.aspx" TargetMode="External"/><Relationship Id="rId288" Type="http://schemas.openxmlformats.org/officeDocument/2006/relationships/hyperlink" Target="https://www.itu.int/ITU-T/recommendations/rec.aspx?id=15123" TargetMode="External"/><Relationship Id="rId411" Type="http://schemas.openxmlformats.org/officeDocument/2006/relationships/hyperlink" Target="https://www.itu.int/ITU-T/recommendations/rec.aspx?id=15065" TargetMode="External"/><Relationship Id="rId453" Type="http://schemas.openxmlformats.org/officeDocument/2006/relationships/hyperlink" Target="https://www.itu.int/ITU-T/recommendations/rec.aspx?id=14797" TargetMode="External"/><Relationship Id="rId509" Type="http://schemas.openxmlformats.org/officeDocument/2006/relationships/hyperlink" Target="https://www.itu.int/en/publications/Documents/tsb/2017-U4SSC-Deliverable-Connecting-Cities/files/downloads/Deliverable-Connecting-Cities-and-Communities-422022.pdf" TargetMode="External"/><Relationship Id="rId106" Type="http://schemas.openxmlformats.org/officeDocument/2006/relationships/hyperlink" Target="https://www.itu.int/en/ITU-T/extcoop/dcgi/Documents/Final%20Report_DCGI_Digital%20Currencies%20and%20Financial%20Inclusion.pdf" TargetMode="External"/><Relationship Id="rId313" Type="http://schemas.openxmlformats.org/officeDocument/2006/relationships/hyperlink" Target="https://www.itu.int/ITU-T/recommendations/rec.aspx?id=15121" TargetMode="External"/><Relationship Id="rId495" Type="http://schemas.openxmlformats.org/officeDocument/2006/relationships/hyperlink" Target="https://www.itu.int/ITU-T/recommendations/rec.aspx?id=14716" TargetMode="External"/><Relationship Id="rId10" Type="http://schemas.openxmlformats.org/officeDocument/2006/relationships/endnotes" Target="endnotes.xml"/><Relationship Id="rId52" Type="http://schemas.openxmlformats.org/officeDocument/2006/relationships/hyperlink" Target="https://www.itu.int/go/tsg5" TargetMode="External"/><Relationship Id="rId94" Type="http://schemas.openxmlformats.org/officeDocument/2006/relationships/hyperlink" Target="https://www.itu.int/en/ITU-T/webinars/dfs/sc/20220706/Pages/default.aspx" TargetMode="External"/><Relationship Id="rId148" Type="http://schemas.openxmlformats.org/officeDocument/2006/relationships/hyperlink" Target="https://www.worldstandardscooperation.org/g20/g20-2022/" TargetMode="External"/><Relationship Id="rId355" Type="http://schemas.openxmlformats.org/officeDocument/2006/relationships/hyperlink" Target="https://www.itu.int/ITU-T/recommendations/rec.aspx?id=14842" TargetMode="External"/><Relationship Id="rId397" Type="http://schemas.openxmlformats.org/officeDocument/2006/relationships/hyperlink" Target="https://www.itu.int/ITU-T/recommendations/rec.aspx?id=14862" TargetMode="External"/><Relationship Id="rId520" Type="http://schemas.openxmlformats.org/officeDocument/2006/relationships/hyperlink" Target="https://www.itu.int/ITU-T/recommendations/rec.aspx?id=14934" TargetMode="External"/><Relationship Id="rId562" Type="http://schemas.openxmlformats.org/officeDocument/2006/relationships/hyperlink" Target="https://www.itu.int/ITU-T/recommendations/rec.aspx?id=14922" TargetMode="External"/><Relationship Id="rId215" Type="http://schemas.openxmlformats.org/officeDocument/2006/relationships/image" Target="media/image4.png"/><Relationship Id="rId257" Type="http://schemas.openxmlformats.org/officeDocument/2006/relationships/hyperlink" Target="https://extranet.itu.int/sites/itu-t/initiatives/U4SSC/" TargetMode="External"/><Relationship Id="rId422" Type="http://schemas.openxmlformats.org/officeDocument/2006/relationships/hyperlink" Target="https://www.itu.int/ITU-T/recommendations/rec.aspx?id=14963" TargetMode="External"/><Relationship Id="rId464" Type="http://schemas.openxmlformats.org/officeDocument/2006/relationships/hyperlink" Target="https://www.itu.int/ITU-T/recommendations/rec.aspx?id=14995" TargetMode="External"/><Relationship Id="rId299" Type="http://schemas.openxmlformats.org/officeDocument/2006/relationships/hyperlink" Target="https://www.itu.int/rec/T-REC-G.874-202211-I!Amd1" TargetMode="External"/><Relationship Id="rId63" Type="http://schemas.openxmlformats.org/officeDocument/2006/relationships/hyperlink" Target="https://www.itu.int/en/ITU-T/focusgroups/ai4a/Pages/default.aspx" TargetMode="External"/><Relationship Id="rId159" Type="http://schemas.openxmlformats.org/officeDocument/2006/relationships/hyperlink" Target="https://www.itu.int/en/ITU-T/extcoop/Pages/mou.aspx" TargetMode="External"/><Relationship Id="rId366" Type="http://schemas.openxmlformats.org/officeDocument/2006/relationships/hyperlink" Target="https://www.itu.int/ITU-T/recommendations/rec.aspx?id=14852" TargetMode="External"/><Relationship Id="rId573" Type="http://schemas.openxmlformats.org/officeDocument/2006/relationships/hyperlink" Target="https://www.itu.int/ITU-T/recommendations/rec.aspx?id=15098" TargetMode="External"/><Relationship Id="rId226" Type="http://schemas.openxmlformats.org/officeDocument/2006/relationships/image" Target="cid:image037.png@01D7DC8E.86972C80" TargetMode="External"/><Relationship Id="rId433" Type="http://schemas.openxmlformats.org/officeDocument/2006/relationships/hyperlink" Target="https://www.itu.int/ITU-T/recommendations/rec.aspx?id=14971" TargetMode="External"/><Relationship Id="rId74" Type="http://schemas.openxmlformats.org/officeDocument/2006/relationships/hyperlink" Target="https://aiforgood.itu.int/neural-network/" TargetMode="External"/><Relationship Id="rId377" Type="http://schemas.openxmlformats.org/officeDocument/2006/relationships/hyperlink" Target="https://www.itu.int/ITU-T/recommendations/rec.aspx?id=15057" TargetMode="External"/><Relationship Id="rId500" Type="http://schemas.openxmlformats.org/officeDocument/2006/relationships/hyperlink" Target="https://www.itu.int/ITU-T/recommendations/rec.aspx?id=15028" TargetMode="External"/><Relationship Id="rId584" Type="http://schemas.openxmlformats.org/officeDocument/2006/relationships/fontTable" Target="fontTable.xml"/><Relationship Id="rId5" Type="http://schemas.openxmlformats.org/officeDocument/2006/relationships/numbering" Target="numbering.xml"/><Relationship Id="rId237" Type="http://schemas.openxmlformats.org/officeDocument/2006/relationships/hyperlink" Target="https://www.itu.int/t/aap/about-aap" TargetMode="External"/><Relationship Id="rId444" Type="http://schemas.openxmlformats.org/officeDocument/2006/relationships/hyperlink" Target="https://www.itu.int/ITU-T/recommendations/rec.aspx?id=15070" TargetMode="External"/><Relationship Id="rId290" Type="http://schemas.openxmlformats.org/officeDocument/2006/relationships/hyperlink" Target="https://www.itu.int/ITU-T/recommendations/rec.aspx?id=14919" TargetMode="External"/><Relationship Id="rId304" Type="http://schemas.openxmlformats.org/officeDocument/2006/relationships/hyperlink" Target="https://www.itu.int/rec/T-REC-G.7710-202211-I!Amd1" TargetMode="External"/><Relationship Id="rId388" Type="http://schemas.openxmlformats.org/officeDocument/2006/relationships/hyperlink" Target="https://www.itu.int/ITU-T/recommendations/rec.aspx?id=14941" TargetMode="External"/><Relationship Id="rId511" Type="http://schemas.openxmlformats.org/officeDocument/2006/relationships/hyperlink" Target="https://www.itu.int/ITU-T/recommendations/rec.aspx?id=15036" TargetMode="External"/><Relationship Id="rId85" Type="http://schemas.openxmlformats.org/officeDocument/2006/relationships/hyperlink" Target="https://figi.itu.int/figi-resources/dfs-security-lab/" TargetMode="External"/><Relationship Id="rId150" Type="http://schemas.openxmlformats.org/officeDocument/2006/relationships/hyperlink" Target="https://www.itu.int/md/T13-TSAG-140617-TD-GEN-0138/en" TargetMode="External"/><Relationship Id="rId248" Type="http://schemas.openxmlformats.org/officeDocument/2006/relationships/hyperlink" Target="https://www.itu.int/br_tsb_terms/" TargetMode="External"/><Relationship Id="rId455" Type="http://schemas.openxmlformats.org/officeDocument/2006/relationships/hyperlink" Target="https://www.itu.int/ITU-T/recommendations/rec.aspx?id=14989" TargetMode="External"/><Relationship Id="rId12" Type="http://schemas.openxmlformats.org/officeDocument/2006/relationships/hyperlink" Target="mailto:tsbtsag@itu.int" TargetMode="External"/><Relationship Id="rId108" Type="http://schemas.openxmlformats.org/officeDocument/2006/relationships/hyperlink" Target="https://www.itu.int/en/ITU-T/ssc/united/Pages/publication-U4SSC-KPIs.aspx" TargetMode="External"/><Relationship Id="rId315" Type="http://schemas.openxmlformats.org/officeDocument/2006/relationships/hyperlink" Target="https://www.itu.int/ITU-T/recommendations/rec.aspx?id=14932" TargetMode="External"/><Relationship Id="rId522" Type="http://schemas.openxmlformats.org/officeDocument/2006/relationships/hyperlink" Target="https://www.itu.int/ITU-T/recommendations/rec.aspx?id=15180" TargetMode="External"/><Relationship Id="rId96" Type="http://schemas.openxmlformats.org/officeDocument/2006/relationships/hyperlink" Target="https://www.itu.int/en/ITU-T/webinars/dfs/sc/20220601/Pages/default.aspx" TargetMode="External"/><Relationship Id="rId161" Type="http://schemas.openxmlformats.org/officeDocument/2006/relationships/hyperlink" Target="https://www.itu.int/en/ITU-T/extcoop/dcgi/Pages/default.aspx" TargetMode="External"/><Relationship Id="rId399" Type="http://schemas.openxmlformats.org/officeDocument/2006/relationships/hyperlink" Target="https://www.itu.int/ITU-T/recommendations/rec.aspx?id=14993" TargetMode="External"/><Relationship Id="rId259" Type="http://schemas.openxmlformats.org/officeDocument/2006/relationships/hyperlink" Target="https://extranet.itu.int/sites/itu-t/initiatives/J-SCTF/" TargetMode="External"/><Relationship Id="rId466" Type="http://schemas.openxmlformats.org/officeDocument/2006/relationships/hyperlink" Target="https://www.itu.int/ITU-T/recommendations/rec.aspx?id=14991"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en/ITU-T/webinars/DT4CC/20221207A/Pages/default.aspx" TargetMode="External"/><Relationship Id="rId326" Type="http://schemas.openxmlformats.org/officeDocument/2006/relationships/hyperlink" Target="https://www.itu.int/ITU-T/recommendations/rec.aspx?id=14903" TargetMode="External"/><Relationship Id="rId533" Type="http://schemas.openxmlformats.org/officeDocument/2006/relationships/hyperlink" Target="https://www.itu.int/ITU-T/recommendations/rec.aspx?id=15001" TargetMode="External"/><Relationship Id="rId172" Type="http://schemas.openxmlformats.org/officeDocument/2006/relationships/hyperlink" Target="https://www.itu.int/rec/T-REC-A.5" TargetMode="External"/><Relationship Id="rId477" Type="http://schemas.openxmlformats.org/officeDocument/2006/relationships/hyperlink" Target="https://www.itu.int/pub/publications.aspx?lang=en&amp;parent=T-TUT-ICTS-2022-1" TargetMode="External"/><Relationship Id="rId337" Type="http://schemas.openxmlformats.org/officeDocument/2006/relationships/hyperlink" Target="https://www.itu.int/ITU-T/recommendations/rec.aspx?id=15132" TargetMode="External"/><Relationship Id="rId34" Type="http://schemas.openxmlformats.org/officeDocument/2006/relationships/hyperlink" Target="https://www.itu.int/en/ITU-T/tsbdir/CxO/Pages/CxO-20221206.aspx" TargetMode="External"/><Relationship Id="rId544" Type="http://schemas.openxmlformats.org/officeDocument/2006/relationships/hyperlink" Target="https://www.itu.int/ITU-T/recommendations/rec.aspx?id=15006" TargetMode="External"/><Relationship Id="rId183" Type="http://schemas.openxmlformats.org/officeDocument/2006/relationships/hyperlink" Target="https://www.itu.int/net/itu-t/cdb/secured/Register16.aspx" TargetMode="External"/><Relationship Id="rId390" Type="http://schemas.openxmlformats.org/officeDocument/2006/relationships/hyperlink" Target="https://www.itu.int/ITU-T/recommendations/rec.aspx?id=14859" TargetMode="External"/><Relationship Id="rId404" Type="http://schemas.openxmlformats.org/officeDocument/2006/relationships/hyperlink" Target="https://www.itu.int/ITU-T/recommendations/rec.aspx?rec=151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D3B26"/>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A2962"/>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18F"/>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18F"/>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187</TotalTime>
  <Pages>112</Pages>
  <Words>57034</Words>
  <Characters>385910</Characters>
  <Application>Microsoft Office Word</Application>
  <DocSecurity>0</DocSecurity>
  <Lines>3215</Lines>
  <Paragraphs>884</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6</cp:revision>
  <cp:lastPrinted>2018-10-12T03:17:00Z</cp:lastPrinted>
  <dcterms:created xsi:type="dcterms:W3CDTF">2022-12-09T13:32:00Z</dcterms:created>
  <dcterms:modified xsi:type="dcterms:W3CDTF">2022-12-12T13:46:00Z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