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124CC0" w14:paraId="1139DDF3" w14:textId="77777777" w:rsidTr="00756796">
        <w:trPr>
          <w:cantSplit/>
        </w:trPr>
        <w:tc>
          <w:tcPr>
            <w:tcW w:w="1417" w:type="dxa"/>
            <w:vMerge w:val="restart"/>
          </w:tcPr>
          <w:p w14:paraId="61E5AD64" w14:textId="1ECD717B" w:rsidR="001A2CAE" w:rsidRPr="00124CC0" w:rsidRDefault="008D7392" w:rsidP="003E5CE0">
            <w:bookmarkStart w:id="0" w:name="dnum" w:colFirst="2" w:colLast="2"/>
            <w:bookmarkStart w:id="1" w:name="dtableau"/>
            <w:r w:rsidRPr="00124CC0">
              <w:rPr>
                <w:noProof/>
              </w:rPr>
              <w:drawing>
                <wp:inline distT="0" distB="0" distL="0" distR="0" wp14:anchorId="4A874BA2" wp14:editId="436D586C">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4339AE45" w14:textId="77777777" w:rsidR="001A2CAE" w:rsidRPr="00124CC0" w:rsidRDefault="001A2CAE" w:rsidP="003E5CE0">
            <w:pPr>
              <w:rPr>
                <w:sz w:val="20"/>
              </w:rPr>
            </w:pPr>
            <w:r w:rsidRPr="00124CC0">
              <w:rPr>
                <w:sz w:val="20"/>
              </w:rPr>
              <w:t>UNION INTERNATIONALE DES TÉLÉCOMMUNICATIONS</w:t>
            </w:r>
          </w:p>
        </w:tc>
        <w:tc>
          <w:tcPr>
            <w:tcW w:w="3026" w:type="dxa"/>
          </w:tcPr>
          <w:p w14:paraId="16DF57D9" w14:textId="656E831D" w:rsidR="001A2CAE" w:rsidRPr="00124CC0" w:rsidRDefault="00AC4E4E" w:rsidP="00AC2B62">
            <w:pPr>
              <w:jc w:val="right"/>
              <w:rPr>
                <w:b/>
                <w:bCs/>
                <w:sz w:val="28"/>
              </w:rPr>
            </w:pPr>
            <w:r w:rsidRPr="00124CC0">
              <w:rPr>
                <w:b/>
                <w:bCs/>
                <w:sz w:val="32"/>
                <w:szCs w:val="22"/>
              </w:rPr>
              <w:t>TSAG</w:t>
            </w:r>
            <w:r w:rsidR="00661931" w:rsidRPr="00124CC0">
              <w:rPr>
                <w:b/>
                <w:bCs/>
                <w:sz w:val="32"/>
                <w:szCs w:val="22"/>
              </w:rPr>
              <w:t>-</w:t>
            </w:r>
            <w:r w:rsidRPr="00124CC0">
              <w:rPr>
                <w:b/>
                <w:bCs/>
                <w:sz w:val="32"/>
                <w:szCs w:val="22"/>
              </w:rPr>
              <w:t>R4</w:t>
            </w:r>
            <w:r w:rsidR="00FE5ADA" w:rsidRPr="00124CC0">
              <w:rPr>
                <w:b/>
                <w:bCs/>
                <w:sz w:val="32"/>
                <w:szCs w:val="22"/>
              </w:rPr>
              <w:t>-F</w:t>
            </w:r>
          </w:p>
        </w:tc>
      </w:tr>
      <w:tr w:rsidR="001A2CAE" w:rsidRPr="00124CC0" w14:paraId="0CC6FF9F" w14:textId="77777777" w:rsidTr="00756796">
        <w:trPr>
          <w:cantSplit/>
          <w:trHeight w:val="355"/>
        </w:trPr>
        <w:tc>
          <w:tcPr>
            <w:tcW w:w="1417" w:type="dxa"/>
            <w:vMerge/>
          </w:tcPr>
          <w:p w14:paraId="74047D01" w14:textId="77777777" w:rsidR="001A2CAE" w:rsidRPr="00124CC0" w:rsidRDefault="001A2CAE" w:rsidP="003E5CE0">
            <w:bookmarkStart w:id="2" w:name="ddate" w:colFirst="2" w:colLast="2"/>
            <w:bookmarkEnd w:id="0"/>
          </w:p>
        </w:tc>
        <w:tc>
          <w:tcPr>
            <w:tcW w:w="4640" w:type="dxa"/>
            <w:gridSpan w:val="3"/>
            <w:vMerge w:val="restart"/>
          </w:tcPr>
          <w:p w14:paraId="6B3C855F" w14:textId="77777777" w:rsidR="001A2CAE" w:rsidRPr="00124CC0" w:rsidRDefault="001A2CAE" w:rsidP="003E5CE0">
            <w:pPr>
              <w:rPr>
                <w:b/>
                <w:bCs/>
                <w:sz w:val="26"/>
              </w:rPr>
            </w:pPr>
            <w:r w:rsidRPr="00124CC0">
              <w:rPr>
                <w:b/>
                <w:bCs/>
                <w:sz w:val="26"/>
              </w:rPr>
              <w:t>SECTEUR DE LA NORMALISATION DES TÉLÉCOMMUNICATIONS</w:t>
            </w:r>
          </w:p>
          <w:p w14:paraId="0BD59104" w14:textId="0794AF8B" w:rsidR="001A2CAE" w:rsidRPr="00124CC0" w:rsidRDefault="00AA2C77" w:rsidP="003E5CE0">
            <w:pPr>
              <w:rPr>
                <w:smallCaps/>
                <w:sz w:val="20"/>
              </w:rPr>
            </w:pPr>
            <w:r w:rsidRPr="00124CC0">
              <w:rPr>
                <w:sz w:val="20"/>
              </w:rPr>
              <w:t>PÉRIODE D'</w:t>
            </w:r>
            <w:r w:rsidR="001A2CAE" w:rsidRPr="00124CC0">
              <w:rPr>
                <w:sz w:val="20"/>
              </w:rPr>
              <w:t xml:space="preserve">ÉTUDES </w:t>
            </w:r>
            <w:r w:rsidR="008D7392" w:rsidRPr="00124CC0">
              <w:rPr>
                <w:sz w:val="20"/>
              </w:rPr>
              <w:t>2022-2024</w:t>
            </w:r>
          </w:p>
        </w:tc>
        <w:tc>
          <w:tcPr>
            <w:tcW w:w="3866" w:type="dxa"/>
            <w:gridSpan w:val="3"/>
          </w:tcPr>
          <w:p w14:paraId="1B28F18A" w14:textId="407D36EE" w:rsidR="001A2CAE" w:rsidRPr="00124CC0" w:rsidRDefault="00AC4E4E" w:rsidP="00AC2B62">
            <w:pPr>
              <w:jc w:val="right"/>
              <w:rPr>
                <w:b/>
                <w:bCs/>
                <w:sz w:val="28"/>
              </w:rPr>
            </w:pPr>
            <w:r w:rsidRPr="00124CC0">
              <w:rPr>
                <w:b/>
                <w:bCs/>
                <w:sz w:val="28"/>
              </w:rPr>
              <w:t>GCNT</w:t>
            </w:r>
          </w:p>
        </w:tc>
      </w:tr>
      <w:tr w:rsidR="001A2CAE" w:rsidRPr="00124CC0" w14:paraId="3ADCD8D2" w14:textId="77777777" w:rsidTr="00756796">
        <w:trPr>
          <w:cantSplit/>
          <w:trHeight w:val="780"/>
        </w:trPr>
        <w:tc>
          <w:tcPr>
            <w:tcW w:w="1417" w:type="dxa"/>
            <w:vMerge/>
            <w:tcBorders>
              <w:bottom w:val="single" w:sz="12" w:space="0" w:color="auto"/>
            </w:tcBorders>
          </w:tcPr>
          <w:p w14:paraId="49492AFD" w14:textId="77777777" w:rsidR="001A2CAE" w:rsidRPr="00124CC0" w:rsidRDefault="001A2CAE" w:rsidP="003E5CE0">
            <w:bookmarkStart w:id="3" w:name="dorlang" w:colFirst="2" w:colLast="2"/>
            <w:bookmarkEnd w:id="2"/>
          </w:p>
        </w:tc>
        <w:tc>
          <w:tcPr>
            <w:tcW w:w="4640" w:type="dxa"/>
            <w:gridSpan w:val="3"/>
            <w:vMerge/>
            <w:tcBorders>
              <w:bottom w:val="single" w:sz="12" w:space="0" w:color="auto"/>
            </w:tcBorders>
          </w:tcPr>
          <w:p w14:paraId="1702F68B" w14:textId="77777777" w:rsidR="001A2CAE" w:rsidRPr="00124CC0" w:rsidRDefault="001A2CAE" w:rsidP="003E5CE0">
            <w:pPr>
              <w:rPr>
                <w:b/>
                <w:bCs/>
                <w:sz w:val="26"/>
              </w:rPr>
            </w:pPr>
          </w:p>
        </w:tc>
        <w:tc>
          <w:tcPr>
            <w:tcW w:w="3866" w:type="dxa"/>
            <w:gridSpan w:val="3"/>
            <w:tcBorders>
              <w:bottom w:val="single" w:sz="12" w:space="0" w:color="auto"/>
            </w:tcBorders>
            <w:vAlign w:val="center"/>
          </w:tcPr>
          <w:p w14:paraId="67B8E2AC" w14:textId="77777777" w:rsidR="001A2CAE" w:rsidRPr="00124CC0" w:rsidRDefault="001A2CAE" w:rsidP="003E5CE0">
            <w:pPr>
              <w:jc w:val="right"/>
              <w:rPr>
                <w:b/>
                <w:bCs/>
                <w:sz w:val="28"/>
              </w:rPr>
            </w:pPr>
            <w:r w:rsidRPr="00124CC0">
              <w:rPr>
                <w:b/>
                <w:bCs/>
                <w:sz w:val="28"/>
              </w:rPr>
              <w:t>Original: anglais</w:t>
            </w:r>
          </w:p>
        </w:tc>
      </w:tr>
      <w:tr w:rsidR="001A2CAE" w:rsidRPr="00124CC0" w14:paraId="431638B7" w14:textId="77777777" w:rsidTr="00756796">
        <w:trPr>
          <w:cantSplit/>
          <w:trHeight w:val="357"/>
        </w:trPr>
        <w:tc>
          <w:tcPr>
            <w:tcW w:w="1560" w:type="dxa"/>
            <w:gridSpan w:val="2"/>
          </w:tcPr>
          <w:p w14:paraId="4576BF30" w14:textId="3DB15A17" w:rsidR="001A2CAE" w:rsidRPr="00124CC0" w:rsidRDefault="001A2CAE" w:rsidP="003E5CE0">
            <w:pPr>
              <w:rPr>
                <w:b/>
                <w:bCs/>
              </w:rPr>
            </w:pPr>
            <w:bookmarkStart w:id="4" w:name="dbluepink" w:colFirst="1" w:colLast="1"/>
            <w:bookmarkStart w:id="5" w:name="dmeeting" w:colFirst="2" w:colLast="2"/>
            <w:bookmarkEnd w:id="3"/>
            <w:r w:rsidRPr="00124CC0">
              <w:rPr>
                <w:b/>
                <w:bCs/>
              </w:rPr>
              <w:t>Question:</w:t>
            </w:r>
          </w:p>
        </w:tc>
        <w:tc>
          <w:tcPr>
            <w:tcW w:w="5103" w:type="dxa"/>
            <w:gridSpan w:val="3"/>
          </w:tcPr>
          <w:p w14:paraId="7791788A" w14:textId="30F9FDB0" w:rsidR="001A2CAE" w:rsidRPr="00124CC0" w:rsidRDefault="008345B8" w:rsidP="00AC2B62">
            <w:pPr>
              <w:rPr>
                <w:highlight w:val="yellow"/>
              </w:rPr>
            </w:pPr>
            <w:r w:rsidRPr="00124CC0">
              <w:t>Sans objet</w:t>
            </w:r>
          </w:p>
        </w:tc>
        <w:tc>
          <w:tcPr>
            <w:tcW w:w="3260" w:type="dxa"/>
            <w:gridSpan w:val="2"/>
          </w:tcPr>
          <w:p w14:paraId="22CA39C0" w14:textId="090A3DFB" w:rsidR="001A2CAE" w:rsidRPr="00124CC0" w:rsidRDefault="008D7392" w:rsidP="00AC2B62">
            <w:pPr>
              <w:jc w:val="right"/>
            </w:pPr>
            <w:r w:rsidRPr="00124CC0">
              <w:t>Genève,</w:t>
            </w:r>
            <w:r w:rsidR="00AC4E4E" w:rsidRPr="00124CC0">
              <w:t xml:space="preserve"> 22-26 janvier</w:t>
            </w:r>
            <w:r w:rsidRPr="00124CC0">
              <w:t xml:space="preserve"> 202</w:t>
            </w:r>
            <w:r w:rsidR="008345B8" w:rsidRPr="00124CC0">
              <w:t>4</w:t>
            </w:r>
          </w:p>
        </w:tc>
      </w:tr>
      <w:tr w:rsidR="001A2CAE" w:rsidRPr="00124CC0" w14:paraId="5027931B" w14:textId="77777777" w:rsidTr="00756796">
        <w:trPr>
          <w:cantSplit/>
          <w:trHeight w:val="357"/>
        </w:trPr>
        <w:tc>
          <w:tcPr>
            <w:tcW w:w="9923" w:type="dxa"/>
            <w:gridSpan w:val="7"/>
          </w:tcPr>
          <w:p w14:paraId="6D302D91" w14:textId="0AF08777" w:rsidR="00AC4E4E" w:rsidRPr="00124CC0" w:rsidRDefault="00AC4E4E" w:rsidP="003E5CE0">
            <w:pPr>
              <w:jc w:val="center"/>
              <w:rPr>
                <w:b/>
                <w:bCs/>
              </w:rPr>
            </w:pPr>
            <w:bookmarkStart w:id="6" w:name="dtitle" w:colFirst="0" w:colLast="0"/>
            <w:bookmarkEnd w:id="4"/>
            <w:bookmarkEnd w:id="5"/>
            <w:r w:rsidRPr="00124CC0">
              <w:rPr>
                <w:b/>
                <w:bCs/>
              </w:rPr>
              <w:t>GROUPE CONSULTATIF DE LA NORMALISATION</w:t>
            </w:r>
            <w:r w:rsidR="00275B8F" w:rsidRPr="00124CC0">
              <w:rPr>
                <w:b/>
                <w:bCs/>
              </w:rPr>
              <w:t xml:space="preserve"> </w:t>
            </w:r>
            <w:r w:rsidRPr="00124CC0">
              <w:rPr>
                <w:b/>
                <w:bCs/>
              </w:rPr>
              <w:t>DES TÉLÉCOMMUNICATIONS</w:t>
            </w:r>
          </w:p>
          <w:p w14:paraId="468AA6A3" w14:textId="28CDE576" w:rsidR="001A2CAE" w:rsidRPr="00124CC0" w:rsidRDefault="00AC4E4E" w:rsidP="003E5CE0">
            <w:pPr>
              <w:jc w:val="center"/>
              <w:rPr>
                <w:b/>
                <w:bCs/>
              </w:rPr>
            </w:pPr>
            <w:r w:rsidRPr="00124CC0">
              <w:rPr>
                <w:b/>
                <w:bCs/>
              </w:rPr>
              <w:t>RAPPORT 4</w:t>
            </w:r>
          </w:p>
        </w:tc>
      </w:tr>
      <w:tr w:rsidR="001A2CAE" w:rsidRPr="00124CC0" w14:paraId="002FEF9B" w14:textId="77777777" w:rsidTr="00756796">
        <w:trPr>
          <w:cantSplit/>
          <w:trHeight w:val="357"/>
        </w:trPr>
        <w:tc>
          <w:tcPr>
            <w:tcW w:w="1560" w:type="dxa"/>
            <w:gridSpan w:val="2"/>
          </w:tcPr>
          <w:p w14:paraId="19434F1F" w14:textId="77777777" w:rsidR="001A2CAE" w:rsidRPr="00124CC0" w:rsidRDefault="001A2CAE" w:rsidP="003E5CE0">
            <w:pPr>
              <w:rPr>
                <w:b/>
                <w:bCs/>
              </w:rPr>
            </w:pPr>
            <w:bookmarkStart w:id="7" w:name="dsource" w:colFirst="1" w:colLast="1"/>
            <w:bookmarkEnd w:id="6"/>
            <w:r w:rsidRPr="00124CC0">
              <w:rPr>
                <w:b/>
                <w:bCs/>
              </w:rPr>
              <w:t>Origine:</w:t>
            </w:r>
          </w:p>
        </w:tc>
        <w:tc>
          <w:tcPr>
            <w:tcW w:w="8363" w:type="dxa"/>
            <w:gridSpan w:val="5"/>
          </w:tcPr>
          <w:p w14:paraId="463F29B5" w14:textId="3D122CC1" w:rsidR="001A2CAE" w:rsidRPr="00124CC0" w:rsidRDefault="00AC4E4E" w:rsidP="00AC2B62">
            <w:r w:rsidRPr="00124CC0">
              <w:t>Groupe consultatif de la normalisation des télécommunications</w:t>
            </w:r>
          </w:p>
        </w:tc>
      </w:tr>
      <w:tr w:rsidR="001A2CAE" w:rsidRPr="00124CC0" w14:paraId="40F680FC" w14:textId="77777777" w:rsidTr="00756796">
        <w:trPr>
          <w:cantSplit/>
          <w:trHeight w:val="357"/>
        </w:trPr>
        <w:tc>
          <w:tcPr>
            <w:tcW w:w="1560" w:type="dxa"/>
            <w:gridSpan w:val="2"/>
          </w:tcPr>
          <w:p w14:paraId="4A07C189" w14:textId="77777777" w:rsidR="001A2CAE" w:rsidRPr="00124CC0" w:rsidRDefault="001A2CAE" w:rsidP="003E5CE0">
            <w:pPr>
              <w:spacing w:after="120"/>
              <w:rPr>
                <w:b/>
                <w:bCs/>
              </w:rPr>
            </w:pPr>
            <w:bookmarkStart w:id="8" w:name="dtitle1" w:colFirst="1" w:colLast="1"/>
            <w:bookmarkEnd w:id="7"/>
            <w:r w:rsidRPr="00124CC0">
              <w:rPr>
                <w:b/>
                <w:bCs/>
              </w:rPr>
              <w:t>Titre:</w:t>
            </w:r>
          </w:p>
        </w:tc>
        <w:tc>
          <w:tcPr>
            <w:tcW w:w="8363" w:type="dxa"/>
            <w:gridSpan w:val="5"/>
          </w:tcPr>
          <w:p w14:paraId="26986F67" w14:textId="59305CA1" w:rsidR="0046230C" w:rsidRPr="00124CC0" w:rsidRDefault="00AC4E4E" w:rsidP="0046230C">
            <w:pPr>
              <w:spacing w:after="120"/>
            </w:pPr>
            <w:r w:rsidRPr="00124CC0">
              <w:t>Rapport de la troisième réunion du Groupe consultatif de la normalisation des télécommunications (Genève, 22-26 janvier 2024)</w:t>
            </w:r>
          </w:p>
        </w:tc>
      </w:tr>
      <w:tr w:rsidR="00756796" w:rsidRPr="00124CC0"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756796" w:rsidRPr="00124CC0"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124CC0">
              <w:rPr>
                <w:rFonts w:eastAsia="SimSun"/>
                <w:b/>
                <w:bCs/>
                <w:szCs w:val="24"/>
                <w:lang w:eastAsia="ja-JP"/>
              </w:rPr>
              <w:t>Contact:</w:t>
            </w:r>
          </w:p>
        </w:tc>
        <w:tc>
          <w:tcPr>
            <w:tcW w:w="4210" w:type="dxa"/>
            <w:tcBorders>
              <w:top w:val="single" w:sz="6" w:space="0" w:color="auto"/>
              <w:bottom w:val="single" w:sz="6" w:space="0" w:color="auto"/>
            </w:tcBorders>
          </w:tcPr>
          <w:p w14:paraId="21DFF43D" w14:textId="2D12E425" w:rsidR="00756796" w:rsidRPr="00124CC0" w:rsidRDefault="00AC4E4E" w:rsidP="0046230C">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124CC0">
              <w:rPr>
                <w:rFonts w:eastAsia="SimSun"/>
                <w:szCs w:val="24"/>
                <w:lang w:eastAsia="ja-JP"/>
              </w:rPr>
              <w:t>M. Abdurahman M. AL HASSAN</w:t>
            </w:r>
            <w:r w:rsidRPr="00124CC0">
              <w:rPr>
                <w:rFonts w:eastAsia="SimSun"/>
                <w:szCs w:val="24"/>
                <w:lang w:eastAsia="ja-JP"/>
              </w:rPr>
              <w:br/>
              <w:t>Arabie saoudite (Royaume d')</w:t>
            </w:r>
            <w:r w:rsidRPr="00124CC0">
              <w:rPr>
                <w:rFonts w:eastAsia="SimSun"/>
                <w:szCs w:val="24"/>
                <w:lang w:eastAsia="ja-JP"/>
              </w:rPr>
              <w:br/>
              <w:t>Président du GCNT</w:t>
            </w:r>
          </w:p>
        </w:tc>
        <w:tc>
          <w:tcPr>
            <w:tcW w:w="4153" w:type="dxa"/>
            <w:gridSpan w:val="4"/>
            <w:tcBorders>
              <w:top w:val="single" w:sz="6" w:space="0" w:color="auto"/>
              <w:bottom w:val="single" w:sz="6" w:space="0" w:color="auto"/>
            </w:tcBorders>
          </w:tcPr>
          <w:p w14:paraId="27A99257" w14:textId="7DA0D203" w:rsidR="00756796" w:rsidRPr="00124CC0" w:rsidRDefault="00756796" w:rsidP="00AC4E4E">
            <w:pPr>
              <w:tabs>
                <w:tab w:val="clear" w:pos="794"/>
                <w:tab w:val="clear" w:pos="1191"/>
                <w:tab w:val="clear" w:pos="1588"/>
                <w:tab w:val="clear" w:pos="1985"/>
                <w:tab w:val="left" w:pos="1290"/>
              </w:tabs>
              <w:overflowPunct/>
              <w:autoSpaceDE/>
              <w:autoSpaceDN/>
              <w:adjustRightInd/>
              <w:textAlignment w:val="auto"/>
              <w:rPr>
                <w:rFonts w:eastAsia="SimSun"/>
                <w:szCs w:val="24"/>
                <w:lang w:eastAsia="ja-JP"/>
              </w:rPr>
            </w:pPr>
            <w:r w:rsidRPr="00124CC0">
              <w:rPr>
                <w:rFonts w:eastAsia="SimSun"/>
                <w:szCs w:val="24"/>
                <w:lang w:eastAsia="ja-JP"/>
              </w:rPr>
              <w:t>Tél</w:t>
            </w:r>
            <w:r w:rsidR="00F30C0F" w:rsidRPr="00124CC0">
              <w:rPr>
                <w:rFonts w:eastAsia="SimSun"/>
                <w:szCs w:val="24"/>
                <w:lang w:eastAsia="ja-JP"/>
              </w:rPr>
              <w:t>.</w:t>
            </w:r>
            <w:r w:rsidRPr="00124CC0">
              <w:rPr>
                <w:rFonts w:eastAsia="SimSun"/>
                <w:szCs w:val="24"/>
                <w:lang w:eastAsia="ja-JP"/>
              </w:rPr>
              <w:t>:</w:t>
            </w:r>
            <w:r w:rsidR="00AC4E4E" w:rsidRPr="00124CC0">
              <w:rPr>
                <w:rFonts w:eastAsia="SimSun"/>
                <w:szCs w:val="24"/>
                <w:lang w:eastAsia="ja-JP"/>
              </w:rPr>
              <w:tab/>
            </w:r>
            <w:r w:rsidRPr="00124CC0">
              <w:rPr>
                <w:rFonts w:eastAsia="SimSun"/>
                <w:szCs w:val="24"/>
                <w:lang w:eastAsia="ja-JP"/>
              </w:rPr>
              <w:t>+</w:t>
            </w:r>
            <w:r w:rsidR="00AC4E4E" w:rsidRPr="00124CC0">
              <w:rPr>
                <w:rFonts w:eastAsia="SimSun"/>
                <w:szCs w:val="24"/>
                <w:lang w:eastAsia="ja-JP"/>
              </w:rPr>
              <w:t>996 11 461 8015</w:t>
            </w:r>
          </w:p>
          <w:p w14:paraId="0D224BBB" w14:textId="0F4C258D" w:rsidR="00756796" w:rsidRPr="00124CC0" w:rsidRDefault="009A546D" w:rsidP="00AC4E4E">
            <w:pPr>
              <w:tabs>
                <w:tab w:val="clear" w:pos="794"/>
                <w:tab w:val="clear" w:pos="1191"/>
                <w:tab w:val="clear" w:pos="1588"/>
                <w:tab w:val="clear" w:pos="1985"/>
                <w:tab w:val="left" w:pos="1265"/>
              </w:tabs>
              <w:overflowPunct/>
              <w:autoSpaceDE/>
              <w:autoSpaceDN/>
              <w:adjustRightInd/>
              <w:spacing w:before="0"/>
              <w:textAlignment w:val="auto"/>
              <w:rPr>
                <w:rFonts w:eastAsia="SimSun"/>
                <w:szCs w:val="24"/>
                <w:lang w:eastAsia="ja-JP"/>
              </w:rPr>
            </w:pPr>
            <w:r w:rsidRPr="00124CC0">
              <w:rPr>
                <w:rFonts w:eastAsia="SimSun"/>
                <w:szCs w:val="24"/>
                <w:lang w:eastAsia="ja-JP"/>
              </w:rPr>
              <w:t>Courriel</w:t>
            </w:r>
            <w:r w:rsidR="00756796" w:rsidRPr="00124CC0">
              <w:rPr>
                <w:rFonts w:eastAsia="SimSun"/>
                <w:szCs w:val="24"/>
                <w:lang w:eastAsia="ja-JP"/>
              </w:rPr>
              <w:t>:</w:t>
            </w:r>
            <w:r w:rsidR="00AC4E4E" w:rsidRPr="00124CC0">
              <w:rPr>
                <w:rFonts w:eastAsia="SimSun"/>
                <w:szCs w:val="24"/>
                <w:lang w:eastAsia="ja-JP"/>
              </w:rPr>
              <w:tab/>
            </w:r>
            <w:hyperlink r:id="rId9" w:history="1">
              <w:r w:rsidR="00AC4E4E" w:rsidRPr="00124CC0">
                <w:rPr>
                  <w:rStyle w:val="Hyperlink"/>
                  <w:rFonts w:ascii="Times New Roman" w:eastAsia="SimSun" w:hAnsi="Times New Roman"/>
                  <w:szCs w:val="24"/>
                  <w:lang w:eastAsia="ja-JP"/>
                </w:rPr>
                <w:t>tsagchair@nca.gov.sa</w:t>
              </w:r>
            </w:hyperlink>
          </w:p>
        </w:tc>
      </w:tr>
      <w:bookmarkEnd w:id="1"/>
      <w:bookmarkEnd w:id="8"/>
    </w:tbl>
    <w:p w14:paraId="65DD9870" w14:textId="77777777" w:rsidR="00FA76C3" w:rsidRPr="00124CC0" w:rsidRDefault="00FA76C3" w:rsidP="003E5CE0"/>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124CC0" w14:paraId="6F3B0D36" w14:textId="77777777" w:rsidTr="00756796">
        <w:trPr>
          <w:cantSplit/>
        </w:trPr>
        <w:tc>
          <w:tcPr>
            <w:tcW w:w="1560" w:type="dxa"/>
          </w:tcPr>
          <w:p w14:paraId="7B3ED2BD" w14:textId="77777777" w:rsidR="00FA76C3" w:rsidRPr="00124CC0" w:rsidRDefault="005232FD" w:rsidP="003E5CE0">
            <w:pPr>
              <w:rPr>
                <w:b/>
                <w:bCs/>
              </w:rPr>
            </w:pPr>
            <w:r w:rsidRPr="00124CC0">
              <w:rPr>
                <w:b/>
                <w:bCs/>
              </w:rPr>
              <w:t>Résumé</w:t>
            </w:r>
            <w:r w:rsidR="00FA76C3" w:rsidRPr="00124CC0">
              <w:rPr>
                <w:b/>
                <w:bCs/>
              </w:rPr>
              <w:t>:</w:t>
            </w:r>
          </w:p>
        </w:tc>
        <w:tc>
          <w:tcPr>
            <w:tcW w:w="8221" w:type="dxa"/>
          </w:tcPr>
          <w:p w14:paraId="3427A03D" w14:textId="7B53731B" w:rsidR="00FA76C3" w:rsidRPr="00124CC0" w:rsidRDefault="00AC4E4E" w:rsidP="00AC4E4E">
            <w:pPr>
              <w:spacing w:after="120"/>
            </w:pPr>
            <w:r w:rsidRPr="00124CC0">
              <w:t>On trouvera dans le présent document le rapport de la troisième réunion du Groupe consultatif de la normalisation des télécommunications de l'UIT-T (Genève,</w:t>
            </w:r>
            <w:r w:rsidR="001B1EA0" w:rsidRPr="00124CC0">
              <w:t> </w:t>
            </w:r>
            <w:r w:rsidRPr="00124CC0">
              <w:t>22</w:t>
            </w:r>
            <w:r w:rsidR="001B1EA0" w:rsidRPr="00124CC0">
              <w:noBreakHyphen/>
            </w:r>
            <w:r w:rsidRPr="00124CC0">
              <w:t>26</w:t>
            </w:r>
            <w:r w:rsidR="001B1EA0" w:rsidRPr="00124CC0">
              <w:t> </w:t>
            </w:r>
            <w:r w:rsidRPr="00124CC0">
              <w:t>janvier 2024) pour la période d'études 2022-2024.</w:t>
            </w:r>
          </w:p>
        </w:tc>
      </w:tr>
    </w:tbl>
    <w:p w14:paraId="3FDD5331" w14:textId="77777777" w:rsidR="003F649C" w:rsidRPr="00124CC0" w:rsidRDefault="003F649C" w:rsidP="003F649C">
      <w:pPr>
        <w:pStyle w:val="Note"/>
      </w:pPr>
      <w:r w:rsidRPr="00124CC0">
        <w:t>NOTE 1 – Le présent rapport rend compte des conclusions de la première réunion du GCNT et des décisions qui y ont été prises.</w:t>
      </w:r>
    </w:p>
    <w:p w14:paraId="28CD533F" w14:textId="77777777" w:rsidR="003F649C" w:rsidRPr="00124CC0" w:rsidRDefault="003F649C" w:rsidP="003F649C">
      <w:pPr>
        <w:pStyle w:val="Note"/>
      </w:pPr>
      <w:r w:rsidRPr="00124CC0">
        <w:t>NOTE 2 – Sauf indication contraire, toutes les contributions et tous les documents temporaires mentionnés dans le présent rapport font partie de la série de documents du GCNT.</w:t>
      </w:r>
    </w:p>
    <w:p w14:paraId="34C87384" w14:textId="36D767D6" w:rsidR="00CF2805" w:rsidRPr="00124CC0" w:rsidRDefault="003F649C" w:rsidP="008345B8">
      <w:pPr>
        <w:pStyle w:val="Normalaftertitle"/>
      </w:pPr>
      <w:r w:rsidRPr="00124CC0">
        <w:t>Le rapport de la troisième réunion du GCNT est publié en quatre parties:</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3F649C" w:rsidRPr="00124CC0" w14:paraId="4BE6626F" w14:textId="77777777" w:rsidTr="0050786E">
        <w:tc>
          <w:tcPr>
            <w:tcW w:w="1417" w:type="dxa"/>
            <w:shd w:val="clear" w:color="auto" w:fill="auto"/>
          </w:tcPr>
          <w:p w14:paraId="077E1404" w14:textId="77777777" w:rsidR="003F649C" w:rsidRPr="00124CC0" w:rsidRDefault="003F649C" w:rsidP="003F649C">
            <w:pPr>
              <w:jc w:val="left"/>
            </w:pPr>
            <w:r w:rsidRPr="00124CC0">
              <w:t>TSAG-R4</w:t>
            </w:r>
          </w:p>
        </w:tc>
        <w:tc>
          <w:tcPr>
            <w:tcW w:w="8277" w:type="dxa"/>
            <w:shd w:val="clear" w:color="auto" w:fill="auto"/>
          </w:tcPr>
          <w:p w14:paraId="0AD2968D" w14:textId="77777777" w:rsidR="003F649C" w:rsidRPr="00124CC0" w:rsidRDefault="003F649C" w:rsidP="003F649C">
            <w:pPr>
              <w:spacing w:after="120"/>
              <w:jc w:val="left"/>
            </w:pPr>
            <w:r w:rsidRPr="00124CC0">
              <w:t>Rapport de la troisième réunion du Groupe consultatif de la normalisation des télécommunications (Genève, 22-26 janvier 2024)</w:t>
            </w:r>
          </w:p>
        </w:tc>
      </w:tr>
      <w:tr w:rsidR="003F649C" w:rsidRPr="00124CC0" w14:paraId="046B7BAE" w14:textId="77777777" w:rsidTr="0050786E">
        <w:tc>
          <w:tcPr>
            <w:tcW w:w="1417" w:type="dxa"/>
            <w:shd w:val="clear" w:color="auto" w:fill="auto"/>
          </w:tcPr>
          <w:p w14:paraId="605B138A" w14:textId="77777777" w:rsidR="003F649C" w:rsidRPr="00124CC0" w:rsidRDefault="003F649C" w:rsidP="003F649C">
            <w:pPr>
              <w:jc w:val="left"/>
            </w:pPr>
            <w:r w:rsidRPr="00124CC0">
              <w:t>TSAG-R5</w:t>
            </w:r>
          </w:p>
        </w:tc>
        <w:tc>
          <w:tcPr>
            <w:tcW w:w="8277" w:type="dxa"/>
            <w:shd w:val="clear" w:color="auto" w:fill="auto"/>
          </w:tcPr>
          <w:p w14:paraId="21097F75" w14:textId="3CB6A7FF" w:rsidR="003F649C" w:rsidRPr="00124CC0" w:rsidRDefault="003F649C" w:rsidP="003F649C">
            <w:pPr>
              <w:spacing w:after="120"/>
              <w:jc w:val="left"/>
            </w:pPr>
            <w:r w:rsidRPr="00124CC0">
              <w:t xml:space="preserve">Rapport de la troisième réunion du Groupe consultatif de la normalisation des télécommunications (Genève, 22-26 janvier 2024) – Texte déterminé de la Recommandation </w:t>
            </w:r>
            <w:r w:rsidRPr="00124CC0">
              <w:rPr>
                <w:b/>
                <w:bCs/>
              </w:rPr>
              <w:t>UIT-T A.7</w:t>
            </w:r>
            <w:r w:rsidRPr="00124CC0">
              <w:t xml:space="preserve"> </w:t>
            </w:r>
            <w:r w:rsidR="001B1EA0" w:rsidRPr="00124CC0">
              <w:t xml:space="preserve">– </w:t>
            </w:r>
            <w:r w:rsidRPr="00124CC0">
              <w:t>"Groupes spécialisés: création et méthodes de travail" révisée</w:t>
            </w:r>
          </w:p>
        </w:tc>
      </w:tr>
      <w:tr w:rsidR="003F649C" w:rsidRPr="00124CC0" w14:paraId="4A872C29" w14:textId="77777777" w:rsidTr="0050786E">
        <w:tc>
          <w:tcPr>
            <w:tcW w:w="1417" w:type="dxa"/>
            <w:shd w:val="clear" w:color="auto" w:fill="auto"/>
          </w:tcPr>
          <w:p w14:paraId="2A748353" w14:textId="77777777" w:rsidR="003F649C" w:rsidRPr="00124CC0" w:rsidRDefault="003F649C" w:rsidP="003F649C">
            <w:pPr>
              <w:jc w:val="left"/>
            </w:pPr>
            <w:r w:rsidRPr="00124CC0">
              <w:t>TSAG-R6</w:t>
            </w:r>
          </w:p>
        </w:tc>
        <w:tc>
          <w:tcPr>
            <w:tcW w:w="8277" w:type="dxa"/>
            <w:shd w:val="clear" w:color="auto" w:fill="auto"/>
          </w:tcPr>
          <w:p w14:paraId="52DEDB12" w14:textId="2FA03EE8" w:rsidR="003F649C" w:rsidRPr="00124CC0" w:rsidRDefault="003F649C" w:rsidP="003F649C">
            <w:pPr>
              <w:spacing w:after="120"/>
              <w:jc w:val="left"/>
            </w:pPr>
            <w:r w:rsidRPr="00124CC0">
              <w:t xml:space="preserve">Rapport de la troisième réunion du Groupe consultatif de la normalisation des télécommunications (Genève, 22-26 janvier 2024) – Texte déterminé de la nouvelle Recommandation </w:t>
            </w:r>
            <w:r w:rsidRPr="00124CC0">
              <w:rPr>
                <w:b/>
                <w:bCs/>
              </w:rPr>
              <w:t>UIT-T A.18</w:t>
            </w:r>
            <w:r w:rsidRPr="00124CC0">
              <w:t xml:space="preserve"> (ex A.JCA) </w:t>
            </w:r>
            <w:r w:rsidR="001B1EA0" w:rsidRPr="00124CC0">
              <w:t xml:space="preserve">– </w:t>
            </w:r>
            <w:r w:rsidRPr="00124CC0">
              <w:t>"Activités conjointes de coordination: création et méthodes de travail"</w:t>
            </w:r>
          </w:p>
        </w:tc>
      </w:tr>
      <w:tr w:rsidR="003F649C" w:rsidRPr="00124CC0" w14:paraId="57EDB9EA" w14:textId="77777777" w:rsidTr="0050786E">
        <w:tc>
          <w:tcPr>
            <w:tcW w:w="1417" w:type="dxa"/>
            <w:shd w:val="clear" w:color="auto" w:fill="auto"/>
          </w:tcPr>
          <w:p w14:paraId="3EB60CF1" w14:textId="77777777" w:rsidR="003F649C" w:rsidRPr="00124CC0" w:rsidRDefault="003F649C" w:rsidP="003F649C">
            <w:pPr>
              <w:jc w:val="left"/>
            </w:pPr>
            <w:r w:rsidRPr="00124CC0">
              <w:t>TSAG-R7</w:t>
            </w:r>
          </w:p>
        </w:tc>
        <w:tc>
          <w:tcPr>
            <w:tcW w:w="8277" w:type="dxa"/>
            <w:shd w:val="clear" w:color="auto" w:fill="auto"/>
          </w:tcPr>
          <w:p w14:paraId="691B508A" w14:textId="7F29A4CC" w:rsidR="003F649C" w:rsidRPr="00124CC0" w:rsidRDefault="003F649C" w:rsidP="003F649C">
            <w:pPr>
              <w:spacing w:after="120"/>
              <w:jc w:val="left"/>
            </w:pPr>
            <w:r w:rsidRPr="00124CC0">
              <w:t xml:space="preserve">Rapport de la troisième réunion du Groupe consultatif de la normalisation des télécommunications (Genève, 22-26 janvier 2024) – Texte déterminé de la nouvelle Recommandation </w:t>
            </w:r>
            <w:r w:rsidRPr="00124CC0">
              <w:rPr>
                <w:b/>
                <w:bCs/>
              </w:rPr>
              <w:t>UIT-T A.24</w:t>
            </w:r>
            <w:r w:rsidRPr="00124CC0">
              <w:t xml:space="preserve"> </w:t>
            </w:r>
            <w:r w:rsidR="001B1EA0" w:rsidRPr="00124CC0">
              <w:t xml:space="preserve">– </w:t>
            </w:r>
            <w:r w:rsidRPr="00124CC0">
              <w:t>"Collaboration et échange d'informations avec d'autres organisations"</w:t>
            </w:r>
          </w:p>
        </w:tc>
      </w:tr>
    </w:tbl>
    <w:p w14:paraId="00B75097" w14:textId="3D864A62" w:rsidR="003F649C" w:rsidRPr="00124CC0" w:rsidRDefault="003F649C" w:rsidP="003F649C">
      <w:r w:rsidRPr="00124CC0">
        <w:br w:type="page"/>
      </w:r>
    </w:p>
    <w:p w14:paraId="63E06033" w14:textId="741068B9" w:rsidR="003F649C" w:rsidRPr="00124CC0" w:rsidRDefault="003F649C" w:rsidP="00A569F5">
      <w:pPr>
        <w:pStyle w:val="Title4"/>
        <w:spacing w:before="120"/>
      </w:pPr>
      <w:r w:rsidRPr="00124CC0">
        <w:lastRenderedPageBreak/>
        <w:t>TABLE DES MATIÈRES</w:t>
      </w:r>
    </w:p>
    <w:p w14:paraId="348E6A08" w14:textId="44175C8C" w:rsidR="003F649C" w:rsidRPr="00954C59" w:rsidRDefault="00954C59" w:rsidP="00A569F5">
      <w:pPr>
        <w:jc w:val="right"/>
        <w:rPr>
          <w:i/>
          <w:iCs/>
        </w:rPr>
      </w:pPr>
      <w:r w:rsidRPr="00954C59">
        <w:rPr>
          <w:i/>
          <w:iCs/>
        </w:rPr>
        <w:t>Page</w:t>
      </w:r>
    </w:p>
    <w:p w14:paraId="4FBEEB1A" w14:textId="52BBEE81" w:rsidR="00BF152A" w:rsidRDefault="00954C59">
      <w:pPr>
        <w:pStyle w:val="TOC1"/>
        <w:rPr>
          <w:rFonts w:asciiTheme="minorHAnsi" w:eastAsiaTheme="minorEastAsia" w:hAnsiTheme="minorHAnsi" w:cstheme="minorBidi"/>
          <w:noProof/>
          <w:sz w:val="22"/>
          <w:szCs w:val="22"/>
          <w:lang w:val="en-US"/>
        </w:rPr>
      </w:pPr>
      <w:r>
        <w:fldChar w:fldCharType="begin"/>
      </w:r>
      <w:r>
        <w:instrText xml:space="preserve"> TOC \o "1-3" \h \z \t "Annex_No &amp; title;1" </w:instrText>
      </w:r>
      <w:r>
        <w:fldChar w:fldCharType="separate"/>
      </w:r>
      <w:hyperlink w:anchor="_Toc161662718" w:history="1">
        <w:r w:rsidR="00BF152A" w:rsidRPr="00C73CC1">
          <w:rPr>
            <w:rStyle w:val="Hyperlink"/>
            <w:noProof/>
          </w:rPr>
          <w:t>1</w:t>
        </w:r>
        <w:r w:rsidR="00BF152A">
          <w:rPr>
            <w:rFonts w:asciiTheme="minorHAnsi" w:eastAsiaTheme="minorEastAsia" w:hAnsiTheme="minorHAnsi" w:cstheme="minorBidi"/>
            <w:noProof/>
            <w:sz w:val="22"/>
            <w:szCs w:val="22"/>
            <w:lang w:val="en-US"/>
          </w:rPr>
          <w:tab/>
        </w:r>
        <w:r w:rsidR="00BF152A" w:rsidRPr="00C73CC1">
          <w:rPr>
            <w:rStyle w:val="Hyperlink"/>
            <w:noProof/>
          </w:rPr>
          <w:t>Informations générales et ouverture de la réunion par le Président du GCNT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_Toc161662718 \h </w:instrText>
        </w:r>
        <w:r w:rsidR="00BF152A">
          <w:rPr>
            <w:noProof/>
            <w:webHidden/>
          </w:rPr>
        </w:r>
        <w:r w:rsidR="00BF152A">
          <w:rPr>
            <w:noProof/>
            <w:webHidden/>
          </w:rPr>
          <w:fldChar w:fldCharType="separate"/>
        </w:r>
        <w:r w:rsidR="00BF152A">
          <w:rPr>
            <w:noProof/>
            <w:webHidden/>
          </w:rPr>
          <w:t>4</w:t>
        </w:r>
        <w:r w:rsidR="00BF152A">
          <w:rPr>
            <w:noProof/>
            <w:webHidden/>
          </w:rPr>
          <w:fldChar w:fldCharType="end"/>
        </w:r>
      </w:hyperlink>
    </w:p>
    <w:p w14:paraId="6A4E3210" w14:textId="0EB9B45E" w:rsidR="00BF152A" w:rsidRDefault="0067192B">
      <w:pPr>
        <w:pStyle w:val="TOC1"/>
        <w:rPr>
          <w:rFonts w:asciiTheme="minorHAnsi" w:eastAsiaTheme="minorEastAsia" w:hAnsiTheme="minorHAnsi" w:cstheme="minorBidi"/>
          <w:noProof/>
          <w:sz w:val="22"/>
          <w:szCs w:val="22"/>
          <w:lang w:val="en-US"/>
        </w:rPr>
      </w:pPr>
      <w:hyperlink w:anchor="_Toc161662719" w:history="1">
        <w:r w:rsidR="00BF152A" w:rsidRPr="00C73CC1">
          <w:rPr>
            <w:rStyle w:val="Hyperlink"/>
            <w:noProof/>
          </w:rPr>
          <w:t>2</w:t>
        </w:r>
        <w:r w:rsidR="00BF152A">
          <w:rPr>
            <w:rFonts w:asciiTheme="minorHAnsi" w:eastAsiaTheme="minorEastAsia" w:hAnsiTheme="minorHAnsi" w:cstheme="minorBidi"/>
            <w:noProof/>
            <w:sz w:val="22"/>
            <w:szCs w:val="22"/>
            <w:lang w:val="en-US"/>
          </w:rPr>
          <w:tab/>
        </w:r>
        <w:r w:rsidR="00BF152A" w:rsidRPr="00C73CC1">
          <w:rPr>
            <w:rStyle w:val="Hyperlink"/>
            <w:noProof/>
          </w:rPr>
          <w:t>Allocutions d'ouverture</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_Toc161662719 \h </w:instrText>
        </w:r>
        <w:r w:rsidR="00BF152A">
          <w:rPr>
            <w:noProof/>
            <w:webHidden/>
          </w:rPr>
        </w:r>
        <w:r w:rsidR="00BF152A">
          <w:rPr>
            <w:noProof/>
            <w:webHidden/>
          </w:rPr>
          <w:fldChar w:fldCharType="separate"/>
        </w:r>
        <w:r w:rsidR="00BF152A">
          <w:rPr>
            <w:noProof/>
            <w:webHidden/>
          </w:rPr>
          <w:t>5</w:t>
        </w:r>
        <w:r w:rsidR="00BF152A">
          <w:rPr>
            <w:noProof/>
            <w:webHidden/>
          </w:rPr>
          <w:fldChar w:fldCharType="end"/>
        </w:r>
      </w:hyperlink>
    </w:p>
    <w:p w14:paraId="54E3860C" w14:textId="0549240A" w:rsidR="00BF152A" w:rsidRDefault="0067192B">
      <w:pPr>
        <w:pStyle w:val="TOC1"/>
        <w:rPr>
          <w:rFonts w:asciiTheme="minorHAnsi" w:eastAsiaTheme="minorEastAsia" w:hAnsiTheme="minorHAnsi" w:cstheme="minorBidi"/>
          <w:noProof/>
          <w:sz w:val="22"/>
          <w:szCs w:val="22"/>
          <w:lang w:val="en-US"/>
        </w:rPr>
      </w:pPr>
      <w:hyperlink w:anchor="_Toc161662720" w:history="1">
        <w:r w:rsidR="00BF152A" w:rsidRPr="00C73CC1">
          <w:rPr>
            <w:rStyle w:val="Hyperlink"/>
            <w:noProof/>
          </w:rPr>
          <w:t>3</w:t>
        </w:r>
        <w:r w:rsidR="00BF152A">
          <w:rPr>
            <w:rFonts w:asciiTheme="minorHAnsi" w:eastAsiaTheme="minorEastAsia" w:hAnsiTheme="minorHAnsi" w:cstheme="minorBidi"/>
            <w:noProof/>
            <w:sz w:val="22"/>
            <w:szCs w:val="22"/>
            <w:lang w:val="en-US"/>
          </w:rPr>
          <w:tab/>
        </w:r>
        <w:r w:rsidR="00BF152A" w:rsidRPr="00C73CC1">
          <w:rPr>
            <w:rStyle w:val="Hyperlink"/>
            <w:noProof/>
          </w:rPr>
          <w:t>Adoption de l'ordre du jour, attribution des documents et programme de gestion du temps</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_Toc161662720 \h </w:instrText>
        </w:r>
        <w:r w:rsidR="00BF152A">
          <w:rPr>
            <w:noProof/>
            <w:webHidden/>
          </w:rPr>
        </w:r>
        <w:r w:rsidR="00BF152A">
          <w:rPr>
            <w:noProof/>
            <w:webHidden/>
          </w:rPr>
          <w:fldChar w:fldCharType="separate"/>
        </w:r>
        <w:r w:rsidR="00BF152A">
          <w:rPr>
            <w:noProof/>
            <w:webHidden/>
          </w:rPr>
          <w:t>5</w:t>
        </w:r>
        <w:r w:rsidR="00BF152A">
          <w:rPr>
            <w:noProof/>
            <w:webHidden/>
          </w:rPr>
          <w:fldChar w:fldCharType="end"/>
        </w:r>
      </w:hyperlink>
    </w:p>
    <w:p w14:paraId="379A6C53" w14:textId="61F83559" w:rsidR="00BF152A" w:rsidRDefault="0067192B">
      <w:pPr>
        <w:pStyle w:val="TOC1"/>
        <w:rPr>
          <w:rFonts w:asciiTheme="minorHAnsi" w:eastAsiaTheme="minorEastAsia" w:hAnsiTheme="minorHAnsi" w:cstheme="minorBidi"/>
          <w:noProof/>
          <w:sz w:val="22"/>
          <w:szCs w:val="22"/>
          <w:lang w:val="en-US"/>
        </w:rPr>
      </w:pPr>
      <w:hyperlink w:anchor="_Toc161662721" w:history="1">
        <w:r w:rsidR="00BF152A" w:rsidRPr="00C73CC1">
          <w:rPr>
            <w:rStyle w:val="Hyperlink"/>
            <w:noProof/>
          </w:rPr>
          <w:t>4</w:t>
        </w:r>
        <w:r w:rsidR="00BF152A">
          <w:rPr>
            <w:rFonts w:asciiTheme="minorHAnsi" w:eastAsiaTheme="minorEastAsia" w:hAnsiTheme="minorHAnsi" w:cstheme="minorBidi"/>
            <w:noProof/>
            <w:sz w:val="22"/>
            <w:szCs w:val="22"/>
            <w:lang w:val="en-US"/>
          </w:rPr>
          <w:tab/>
        </w:r>
        <w:r w:rsidR="00BF152A" w:rsidRPr="00C73CC1">
          <w:rPr>
            <w:rStyle w:val="Hyperlink"/>
            <w:noProof/>
          </w:rPr>
          <w:t>Nominations</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_Toc161662721 \h </w:instrText>
        </w:r>
        <w:r w:rsidR="00BF152A">
          <w:rPr>
            <w:noProof/>
            <w:webHidden/>
          </w:rPr>
        </w:r>
        <w:r w:rsidR="00BF152A">
          <w:rPr>
            <w:noProof/>
            <w:webHidden/>
          </w:rPr>
          <w:fldChar w:fldCharType="separate"/>
        </w:r>
        <w:r w:rsidR="00BF152A">
          <w:rPr>
            <w:noProof/>
            <w:webHidden/>
          </w:rPr>
          <w:t>6</w:t>
        </w:r>
        <w:r w:rsidR="00BF152A">
          <w:rPr>
            <w:noProof/>
            <w:webHidden/>
          </w:rPr>
          <w:fldChar w:fldCharType="end"/>
        </w:r>
      </w:hyperlink>
    </w:p>
    <w:p w14:paraId="3A3A908F" w14:textId="0A238D7F" w:rsidR="00BF152A" w:rsidRDefault="0067192B">
      <w:pPr>
        <w:pStyle w:val="TOC1"/>
        <w:rPr>
          <w:rFonts w:asciiTheme="minorHAnsi" w:eastAsiaTheme="minorEastAsia" w:hAnsiTheme="minorHAnsi" w:cstheme="minorBidi"/>
          <w:noProof/>
          <w:sz w:val="22"/>
          <w:szCs w:val="22"/>
          <w:lang w:val="en-US"/>
        </w:rPr>
      </w:pPr>
      <w:hyperlink w:anchor="_Toc161662722" w:history="1">
        <w:r w:rsidR="00BF152A" w:rsidRPr="00C73CC1">
          <w:rPr>
            <w:rStyle w:val="Hyperlink"/>
            <w:noProof/>
          </w:rPr>
          <w:t>5</w:t>
        </w:r>
        <w:r w:rsidR="00BF152A">
          <w:rPr>
            <w:rFonts w:asciiTheme="minorHAnsi" w:eastAsiaTheme="minorEastAsia" w:hAnsiTheme="minorHAnsi" w:cstheme="minorBidi"/>
            <w:noProof/>
            <w:sz w:val="22"/>
            <w:szCs w:val="22"/>
            <w:lang w:val="en-US"/>
          </w:rPr>
          <w:tab/>
        </w:r>
        <w:r w:rsidR="00BF152A" w:rsidRPr="00C73CC1">
          <w:rPr>
            <w:rStyle w:val="Hyperlink"/>
            <w:noProof/>
          </w:rPr>
          <w:t>Rapports du Directeur du TSB</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_Toc161662722 \h </w:instrText>
        </w:r>
        <w:r w:rsidR="00BF152A">
          <w:rPr>
            <w:noProof/>
            <w:webHidden/>
          </w:rPr>
        </w:r>
        <w:r w:rsidR="00BF152A">
          <w:rPr>
            <w:noProof/>
            <w:webHidden/>
          </w:rPr>
          <w:fldChar w:fldCharType="separate"/>
        </w:r>
        <w:r w:rsidR="00BF152A">
          <w:rPr>
            <w:noProof/>
            <w:webHidden/>
          </w:rPr>
          <w:t>6</w:t>
        </w:r>
        <w:r w:rsidR="00BF152A">
          <w:rPr>
            <w:noProof/>
            <w:webHidden/>
          </w:rPr>
          <w:fldChar w:fldCharType="end"/>
        </w:r>
      </w:hyperlink>
    </w:p>
    <w:p w14:paraId="73C880B5" w14:textId="10F805C6" w:rsidR="00BF152A" w:rsidRDefault="0067192B">
      <w:pPr>
        <w:pStyle w:val="TOC1"/>
        <w:rPr>
          <w:rFonts w:asciiTheme="minorHAnsi" w:eastAsiaTheme="minorEastAsia" w:hAnsiTheme="minorHAnsi" w:cstheme="minorBidi"/>
          <w:noProof/>
          <w:sz w:val="22"/>
          <w:szCs w:val="22"/>
          <w:lang w:val="en-US"/>
        </w:rPr>
      </w:pPr>
      <w:hyperlink w:anchor="_Toc161662723" w:history="1">
        <w:r w:rsidR="00BF152A" w:rsidRPr="00C73CC1">
          <w:rPr>
            <w:rStyle w:val="Hyperlink"/>
            <w:noProof/>
          </w:rPr>
          <w:t>6</w:t>
        </w:r>
        <w:r w:rsidR="00BF152A">
          <w:rPr>
            <w:rFonts w:asciiTheme="minorHAnsi" w:eastAsiaTheme="minorEastAsia" w:hAnsiTheme="minorHAnsi" w:cstheme="minorBidi"/>
            <w:noProof/>
            <w:sz w:val="22"/>
            <w:szCs w:val="22"/>
            <w:lang w:val="en-US"/>
          </w:rPr>
          <w:tab/>
        </w:r>
        <w:r w:rsidR="00BF152A" w:rsidRPr="00C73CC1">
          <w:rPr>
            <w:rStyle w:val="Hyperlink"/>
            <w:noProof/>
          </w:rPr>
          <w:t>AMNT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_Toc161662723 \h </w:instrText>
        </w:r>
        <w:r w:rsidR="00BF152A">
          <w:rPr>
            <w:noProof/>
            <w:webHidden/>
          </w:rPr>
        </w:r>
        <w:r w:rsidR="00BF152A">
          <w:rPr>
            <w:noProof/>
            <w:webHidden/>
          </w:rPr>
          <w:fldChar w:fldCharType="separate"/>
        </w:r>
        <w:r w:rsidR="00BF152A">
          <w:rPr>
            <w:noProof/>
            <w:webHidden/>
          </w:rPr>
          <w:t>6</w:t>
        </w:r>
        <w:r w:rsidR="00BF152A">
          <w:rPr>
            <w:noProof/>
            <w:webHidden/>
          </w:rPr>
          <w:fldChar w:fldCharType="end"/>
        </w:r>
      </w:hyperlink>
    </w:p>
    <w:p w14:paraId="6DFE99E2" w14:textId="16023F18" w:rsidR="00BF152A" w:rsidRDefault="0067192B">
      <w:pPr>
        <w:pStyle w:val="TOC1"/>
        <w:rPr>
          <w:rFonts w:asciiTheme="minorHAnsi" w:eastAsiaTheme="minorEastAsia" w:hAnsiTheme="minorHAnsi" w:cstheme="minorBidi"/>
          <w:noProof/>
          <w:sz w:val="22"/>
          <w:szCs w:val="22"/>
          <w:lang w:val="en-US"/>
        </w:rPr>
      </w:pPr>
      <w:hyperlink w:anchor="_Toc161662724" w:history="1">
        <w:r w:rsidR="00BF152A" w:rsidRPr="00C73CC1">
          <w:rPr>
            <w:rStyle w:val="Hyperlink"/>
            <w:noProof/>
          </w:rPr>
          <w:t>7</w:t>
        </w:r>
        <w:r w:rsidR="00BF152A">
          <w:rPr>
            <w:rFonts w:asciiTheme="minorHAnsi" w:eastAsiaTheme="minorEastAsia" w:hAnsiTheme="minorHAnsi" w:cstheme="minorBidi"/>
            <w:noProof/>
            <w:sz w:val="22"/>
            <w:szCs w:val="22"/>
            <w:lang w:val="en-US"/>
          </w:rPr>
          <w:tab/>
        </w:r>
        <w:r w:rsidR="00BF152A" w:rsidRPr="00C73CC1">
          <w:rPr>
            <w:rStyle w:val="Hyperlink"/>
            <w:noProof/>
          </w:rPr>
          <w:t>Nouveau programme BSG</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_Toc161662724 \h </w:instrText>
        </w:r>
        <w:r w:rsidR="00BF152A">
          <w:rPr>
            <w:noProof/>
            <w:webHidden/>
          </w:rPr>
        </w:r>
        <w:r w:rsidR="00BF152A">
          <w:rPr>
            <w:noProof/>
            <w:webHidden/>
          </w:rPr>
          <w:fldChar w:fldCharType="separate"/>
        </w:r>
        <w:r w:rsidR="00BF152A">
          <w:rPr>
            <w:noProof/>
            <w:webHidden/>
          </w:rPr>
          <w:t>7</w:t>
        </w:r>
        <w:r w:rsidR="00BF152A">
          <w:rPr>
            <w:noProof/>
            <w:webHidden/>
          </w:rPr>
          <w:fldChar w:fldCharType="end"/>
        </w:r>
      </w:hyperlink>
    </w:p>
    <w:p w14:paraId="5B62764D" w14:textId="4ECA6919" w:rsidR="00BF152A" w:rsidRDefault="0067192B">
      <w:pPr>
        <w:pStyle w:val="TOC1"/>
        <w:rPr>
          <w:rFonts w:asciiTheme="minorHAnsi" w:eastAsiaTheme="minorEastAsia" w:hAnsiTheme="minorHAnsi" w:cstheme="minorBidi"/>
          <w:noProof/>
          <w:sz w:val="22"/>
          <w:szCs w:val="22"/>
          <w:lang w:val="en-US"/>
        </w:rPr>
      </w:pPr>
      <w:hyperlink w:anchor="_Toc161662725" w:history="1">
        <w:r w:rsidR="00BF152A" w:rsidRPr="00C73CC1">
          <w:rPr>
            <w:rStyle w:val="Hyperlink"/>
            <w:noProof/>
          </w:rPr>
          <w:t>8</w:t>
        </w:r>
        <w:r w:rsidR="00BF152A">
          <w:rPr>
            <w:rFonts w:asciiTheme="minorHAnsi" w:eastAsiaTheme="minorEastAsia" w:hAnsiTheme="minorHAnsi" w:cstheme="minorBidi"/>
            <w:noProof/>
            <w:sz w:val="22"/>
            <w:szCs w:val="22"/>
            <w:lang w:val="en-US"/>
          </w:rPr>
          <w:tab/>
        </w:r>
        <w:r w:rsidR="00BF152A" w:rsidRPr="00C73CC1">
          <w:rPr>
            <w:rStyle w:val="Hyperlink"/>
            <w:noProof/>
          </w:rPr>
          <w:t>Réseau de femmes à l'UIT-T (NoW)</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_Toc161662725 \h </w:instrText>
        </w:r>
        <w:r w:rsidR="00BF152A">
          <w:rPr>
            <w:noProof/>
            <w:webHidden/>
          </w:rPr>
        </w:r>
        <w:r w:rsidR="00BF152A">
          <w:rPr>
            <w:noProof/>
            <w:webHidden/>
          </w:rPr>
          <w:fldChar w:fldCharType="separate"/>
        </w:r>
        <w:r w:rsidR="00BF152A">
          <w:rPr>
            <w:noProof/>
            <w:webHidden/>
          </w:rPr>
          <w:t>8</w:t>
        </w:r>
        <w:r w:rsidR="00BF152A">
          <w:rPr>
            <w:noProof/>
            <w:webHidden/>
          </w:rPr>
          <w:fldChar w:fldCharType="end"/>
        </w:r>
      </w:hyperlink>
    </w:p>
    <w:p w14:paraId="6B6143E8" w14:textId="6F3B3E1A" w:rsidR="00BF152A" w:rsidRDefault="0067192B">
      <w:pPr>
        <w:pStyle w:val="TOC1"/>
        <w:rPr>
          <w:rFonts w:asciiTheme="minorHAnsi" w:eastAsiaTheme="minorEastAsia" w:hAnsiTheme="minorHAnsi" w:cstheme="minorBidi"/>
          <w:noProof/>
          <w:sz w:val="22"/>
          <w:szCs w:val="22"/>
          <w:lang w:val="en-US"/>
        </w:rPr>
      </w:pPr>
      <w:hyperlink w:anchor="_Toc161662726" w:history="1">
        <w:r w:rsidR="00BF152A" w:rsidRPr="00C73CC1">
          <w:rPr>
            <w:rStyle w:val="Hyperlink"/>
            <w:noProof/>
          </w:rPr>
          <w:t>9</w:t>
        </w:r>
        <w:r w:rsidR="00BF152A">
          <w:rPr>
            <w:rFonts w:asciiTheme="minorHAnsi" w:eastAsiaTheme="minorEastAsia" w:hAnsiTheme="minorHAnsi" w:cstheme="minorBidi"/>
            <w:noProof/>
            <w:sz w:val="22"/>
            <w:szCs w:val="22"/>
            <w:lang w:val="en-US"/>
          </w:rPr>
          <w:tab/>
        </w:r>
        <w:r w:rsidR="00BF152A" w:rsidRPr="00C73CC1">
          <w:rPr>
            <w:rStyle w:val="Hyperlink"/>
            <w:noProof/>
          </w:rPr>
          <w:t>Droits de l'homme et normes</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_Toc161662726 \h </w:instrText>
        </w:r>
        <w:r w:rsidR="00BF152A">
          <w:rPr>
            <w:noProof/>
            <w:webHidden/>
          </w:rPr>
        </w:r>
        <w:r w:rsidR="00BF152A">
          <w:rPr>
            <w:noProof/>
            <w:webHidden/>
          </w:rPr>
          <w:fldChar w:fldCharType="separate"/>
        </w:r>
        <w:r w:rsidR="00BF152A">
          <w:rPr>
            <w:noProof/>
            <w:webHidden/>
          </w:rPr>
          <w:t>8</w:t>
        </w:r>
        <w:r w:rsidR="00BF152A">
          <w:rPr>
            <w:noProof/>
            <w:webHidden/>
          </w:rPr>
          <w:fldChar w:fldCharType="end"/>
        </w:r>
      </w:hyperlink>
    </w:p>
    <w:p w14:paraId="0D77169E" w14:textId="462ED573" w:rsidR="00BF152A" w:rsidRDefault="0067192B">
      <w:pPr>
        <w:pStyle w:val="TOC1"/>
        <w:rPr>
          <w:rFonts w:asciiTheme="minorHAnsi" w:eastAsiaTheme="minorEastAsia" w:hAnsiTheme="minorHAnsi" w:cstheme="minorBidi"/>
          <w:noProof/>
          <w:sz w:val="22"/>
          <w:szCs w:val="22"/>
          <w:lang w:val="en-US"/>
        </w:rPr>
      </w:pPr>
      <w:hyperlink w:anchor="_Toc161662727" w:history="1">
        <w:r w:rsidR="00BF152A" w:rsidRPr="00C73CC1">
          <w:rPr>
            <w:rStyle w:val="Hyperlink"/>
            <w:noProof/>
          </w:rPr>
          <w:t>10</w:t>
        </w:r>
        <w:r w:rsidR="00BF152A">
          <w:rPr>
            <w:rFonts w:asciiTheme="minorHAnsi" w:eastAsiaTheme="minorEastAsia" w:hAnsiTheme="minorHAnsi" w:cstheme="minorBidi"/>
            <w:noProof/>
            <w:sz w:val="22"/>
            <w:szCs w:val="22"/>
            <w:lang w:val="en-US"/>
          </w:rPr>
          <w:tab/>
        </w:r>
        <w:r w:rsidR="00BF152A" w:rsidRPr="00C73CC1">
          <w:rPr>
            <w:rStyle w:val="Hyperlink"/>
            <w:noProof/>
          </w:rPr>
          <w:t>Utilisation des langues sur un pied d'égalité (Résolution 67 de l'AMNT-20)</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_Toc161662727 \h </w:instrText>
        </w:r>
        <w:r w:rsidR="00BF152A">
          <w:rPr>
            <w:noProof/>
            <w:webHidden/>
          </w:rPr>
        </w:r>
        <w:r w:rsidR="00BF152A">
          <w:rPr>
            <w:noProof/>
            <w:webHidden/>
          </w:rPr>
          <w:fldChar w:fldCharType="separate"/>
        </w:r>
        <w:r w:rsidR="00BF152A">
          <w:rPr>
            <w:noProof/>
            <w:webHidden/>
          </w:rPr>
          <w:t>8</w:t>
        </w:r>
        <w:r w:rsidR="00BF152A">
          <w:rPr>
            <w:noProof/>
            <w:webHidden/>
          </w:rPr>
          <w:fldChar w:fldCharType="end"/>
        </w:r>
      </w:hyperlink>
    </w:p>
    <w:p w14:paraId="2CAB5E47" w14:textId="0DBF6FCD" w:rsidR="00BF152A" w:rsidRDefault="0067192B">
      <w:pPr>
        <w:pStyle w:val="TOC1"/>
        <w:rPr>
          <w:rFonts w:asciiTheme="minorHAnsi" w:eastAsiaTheme="minorEastAsia" w:hAnsiTheme="minorHAnsi" w:cstheme="minorBidi"/>
          <w:noProof/>
          <w:sz w:val="22"/>
          <w:szCs w:val="22"/>
          <w:lang w:val="en-US"/>
        </w:rPr>
      </w:pPr>
      <w:hyperlink w:anchor="_Toc161662728" w:history="1">
        <w:r w:rsidR="00BF152A" w:rsidRPr="00C73CC1">
          <w:rPr>
            <w:rStyle w:val="Hyperlink"/>
            <w:noProof/>
          </w:rPr>
          <w:t>11</w:t>
        </w:r>
        <w:r w:rsidR="00BF152A">
          <w:rPr>
            <w:rFonts w:asciiTheme="minorHAnsi" w:eastAsiaTheme="minorEastAsia" w:hAnsiTheme="minorHAnsi" w:cstheme="minorBidi"/>
            <w:noProof/>
            <w:sz w:val="22"/>
            <w:szCs w:val="22"/>
            <w:lang w:val="en-US"/>
          </w:rPr>
          <w:tab/>
        </w:r>
        <w:r w:rsidR="00BF152A" w:rsidRPr="00C73CC1">
          <w:rPr>
            <w:rStyle w:val="Hyperlink"/>
            <w:noProof/>
          </w:rPr>
          <w:t>Dates et horaires des réunions physiques et virtuelles de l'UIT-T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_Toc161662728 \h </w:instrText>
        </w:r>
        <w:r w:rsidR="00BF152A">
          <w:rPr>
            <w:noProof/>
            <w:webHidden/>
          </w:rPr>
        </w:r>
        <w:r w:rsidR="00BF152A">
          <w:rPr>
            <w:noProof/>
            <w:webHidden/>
          </w:rPr>
          <w:fldChar w:fldCharType="separate"/>
        </w:r>
        <w:r w:rsidR="00BF152A">
          <w:rPr>
            <w:noProof/>
            <w:webHidden/>
          </w:rPr>
          <w:t>8</w:t>
        </w:r>
        <w:r w:rsidR="00BF152A">
          <w:rPr>
            <w:noProof/>
            <w:webHidden/>
          </w:rPr>
          <w:fldChar w:fldCharType="end"/>
        </w:r>
      </w:hyperlink>
    </w:p>
    <w:p w14:paraId="454C8A15" w14:textId="0430C8D8" w:rsidR="00BF152A" w:rsidRDefault="0067192B">
      <w:pPr>
        <w:pStyle w:val="TOC1"/>
        <w:rPr>
          <w:rFonts w:asciiTheme="minorHAnsi" w:eastAsiaTheme="minorEastAsia" w:hAnsiTheme="minorHAnsi" w:cstheme="minorBidi"/>
          <w:noProof/>
          <w:sz w:val="22"/>
          <w:szCs w:val="22"/>
          <w:lang w:val="en-US"/>
        </w:rPr>
      </w:pPr>
      <w:hyperlink w:anchor="_Toc161662729" w:history="1">
        <w:r w:rsidR="00BF152A" w:rsidRPr="00C73CC1">
          <w:rPr>
            <w:rStyle w:val="Hyperlink"/>
            <w:noProof/>
          </w:rPr>
          <w:t>12</w:t>
        </w:r>
        <w:r w:rsidR="00BF152A">
          <w:rPr>
            <w:rFonts w:asciiTheme="minorHAnsi" w:eastAsiaTheme="minorEastAsia" w:hAnsiTheme="minorHAnsi" w:cstheme="minorBidi"/>
            <w:noProof/>
            <w:sz w:val="22"/>
            <w:szCs w:val="22"/>
            <w:lang w:val="en-US"/>
          </w:rPr>
          <w:tab/>
        </w:r>
        <w:r w:rsidR="00BF152A" w:rsidRPr="00C73CC1">
          <w:rPr>
            <w:rStyle w:val="Hyperlink"/>
            <w:noProof/>
          </w:rPr>
          <w:t>Plan stratégique et plan opérationnel (SOP)</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_Toc161662729 \h </w:instrText>
        </w:r>
        <w:r w:rsidR="00BF152A">
          <w:rPr>
            <w:noProof/>
            <w:webHidden/>
          </w:rPr>
        </w:r>
        <w:r w:rsidR="00BF152A">
          <w:rPr>
            <w:noProof/>
            <w:webHidden/>
          </w:rPr>
          <w:fldChar w:fldCharType="separate"/>
        </w:r>
        <w:r w:rsidR="00BF152A">
          <w:rPr>
            <w:noProof/>
            <w:webHidden/>
          </w:rPr>
          <w:t>8</w:t>
        </w:r>
        <w:r w:rsidR="00BF152A">
          <w:rPr>
            <w:noProof/>
            <w:webHidden/>
          </w:rPr>
          <w:fldChar w:fldCharType="end"/>
        </w:r>
      </w:hyperlink>
    </w:p>
    <w:p w14:paraId="245A1BA0" w14:textId="5E95B0E0" w:rsidR="00BF152A" w:rsidRDefault="0067192B">
      <w:pPr>
        <w:pStyle w:val="TOC1"/>
        <w:rPr>
          <w:rFonts w:asciiTheme="minorHAnsi" w:eastAsiaTheme="minorEastAsia" w:hAnsiTheme="minorHAnsi" w:cstheme="minorBidi"/>
          <w:noProof/>
          <w:sz w:val="22"/>
          <w:szCs w:val="22"/>
          <w:lang w:val="en-US"/>
        </w:rPr>
      </w:pPr>
      <w:hyperlink w:anchor="_Toc161662730" w:history="1">
        <w:r w:rsidR="00BF152A" w:rsidRPr="00C73CC1">
          <w:rPr>
            <w:rStyle w:val="Hyperlink"/>
            <w:noProof/>
          </w:rPr>
          <w:t>13</w:t>
        </w:r>
        <w:r w:rsidR="00BF152A">
          <w:rPr>
            <w:rFonts w:asciiTheme="minorHAnsi" w:eastAsiaTheme="minorEastAsia" w:hAnsiTheme="minorHAnsi" w:cstheme="minorBidi"/>
            <w:noProof/>
            <w:sz w:val="22"/>
            <w:szCs w:val="22"/>
            <w:lang w:val="en-US"/>
          </w:rPr>
          <w:tab/>
        </w:r>
        <w:r w:rsidR="00BF152A" w:rsidRPr="00C73CC1">
          <w:rPr>
            <w:rStyle w:val="Hyperlink"/>
            <w:noProof/>
          </w:rPr>
          <w:t>Activités conjointes de coordination de l'UIT-T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_Toc161662730 \h </w:instrText>
        </w:r>
        <w:r w:rsidR="00BF152A">
          <w:rPr>
            <w:noProof/>
            <w:webHidden/>
          </w:rPr>
        </w:r>
        <w:r w:rsidR="00BF152A">
          <w:rPr>
            <w:noProof/>
            <w:webHidden/>
          </w:rPr>
          <w:fldChar w:fldCharType="separate"/>
        </w:r>
        <w:r w:rsidR="00BF152A">
          <w:rPr>
            <w:noProof/>
            <w:webHidden/>
          </w:rPr>
          <w:t>9</w:t>
        </w:r>
        <w:r w:rsidR="00BF152A">
          <w:rPr>
            <w:noProof/>
            <w:webHidden/>
          </w:rPr>
          <w:fldChar w:fldCharType="end"/>
        </w:r>
      </w:hyperlink>
    </w:p>
    <w:p w14:paraId="2FE2945B" w14:textId="2FAF7A3C" w:rsidR="00BF152A" w:rsidRDefault="0067192B" w:rsidP="00A569F5">
      <w:pPr>
        <w:pStyle w:val="TOC2"/>
        <w:spacing w:before="60"/>
        <w:rPr>
          <w:rFonts w:asciiTheme="minorHAnsi" w:eastAsiaTheme="minorEastAsia" w:hAnsiTheme="minorHAnsi" w:cstheme="minorBidi"/>
          <w:noProof/>
          <w:sz w:val="22"/>
          <w:szCs w:val="22"/>
          <w:lang w:val="en-US"/>
        </w:rPr>
      </w:pPr>
      <w:hyperlink w:anchor="_Toc161662731" w:history="1">
        <w:r w:rsidR="00BF152A" w:rsidRPr="00C73CC1">
          <w:rPr>
            <w:rStyle w:val="Hyperlink"/>
            <w:noProof/>
          </w:rPr>
          <w:t>13.1</w:t>
        </w:r>
        <w:r w:rsidR="00BF152A">
          <w:rPr>
            <w:rFonts w:asciiTheme="minorHAnsi" w:eastAsiaTheme="minorEastAsia" w:hAnsiTheme="minorHAnsi" w:cstheme="minorBidi"/>
            <w:noProof/>
            <w:sz w:val="22"/>
            <w:szCs w:val="22"/>
            <w:lang w:val="en-US"/>
          </w:rPr>
          <w:tab/>
        </w:r>
        <w:r w:rsidR="00BF152A" w:rsidRPr="00C73CC1">
          <w:rPr>
            <w:rStyle w:val="Hyperlink"/>
            <w:noProof/>
          </w:rPr>
          <w:t>Activité conjointe de coordination de l'UIT-T sur les certificats COVID-19 numériques (JCA-DCC de l'UIT-T)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_Toc161662731 \h </w:instrText>
        </w:r>
        <w:r w:rsidR="00BF152A">
          <w:rPr>
            <w:noProof/>
            <w:webHidden/>
          </w:rPr>
        </w:r>
        <w:r w:rsidR="00BF152A">
          <w:rPr>
            <w:noProof/>
            <w:webHidden/>
          </w:rPr>
          <w:fldChar w:fldCharType="separate"/>
        </w:r>
        <w:r w:rsidR="00BF152A">
          <w:rPr>
            <w:noProof/>
            <w:webHidden/>
          </w:rPr>
          <w:t>9</w:t>
        </w:r>
        <w:r w:rsidR="00BF152A">
          <w:rPr>
            <w:noProof/>
            <w:webHidden/>
          </w:rPr>
          <w:fldChar w:fldCharType="end"/>
        </w:r>
      </w:hyperlink>
    </w:p>
    <w:p w14:paraId="2262289F" w14:textId="79F1291C" w:rsidR="00BF152A" w:rsidRDefault="0067192B" w:rsidP="00A569F5">
      <w:pPr>
        <w:pStyle w:val="TOC2"/>
        <w:spacing w:before="60"/>
        <w:rPr>
          <w:rFonts w:asciiTheme="minorHAnsi" w:eastAsiaTheme="minorEastAsia" w:hAnsiTheme="minorHAnsi" w:cstheme="minorBidi"/>
          <w:noProof/>
          <w:sz w:val="22"/>
          <w:szCs w:val="22"/>
          <w:lang w:val="en-US"/>
        </w:rPr>
      </w:pPr>
      <w:hyperlink w:anchor="_Toc161662732" w:history="1">
        <w:r w:rsidR="00BF152A" w:rsidRPr="00C73CC1">
          <w:rPr>
            <w:rStyle w:val="Hyperlink"/>
            <w:noProof/>
          </w:rPr>
          <w:t>13.2</w:t>
        </w:r>
        <w:r w:rsidR="00BF152A">
          <w:rPr>
            <w:rFonts w:asciiTheme="minorHAnsi" w:eastAsiaTheme="minorEastAsia" w:hAnsiTheme="minorHAnsi" w:cstheme="minorBidi"/>
            <w:noProof/>
            <w:sz w:val="22"/>
            <w:szCs w:val="22"/>
            <w:lang w:val="en-US"/>
          </w:rPr>
          <w:tab/>
        </w:r>
        <w:r w:rsidR="00BF152A" w:rsidRPr="00C73CC1">
          <w:rPr>
            <w:rStyle w:val="Hyperlink"/>
            <w:noProof/>
          </w:rPr>
          <w:t>Activité conjointe de coordination de l'UIT-T sur les réseaux de distribution de clés quantiques (JCA-QKDN de l'UIT-T)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_Toc161662732 \h </w:instrText>
        </w:r>
        <w:r w:rsidR="00BF152A">
          <w:rPr>
            <w:noProof/>
            <w:webHidden/>
          </w:rPr>
        </w:r>
        <w:r w:rsidR="00BF152A">
          <w:rPr>
            <w:noProof/>
            <w:webHidden/>
          </w:rPr>
          <w:fldChar w:fldCharType="separate"/>
        </w:r>
        <w:r w:rsidR="00BF152A">
          <w:rPr>
            <w:noProof/>
            <w:webHidden/>
          </w:rPr>
          <w:t>9</w:t>
        </w:r>
        <w:r w:rsidR="00BF152A">
          <w:rPr>
            <w:noProof/>
            <w:webHidden/>
          </w:rPr>
          <w:fldChar w:fldCharType="end"/>
        </w:r>
      </w:hyperlink>
    </w:p>
    <w:p w14:paraId="2ABD3321" w14:textId="33C304CB" w:rsidR="00BF152A" w:rsidRDefault="0067192B" w:rsidP="00A569F5">
      <w:pPr>
        <w:pStyle w:val="TOC2"/>
        <w:spacing w:before="60"/>
        <w:rPr>
          <w:rFonts w:asciiTheme="minorHAnsi" w:eastAsiaTheme="minorEastAsia" w:hAnsiTheme="minorHAnsi" w:cstheme="minorBidi"/>
          <w:noProof/>
          <w:sz w:val="22"/>
          <w:szCs w:val="22"/>
          <w:lang w:val="en-US"/>
        </w:rPr>
      </w:pPr>
      <w:hyperlink w:anchor="_Toc161662733" w:history="1">
        <w:r w:rsidR="00BF152A" w:rsidRPr="00C73CC1">
          <w:rPr>
            <w:rStyle w:val="Hyperlink"/>
            <w:noProof/>
          </w:rPr>
          <w:t>13.3</w:t>
        </w:r>
        <w:r w:rsidR="00BF152A">
          <w:rPr>
            <w:rFonts w:asciiTheme="minorHAnsi" w:eastAsiaTheme="minorEastAsia" w:hAnsiTheme="minorHAnsi" w:cstheme="minorBidi"/>
            <w:noProof/>
            <w:sz w:val="22"/>
            <w:szCs w:val="22"/>
            <w:lang w:val="en-US"/>
          </w:rPr>
          <w:tab/>
        </w:r>
        <w:r w:rsidR="00BF152A" w:rsidRPr="00C73CC1">
          <w:rPr>
            <w:rStyle w:val="Hyperlink"/>
            <w:noProof/>
          </w:rPr>
          <w:t>Activité conjointe de coordination de l'UIT-T sur l'accessibilité et les facteurs humains (JCA</w:t>
        </w:r>
        <w:r w:rsidR="00BF152A" w:rsidRPr="00C73CC1">
          <w:rPr>
            <w:rStyle w:val="Hyperlink"/>
            <w:noProof/>
          </w:rPr>
          <w:noBreakHyphen/>
          <w:t>AHF de l'UIT-T)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_Toc161662733 \h </w:instrText>
        </w:r>
        <w:r w:rsidR="00BF152A">
          <w:rPr>
            <w:noProof/>
            <w:webHidden/>
          </w:rPr>
        </w:r>
        <w:r w:rsidR="00BF152A">
          <w:rPr>
            <w:noProof/>
            <w:webHidden/>
          </w:rPr>
          <w:fldChar w:fldCharType="separate"/>
        </w:r>
        <w:r w:rsidR="00BF152A">
          <w:rPr>
            <w:noProof/>
            <w:webHidden/>
          </w:rPr>
          <w:t>9</w:t>
        </w:r>
        <w:r w:rsidR="00BF152A">
          <w:rPr>
            <w:noProof/>
            <w:webHidden/>
          </w:rPr>
          <w:fldChar w:fldCharType="end"/>
        </w:r>
      </w:hyperlink>
    </w:p>
    <w:p w14:paraId="375F4AE3" w14:textId="5B9BAFB1" w:rsidR="00BF152A" w:rsidRDefault="0067192B">
      <w:pPr>
        <w:pStyle w:val="TOC1"/>
        <w:rPr>
          <w:rFonts w:asciiTheme="minorHAnsi" w:eastAsiaTheme="minorEastAsia" w:hAnsiTheme="minorHAnsi" w:cstheme="minorBidi"/>
          <w:noProof/>
          <w:sz w:val="22"/>
          <w:szCs w:val="22"/>
          <w:lang w:val="en-US"/>
        </w:rPr>
      </w:pPr>
      <w:hyperlink w:anchor="_Toc161662734" w:history="1">
        <w:r w:rsidR="00BF152A" w:rsidRPr="00C73CC1">
          <w:rPr>
            <w:rStyle w:val="Hyperlink"/>
            <w:noProof/>
          </w:rPr>
          <w:t>14</w:t>
        </w:r>
        <w:r w:rsidR="00BF152A">
          <w:rPr>
            <w:rFonts w:asciiTheme="minorHAnsi" w:eastAsiaTheme="minorEastAsia" w:hAnsiTheme="minorHAnsi" w:cstheme="minorBidi"/>
            <w:noProof/>
            <w:sz w:val="22"/>
            <w:szCs w:val="22"/>
            <w:lang w:val="en-US"/>
          </w:rPr>
          <w:tab/>
        </w:r>
        <w:r w:rsidR="00BF152A" w:rsidRPr="00C73CC1">
          <w:rPr>
            <w:rStyle w:val="Hyperlink"/>
            <w:noProof/>
          </w:rPr>
          <w:t>Groupes régionaux</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_Toc161662734 \h </w:instrText>
        </w:r>
        <w:r w:rsidR="00BF152A">
          <w:rPr>
            <w:noProof/>
            <w:webHidden/>
          </w:rPr>
        </w:r>
        <w:r w:rsidR="00BF152A">
          <w:rPr>
            <w:noProof/>
            <w:webHidden/>
          </w:rPr>
          <w:fldChar w:fldCharType="separate"/>
        </w:r>
        <w:r w:rsidR="00BF152A">
          <w:rPr>
            <w:noProof/>
            <w:webHidden/>
          </w:rPr>
          <w:t>9</w:t>
        </w:r>
        <w:r w:rsidR="00BF152A">
          <w:rPr>
            <w:noProof/>
            <w:webHidden/>
          </w:rPr>
          <w:fldChar w:fldCharType="end"/>
        </w:r>
      </w:hyperlink>
    </w:p>
    <w:p w14:paraId="5DC8AE65" w14:textId="7EB0123B" w:rsidR="00BF152A" w:rsidRDefault="0067192B">
      <w:pPr>
        <w:pStyle w:val="TOC1"/>
        <w:rPr>
          <w:rFonts w:asciiTheme="minorHAnsi" w:eastAsiaTheme="minorEastAsia" w:hAnsiTheme="minorHAnsi" w:cstheme="minorBidi"/>
          <w:noProof/>
          <w:sz w:val="22"/>
          <w:szCs w:val="22"/>
          <w:lang w:val="en-US"/>
        </w:rPr>
      </w:pPr>
      <w:hyperlink w:anchor="_Toc161662735" w:history="1">
        <w:r w:rsidR="00BF152A" w:rsidRPr="00C73CC1">
          <w:rPr>
            <w:rStyle w:val="Hyperlink"/>
            <w:noProof/>
          </w:rPr>
          <w:t>15</w:t>
        </w:r>
        <w:r w:rsidR="00BF152A">
          <w:rPr>
            <w:rFonts w:asciiTheme="minorHAnsi" w:eastAsiaTheme="minorEastAsia" w:hAnsiTheme="minorHAnsi" w:cstheme="minorBidi"/>
            <w:noProof/>
            <w:sz w:val="22"/>
            <w:szCs w:val="22"/>
            <w:lang w:val="en-US"/>
          </w:rPr>
          <w:tab/>
        </w:r>
        <w:r w:rsidR="00BF152A" w:rsidRPr="00C73CC1">
          <w:rPr>
            <w:rStyle w:val="Hyperlink"/>
            <w:noProof/>
          </w:rPr>
          <w:t>Vocabulaire</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_Toc161662735 \h </w:instrText>
        </w:r>
        <w:r w:rsidR="00BF152A">
          <w:rPr>
            <w:noProof/>
            <w:webHidden/>
          </w:rPr>
        </w:r>
        <w:r w:rsidR="00BF152A">
          <w:rPr>
            <w:noProof/>
            <w:webHidden/>
          </w:rPr>
          <w:fldChar w:fldCharType="separate"/>
        </w:r>
        <w:r w:rsidR="00BF152A">
          <w:rPr>
            <w:noProof/>
            <w:webHidden/>
          </w:rPr>
          <w:t>9</w:t>
        </w:r>
        <w:r w:rsidR="00BF152A">
          <w:rPr>
            <w:noProof/>
            <w:webHidden/>
          </w:rPr>
          <w:fldChar w:fldCharType="end"/>
        </w:r>
      </w:hyperlink>
    </w:p>
    <w:p w14:paraId="76D740EA" w14:textId="43B86814" w:rsidR="00BF152A" w:rsidRDefault="0067192B">
      <w:pPr>
        <w:pStyle w:val="TOC1"/>
        <w:rPr>
          <w:rFonts w:asciiTheme="minorHAnsi" w:eastAsiaTheme="minorEastAsia" w:hAnsiTheme="minorHAnsi" w:cstheme="minorBidi"/>
          <w:noProof/>
          <w:sz w:val="22"/>
          <w:szCs w:val="22"/>
          <w:lang w:val="en-US"/>
        </w:rPr>
      </w:pPr>
      <w:hyperlink w:anchor="_Toc161662736" w:history="1">
        <w:r w:rsidR="00BF152A" w:rsidRPr="00C73CC1">
          <w:rPr>
            <w:rStyle w:val="Hyperlink"/>
            <w:noProof/>
          </w:rPr>
          <w:t>16</w:t>
        </w:r>
        <w:r w:rsidR="00BF152A">
          <w:rPr>
            <w:rFonts w:asciiTheme="minorHAnsi" w:eastAsiaTheme="minorEastAsia" w:hAnsiTheme="minorHAnsi" w:cstheme="minorBidi"/>
            <w:noProof/>
            <w:sz w:val="22"/>
            <w:szCs w:val="22"/>
            <w:lang w:val="en-US"/>
          </w:rPr>
          <w:tab/>
        </w:r>
        <w:r w:rsidR="00BF152A" w:rsidRPr="00C73CC1">
          <w:rPr>
            <w:rStyle w:val="Hyperlink"/>
            <w:noProof/>
          </w:rPr>
          <w:t>L'intelligence artificielle au service du bien social</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_Toc161662736 \h </w:instrText>
        </w:r>
        <w:r w:rsidR="00BF152A">
          <w:rPr>
            <w:noProof/>
            <w:webHidden/>
          </w:rPr>
        </w:r>
        <w:r w:rsidR="00BF152A">
          <w:rPr>
            <w:noProof/>
            <w:webHidden/>
          </w:rPr>
          <w:fldChar w:fldCharType="separate"/>
        </w:r>
        <w:r w:rsidR="00BF152A">
          <w:rPr>
            <w:noProof/>
            <w:webHidden/>
          </w:rPr>
          <w:t>10</w:t>
        </w:r>
        <w:r w:rsidR="00BF152A">
          <w:rPr>
            <w:noProof/>
            <w:webHidden/>
          </w:rPr>
          <w:fldChar w:fldCharType="end"/>
        </w:r>
      </w:hyperlink>
    </w:p>
    <w:p w14:paraId="3AE24440" w14:textId="147DB0D8" w:rsidR="00BF152A" w:rsidRDefault="0067192B">
      <w:pPr>
        <w:pStyle w:val="TOC1"/>
        <w:rPr>
          <w:rFonts w:asciiTheme="minorHAnsi" w:eastAsiaTheme="minorEastAsia" w:hAnsiTheme="minorHAnsi" w:cstheme="minorBidi"/>
          <w:noProof/>
          <w:sz w:val="22"/>
          <w:szCs w:val="22"/>
          <w:lang w:val="en-US"/>
        </w:rPr>
      </w:pPr>
      <w:hyperlink w:anchor="_Toc161662737" w:history="1">
        <w:r w:rsidR="00BF152A" w:rsidRPr="00C73CC1">
          <w:rPr>
            <w:rStyle w:val="Hyperlink"/>
            <w:noProof/>
          </w:rPr>
          <w:t>17</w:t>
        </w:r>
        <w:r w:rsidR="00BF152A">
          <w:rPr>
            <w:rFonts w:asciiTheme="minorHAnsi" w:eastAsiaTheme="minorEastAsia" w:hAnsiTheme="minorHAnsi" w:cstheme="minorBidi"/>
            <w:noProof/>
            <w:sz w:val="22"/>
            <w:szCs w:val="22"/>
            <w:lang w:val="en-US"/>
          </w:rPr>
          <w:tab/>
        </w:r>
        <w:r w:rsidR="00BF152A" w:rsidRPr="00C73CC1">
          <w:rPr>
            <w:rStyle w:val="Hyperlink"/>
            <w:noProof/>
          </w:rPr>
          <w:t>Conférence Kaléidoscope</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_Toc161662737 \h </w:instrText>
        </w:r>
        <w:r w:rsidR="00BF152A">
          <w:rPr>
            <w:noProof/>
            <w:webHidden/>
          </w:rPr>
        </w:r>
        <w:r w:rsidR="00BF152A">
          <w:rPr>
            <w:noProof/>
            <w:webHidden/>
          </w:rPr>
          <w:fldChar w:fldCharType="separate"/>
        </w:r>
        <w:r w:rsidR="00BF152A">
          <w:rPr>
            <w:noProof/>
            <w:webHidden/>
          </w:rPr>
          <w:t>10</w:t>
        </w:r>
        <w:r w:rsidR="00BF152A">
          <w:rPr>
            <w:noProof/>
            <w:webHidden/>
          </w:rPr>
          <w:fldChar w:fldCharType="end"/>
        </w:r>
      </w:hyperlink>
    </w:p>
    <w:p w14:paraId="15610CD1" w14:textId="34F5FF53" w:rsidR="00BF152A" w:rsidRDefault="0067192B">
      <w:pPr>
        <w:pStyle w:val="TOC1"/>
        <w:rPr>
          <w:rFonts w:asciiTheme="minorHAnsi" w:eastAsiaTheme="minorEastAsia" w:hAnsiTheme="minorHAnsi" w:cstheme="minorBidi"/>
          <w:noProof/>
          <w:sz w:val="22"/>
          <w:szCs w:val="22"/>
          <w:lang w:val="en-US"/>
        </w:rPr>
      </w:pPr>
      <w:hyperlink w:anchor="_Toc161662738" w:history="1">
        <w:r w:rsidR="00BF152A" w:rsidRPr="00C73CC1">
          <w:rPr>
            <w:rStyle w:val="Hyperlink"/>
            <w:noProof/>
          </w:rPr>
          <w:t>18</w:t>
        </w:r>
        <w:r w:rsidR="00BF152A">
          <w:rPr>
            <w:rFonts w:asciiTheme="minorHAnsi" w:eastAsiaTheme="minorEastAsia" w:hAnsiTheme="minorHAnsi" w:cstheme="minorBidi"/>
            <w:noProof/>
            <w:sz w:val="22"/>
            <w:szCs w:val="22"/>
            <w:lang w:val="en-US"/>
          </w:rPr>
          <w:tab/>
        </w:r>
        <w:r w:rsidR="00BF152A" w:rsidRPr="00C73CC1">
          <w:rPr>
            <w:rStyle w:val="Hyperlink"/>
            <w:noProof/>
          </w:rPr>
          <w:t>Journal de l'UIT sur les technologies futures et les technologies en évolution</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_Toc161662738 \h </w:instrText>
        </w:r>
        <w:r w:rsidR="00BF152A">
          <w:rPr>
            <w:noProof/>
            <w:webHidden/>
          </w:rPr>
        </w:r>
        <w:r w:rsidR="00BF152A">
          <w:rPr>
            <w:noProof/>
            <w:webHidden/>
          </w:rPr>
          <w:fldChar w:fldCharType="separate"/>
        </w:r>
        <w:r w:rsidR="00BF152A">
          <w:rPr>
            <w:noProof/>
            <w:webHidden/>
          </w:rPr>
          <w:t>10</w:t>
        </w:r>
        <w:r w:rsidR="00BF152A">
          <w:rPr>
            <w:noProof/>
            <w:webHidden/>
          </w:rPr>
          <w:fldChar w:fldCharType="end"/>
        </w:r>
      </w:hyperlink>
    </w:p>
    <w:p w14:paraId="47355EEE" w14:textId="5C50D71C" w:rsidR="00BF152A" w:rsidRDefault="0067192B">
      <w:pPr>
        <w:pStyle w:val="TOC1"/>
        <w:rPr>
          <w:rFonts w:asciiTheme="minorHAnsi" w:eastAsiaTheme="minorEastAsia" w:hAnsiTheme="minorHAnsi" w:cstheme="minorBidi"/>
          <w:noProof/>
          <w:sz w:val="22"/>
          <w:szCs w:val="22"/>
          <w:lang w:val="en-US"/>
        </w:rPr>
      </w:pPr>
      <w:hyperlink w:anchor="_Toc161662739" w:history="1">
        <w:r w:rsidR="00BF152A" w:rsidRPr="00C73CC1">
          <w:rPr>
            <w:rStyle w:val="Hyperlink"/>
            <w:noProof/>
          </w:rPr>
          <w:t>19</w:t>
        </w:r>
        <w:r w:rsidR="00BF152A">
          <w:rPr>
            <w:rFonts w:asciiTheme="minorHAnsi" w:eastAsiaTheme="minorEastAsia" w:hAnsiTheme="minorHAnsi" w:cstheme="minorBidi"/>
            <w:noProof/>
            <w:sz w:val="22"/>
            <w:szCs w:val="22"/>
            <w:lang w:val="en-US"/>
          </w:rPr>
          <w:tab/>
        </w:r>
        <w:r w:rsidR="00BF152A" w:rsidRPr="00C73CC1">
          <w:rPr>
            <w:rStyle w:val="Hyperlink"/>
            <w:noProof/>
          </w:rPr>
          <w:t>Contribution des bureaux régionaux de l'UIT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_Toc161662739 \h </w:instrText>
        </w:r>
        <w:r w:rsidR="00BF152A">
          <w:rPr>
            <w:noProof/>
            <w:webHidden/>
          </w:rPr>
        </w:r>
        <w:r w:rsidR="00BF152A">
          <w:rPr>
            <w:noProof/>
            <w:webHidden/>
          </w:rPr>
          <w:fldChar w:fldCharType="separate"/>
        </w:r>
        <w:r w:rsidR="00BF152A">
          <w:rPr>
            <w:noProof/>
            <w:webHidden/>
          </w:rPr>
          <w:t>10</w:t>
        </w:r>
        <w:r w:rsidR="00BF152A">
          <w:rPr>
            <w:noProof/>
            <w:webHidden/>
          </w:rPr>
          <w:fldChar w:fldCharType="end"/>
        </w:r>
      </w:hyperlink>
    </w:p>
    <w:p w14:paraId="6587A25B" w14:textId="245943B6" w:rsidR="00BF152A" w:rsidRDefault="0067192B">
      <w:pPr>
        <w:pStyle w:val="TOC1"/>
        <w:rPr>
          <w:rFonts w:asciiTheme="minorHAnsi" w:eastAsiaTheme="minorEastAsia" w:hAnsiTheme="minorHAnsi" w:cstheme="minorBidi"/>
          <w:noProof/>
          <w:sz w:val="22"/>
          <w:szCs w:val="22"/>
          <w:lang w:val="en-US"/>
        </w:rPr>
      </w:pPr>
      <w:hyperlink w:anchor="_Toc161662740" w:history="1">
        <w:r w:rsidR="00BF152A" w:rsidRPr="00C73CC1">
          <w:rPr>
            <w:rStyle w:val="Hyperlink"/>
            <w:noProof/>
          </w:rPr>
          <w:t>20</w:t>
        </w:r>
        <w:r w:rsidR="00BF152A">
          <w:rPr>
            <w:rFonts w:asciiTheme="minorHAnsi" w:eastAsiaTheme="minorEastAsia" w:hAnsiTheme="minorHAnsi" w:cstheme="minorBidi"/>
            <w:noProof/>
            <w:sz w:val="22"/>
            <w:szCs w:val="22"/>
            <w:lang w:val="en-US"/>
          </w:rPr>
          <w:tab/>
        </w:r>
        <w:r w:rsidR="00BF152A" w:rsidRPr="00C73CC1">
          <w:rPr>
            <w:rStyle w:val="Hyperlink"/>
            <w:noProof/>
          </w:rPr>
          <w:t>Coordination avec la Collaboration CITS</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_Toc161662740 \h </w:instrText>
        </w:r>
        <w:r w:rsidR="00BF152A">
          <w:rPr>
            <w:noProof/>
            <w:webHidden/>
          </w:rPr>
        </w:r>
        <w:r w:rsidR="00BF152A">
          <w:rPr>
            <w:noProof/>
            <w:webHidden/>
          </w:rPr>
          <w:fldChar w:fldCharType="separate"/>
        </w:r>
        <w:r w:rsidR="00BF152A">
          <w:rPr>
            <w:noProof/>
            <w:webHidden/>
          </w:rPr>
          <w:t>10</w:t>
        </w:r>
        <w:r w:rsidR="00BF152A">
          <w:rPr>
            <w:noProof/>
            <w:webHidden/>
          </w:rPr>
          <w:fldChar w:fldCharType="end"/>
        </w:r>
      </w:hyperlink>
    </w:p>
    <w:p w14:paraId="1F6C6B5B" w14:textId="0F875E3C" w:rsidR="00BF152A" w:rsidRDefault="0067192B">
      <w:pPr>
        <w:pStyle w:val="TOC1"/>
        <w:rPr>
          <w:rFonts w:asciiTheme="minorHAnsi" w:eastAsiaTheme="minorEastAsia" w:hAnsiTheme="minorHAnsi" w:cstheme="minorBidi"/>
          <w:noProof/>
          <w:sz w:val="22"/>
          <w:szCs w:val="22"/>
          <w:lang w:val="en-US"/>
        </w:rPr>
      </w:pPr>
      <w:hyperlink w:anchor="_Toc161662741" w:history="1">
        <w:r w:rsidR="00BF152A" w:rsidRPr="00C73CC1">
          <w:rPr>
            <w:rStyle w:val="Hyperlink"/>
            <w:noProof/>
          </w:rPr>
          <w:t>21</w:t>
        </w:r>
        <w:r w:rsidR="00BF152A">
          <w:rPr>
            <w:rFonts w:asciiTheme="minorHAnsi" w:eastAsiaTheme="minorEastAsia" w:hAnsiTheme="minorHAnsi" w:cstheme="minorBidi"/>
            <w:noProof/>
            <w:sz w:val="22"/>
            <w:szCs w:val="22"/>
            <w:lang w:val="en-US"/>
          </w:rPr>
          <w:tab/>
        </w:r>
        <w:r w:rsidR="00BF152A" w:rsidRPr="00C73CC1">
          <w:rPr>
            <w:rStyle w:val="Hyperlink"/>
            <w:noProof/>
          </w:rPr>
          <w:t>Résultats des activités des Groupes de travail du GCNT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_Toc161662741 \h </w:instrText>
        </w:r>
        <w:r w:rsidR="00BF152A">
          <w:rPr>
            <w:noProof/>
            <w:webHidden/>
          </w:rPr>
        </w:r>
        <w:r w:rsidR="00BF152A">
          <w:rPr>
            <w:noProof/>
            <w:webHidden/>
          </w:rPr>
          <w:fldChar w:fldCharType="separate"/>
        </w:r>
        <w:r w:rsidR="00BF152A">
          <w:rPr>
            <w:noProof/>
            <w:webHidden/>
          </w:rPr>
          <w:t>11</w:t>
        </w:r>
        <w:r w:rsidR="00BF152A">
          <w:rPr>
            <w:noProof/>
            <w:webHidden/>
          </w:rPr>
          <w:fldChar w:fldCharType="end"/>
        </w:r>
      </w:hyperlink>
    </w:p>
    <w:p w14:paraId="1D5F43EC" w14:textId="5736D15A" w:rsidR="00BF152A" w:rsidRDefault="0067192B" w:rsidP="00A569F5">
      <w:pPr>
        <w:pStyle w:val="TOC2"/>
        <w:spacing w:before="60"/>
        <w:rPr>
          <w:rFonts w:asciiTheme="minorHAnsi" w:eastAsiaTheme="minorEastAsia" w:hAnsiTheme="minorHAnsi" w:cstheme="minorBidi"/>
          <w:noProof/>
          <w:sz w:val="22"/>
          <w:szCs w:val="22"/>
          <w:lang w:val="en-US"/>
        </w:rPr>
      </w:pPr>
      <w:hyperlink w:anchor="_Toc161662742" w:history="1">
        <w:r w:rsidR="00BF152A" w:rsidRPr="00C73CC1">
          <w:rPr>
            <w:rStyle w:val="Hyperlink"/>
            <w:noProof/>
          </w:rPr>
          <w:t>21.1</w:t>
        </w:r>
        <w:r w:rsidR="00BF152A">
          <w:rPr>
            <w:rFonts w:asciiTheme="minorHAnsi" w:eastAsiaTheme="minorEastAsia" w:hAnsiTheme="minorHAnsi" w:cstheme="minorBidi"/>
            <w:noProof/>
            <w:sz w:val="22"/>
            <w:szCs w:val="22"/>
            <w:lang w:val="en-US"/>
          </w:rPr>
          <w:tab/>
        </w:r>
        <w:r w:rsidR="00BF152A" w:rsidRPr="00C73CC1">
          <w:rPr>
            <w:rStyle w:val="Hyperlink"/>
            <w:noProof/>
          </w:rPr>
          <w:t>Groupe de travail 1 du GCNT – "Méthodes de travail et travaux préparatoires connexes en vue de l'AMNT"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_Toc161662742 \h </w:instrText>
        </w:r>
        <w:r w:rsidR="00BF152A">
          <w:rPr>
            <w:noProof/>
            <w:webHidden/>
          </w:rPr>
        </w:r>
        <w:r w:rsidR="00BF152A">
          <w:rPr>
            <w:noProof/>
            <w:webHidden/>
          </w:rPr>
          <w:fldChar w:fldCharType="separate"/>
        </w:r>
        <w:r w:rsidR="00BF152A">
          <w:rPr>
            <w:noProof/>
            <w:webHidden/>
          </w:rPr>
          <w:t>11</w:t>
        </w:r>
        <w:r w:rsidR="00BF152A">
          <w:rPr>
            <w:noProof/>
            <w:webHidden/>
          </w:rPr>
          <w:fldChar w:fldCharType="end"/>
        </w:r>
      </w:hyperlink>
    </w:p>
    <w:p w14:paraId="6ABD819C" w14:textId="6D0A5451" w:rsidR="00BF152A" w:rsidRDefault="0067192B" w:rsidP="00A569F5">
      <w:pPr>
        <w:pStyle w:val="TOC2"/>
        <w:spacing w:before="60"/>
        <w:rPr>
          <w:rFonts w:asciiTheme="minorHAnsi" w:eastAsiaTheme="minorEastAsia" w:hAnsiTheme="minorHAnsi" w:cstheme="minorBidi"/>
          <w:noProof/>
          <w:sz w:val="22"/>
          <w:szCs w:val="22"/>
          <w:lang w:val="en-US"/>
        </w:rPr>
      </w:pPr>
      <w:hyperlink w:anchor="_Toc161662743" w:history="1">
        <w:r w:rsidR="00BF152A" w:rsidRPr="00C73CC1">
          <w:rPr>
            <w:rStyle w:val="Hyperlink"/>
            <w:noProof/>
          </w:rPr>
          <w:t>21.2</w:t>
        </w:r>
        <w:r w:rsidR="00BF152A">
          <w:rPr>
            <w:rFonts w:asciiTheme="minorHAnsi" w:eastAsiaTheme="minorEastAsia" w:hAnsiTheme="minorHAnsi" w:cstheme="minorBidi"/>
            <w:noProof/>
            <w:sz w:val="22"/>
            <w:szCs w:val="22"/>
            <w:lang w:val="en-US"/>
          </w:rPr>
          <w:tab/>
        </w:r>
        <w:r w:rsidR="00BF152A" w:rsidRPr="00C73CC1">
          <w:rPr>
            <w:rStyle w:val="Hyperlink"/>
            <w:noProof/>
          </w:rPr>
          <w:t>Groupe de travail 2 du GCNT – "Participation du secteur privé, programme de travail, restructuration"</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_Toc161662743 \h </w:instrText>
        </w:r>
        <w:r w:rsidR="00BF152A">
          <w:rPr>
            <w:noProof/>
            <w:webHidden/>
          </w:rPr>
        </w:r>
        <w:r w:rsidR="00BF152A">
          <w:rPr>
            <w:noProof/>
            <w:webHidden/>
          </w:rPr>
          <w:fldChar w:fldCharType="separate"/>
        </w:r>
        <w:r w:rsidR="00BF152A">
          <w:rPr>
            <w:noProof/>
            <w:webHidden/>
          </w:rPr>
          <w:t>13</w:t>
        </w:r>
        <w:r w:rsidR="00BF152A">
          <w:rPr>
            <w:noProof/>
            <w:webHidden/>
          </w:rPr>
          <w:fldChar w:fldCharType="end"/>
        </w:r>
      </w:hyperlink>
    </w:p>
    <w:p w14:paraId="03222574" w14:textId="40519379" w:rsidR="00BF152A" w:rsidRDefault="0067192B">
      <w:pPr>
        <w:pStyle w:val="TOC1"/>
        <w:rPr>
          <w:rFonts w:asciiTheme="minorHAnsi" w:eastAsiaTheme="minorEastAsia" w:hAnsiTheme="minorHAnsi" w:cstheme="minorBidi"/>
          <w:noProof/>
          <w:sz w:val="22"/>
          <w:szCs w:val="22"/>
          <w:lang w:val="en-US"/>
        </w:rPr>
      </w:pPr>
      <w:hyperlink w:anchor="_Toc161662744" w:history="1">
        <w:r w:rsidR="00BF152A" w:rsidRPr="00C73CC1">
          <w:rPr>
            <w:rStyle w:val="Hyperlink"/>
            <w:noProof/>
          </w:rPr>
          <w:t>22</w:t>
        </w:r>
        <w:r w:rsidR="00BF152A">
          <w:rPr>
            <w:rFonts w:asciiTheme="minorHAnsi" w:eastAsiaTheme="minorEastAsia" w:hAnsiTheme="minorHAnsi" w:cstheme="minorBidi"/>
            <w:noProof/>
            <w:sz w:val="22"/>
            <w:szCs w:val="22"/>
            <w:lang w:val="en-US"/>
          </w:rPr>
          <w:tab/>
        </w:r>
        <w:r w:rsidR="00BF152A" w:rsidRPr="00C73CC1">
          <w:rPr>
            <w:rStyle w:val="Hyperlink"/>
            <w:noProof/>
          </w:rPr>
          <w:t>Calendrier des réunions de l'UIT-T et date de la prochaine réunion du GCNT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_Toc161662744 \h </w:instrText>
        </w:r>
        <w:r w:rsidR="00BF152A">
          <w:rPr>
            <w:noProof/>
            <w:webHidden/>
          </w:rPr>
        </w:r>
        <w:r w:rsidR="00BF152A">
          <w:rPr>
            <w:noProof/>
            <w:webHidden/>
          </w:rPr>
          <w:fldChar w:fldCharType="separate"/>
        </w:r>
        <w:r w:rsidR="00BF152A">
          <w:rPr>
            <w:noProof/>
            <w:webHidden/>
          </w:rPr>
          <w:t>14</w:t>
        </w:r>
        <w:r w:rsidR="00BF152A">
          <w:rPr>
            <w:noProof/>
            <w:webHidden/>
          </w:rPr>
          <w:fldChar w:fldCharType="end"/>
        </w:r>
      </w:hyperlink>
    </w:p>
    <w:p w14:paraId="50037635" w14:textId="1493601A" w:rsidR="00BF152A" w:rsidRDefault="0067192B">
      <w:pPr>
        <w:pStyle w:val="TOC1"/>
        <w:rPr>
          <w:rFonts w:asciiTheme="minorHAnsi" w:eastAsiaTheme="minorEastAsia" w:hAnsiTheme="minorHAnsi" w:cstheme="minorBidi"/>
          <w:noProof/>
          <w:sz w:val="22"/>
          <w:szCs w:val="22"/>
          <w:lang w:val="en-US"/>
        </w:rPr>
      </w:pPr>
      <w:hyperlink w:anchor="_Toc161662745" w:history="1">
        <w:r w:rsidR="00BF152A" w:rsidRPr="00C73CC1">
          <w:rPr>
            <w:rStyle w:val="Hyperlink"/>
            <w:noProof/>
          </w:rPr>
          <w:t>23</w:t>
        </w:r>
        <w:r w:rsidR="00BF152A">
          <w:rPr>
            <w:rFonts w:asciiTheme="minorHAnsi" w:eastAsiaTheme="minorEastAsia" w:hAnsiTheme="minorHAnsi" w:cstheme="minorBidi"/>
            <w:noProof/>
            <w:sz w:val="22"/>
            <w:szCs w:val="22"/>
            <w:lang w:val="en-US"/>
          </w:rPr>
          <w:tab/>
        </w:r>
        <w:r w:rsidR="00BF152A" w:rsidRPr="00C73CC1">
          <w:rPr>
            <w:rStyle w:val="Hyperlink"/>
            <w:noProof/>
          </w:rPr>
          <w:t>Divers</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_Toc161662745 \h </w:instrText>
        </w:r>
        <w:r w:rsidR="00BF152A">
          <w:rPr>
            <w:noProof/>
            <w:webHidden/>
          </w:rPr>
        </w:r>
        <w:r w:rsidR="00BF152A">
          <w:rPr>
            <w:noProof/>
            <w:webHidden/>
          </w:rPr>
          <w:fldChar w:fldCharType="separate"/>
        </w:r>
        <w:r w:rsidR="00BF152A">
          <w:rPr>
            <w:noProof/>
            <w:webHidden/>
          </w:rPr>
          <w:t>15</w:t>
        </w:r>
        <w:r w:rsidR="00BF152A">
          <w:rPr>
            <w:noProof/>
            <w:webHidden/>
          </w:rPr>
          <w:fldChar w:fldCharType="end"/>
        </w:r>
      </w:hyperlink>
    </w:p>
    <w:p w14:paraId="2FDAA965" w14:textId="74DA826F" w:rsidR="00BF152A" w:rsidRDefault="0067192B">
      <w:pPr>
        <w:pStyle w:val="TOC1"/>
        <w:rPr>
          <w:rFonts w:asciiTheme="minorHAnsi" w:eastAsiaTheme="minorEastAsia" w:hAnsiTheme="minorHAnsi" w:cstheme="minorBidi"/>
          <w:noProof/>
          <w:sz w:val="22"/>
          <w:szCs w:val="22"/>
          <w:lang w:val="en-US"/>
        </w:rPr>
      </w:pPr>
      <w:hyperlink w:anchor="_Toc161662746" w:history="1">
        <w:r w:rsidR="00BF152A" w:rsidRPr="00C73CC1">
          <w:rPr>
            <w:rStyle w:val="Hyperlink"/>
            <w:noProof/>
          </w:rPr>
          <w:t>24</w:t>
        </w:r>
        <w:r w:rsidR="00BF152A">
          <w:rPr>
            <w:rFonts w:asciiTheme="minorHAnsi" w:eastAsiaTheme="minorEastAsia" w:hAnsiTheme="minorHAnsi" w:cstheme="minorBidi"/>
            <w:noProof/>
            <w:sz w:val="22"/>
            <w:szCs w:val="22"/>
            <w:lang w:val="en-US"/>
          </w:rPr>
          <w:tab/>
        </w:r>
        <w:r w:rsidR="00BF152A" w:rsidRPr="00C73CC1">
          <w:rPr>
            <w:rStyle w:val="Hyperlink"/>
            <w:noProof/>
          </w:rPr>
          <w:t>Examen du projet de rapport de la réunion</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_Toc161662746 \h </w:instrText>
        </w:r>
        <w:r w:rsidR="00BF152A">
          <w:rPr>
            <w:noProof/>
            <w:webHidden/>
          </w:rPr>
        </w:r>
        <w:r w:rsidR="00BF152A">
          <w:rPr>
            <w:noProof/>
            <w:webHidden/>
          </w:rPr>
          <w:fldChar w:fldCharType="separate"/>
        </w:r>
        <w:r w:rsidR="00BF152A">
          <w:rPr>
            <w:noProof/>
            <w:webHidden/>
          </w:rPr>
          <w:t>15</w:t>
        </w:r>
        <w:r w:rsidR="00BF152A">
          <w:rPr>
            <w:noProof/>
            <w:webHidden/>
          </w:rPr>
          <w:fldChar w:fldCharType="end"/>
        </w:r>
      </w:hyperlink>
    </w:p>
    <w:p w14:paraId="72A165E0" w14:textId="7DCAD6FA" w:rsidR="00BF152A" w:rsidRDefault="0067192B">
      <w:pPr>
        <w:pStyle w:val="TOC1"/>
        <w:rPr>
          <w:rFonts w:asciiTheme="minorHAnsi" w:eastAsiaTheme="minorEastAsia" w:hAnsiTheme="minorHAnsi" w:cstheme="minorBidi"/>
          <w:noProof/>
          <w:sz w:val="22"/>
          <w:szCs w:val="22"/>
          <w:lang w:val="en-US"/>
        </w:rPr>
      </w:pPr>
      <w:hyperlink w:anchor="_Toc161662747" w:history="1">
        <w:r w:rsidR="00BF152A" w:rsidRPr="00C73CC1">
          <w:rPr>
            <w:rStyle w:val="Hyperlink"/>
            <w:noProof/>
          </w:rPr>
          <w:t>25</w:t>
        </w:r>
        <w:r w:rsidR="00BF152A">
          <w:rPr>
            <w:rFonts w:asciiTheme="minorHAnsi" w:eastAsiaTheme="minorEastAsia" w:hAnsiTheme="minorHAnsi" w:cstheme="minorBidi"/>
            <w:noProof/>
            <w:sz w:val="22"/>
            <w:szCs w:val="22"/>
            <w:lang w:val="en-US"/>
          </w:rPr>
          <w:tab/>
        </w:r>
        <w:r w:rsidR="00BF152A" w:rsidRPr="00C73CC1">
          <w:rPr>
            <w:rStyle w:val="Hyperlink"/>
            <w:noProof/>
          </w:rPr>
          <w:t>Clôture de la réunion</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_Toc161662747 \h </w:instrText>
        </w:r>
        <w:r w:rsidR="00BF152A">
          <w:rPr>
            <w:noProof/>
            <w:webHidden/>
          </w:rPr>
        </w:r>
        <w:r w:rsidR="00BF152A">
          <w:rPr>
            <w:noProof/>
            <w:webHidden/>
          </w:rPr>
          <w:fldChar w:fldCharType="separate"/>
        </w:r>
        <w:r w:rsidR="00BF152A">
          <w:rPr>
            <w:noProof/>
            <w:webHidden/>
          </w:rPr>
          <w:t>16</w:t>
        </w:r>
        <w:r w:rsidR="00BF152A">
          <w:rPr>
            <w:noProof/>
            <w:webHidden/>
          </w:rPr>
          <w:fldChar w:fldCharType="end"/>
        </w:r>
      </w:hyperlink>
    </w:p>
    <w:p w14:paraId="34CE2894" w14:textId="69A6425C" w:rsidR="00BF152A" w:rsidRDefault="0067192B">
      <w:pPr>
        <w:pStyle w:val="TOC1"/>
        <w:rPr>
          <w:rFonts w:asciiTheme="minorHAnsi" w:eastAsiaTheme="minorEastAsia" w:hAnsiTheme="minorHAnsi" w:cstheme="minorBidi"/>
          <w:noProof/>
          <w:sz w:val="22"/>
          <w:szCs w:val="22"/>
          <w:lang w:val="en-US"/>
        </w:rPr>
      </w:pPr>
      <w:hyperlink w:anchor="_Toc161662748" w:history="1">
        <w:r w:rsidR="00BF152A" w:rsidRPr="00C73CC1">
          <w:rPr>
            <w:rStyle w:val="Hyperlink"/>
            <w:noProof/>
          </w:rPr>
          <w:t>Annexe A: Décisions relatives aux Recommandations (GCNT, janvier 2024)</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_Toc161662748 \h </w:instrText>
        </w:r>
        <w:r w:rsidR="00BF152A">
          <w:rPr>
            <w:noProof/>
            <w:webHidden/>
          </w:rPr>
        </w:r>
        <w:r w:rsidR="00BF152A">
          <w:rPr>
            <w:noProof/>
            <w:webHidden/>
          </w:rPr>
          <w:fldChar w:fldCharType="separate"/>
        </w:r>
        <w:r w:rsidR="00BF152A">
          <w:rPr>
            <w:noProof/>
            <w:webHidden/>
          </w:rPr>
          <w:t>17</w:t>
        </w:r>
        <w:r w:rsidR="00BF152A">
          <w:rPr>
            <w:noProof/>
            <w:webHidden/>
          </w:rPr>
          <w:fldChar w:fldCharType="end"/>
        </w:r>
      </w:hyperlink>
    </w:p>
    <w:p w14:paraId="63F78650" w14:textId="2A4CA1E8" w:rsidR="00BF152A" w:rsidRDefault="0067192B">
      <w:pPr>
        <w:pStyle w:val="TOC1"/>
        <w:rPr>
          <w:rFonts w:asciiTheme="minorHAnsi" w:eastAsiaTheme="minorEastAsia" w:hAnsiTheme="minorHAnsi" w:cstheme="minorBidi"/>
          <w:noProof/>
          <w:sz w:val="22"/>
          <w:szCs w:val="22"/>
          <w:lang w:val="en-US"/>
        </w:rPr>
      </w:pPr>
      <w:hyperlink w:anchor="_Toc161662749" w:history="1">
        <w:r w:rsidR="00BF152A" w:rsidRPr="00C73CC1">
          <w:rPr>
            <w:rStyle w:val="Hyperlink"/>
            <w:noProof/>
          </w:rPr>
          <w:t>Annexe B: Calendrier provisoire des réunions des Groupes du Rapporteur</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_Toc161662749 \h </w:instrText>
        </w:r>
        <w:r w:rsidR="00BF152A">
          <w:rPr>
            <w:noProof/>
            <w:webHidden/>
          </w:rPr>
        </w:r>
        <w:r w:rsidR="00BF152A">
          <w:rPr>
            <w:noProof/>
            <w:webHidden/>
          </w:rPr>
          <w:fldChar w:fldCharType="separate"/>
        </w:r>
        <w:r w:rsidR="00BF152A">
          <w:rPr>
            <w:noProof/>
            <w:webHidden/>
          </w:rPr>
          <w:t>18</w:t>
        </w:r>
        <w:r w:rsidR="00BF152A">
          <w:rPr>
            <w:noProof/>
            <w:webHidden/>
          </w:rPr>
          <w:fldChar w:fldCharType="end"/>
        </w:r>
      </w:hyperlink>
    </w:p>
    <w:p w14:paraId="29E88F05" w14:textId="58EC1CFE" w:rsidR="00BF152A" w:rsidRDefault="0067192B">
      <w:pPr>
        <w:pStyle w:val="TOC1"/>
        <w:rPr>
          <w:rFonts w:asciiTheme="minorHAnsi" w:eastAsiaTheme="minorEastAsia" w:hAnsiTheme="minorHAnsi" w:cstheme="minorBidi"/>
          <w:noProof/>
          <w:sz w:val="22"/>
          <w:szCs w:val="22"/>
          <w:lang w:val="en-US"/>
        </w:rPr>
      </w:pPr>
      <w:hyperlink w:anchor="_Toc161662750" w:history="1">
        <w:r w:rsidR="00BF152A" w:rsidRPr="00C73CC1">
          <w:rPr>
            <w:rStyle w:val="Hyperlink"/>
            <w:noProof/>
          </w:rPr>
          <w:t>Annexe C: Notes de liaisons envoyées</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_Toc161662750 \h </w:instrText>
        </w:r>
        <w:r w:rsidR="00BF152A">
          <w:rPr>
            <w:noProof/>
            <w:webHidden/>
          </w:rPr>
        </w:r>
        <w:r w:rsidR="00BF152A">
          <w:rPr>
            <w:noProof/>
            <w:webHidden/>
          </w:rPr>
          <w:fldChar w:fldCharType="separate"/>
        </w:r>
        <w:r w:rsidR="00BF152A">
          <w:rPr>
            <w:noProof/>
            <w:webHidden/>
          </w:rPr>
          <w:t>20</w:t>
        </w:r>
        <w:r w:rsidR="00BF152A">
          <w:rPr>
            <w:noProof/>
            <w:webHidden/>
          </w:rPr>
          <w:fldChar w:fldCharType="end"/>
        </w:r>
      </w:hyperlink>
    </w:p>
    <w:p w14:paraId="59C37221" w14:textId="752122B3" w:rsidR="00BF152A" w:rsidRDefault="0067192B">
      <w:pPr>
        <w:pStyle w:val="TOC1"/>
        <w:rPr>
          <w:rFonts w:asciiTheme="minorHAnsi" w:eastAsiaTheme="minorEastAsia" w:hAnsiTheme="minorHAnsi" w:cstheme="minorBidi"/>
          <w:noProof/>
          <w:sz w:val="22"/>
          <w:szCs w:val="22"/>
          <w:lang w:val="en-US"/>
        </w:rPr>
      </w:pPr>
      <w:hyperlink w:anchor="_Toc161662751" w:history="1">
        <w:r w:rsidR="00BF152A" w:rsidRPr="00C73CC1">
          <w:rPr>
            <w:rStyle w:val="Hyperlink"/>
            <w:noProof/>
          </w:rPr>
          <w:t>Annexe D: Sujets d'étude relevant du GNCT</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_Toc161662751 \h </w:instrText>
        </w:r>
        <w:r w:rsidR="00BF152A">
          <w:rPr>
            <w:noProof/>
            <w:webHidden/>
          </w:rPr>
        </w:r>
        <w:r w:rsidR="00BF152A">
          <w:rPr>
            <w:noProof/>
            <w:webHidden/>
          </w:rPr>
          <w:fldChar w:fldCharType="separate"/>
        </w:r>
        <w:r w:rsidR="00BF152A">
          <w:rPr>
            <w:noProof/>
            <w:webHidden/>
          </w:rPr>
          <w:t>21</w:t>
        </w:r>
        <w:r w:rsidR="00BF152A">
          <w:rPr>
            <w:noProof/>
            <w:webHidden/>
          </w:rPr>
          <w:fldChar w:fldCharType="end"/>
        </w:r>
      </w:hyperlink>
    </w:p>
    <w:p w14:paraId="39FE487C" w14:textId="133D127C" w:rsidR="00BF152A" w:rsidRDefault="0067192B">
      <w:pPr>
        <w:pStyle w:val="TOC1"/>
        <w:rPr>
          <w:rFonts w:asciiTheme="minorHAnsi" w:eastAsiaTheme="minorEastAsia" w:hAnsiTheme="minorHAnsi" w:cstheme="minorBidi"/>
          <w:noProof/>
          <w:sz w:val="22"/>
          <w:szCs w:val="22"/>
          <w:lang w:val="en-US"/>
        </w:rPr>
      </w:pPr>
      <w:hyperlink w:anchor="_Toc161662752" w:history="1">
        <w:r w:rsidR="00BF152A" w:rsidRPr="00C73CC1">
          <w:rPr>
            <w:rStyle w:val="Hyperlink"/>
            <w:noProof/>
          </w:rPr>
          <w:t>Annexe E: Mandat du Groupe du Rapporteur sur la planification stratégique  et la planification opérationnelle (RG-SOP)</w:t>
        </w:r>
        <w:r w:rsidR="00BF152A">
          <w:rPr>
            <w:noProof/>
            <w:webHidden/>
          </w:rPr>
          <w:tab/>
        </w:r>
        <w:r w:rsidR="00BF152A">
          <w:rPr>
            <w:noProof/>
            <w:webHidden/>
          </w:rPr>
          <w:tab/>
        </w:r>
        <w:r w:rsidR="00BF152A">
          <w:rPr>
            <w:noProof/>
            <w:webHidden/>
          </w:rPr>
          <w:fldChar w:fldCharType="begin"/>
        </w:r>
        <w:r w:rsidR="00BF152A">
          <w:rPr>
            <w:noProof/>
            <w:webHidden/>
          </w:rPr>
          <w:instrText xml:space="preserve"> PAGEREF _Toc161662752 \h </w:instrText>
        </w:r>
        <w:r w:rsidR="00BF152A">
          <w:rPr>
            <w:noProof/>
            <w:webHidden/>
          </w:rPr>
        </w:r>
        <w:r w:rsidR="00BF152A">
          <w:rPr>
            <w:noProof/>
            <w:webHidden/>
          </w:rPr>
          <w:fldChar w:fldCharType="separate"/>
        </w:r>
        <w:r w:rsidR="00BF152A">
          <w:rPr>
            <w:noProof/>
            <w:webHidden/>
          </w:rPr>
          <w:t>26</w:t>
        </w:r>
        <w:r w:rsidR="00BF152A">
          <w:rPr>
            <w:noProof/>
            <w:webHidden/>
          </w:rPr>
          <w:fldChar w:fldCharType="end"/>
        </w:r>
      </w:hyperlink>
    </w:p>
    <w:p w14:paraId="07A30980" w14:textId="28FAD06D" w:rsidR="003F649C" w:rsidRPr="00124CC0" w:rsidRDefault="00954C59" w:rsidP="00BF152A">
      <w:r>
        <w:fldChar w:fldCharType="end"/>
      </w:r>
      <w:r w:rsidR="003F649C" w:rsidRPr="00124CC0">
        <w:br w:type="page"/>
      </w:r>
    </w:p>
    <w:p w14:paraId="290A322B" w14:textId="7BC3C677" w:rsidR="003F649C" w:rsidRPr="00124CC0" w:rsidRDefault="003F649C" w:rsidP="003F649C">
      <w:pPr>
        <w:pStyle w:val="Heading1"/>
      </w:pPr>
      <w:bookmarkStart w:id="9" w:name="_Toc161662718"/>
      <w:r w:rsidRPr="00124CC0">
        <w:lastRenderedPageBreak/>
        <w:t>1</w:t>
      </w:r>
      <w:r w:rsidRPr="00124CC0">
        <w:tab/>
        <w:t>Informations générales et ouverture de la réunion par le Président du GCNT</w:t>
      </w:r>
      <w:bookmarkEnd w:id="9"/>
    </w:p>
    <w:p w14:paraId="20A1B353" w14:textId="0C484FC1" w:rsidR="003F649C" w:rsidRPr="00124CC0" w:rsidRDefault="003F649C" w:rsidP="003F649C">
      <w:r w:rsidRPr="00124CC0">
        <w:t xml:space="preserve">Le Président du GCNT, M. Abdurahman M. Al Hassan, Arabie saoudite (Royaume d'), a souhaité la bienvenue aux participants à la troisième réunion du Groupe consultatif de la normalisation des télécommunications (GCNT) pour la période d'études 2022-2024, qui s'est tenue du 22 au 26 janvier 2024 à Genève. M. Al </w:t>
      </w:r>
      <w:r w:rsidR="001B1EA0" w:rsidRPr="00124CC0">
        <w:t>HASSAN</w:t>
      </w:r>
      <w:r w:rsidRPr="00124CC0">
        <w:t xml:space="preserve"> était secondé par M. Bilel </w:t>
      </w:r>
      <w:r w:rsidR="001B1EA0" w:rsidRPr="00124CC0">
        <w:t>JAMOUSSI</w:t>
      </w:r>
      <w:r w:rsidRPr="00124CC0">
        <w:t xml:space="preserve">, Adjoint au Directeur du TSB, et par M. Hiroshi </w:t>
      </w:r>
      <w:r w:rsidR="001B1EA0" w:rsidRPr="00124CC0">
        <w:t>OTA</w:t>
      </w:r>
      <w:r w:rsidRPr="00124CC0">
        <w:t>, conseiller.</w:t>
      </w:r>
    </w:p>
    <w:p w14:paraId="29010E6E" w14:textId="4BC5EE98" w:rsidR="003F649C" w:rsidRPr="00124CC0" w:rsidRDefault="003F649C" w:rsidP="003F649C">
      <w:r w:rsidRPr="00124CC0">
        <w:t>1.1</w:t>
      </w:r>
      <w:r w:rsidRPr="00124CC0">
        <w:tab/>
        <w:t>Des services d'interprétation dans les six langues officielles de l'UIT ont été assurés lors des séances plénières et des groupes de travail du GCNT tenues les 22 et 26 janvier 2024, tandis que des services de sous-titrage en temps réel</w:t>
      </w:r>
      <w:r w:rsidRPr="00124CC0">
        <w:rPr>
          <w:rStyle w:val="FootnoteReference"/>
        </w:rPr>
        <w:footnoteReference w:id="1"/>
      </w:r>
      <w:r w:rsidRPr="00124CC0">
        <w:t>, de participation à distance via Zoom et de diffusion sur le web</w:t>
      </w:r>
      <w:r w:rsidRPr="00124CC0">
        <w:rPr>
          <w:rStyle w:val="FootnoteReference"/>
        </w:rPr>
        <w:footnoteReference w:id="2"/>
      </w:r>
      <w:r w:rsidRPr="00124CC0">
        <w:t xml:space="preserve"> ont été mis à disposition pour toutes les séances plénières du GCNT et toutes les réunions des Groupes du Rapporteur.</w:t>
      </w:r>
    </w:p>
    <w:p w14:paraId="1654DE2B" w14:textId="4F7A00B4" w:rsidR="003F649C" w:rsidRPr="00124CC0" w:rsidRDefault="003F649C" w:rsidP="003F649C">
      <w:r w:rsidRPr="00124CC0">
        <w:t xml:space="preserve">Au début de la réunion, un avatar a donné lecture de la note contenue dans le Document </w:t>
      </w:r>
      <w:hyperlink r:id="rId10" w:history="1">
        <w:r w:rsidRPr="00124CC0">
          <w:rPr>
            <w:rStyle w:val="Hyperlink"/>
            <w:rFonts w:ascii="Times New Roman" w:hAnsi="Times New Roman"/>
          </w:rPr>
          <w:t>TD308</w:t>
        </w:r>
      </w:hyperlink>
      <w:r w:rsidRPr="00124CC0">
        <w:t>, qui donne des orientations sur l'utilisation de Zoom, de l'outil de discussion publique en ligne et du minuteur. Des informations supplémentaires concernant l'utilisation de Zoom sont disponibles dans le Document </w:t>
      </w:r>
      <w:hyperlink r:id="rId11" w:history="1">
        <w:r w:rsidRPr="00124CC0">
          <w:rPr>
            <w:rStyle w:val="Hyperlink"/>
            <w:rFonts w:ascii="Times New Roman" w:hAnsi="Times New Roman"/>
          </w:rPr>
          <w:t>TD387</w:t>
        </w:r>
      </w:hyperlink>
      <w:r w:rsidRPr="00124CC0">
        <w:t>.</w:t>
      </w:r>
    </w:p>
    <w:p w14:paraId="1679D57B" w14:textId="579B91E0" w:rsidR="003F649C" w:rsidRPr="00124CC0" w:rsidRDefault="003F649C" w:rsidP="003F649C">
      <w:r w:rsidRPr="00124CC0">
        <w:t>1.2</w:t>
      </w:r>
      <w:r w:rsidRPr="00124CC0">
        <w:tab/>
        <w:t>M. AL HASSAN a souhaité la bienvenue à la Secrétaire générale de l'UIT, Mme Doreen BOGDAN-MARTIN, au Vice-Secrétaire général de l'UIT, M. Tomas LAMANAUSKAS, au Directeur du BDT, M. Cosmas ZAVAZAVA, au Directeur du BR, M. Mario MANIEWICZ, et au Directeur du TSB, M. Seizo ONOE.</w:t>
      </w:r>
    </w:p>
    <w:p w14:paraId="063830B8" w14:textId="6374432A" w:rsidR="003F649C" w:rsidRPr="00124CC0" w:rsidRDefault="003F649C" w:rsidP="003F649C">
      <w:r w:rsidRPr="00124CC0">
        <w:t>1.3</w:t>
      </w:r>
      <w:r w:rsidRPr="00124CC0">
        <w:tab/>
        <w:t>Les Vice-Présidents suivants du GCNT ont participé à la réunion: M.</w:t>
      </w:r>
      <w:r w:rsidR="00CC14C4" w:rsidRPr="00124CC0">
        <w:t> </w:t>
      </w:r>
      <w:r w:rsidRPr="00124CC0">
        <w:t>Samuel</w:t>
      </w:r>
      <w:r w:rsidR="00CC14C4" w:rsidRPr="00124CC0">
        <w:t> </w:t>
      </w:r>
      <w:r w:rsidRPr="00124CC0">
        <w:t>AGYEKUM (Ghana), M. Olivier DUBUISSON (France), M. Mihail ION (Roumanie), M. Guy</w:t>
      </w:r>
      <w:r w:rsidRPr="00124CC0">
        <w:noBreakHyphen/>
        <w:t>Michel KOUAKOU (République de Côte d'Ivoire), Mme Fang LI (Chine), Mme Gaëlle MARTIN-COCHER (InterDigital Canada Ltée), M. Victor Manuel MARTINEZ VANEGAS (Mexique) et Mme Miho NAGANUMA (NEC Corporation, Japon). M. Ulugbek AZIMOV (République d'Ouzbékistan) et M. Khalid AL</w:t>
      </w:r>
      <w:r w:rsidRPr="00124CC0">
        <w:noBreakHyphen/>
        <w:t>HMOUD (Royaume hachémite de Jordanie) n'ont pas pris part à la réunion.</w:t>
      </w:r>
    </w:p>
    <w:p w14:paraId="29B5F834" w14:textId="11A57D78" w:rsidR="003F649C" w:rsidRPr="00124CC0" w:rsidRDefault="003F649C" w:rsidP="003F649C">
      <w:r w:rsidRPr="00124CC0">
        <w:t>1.4</w:t>
      </w:r>
      <w:r w:rsidRPr="00124CC0">
        <w:tab/>
        <w:t xml:space="preserve">Une séance de formation a été organisée le 22 janvier 2024 à l'intention des nouveaux délégués au GCNT. Le contenu du dossier d'information pour les nouveaux délégués est présenté dans le Document </w:t>
      </w:r>
      <w:hyperlink r:id="rId12" w:history="1">
        <w:r w:rsidRPr="00124CC0">
          <w:rPr>
            <w:rStyle w:val="Hyperlink"/>
            <w:rFonts w:ascii="Times New Roman" w:hAnsi="Times New Roman"/>
          </w:rPr>
          <w:t>TD419</w:t>
        </w:r>
      </w:hyperlink>
      <w:r w:rsidRPr="00124CC0">
        <w:t>.</w:t>
      </w:r>
    </w:p>
    <w:p w14:paraId="14CB13A7" w14:textId="260E1F31" w:rsidR="003F649C" w:rsidRPr="00124CC0" w:rsidRDefault="003F649C" w:rsidP="003F649C">
      <w:r w:rsidRPr="00124CC0">
        <w:t>1.5</w:t>
      </w:r>
      <w:r w:rsidRPr="00124CC0">
        <w:tab/>
        <w:t>Cette troisième réunion du GCNT s'est tenue en présence de 332 participants (</w:t>
      </w:r>
      <w:r w:rsidR="00F3704D" w:rsidRPr="00124CC0">
        <w:t>213</w:t>
      </w:r>
      <w:r w:rsidRPr="00124CC0">
        <w:t xml:space="preserve"> en présentiel et 119 à distance uniquement) représentant 58 États Membres, </w:t>
      </w:r>
      <w:r w:rsidR="00F3704D" w:rsidRPr="00124CC0">
        <w:t>7</w:t>
      </w:r>
      <w:r w:rsidRPr="00124CC0">
        <w:t xml:space="preserve"> Membres de Secteur (exploitations reconnues – ER), 21 Membres de Secteur (organismes scientifiques ou industriels), </w:t>
      </w:r>
      <w:r w:rsidR="00F3704D" w:rsidRPr="00124CC0">
        <w:t>8 </w:t>
      </w:r>
      <w:r w:rsidRPr="00124CC0">
        <w:t xml:space="preserve">Membres de Secteur (organisations régionales et autres organisations internationales), </w:t>
      </w:r>
      <w:r w:rsidR="00F3704D" w:rsidRPr="00124CC0">
        <w:t>2</w:t>
      </w:r>
      <w:r w:rsidR="00901B12" w:rsidRPr="00124CC0">
        <w:t> </w:t>
      </w:r>
      <w:r w:rsidRPr="00124CC0">
        <w:t xml:space="preserve">Membres de Secteur (autres entités), une organisation régionale, </w:t>
      </w:r>
      <w:r w:rsidR="00F3704D" w:rsidRPr="00124CC0">
        <w:t>9</w:t>
      </w:r>
      <w:r w:rsidRPr="00124CC0">
        <w:t xml:space="preserve"> Missions permanentes, un établissement universitaire, une entité au titre de la Résolution </w:t>
      </w:r>
      <w:r w:rsidRPr="00124CC0">
        <w:rPr>
          <w:b/>
          <w:bCs/>
        </w:rPr>
        <w:t xml:space="preserve">99 </w:t>
      </w:r>
      <w:r w:rsidRPr="00124CC0">
        <w:t xml:space="preserve">de la PP, un expert invité, </w:t>
      </w:r>
      <w:r w:rsidR="00F3704D" w:rsidRPr="00124CC0">
        <w:t>82</w:t>
      </w:r>
      <w:r w:rsidR="00901B12" w:rsidRPr="00124CC0">
        <w:t> </w:t>
      </w:r>
      <w:r w:rsidRPr="00124CC0">
        <w:t xml:space="preserve">fonctionnaires de l'UIT et 5 fonctionnaires élus de l'UIT. Le Document </w:t>
      </w:r>
      <w:hyperlink r:id="rId13" w:history="1">
        <w:r w:rsidRPr="00124CC0">
          <w:rPr>
            <w:rStyle w:val="Hyperlink"/>
            <w:rFonts w:ascii="Times New Roman" w:hAnsi="Times New Roman"/>
          </w:rPr>
          <w:t>TD418</w:t>
        </w:r>
      </w:hyperlink>
      <w:r w:rsidRPr="00124CC0">
        <w:t xml:space="preserve"> contient la liste finale des participants.</w:t>
      </w:r>
    </w:p>
    <w:p w14:paraId="17281D92" w14:textId="2A38F532" w:rsidR="00901B12" w:rsidRPr="00124CC0" w:rsidRDefault="00901B12" w:rsidP="003F649C">
      <w:r w:rsidRPr="00124CC0">
        <w:t>1.5.1</w:t>
      </w:r>
      <w:r w:rsidRPr="00124CC0">
        <w:tab/>
        <w:t>Douze demandes de bourse ont été présentées, onze bourses ont été attribuées et huit ont été utilisées.</w:t>
      </w:r>
    </w:p>
    <w:p w14:paraId="7F23AFA4" w14:textId="77777777" w:rsidR="00901B12" w:rsidRPr="00124CC0" w:rsidRDefault="00901B12" w:rsidP="00901B12">
      <w:pPr>
        <w:keepNext/>
      </w:pPr>
      <w:r w:rsidRPr="00124CC0">
        <w:lastRenderedPageBreak/>
        <w:t>1.6</w:t>
      </w:r>
      <w:r w:rsidRPr="00124CC0">
        <w:tab/>
        <w:t>Compte rendu des ressources utilisées et des bourses octroyées:</w:t>
      </w:r>
    </w:p>
    <w:p w14:paraId="17162E20" w14:textId="4096D5EF" w:rsidR="00901B12" w:rsidRPr="00124CC0" w:rsidRDefault="00901B12" w:rsidP="00901B12">
      <w:pPr>
        <w:pStyle w:val="enumlev1"/>
        <w:keepNext/>
      </w:pPr>
      <w:r w:rsidRPr="00124CC0">
        <w:t>–</w:t>
      </w:r>
      <w:r w:rsidRPr="00124CC0">
        <w:tab/>
        <w:t>Sous-titrage: 3 650 CHF.</w:t>
      </w:r>
    </w:p>
    <w:p w14:paraId="48F44BBB" w14:textId="7599F9AD" w:rsidR="00901B12" w:rsidRPr="00124CC0" w:rsidRDefault="00901B12" w:rsidP="00901B12">
      <w:pPr>
        <w:pStyle w:val="enumlev1"/>
        <w:keepNext/>
      </w:pPr>
      <w:r w:rsidRPr="00124CC0">
        <w:t>–</w:t>
      </w:r>
      <w:r w:rsidRPr="00124CC0">
        <w:tab/>
        <w:t>Interprétation (deux jours): 14 501 CHF.</w:t>
      </w:r>
    </w:p>
    <w:p w14:paraId="1844975F" w14:textId="0A36F1BF" w:rsidR="00901B12" w:rsidRPr="00124CC0" w:rsidRDefault="00901B12" w:rsidP="00901B12">
      <w:pPr>
        <w:pStyle w:val="enumlev1"/>
      </w:pPr>
      <w:r w:rsidRPr="00124CC0">
        <w:t>–</w:t>
      </w:r>
      <w:r w:rsidRPr="00124CC0">
        <w:tab/>
        <w:t>Bourses: 12 demandes reçues, 11 bourses attribuées et 8 utilisées (13 585 CHF).</w:t>
      </w:r>
    </w:p>
    <w:p w14:paraId="3E32560D" w14:textId="77777777" w:rsidR="00901B12" w:rsidRPr="00124CC0" w:rsidRDefault="00901B12" w:rsidP="00901B12">
      <w:r w:rsidRPr="00124CC0">
        <w:t>1.7</w:t>
      </w:r>
      <w:r w:rsidRPr="00124CC0">
        <w:tab/>
        <w:t>Le présent rapport comprend les annexes suivantes:</w:t>
      </w:r>
    </w:p>
    <w:p w14:paraId="2C1C02B2" w14:textId="51169E7B" w:rsidR="00901B12" w:rsidRPr="00124CC0" w:rsidRDefault="00901B12" w:rsidP="00901B12">
      <w:pPr>
        <w:pStyle w:val="enumlev1"/>
      </w:pPr>
      <w:r w:rsidRPr="00124CC0">
        <w:t>–</w:t>
      </w:r>
      <w:r w:rsidRPr="00124CC0">
        <w:tab/>
        <w:t>Annexe A: Décisions relatives aux Recommandations.</w:t>
      </w:r>
    </w:p>
    <w:p w14:paraId="49A03590" w14:textId="6BCAA814" w:rsidR="00901B12" w:rsidRPr="00124CC0" w:rsidRDefault="00901B12" w:rsidP="00901B12">
      <w:pPr>
        <w:pStyle w:val="enumlev1"/>
      </w:pPr>
      <w:r w:rsidRPr="00124CC0">
        <w:t>–</w:t>
      </w:r>
      <w:r w:rsidRPr="00124CC0">
        <w:tab/>
        <w:t>Annexe B: Calendrier provisoire des réunions des Groupes du Rapporteur.</w:t>
      </w:r>
    </w:p>
    <w:p w14:paraId="2233B96B" w14:textId="589EE779" w:rsidR="00901B12" w:rsidRPr="00124CC0" w:rsidRDefault="00901B12" w:rsidP="00901B12">
      <w:pPr>
        <w:pStyle w:val="enumlev1"/>
      </w:pPr>
      <w:r w:rsidRPr="00124CC0">
        <w:t>–</w:t>
      </w:r>
      <w:r w:rsidRPr="00124CC0">
        <w:tab/>
        <w:t>Annexe C: Notes de liaisons envoyées.</w:t>
      </w:r>
    </w:p>
    <w:p w14:paraId="355D0B20" w14:textId="6322EF7C" w:rsidR="00901B12" w:rsidRPr="00124CC0" w:rsidRDefault="00901B12" w:rsidP="00901B12">
      <w:pPr>
        <w:pStyle w:val="enumlev1"/>
      </w:pPr>
      <w:r w:rsidRPr="00124CC0">
        <w:t>–</w:t>
      </w:r>
      <w:r w:rsidRPr="00124CC0">
        <w:tab/>
        <w:t>Annexe D: Sujets d'étude relevant du GNCT.</w:t>
      </w:r>
    </w:p>
    <w:p w14:paraId="78E4D4FF" w14:textId="4E4A62C7" w:rsidR="00901B12" w:rsidRPr="00124CC0" w:rsidRDefault="00901B12" w:rsidP="00901B12">
      <w:pPr>
        <w:pStyle w:val="enumlev1"/>
      </w:pPr>
      <w:r w:rsidRPr="00124CC0">
        <w:t>–</w:t>
      </w:r>
      <w:r w:rsidRPr="00124CC0">
        <w:tab/>
        <w:t>Annexe E: Mandat du Groupe du Rapporteur sur la planification stratégique et la planification opérationnelle (RG-SOP).</w:t>
      </w:r>
    </w:p>
    <w:p w14:paraId="4F036A6C" w14:textId="495AE8F9" w:rsidR="00901B12" w:rsidRPr="00124CC0" w:rsidRDefault="00901B12" w:rsidP="00901B12">
      <w:pPr>
        <w:pStyle w:val="Heading1"/>
      </w:pPr>
      <w:bookmarkStart w:id="10" w:name="_Toc161662719"/>
      <w:r w:rsidRPr="00124CC0">
        <w:t>2</w:t>
      </w:r>
      <w:r w:rsidRPr="00124CC0">
        <w:tab/>
        <w:t>Allocutions d'ouverture</w:t>
      </w:r>
      <w:bookmarkEnd w:id="10"/>
    </w:p>
    <w:p w14:paraId="3FA8778B" w14:textId="1BE90E5D" w:rsidR="00901B12" w:rsidRPr="00124CC0" w:rsidRDefault="00901B12" w:rsidP="00901B12">
      <w:r w:rsidRPr="00124CC0">
        <w:t>2.1</w:t>
      </w:r>
      <w:r w:rsidRPr="00124CC0">
        <w:tab/>
        <w:t xml:space="preserve">La Secrétaire générale de l'UIT, Mme Doreen BOGDAN-MARTIN, a présenté ses remarques liminaires. Son allocution est reproduite dans le Document </w:t>
      </w:r>
      <w:hyperlink r:id="rId14" w:history="1">
        <w:r w:rsidRPr="00124CC0">
          <w:rPr>
            <w:rStyle w:val="Hyperlink"/>
            <w:rFonts w:ascii="Times New Roman" w:hAnsi="Times New Roman"/>
          </w:rPr>
          <w:t>TD324</w:t>
        </w:r>
      </w:hyperlink>
      <w:r w:rsidRPr="00124CC0">
        <w:t>.</w:t>
      </w:r>
    </w:p>
    <w:p w14:paraId="56D8CFF7" w14:textId="1BAA8ED1" w:rsidR="00901B12" w:rsidRPr="00124CC0" w:rsidRDefault="00901B12" w:rsidP="00901B12">
      <w:r w:rsidRPr="00124CC0">
        <w:t>2.2</w:t>
      </w:r>
      <w:r w:rsidRPr="00124CC0">
        <w:tab/>
        <w:t xml:space="preserve">Le Directeur du BR, M. Mario MANIEWICZ, a présenté ses remarques liminaires. Son allocution est reproduite dans le Document </w:t>
      </w:r>
      <w:hyperlink r:id="rId15" w:history="1">
        <w:r w:rsidRPr="00124CC0">
          <w:rPr>
            <w:rStyle w:val="Hyperlink"/>
            <w:rFonts w:ascii="Times New Roman" w:hAnsi="Times New Roman"/>
          </w:rPr>
          <w:t>TD325</w:t>
        </w:r>
      </w:hyperlink>
      <w:r w:rsidRPr="00124CC0">
        <w:t>.</w:t>
      </w:r>
    </w:p>
    <w:p w14:paraId="7935A6DD" w14:textId="36399261" w:rsidR="00901B12" w:rsidRPr="00124CC0" w:rsidRDefault="00901B12" w:rsidP="00901B12">
      <w:r w:rsidRPr="00124CC0">
        <w:t>2.3</w:t>
      </w:r>
      <w:r w:rsidRPr="00124CC0">
        <w:tab/>
        <w:t xml:space="preserve">Le Directeur du BDT, M. Cosmas ZAVAZAVA, a présenté ses remarques liminaires. Son allocution est reproduite dans le Document </w:t>
      </w:r>
      <w:hyperlink r:id="rId16" w:history="1">
        <w:r w:rsidRPr="00124CC0">
          <w:rPr>
            <w:rStyle w:val="Hyperlink"/>
            <w:rFonts w:ascii="Times New Roman" w:hAnsi="Times New Roman"/>
          </w:rPr>
          <w:t>TD412</w:t>
        </w:r>
      </w:hyperlink>
      <w:r w:rsidRPr="00124CC0">
        <w:t>.</w:t>
      </w:r>
    </w:p>
    <w:p w14:paraId="59B15B65" w14:textId="213612BA" w:rsidR="00901B12" w:rsidRPr="00124CC0" w:rsidRDefault="00901B12" w:rsidP="00901B12">
      <w:r w:rsidRPr="00124CC0">
        <w:t>2.4</w:t>
      </w:r>
      <w:r w:rsidRPr="00124CC0">
        <w:tab/>
        <w:t>Le Directeur du TSB, M. Seizo ONOE, a souhaité la bienvenue à tous les délégués à cette troisième réunion du GCNT de la période d'études 2022-2024. Son allocution est reproduite dans le Document </w:t>
      </w:r>
      <w:hyperlink r:id="rId17" w:history="1">
        <w:r w:rsidRPr="00124CC0">
          <w:rPr>
            <w:rStyle w:val="Hyperlink"/>
            <w:rFonts w:ascii="Times New Roman" w:hAnsi="Times New Roman"/>
          </w:rPr>
          <w:t>TD420</w:t>
        </w:r>
      </w:hyperlink>
      <w:r w:rsidRPr="00124CC0">
        <w:t>.</w:t>
      </w:r>
    </w:p>
    <w:p w14:paraId="327921EB" w14:textId="51907CA2" w:rsidR="00901B12" w:rsidRPr="00124CC0" w:rsidRDefault="00901B12" w:rsidP="00901B12">
      <w:r w:rsidRPr="00124CC0">
        <w:t>2.5</w:t>
      </w:r>
      <w:r w:rsidRPr="00124CC0">
        <w:tab/>
        <w:t>Dans ses remarques liminaires, le Président du GCNT a souhaité la bienvenue à tous les participants et les a remerciés pour leur contribution. Il a remercié l'Inde qui accueillera l'AMNT</w:t>
      </w:r>
      <w:r w:rsidRPr="00124CC0">
        <w:noBreakHyphen/>
        <w:t xml:space="preserve">24, assemblée très importante avec de nombreux délégués. Il a évoqué l'importance des discussions tenues en ligne sur la Résolution </w:t>
      </w:r>
      <w:r w:rsidRPr="00124CC0">
        <w:rPr>
          <w:b/>
          <w:bCs/>
        </w:rPr>
        <w:t>99</w:t>
      </w:r>
      <w:r w:rsidRPr="00124CC0">
        <w:t xml:space="preserve"> de l'AMNT relative à la réforme structurelle des commissions d'études. Il a mentionné la proposition relative à la CE 9 et à la CE 16 de l'UIT</w:t>
      </w:r>
      <w:r w:rsidRPr="00124CC0">
        <w:noBreakHyphen/>
        <w:t>T et indiquait qu'il comptait qu'un consensus soit trouvé afin d'établir une structure plus productive et efficace. Enfin, il a insisté sur l'importance de la coordination.</w:t>
      </w:r>
    </w:p>
    <w:p w14:paraId="2F0A2ABE" w14:textId="041D6A98" w:rsidR="00901B12" w:rsidRPr="00124CC0" w:rsidRDefault="00901B12" w:rsidP="00901B12">
      <w:pPr>
        <w:pStyle w:val="Heading1"/>
      </w:pPr>
      <w:bookmarkStart w:id="11" w:name="_Toc161662720"/>
      <w:r w:rsidRPr="00124CC0">
        <w:t>3</w:t>
      </w:r>
      <w:r w:rsidRPr="00124CC0">
        <w:tab/>
        <w:t>Adoption de l'ordre du jour, attribution des documents et programme de gestion du temps</w:t>
      </w:r>
      <w:bookmarkEnd w:id="11"/>
    </w:p>
    <w:p w14:paraId="13AD0B9F" w14:textId="77777777" w:rsidR="00901B12" w:rsidRPr="00124CC0" w:rsidRDefault="00901B12" w:rsidP="00901B12">
      <w:r w:rsidRPr="00124CC0">
        <w:t>3.1</w:t>
      </w:r>
      <w:r w:rsidRPr="00124CC0">
        <w:tab/>
        <w:t>Les participants ont adopté:</w:t>
      </w:r>
    </w:p>
    <w:p w14:paraId="70A39931" w14:textId="7BEA1546" w:rsidR="00901B12" w:rsidRPr="00124CC0" w:rsidRDefault="00901B12" w:rsidP="00901B12">
      <w:pPr>
        <w:pStyle w:val="enumlev1"/>
      </w:pPr>
      <w:r w:rsidRPr="00124CC0">
        <w:t>–</w:t>
      </w:r>
      <w:r w:rsidRPr="00124CC0">
        <w:tab/>
        <w:t>l'ordre du jour, la répartition des documents et le programme de travail (Document </w:t>
      </w:r>
      <w:hyperlink r:id="rId18" w:history="1">
        <w:r w:rsidRPr="00124CC0">
          <w:rPr>
            <w:rStyle w:val="Hyperlink"/>
            <w:rFonts w:ascii="Times New Roman" w:hAnsi="Times New Roman"/>
          </w:rPr>
          <w:t>TD304R1</w:t>
        </w:r>
      </w:hyperlink>
      <w:r w:rsidRPr="00124CC0">
        <w:t>)</w:t>
      </w:r>
      <w:r w:rsidR="00506097" w:rsidRPr="00124CC0">
        <w:t>;</w:t>
      </w:r>
    </w:p>
    <w:p w14:paraId="4F38E31D" w14:textId="1FA71D7F" w:rsidR="00901B12" w:rsidRPr="00124CC0" w:rsidRDefault="00901B12" w:rsidP="00901B12">
      <w:pPr>
        <w:pStyle w:val="enumlev1"/>
      </w:pPr>
      <w:r w:rsidRPr="00124CC0">
        <w:t>–</w:t>
      </w:r>
      <w:r w:rsidRPr="00124CC0">
        <w:tab/>
        <w:t xml:space="preserve">le programme de gestion du temps (Document </w:t>
      </w:r>
      <w:hyperlink r:id="rId19" w:history="1">
        <w:r w:rsidRPr="00124CC0">
          <w:rPr>
            <w:rStyle w:val="Hyperlink"/>
            <w:rFonts w:ascii="Times New Roman" w:hAnsi="Times New Roman"/>
          </w:rPr>
          <w:t>TD303R1</w:t>
        </w:r>
      </w:hyperlink>
      <w:r w:rsidRPr="00124CC0">
        <w:t>).</w:t>
      </w:r>
    </w:p>
    <w:p w14:paraId="778EFA5E" w14:textId="09D46082" w:rsidR="00901B12" w:rsidRPr="00124CC0" w:rsidRDefault="00901B12" w:rsidP="00901B12">
      <w:r w:rsidRPr="00124CC0">
        <w:t>Les participants ont pris note de la vue d'ensemble des ordres du jour et des rapports figurant dans le Document </w:t>
      </w:r>
      <w:hyperlink r:id="rId20" w:history="1">
        <w:r w:rsidRPr="00124CC0">
          <w:rPr>
            <w:rStyle w:val="Hyperlink"/>
            <w:rFonts w:ascii="Times New Roman" w:hAnsi="Times New Roman"/>
          </w:rPr>
          <w:t>TD307</w:t>
        </w:r>
      </w:hyperlink>
      <w:r w:rsidRPr="00124CC0">
        <w:t>.</w:t>
      </w:r>
    </w:p>
    <w:p w14:paraId="33871B11" w14:textId="07038C2D" w:rsidR="00901B12" w:rsidRPr="00124CC0" w:rsidRDefault="00901B12" w:rsidP="00901B12">
      <w:r w:rsidRPr="00124CC0">
        <w:t>3.2</w:t>
      </w:r>
      <w:r w:rsidRPr="00124CC0">
        <w:tab/>
        <w:t xml:space="preserve">Le GCNT a adopté le projet d'ordre du jour figurant dans le Document </w:t>
      </w:r>
      <w:hyperlink r:id="rId21" w:history="1">
        <w:r w:rsidRPr="00124CC0">
          <w:rPr>
            <w:rStyle w:val="Hyperlink"/>
            <w:rFonts w:ascii="Times New Roman" w:hAnsi="Times New Roman"/>
          </w:rPr>
          <w:t>TD305R3</w:t>
        </w:r>
      </w:hyperlink>
      <w:r w:rsidRPr="00124CC0">
        <w:t xml:space="preserve"> pour la séance plénière de clôture du GCNT tenue le 26 janvier 2024.</w:t>
      </w:r>
    </w:p>
    <w:p w14:paraId="5CA5C2A2" w14:textId="44F41EAA" w:rsidR="00901B12" w:rsidRPr="00124CC0" w:rsidRDefault="00901B12" w:rsidP="00901B12">
      <w:r w:rsidRPr="00124CC0">
        <w:t>3.3</w:t>
      </w:r>
      <w:r w:rsidRPr="00124CC0">
        <w:tab/>
        <w:t xml:space="preserve">Le Document </w:t>
      </w:r>
      <w:hyperlink r:id="rId22" w:history="1">
        <w:r w:rsidRPr="00124CC0">
          <w:rPr>
            <w:rStyle w:val="Hyperlink"/>
            <w:rFonts w:ascii="Times New Roman" w:hAnsi="Times New Roman"/>
          </w:rPr>
          <w:t>TD309R1</w:t>
        </w:r>
      </w:hyperlink>
      <w:r w:rsidRPr="00124CC0">
        <w:t xml:space="preserve"> dresse la liste de toutes les contributions soumises et examinées pendant cette troisième réunion du GCNT.</w:t>
      </w:r>
    </w:p>
    <w:p w14:paraId="3BEA8E1F" w14:textId="79219735" w:rsidR="00901B12" w:rsidRPr="00124CC0" w:rsidRDefault="00901B12" w:rsidP="00901B12">
      <w:r w:rsidRPr="00124CC0">
        <w:lastRenderedPageBreak/>
        <w:t>3.4</w:t>
      </w:r>
      <w:r w:rsidRPr="00124CC0">
        <w:tab/>
        <w:t xml:space="preserve">Le Document </w:t>
      </w:r>
      <w:hyperlink r:id="rId23" w:history="1">
        <w:r w:rsidRPr="00124CC0">
          <w:rPr>
            <w:rStyle w:val="Hyperlink"/>
            <w:rFonts w:ascii="Times New Roman" w:hAnsi="Times New Roman"/>
          </w:rPr>
          <w:t>TD416</w:t>
        </w:r>
      </w:hyperlink>
      <w:r w:rsidRPr="00124CC0">
        <w:t xml:space="preserve"> dresse la liste de toutes les notes de liaison reçues pour cette réunion du GCNT.</w:t>
      </w:r>
    </w:p>
    <w:p w14:paraId="18B2D5D3" w14:textId="6648ACFF" w:rsidR="00901B12" w:rsidRPr="00124CC0" w:rsidRDefault="00901B12" w:rsidP="00901B12">
      <w:pPr>
        <w:pStyle w:val="Heading1"/>
      </w:pPr>
      <w:bookmarkStart w:id="12" w:name="_Toc161662721"/>
      <w:r w:rsidRPr="00124CC0">
        <w:t>4</w:t>
      </w:r>
      <w:r w:rsidRPr="00124CC0">
        <w:tab/>
        <w:t>Nominations</w:t>
      </w:r>
      <w:bookmarkEnd w:id="12"/>
    </w:p>
    <w:p w14:paraId="0D21B2C4" w14:textId="3B445A78" w:rsidR="00901B12" w:rsidRPr="00124CC0" w:rsidRDefault="00901B12" w:rsidP="00901B12">
      <w:r w:rsidRPr="00124CC0">
        <w:t>4.1</w:t>
      </w:r>
      <w:r w:rsidRPr="00124CC0">
        <w:tab/>
        <w:t xml:space="preserve">Il est indiqué dans le Document </w:t>
      </w:r>
      <w:hyperlink r:id="rId24" w:history="1">
        <w:r w:rsidRPr="00124CC0">
          <w:rPr>
            <w:rStyle w:val="Hyperlink"/>
            <w:rFonts w:ascii="Times New Roman" w:hAnsi="Times New Roman"/>
          </w:rPr>
          <w:t>TD439</w:t>
        </w:r>
      </w:hyperlink>
      <w:r w:rsidRPr="00124CC0">
        <w:t xml:space="preserve"> que M. Tobias KAUFMANN (Allemagne) a démissionné de ses fonctions de Vice-Président du GCNT et de Président du GT</w:t>
      </w:r>
      <w:r w:rsidR="001B1EA0" w:rsidRPr="00124CC0">
        <w:t xml:space="preserve"> </w:t>
      </w:r>
      <w:r w:rsidRPr="00124CC0">
        <w:t>1 du GCNT. Il est en outre indiqué qu'une candidature a été reçu pour lesdites fonctions de Vice-Président du GCNT et de Président du GT</w:t>
      </w:r>
      <w:r w:rsidR="001B1EA0" w:rsidRPr="00124CC0">
        <w:t xml:space="preserve"> </w:t>
      </w:r>
      <w:r w:rsidRPr="00124CC0">
        <w:t>1 du GCNT (M. Mihail ION (Roumanie)).</w:t>
      </w:r>
    </w:p>
    <w:p w14:paraId="7374AB18" w14:textId="6B217CEA" w:rsidR="00901B12" w:rsidRPr="00124CC0" w:rsidRDefault="00901B12" w:rsidP="00901B12">
      <w:r w:rsidRPr="00124CC0">
        <w:t>4.1.1</w:t>
      </w:r>
      <w:r w:rsidRPr="00124CC0">
        <w:tab/>
        <w:t>Les participants ont élu par acclamation M. Mihail ION (Roumanie) Vice</w:t>
      </w:r>
      <w:r w:rsidR="001B1EA0" w:rsidRPr="00124CC0">
        <w:noBreakHyphen/>
      </w:r>
      <w:r w:rsidRPr="00124CC0">
        <w:t>Président du</w:t>
      </w:r>
      <w:r w:rsidR="001B1EA0" w:rsidRPr="00124CC0">
        <w:t> </w:t>
      </w:r>
      <w:r w:rsidRPr="00124CC0">
        <w:t>GCNT et l'ont nommé Président du GT</w:t>
      </w:r>
      <w:r w:rsidR="001B1EA0" w:rsidRPr="00124CC0">
        <w:t xml:space="preserve"> </w:t>
      </w:r>
      <w:r w:rsidRPr="00124CC0">
        <w:t>1 du GCNT.</w:t>
      </w:r>
    </w:p>
    <w:p w14:paraId="1151163D" w14:textId="6537EC37" w:rsidR="00901B12" w:rsidRPr="00124CC0" w:rsidRDefault="00901B12" w:rsidP="00901B12">
      <w:r w:rsidRPr="00124CC0">
        <w:t>4.2</w:t>
      </w:r>
      <w:r w:rsidRPr="00124CC0">
        <w:tab/>
        <w:t xml:space="preserve">Il est indiqué dans le Document </w:t>
      </w:r>
      <w:hyperlink r:id="rId25" w:history="1">
        <w:r w:rsidRPr="00124CC0">
          <w:rPr>
            <w:rStyle w:val="Hyperlink"/>
            <w:rFonts w:ascii="Times New Roman" w:hAnsi="Times New Roman"/>
          </w:rPr>
          <w:t>TD464</w:t>
        </w:r>
      </w:hyperlink>
      <w:r w:rsidRPr="00124CC0">
        <w:t xml:space="preserve"> que M. Isaac </w:t>
      </w:r>
      <w:r w:rsidR="001B1EA0" w:rsidRPr="00124CC0">
        <w:t>BOATENG</w:t>
      </w:r>
      <w:r w:rsidRPr="00124CC0">
        <w:t xml:space="preserve"> (Ghana) a démissionné de ses fonctions de Vice-Président du GCNT et qu'une candidature a été reçue pour son remplacement (M. Samuel </w:t>
      </w:r>
      <w:r w:rsidR="001B1EA0" w:rsidRPr="00124CC0">
        <w:t>AGYEKUM</w:t>
      </w:r>
      <w:r w:rsidRPr="00124CC0">
        <w:t> (Ghana)).</w:t>
      </w:r>
    </w:p>
    <w:p w14:paraId="4357B008" w14:textId="3440A8DD" w:rsidR="00901B12" w:rsidRPr="00124CC0" w:rsidRDefault="00901B12" w:rsidP="00901B12">
      <w:r w:rsidRPr="00124CC0">
        <w:t>4.2.1</w:t>
      </w:r>
      <w:r w:rsidRPr="00124CC0">
        <w:tab/>
        <w:t xml:space="preserve">Les participants ont élu par acclamation M. Samuel </w:t>
      </w:r>
      <w:r w:rsidR="001B1EA0" w:rsidRPr="00124CC0">
        <w:t>AGYEKUM</w:t>
      </w:r>
      <w:r w:rsidRPr="00124CC0">
        <w:t xml:space="preserve"> (Ghana) Vice</w:t>
      </w:r>
      <w:r w:rsidR="001B1EA0" w:rsidRPr="00124CC0">
        <w:noBreakHyphen/>
      </w:r>
      <w:r w:rsidRPr="00124CC0">
        <w:t>Président du GCNT.</w:t>
      </w:r>
    </w:p>
    <w:p w14:paraId="111A5980" w14:textId="7BA551CF" w:rsidR="00901B12" w:rsidRPr="00124CC0" w:rsidRDefault="00901B12" w:rsidP="00901B12">
      <w:r w:rsidRPr="00124CC0">
        <w:t>4.3</w:t>
      </w:r>
      <w:r w:rsidRPr="00124CC0">
        <w:tab/>
        <w:t xml:space="preserve">Le GCNT a décidé de nommer M. Ahmad </w:t>
      </w:r>
      <w:r w:rsidR="001B1EA0" w:rsidRPr="00124CC0">
        <w:t>SHARAFAT</w:t>
      </w:r>
      <w:r w:rsidRPr="00124CC0">
        <w:t xml:space="preserve"> (Iran) Rapporteur du Groupe</w:t>
      </w:r>
      <w:r w:rsidR="001B1EA0" w:rsidRPr="00124CC0">
        <w:t> </w:t>
      </w:r>
      <w:r w:rsidRPr="00124CC0">
        <w:t>RG</w:t>
      </w:r>
      <w:r w:rsidR="001B1EA0" w:rsidRPr="00124CC0">
        <w:noBreakHyphen/>
      </w:r>
      <w:r w:rsidRPr="00124CC0">
        <w:t>DT et M.</w:t>
      </w:r>
      <w:r w:rsidR="00A50C75" w:rsidRPr="00124CC0">
        <w:t> </w:t>
      </w:r>
      <w:r w:rsidRPr="00124CC0">
        <w:t>Ahmed</w:t>
      </w:r>
      <w:r w:rsidR="00A50C75" w:rsidRPr="00124CC0">
        <w:t> </w:t>
      </w:r>
      <w:r w:rsidR="001B1EA0" w:rsidRPr="00124CC0">
        <w:t>SAID</w:t>
      </w:r>
      <w:r w:rsidRPr="00124CC0">
        <w:t xml:space="preserve"> (Égypte) Rapporteur associé du Groupe RG-DT comme il y a été invité par le GT</w:t>
      </w:r>
      <w:r w:rsidR="00A50C75" w:rsidRPr="00124CC0">
        <w:t> </w:t>
      </w:r>
      <w:r w:rsidRPr="00124CC0">
        <w:t>2 (Document</w:t>
      </w:r>
      <w:r w:rsidR="00A50C75" w:rsidRPr="00124CC0">
        <w:t> </w:t>
      </w:r>
      <w:hyperlink r:id="rId26" w:history="1">
        <w:r w:rsidRPr="00124CC0">
          <w:rPr>
            <w:rStyle w:val="Hyperlink"/>
            <w:rFonts w:ascii="Times New Roman" w:hAnsi="Times New Roman"/>
          </w:rPr>
          <w:t>TD315R3</w:t>
        </w:r>
      </w:hyperlink>
      <w:r w:rsidRPr="00124CC0">
        <w:t>), conformément au principe de roulement adopté pour la présidence de ce groupe lors de la réunion du GCT tenue en mai-juin 2023. Les responsables alterneront à nouveau leurs fonctions à la réunion du GCNT qui se tiendra en juillet 2024 (Document</w:t>
      </w:r>
      <w:r w:rsidR="001B1EA0" w:rsidRPr="00124CC0">
        <w:t> </w:t>
      </w:r>
      <w:hyperlink r:id="rId27" w:history="1">
        <w:r w:rsidRPr="00124CC0">
          <w:rPr>
            <w:rStyle w:val="Hyperlink"/>
            <w:rFonts w:ascii="Times New Roman" w:hAnsi="Times New Roman"/>
          </w:rPr>
          <w:t>TD315R3</w:t>
        </w:r>
      </w:hyperlink>
      <w:r w:rsidRPr="00124CC0">
        <w:t>). [</w:t>
      </w:r>
      <w:r w:rsidRPr="00124CC0">
        <w:rPr>
          <w:b/>
          <w:bCs/>
        </w:rPr>
        <w:t>GT</w:t>
      </w:r>
      <w:r w:rsidR="001B1EA0" w:rsidRPr="00124CC0">
        <w:rPr>
          <w:b/>
          <w:bCs/>
        </w:rPr>
        <w:t xml:space="preserve"> </w:t>
      </w:r>
      <w:r w:rsidRPr="00124CC0">
        <w:rPr>
          <w:b/>
          <w:bCs/>
        </w:rPr>
        <w:t>2</w:t>
      </w:r>
      <w:r w:rsidR="00A50C75" w:rsidRPr="00124CC0">
        <w:rPr>
          <w:b/>
          <w:bCs/>
        </w:rPr>
        <w:noBreakHyphen/>
      </w:r>
      <w:r w:rsidRPr="00124CC0">
        <w:rPr>
          <w:b/>
          <w:bCs/>
        </w:rPr>
        <w:t>3</w:t>
      </w:r>
      <w:r w:rsidRPr="00124CC0">
        <w:t>]</w:t>
      </w:r>
    </w:p>
    <w:p w14:paraId="2E5FB6AC" w14:textId="27EC4E57" w:rsidR="00901B12" w:rsidRPr="00124CC0" w:rsidRDefault="00901B12" w:rsidP="00901B12">
      <w:r w:rsidRPr="00124CC0">
        <w:t>4.4</w:t>
      </w:r>
      <w:r w:rsidRPr="00124CC0">
        <w:tab/>
        <w:t>Le GCNT a décidé de nommer M. Victor Manuel MARTÍNEZ VANEGAS (Mexique) Rapporteur du Groupe RG-SOP, et M. Bruce GRACIE (Ericsson Canada) et M.</w:t>
      </w:r>
      <w:r w:rsidR="001B1EA0" w:rsidRPr="00124CC0">
        <w:t> </w:t>
      </w:r>
      <w:r w:rsidRPr="00124CC0">
        <w:t>Dao</w:t>
      </w:r>
      <w:r w:rsidR="001B1EA0" w:rsidRPr="00124CC0">
        <w:t> TIAN</w:t>
      </w:r>
      <w:r w:rsidRPr="00124CC0">
        <w:t xml:space="preserve"> (ZTE</w:t>
      </w:r>
      <w:r w:rsidR="00A50C75" w:rsidRPr="00124CC0">
        <w:t> </w:t>
      </w:r>
      <w:r w:rsidRPr="00124CC0">
        <w:t>Corporation, Chine) Rapporteurs associés du Groupe RG-SOP comme il y a été invité par le</w:t>
      </w:r>
      <w:r w:rsidR="00A50C75" w:rsidRPr="00124CC0">
        <w:t> </w:t>
      </w:r>
      <w:r w:rsidRPr="00124CC0">
        <w:t>GT</w:t>
      </w:r>
      <w:r w:rsidR="00A50C75" w:rsidRPr="00124CC0">
        <w:t> </w:t>
      </w:r>
      <w:r w:rsidRPr="00124CC0">
        <w:t>2 (Document</w:t>
      </w:r>
      <w:r w:rsidR="00A50C75" w:rsidRPr="00124CC0">
        <w:t> </w:t>
      </w:r>
      <w:hyperlink r:id="rId28" w:history="1">
        <w:r w:rsidRPr="00124CC0">
          <w:rPr>
            <w:rStyle w:val="Hyperlink"/>
            <w:rFonts w:ascii="Times New Roman" w:hAnsi="Times New Roman"/>
          </w:rPr>
          <w:t>TD315R3</w:t>
        </w:r>
      </w:hyperlink>
      <w:r w:rsidRPr="00124CC0">
        <w:t>).</w:t>
      </w:r>
    </w:p>
    <w:p w14:paraId="53EA08E1" w14:textId="727C6C19" w:rsidR="00A50C75" w:rsidRPr="00124CC0" w:rsidRDefault="00A50C75" w:rsidP="00A50C75">
      <w:pPr>
        <w:pStyle w:val="Heading1"/>
      </w:pPr>
      <w:bookmarkStart w:id="13" w:name="_Toc161662722"/>
      <w:r w:rsidRPr="00124CC0">
        <w:t>5</w:t>
      </w:r>
      <w:r w:rsidRPr="00124CC0">
        <w:tab/>
        <w:t>Rapports du Directeur du TSB</w:t>
      </w:r>
      <w:bookmarkEnd w:id="13"/>
    </w:p>
    <w:p w14:paraId="2A4C02A1" w14:textId="1BA9DAF1" w:rsidR="00A50C75" w:rsidRPr="00124CC0" w:rsidRDefault="00A50C75" w:rsidP="00A50C75">
      <w:r w:rsidRPr="00124CC0">
        <w:t>5.1</w:t>
      </w:r>
      <w:r w:rsidRPr="00124CC0">
        <w:tab/>
        <w:t>Le Directeur du TSB a présenté le rapport d'activité de l'UIT-T (Document </w:t>
      </w:r>
      <w:hyperlink r:id="rId29" w:history="1">
        <w:r w:rsidRPr="00124CC0">
          <w:rPr>
            <w:rStyle w:val="Hyperlink"/>
            <w:rFonts w:ascii="Times New Roman" w:hAnsi="Times New Roman"/>
          </w:rPr>
          <w:t>TD409</w:t>
        </w:r>
      </w:hyperlink>
      <w:r w:rsidRPr="00124CC0">
        <w:t>, diaporama reproduit dans l'Addendum 1), qui met l'accent sur les principaux résultats obtenus par l'UIT-T en matière de normalisation entre mai et décembre 2023. Les participants ont pris note de ce rapport.</w:t>
      </w:r>
    </w:p>
    <w:p w14:paraId="5E4120C6" w14:textId="42E62A55" w:rsidR="00A50C75" w:rsidRPr="00124CC0" w:rsidRDefault="00A50C75" w:rsidP="00A50C75">
      <w:pPr>
        <w:pStyle w:val="Heading1"/>
      </w:pPr>
      <w:bookmarkStart w:id="14" w:name="_Toc161662723"/>
      <w:r w:rsidRPr="00124CC0">
        <w:t>6</w:t>
      </w:r>
      <w:r w:rsidRPr="00124CC0">
        <w:tab/>
        <w:t>AMNT</w:t>
      </w:r>
      <w:bookmarkEnd w:id="14"/>
    </w:p>
    <w:p w14:paraId="686B903F" w14:textId="1DB49EDC" w:rsidR="00A50C75" w:rsidRPr="00124CC0" w:rsidRDefault="00A50C75" w:rsidP="00A50C75">
      <w:r w:rsidRPr="00124CC0">
        <w:t>6.1</w:t>
      </w:r>
      <w:r w:rsidRPr="00124CC0">
        <w:tab/>
        <w:t xml:space="preserve">Le Document </w:t>
      </w:r>
      <w:hyperlink r:id="rId30" w:history="1">
        <w:r w:rsidRPr="00124CC0">
          <w:rPr>
            <w:rStyle w:val="Hyperlink"/>
            <w:rFonts w:ascii="Times New Roman" w:hAnsi="Times New Roman"/>
          </w:rPr>
          <w:t>TD410</w:t>
        </w:r>
      </w:hyperlink>
      <w:r w:rsidRPr="00124CC0">
        <w:t xml:space="preserve"> contient le Plan d'action de l'AMNT-20 mis à jour, qui a été élaboré puis mis à jour en juin 2023.</w:t>
      </w:r>
    </w:p>
    <w:p w14:paraId="12F2C6BD" w14:textId="5E307C59" w:rsidR="00A50C75" w:rsidRPr="00124CC0" w:rsidRDefault="00A50C75" w:rsidP="00A50C75">
      <w:r w:rsidRPr="00124CC0">
        <w:t xml:space="preserve">Le Document </w:t>
      </w:r>
      <w:hyperlink r:id="rId31" w:history="1">
        <w:r w:rsidRPr="00124CC0">
          <w:rPr>
            <w:rStyle w:val="Hyperlink"/>
            <w:rFonts w:ascii="Times New Roman" w:hAnsi="Times New Roman"/>
          </w:rPr>
          <w:t>TD463</w:t>
        </w:r>
      </w:hyperlink>
      <w:r w:rsidRPr="00124CC0">
        <w:t xml:space="preserve"> préparé par le TSB contient un proposition de mise en correspondance entre les Résolutions de l'AMNT et les groupes du Rapporteur (RG) du GCNT existants. Le représentant du</w:t>
      </w:r>
      <w:r w:rsidR="00AF3CF1" w:rsidRPr="00124CC0">
        <w:t> </w:t>
      </w:r>
      <w:r w:rsidRPr="00124CC0">
        <w:t xml:space="preserve">TSB a expliqué que le Document </w:t>
      </w:r>
      <w:hyperlink r:id="rId32" w:history="1">
        <w:r w:rsidRPr="00124CC0">
          <w:rPr>
            <w:rStyle w:val="Hyperlink"/>
            <w:rFonts w:ascii="Times New Roman" w:hAnsi="Times New Roman"/>
          </w:rPr>
          <w:t>TD463</w:t>
        </w:r>
      </w:hyperlink>
      <w:r w:rsidRPr="00124CC0">
        <w:t xml:space="preserve"> est un document évolutif qui est régulièrement mis à jour.</w:t>
      </w:r>
    </w:p>
    <w:p w14:paraId="3678EE09" w14:textId="55FF9E1E" w:rsidR="00A50C75" w:rsidRPr="00124CC0" w:rsidRDefault="00A50C75" w:rsidP="00A50C75">
      <w:r w:rsidRPr="00124CC0">
        <w:t>6.1.1</w:t>
      </w:r>
      <w:r w:rsidRPr="00124CC0">
        <w:tab/>
        <w:t>Les participants ont pris note de ces documents temporaires.</w:t>
      </w:r>
    </w:p>
    <w:p w14:paraId="1BB62853" w14:textId="5570CD49" w:rsidR="00A50C75" w:rsidRPr="00124CC0" w:rsidRDefault="00A50C75" w:rsidP="00A50C75">
      <w:r w:rsidRPr="00124CC0">
        <w:t>6.2</w:t>
      </w:r>
      <w:r w:rsidRPr="00124CC0">
        <w:tab/>
        <w:t xml:space="preserve">Le Document </w:t>
      </w:r>
      <w:hyperlink r:id="rId33" w:history="1">
        <w:r w:rsidRPr="00124CC0">
          <w:rPr>
            <w:rStyle w:val="Hyperlink"/>
            <w:rFonts w:ascii="Times New Roman" w:hAnsi="Times New Roman"/>
          </w:rPr>
          <w:t>TD460</w:t>
        </w:r>
      </w:hyperlink>
      <w:r w:rsidRPr="00124CC0">
        <w:t xml:space="preserve"> contient la lettre et les CV reçus par le TSB pour les personnes désignées pour présider l'AMNT-2</w:t>
      </w:r>
      <w:r w:rsidR="006308E4" w:rsidRPr="00124CC0">
        <w:t>4</w:t>
      </w:r>
      <w:r w:rsidRPr="00124CC0">
        <w:t xml:space="preserve"> et le GSS-24.</w:t>
      </w:r>
    </w:p>
    <w:p w14:paraId="1914CF12" w14:textId="4FA12632" w:rsidR="00A50C75" w:rsidRPr="00124CC0" w:rsidRDefault="00A50C75" w:rsidP="00A50C75">
      <w:r w:rsidRPr="00124CC0">
        <w:t>6.2.1</w:t>
      </w:r>
      <w:r w:rsidRPr="00124CC0">
        <w:tab/>
        <w:t>Les participants ont pris note de ce document temporaire.</w:t>
      </w:r>
    </w:p>
    <w:p w14:paraId="69C1B241" w14:textId="4AA1E49F" w:rsidR="00A50C75" w:rsidRPr="00124CC0" w:rsidRDefault="00A50C75" w:rsidP="00A50C75">
      <w:r w:rsidRPr="00124CC0">
        <w:lastRenderedPageBreak/>
        <w:t>6.3</w:t>
      </w:r>
      <w:r w:rsidRPr="00124CC0">
        <w:tab/>
        <w:t xml:space="preserve">Le Document </w:t>
      </w:r>
      <w:hyperlink r:id="rId34" w:history="1">
        <w:r w:rsidRPr="00124CC0">
          <w:rPr>
            <w:rStyle w:val="Hyperlink"/>
            <w:rFonts w:ascii="Times New Roman" w:hAnsi="Times New Roman"/>
          </w:rPr>
          <w:t>TD404</w:t>
        </w:r>
      </w:hyperlink>
      <w:r w:rsidRPr="00124CC0">
        <w:t xml:space="preserve"> donne des informations mises à jour sur les résultats de la visite du site choisi pour l'AMNT effectuée par le secrétariat de l'UIT début octobre 20</w:t>
      </w:r>
      <w:r w:rsidR="00506097" w:rsidRPr="00124CC0">
        <w:t>2</w:t>
      </w:r>
      <w:r w:rsidRPr="00124CC0">
        <w:t>3, ainsi que des informations importantes concernant les préparatifs en vue de l'Assemblée.</w:t>
      </w:r>
    </w:p>
    <w:p w14:paraId="1C7F7453" w14:textId="62B5822A" w:rsidR="00A50C75" w:rsidRPr="00124CC0" w:rsidRDefault="00A50C75" w:rsidP="00A50C75">
      <w:r w:rsidRPr="00124CC0">
        <w:t xml:space="preserve">Le Document </w:t>
      </w:r>
      <w:hyperlink r:id="rId35" w:history="1">
        <w:r w:rsidRPr="00124CC0">
          <w:rPr>
            <w:rStyle w:val="Hyperlink"/>
            <w:rFonts w:ascii="Times New Roman" w:hAnsi="Times New Roman"/>
          </w:rPr>
          <w:t>TD457R1</w:t>
        </w:r>
      </w:hyperlink>
      <w:r w:rsidRPr="00124CC0">
        <w:t xml:space="preserve"> indique la date d'ouverture des inscriptions pour l'AMNT et présente en outre le site web de l'AMNT-24.</w:t>
      </w:r>
    </w:p>
    <w:p w14:paraId="38DD40C4" w14:textId="3E13FF69" w:rsidR="00A50C75" w:rsidRPr="00124CC0" w:rsidRDefault="00A50C75" w:rsidP="00A50C75">
      <w:r w:rsidRPr="00124CC0">
        <w:t>6.3.1</w:t>
      </w:r>
      <w:r w:rsidRPr="00124CC0">
        <w:tab/>
        <w:t>Les participants ont pris note de ces documents temporaires.</w:t>
      </w:r>
    </w:p>
    <w:p w14:paraId="42515536" w14:textId="28820C07" w:rsidR="00A50C75" w:rsidRPr="00124CC0" w:rsidRDefault="00A50C75" w:rsidP="00A50C75">
      <w:r w:rsidRPr="00124CC0">
        <w:t>6.4</w:t>
      </w:r>
      <w:r w:rsidRPr="00124CC0">
        <w:tab/>
        <w:t xml:space="preserve">Dans le Document </w:t>
      </w:r>
      <w:hyperlink r:id="rId36" w:history="1">
        <w:r w:rsidRPr="00124CC0">
          <w:rPr>
            <w:rStyle w:val="Hyperlink"/>
            <w:rFonts w:ascii="Times New Roman" w:hAnsi="Times New Roman"/>
          </w:rPr>
          <w:t>TD438R2</w:t>
        </w:r>
      </w:hyperlink>
      <w:r w:rsidRPr="00124CC0">
        <w:t>, il est proposé que la nomination des présidents des commissions d'études, du GCNT et du SCV lors de l'AMNT soit limitée à un par État Membre, afin de favoriser l'équilibre régional.</w:t>
      </w:r>
    </w:p>
    <w:p w14:paraId="5DB111C5" w14:textId="00FC61EB" w:rsidR="00A50C75" w:rsidRPr="00124CC0" w:rsidRDefault="00A50C75" w:rsidP="00A50C75">
      <w:r w:rsidRPr="00124CC0">
        <w:t>6.4.1</w:t>
      </w:r>
      <w:r w:rsidRPr="00124CC0">
        <w:tab/>
        <w:t>Les participants ont considéré qu'il s'agit d'une ligne directrice dont la visée ne serait pas de limiter les nominations, mais plutôt de servir de guide pour la désignation des présidents. Partant de ce principe, les participants ont accepté cette proposition.</w:t>
      </w:r>
    </w:p>
    <w:p w14:paraId="334404DA" w14:textId="5175C72C" w:rsidR="00A50C75" w:rsidRPr="00124CC0" w:rsidRDefault="00A50C75" w:rsidP="00A50C75">
      <w:r w:rsidRPr="00124CC0">
        <w:t>6.5</w:t>
      </w:r>
      <w:r w:rsidRPr="00124CC0">
        <w:tab/>
        <w:t xml:space="preserve">Le Document </w:t>
      </w:r>
      <w:hyperlink r:id="rId37" w:history="1">
        <w:r w:rsidRPr="00124CC0">
          <w:rPr>
            <w:rStyle w:val="Hyperlink"/>
            <w:rFonts w:ascii="Times New Roman" w:hAnsi="Times New Roman"/>
          </w:rPr>
          <w:t>TD446</w:t>
        </w:r>
      </w:hyperlink>
      <w:r w:rsidRPr="00124CC0">
        <w:t xml:space="preserve"> contient le projet de rapport de la première réunion préparatoire interrégionale en vue de l'AMNT-24 (virtuelle, 18 janvier 2024, </w:t>
      </w:r>
      <w:r w:rsidR="00397752" w:rsidRPr="00124CC0">
        <w:t xml:space="preserve">de </w:t>
      </w:r>
      <w:r w:rsidRPr="00124CC0">
        <w:t>13</w:t>
      </w:r>
      <w:r w:rsidR="006308E4" w:rsidRPr="00124CC0">
        <w:t xml:space="preserve"> </w:t>
      </w:r>
      <w:r w:rsidRPr="00124CC0">
        <w:t>h</w:t>
      </w:r>
      <w:r w:rsidR="006308E4" w:rsidRPr="00124CC0">
        <w:t>eures</w:t>
      </w:r>
      <w:r w:rsidR="00397752" w:rsidRPr="00124CC0">
        <w:t xml:space="preserve"> à </w:t>
      </w:r>
      <w:r w:rsidRPr="00124CC0">
        <w:t>16</w:t>
      </w:r>
      <w:r w:rsidR="006308E4" w:rsidRPr="00124CC0">
        <w:t xml:space="preserve"> </w:t>
      </w:r>
      <w:r w:rsidRPr="00124CC0">
        <w:t>h</w:t>
      </w:r>
      <w:r w:rsidR="006308E4" w:rsidRPr="00124CC0">
        <w:t>eures</w:t>
      </w:r>
      <w:r w:rsidRPr="00124CC0">
        <w:t>, heure de</w:t>
      </w:r>
      <w:r w:rsidR="00397752" w:rsidRPr="00124CC0">
        <w:t> </w:t>
      </w:r>
      <w:r w:rsidRPr="00124CC0">
        <w:t>Genève).</w:t>
      </w:r>
    </w:p>
    <w:p w14:paraId="5A37E448" w14:textId="635E4555" w:rsidR="00A50C75" w:rsidRPr="00124CC0" w:rsidRDefault="00A50C75" w:rsidP="00A50C75">
      <w:r w:rsidRPr="00124CC0">
        <w:t>6.5.1</w:t>
      </w:r>
      <w:r w:rsidRPr="00124CC0">
        <w:tab/>
        <w:t>Les participants ont pris note de ce document temporaire.</w:t>
      </w:r>
    </w:p>
    <w:p w14:paraId="3AFE724D" w14:textId="56C53CD7" w:rsidR="00A50C75" w:rsidRPr="00124CC0" w:rsidRDefault="00A50C75" w:rsidP="00A50C75">
      <w:r w:rsidRPr="00124CC0">
        <w:t>6.6</w:t>
      </w:r>
      <w:r w:rsidRPr="00124CC0">
        <w:tab/>
        <w:t xml:space="preserve">Le Document </w:t>
      </w:r>
      <w:hyperlink r:id="rId38" w:history="1">
        <w:r w:rsidRPr="00124CC0">
          <w:rPr>
            <w:rStyle w:val="Hyperlink"/>
            <w:rFonts w:ascii="Times New Roman" w:hAnsi="Times New Roman"/>
          </w:rPr>
          <w:t>TD389R1</w:t>
        </w:r>
      </w:hyperlink>
      <w:r w:rsidRPr="00124CC0">
        <w:t xml:space="preserve"> fait le point sur la situation au 10 janvier 2024 concernant les réunions préparatoires interrégionales en vue de l'AMNT-24.</w:t>
      </w:r>
    </w:p>
    <w:p w14:paraId="0A68EACF" w14:textId="177F37ED" w:rsidR="00A50C75" w:rsidRPr="00124CC0" w:rsidRDefault="00A50C75" w:rsidP="00A50C75">
      <w:r w:rsidRPr="00124CC0">
        <w:t>6.6.1</w:t>
      </w:r>
      <w:r w:rsidRPr="00124CC0">
        <w:tab/>
        <w:t>Il a été précisé que ce document temporaire avait été examiné à la première réunion préparatoire interrégionale et qu'il n'était pas nécessaire d'examiner à nouveau ce document dans le cadre du GCNT.</w:t>
      </w:r>
    </w:p>
    <w:p w14:paraId="343B0079" w14:textId="3B88A24A" w:rsidR="00A50C75" w:rsidRPr="00124CC0" w:rsidRDefault="00A50C75" w:rsidP="00A50C75">
      <w:r w:rsidRPr="00124CC0">
        <w:t>6.7</w:t>
      </w:r>
      <w:r w:rsidRPr="00124CC0">
        <w:tab/>
        <w:t xml:space="preserve">Le Document </w:t>
      </w:r>
      <w:hyperlink r:id="rId39" w:history="1">
        <w:r w:rsidRPr="00124CC0">
          <w:rPr>
            <w:rStyle w:val="Hyperlink"/>
            <w:rFonts w:ascii="Times New Roman" w:hAnsi="Times New Roman"/>
          </w:rPr>
          <w:t>TD388</w:t>
        </w:r>
      </w:hyperlink>
      <w:r w:rsidRPr="00124CC0">
        <w:t xml:space="preserve"> contient des informations actualisées sur le calendrier de la coordination interrégionale en vue de l'AMNT-24.</w:t>
      </w:r>
    </w:p>
    <w:p w14:paraId="01FA4F81" w14:textId="12DD54B9" w:rsidR="00A50C75" w:rsidRPr="00124CC0" w:rsidRDefault="00A50C75" w:rsidP="00A50C75">
      <w:r w:rsidRPr="00124CC0">
        <w:t>6.7.1</w:t>
      </w:r>
      <w:r w:rsidRPr="00124CC0">
        <w:tab/>
      </w:r>
      <w:r w:rsidR="00AF3CF1" w:rsidRPr="00124CC0">
        <w:t>Les participants ont pris note de ce document temporaire.</w:t>
      </w:r>
    </w:p>
    <w:p w14:paraId="1921CD3A" w14:textId="34E47D83" w:rsidR="00A50C75" w:rsidRPr="00124CC0" w:rsidRDefault="00A50C75" w:rsidP="00A50C75">
      <w:r w:rsidRPr="00124CC0">
        <w:t>6.8</w:t>
      </w:r>
      <w:r w:rsidRPr="00124CC0">
        <w:tab/>
      </w:r>
      <w:r w:rsidR="00AF3CF1" w:rsidRPr="00124CC0">
        <w:t xml:space="preserve">Le Document </w:t>
      </w:r>
      <w:hyperlink r:id="rId40" w:history="1">
        <w:r w:rsidR="00AF3CF1" w:rsidRPr="00124CC0">
          <w:rPr>
            <w:rStyle w:val="Hyperlink"/>
            <w:rFonts w:ascii="Times New Roman" w:hAnsi="Times New Roman"/>
          </w:rPr>
          <w:t>TD482</w:t>
        </w:r>
      </w:hyperlink>
      <w:r w:rsidR="00AF3CF1" w:rsidRPr="00124CC0">
        <w:t xml:space="preserve"> contient des informations actualisées sur les présidents et vice</w:t>
      </w:r>
      <w:r w:rsidR="00AF3CF1" w:rsidRPr="00124CC0">
        <w:noBreakHyphen/>
        <w:t>présidents des commissions et groupes de l'UIT-T pour la période d'études 2022</w:t>
      </w:r>
      <w:r w:rsidR="006308E4" w:rsidRPr="00124CC0">
        <w:noBreakHyphen/>
      </w:r>
      <w:r w:rsidR="00AF3CF1" w:rsidRPr="00124CC0">
        <w:t>2024.</w:t>
      </w:r>
    </w:p>
    <w:p w14:paraId="7E53C32D" w14:textId="2B085328" w:rsidR="00AF3CF1" w:rsidRPr="00124CC0" w:rsidRDefault="00AF3CF1" w:rsidP="00A50C75">
      <w:r w:rsidRPr="00124CC0">
        <w:t>6.8.1</w:t>
      </w:r>
      <w:r w:rsidRPr="00124CC0">
        <w:tab/>
        <w:t>Ce document temporaire est soumis pour information. Les participants en ont pris note.</w:t>
      </w:r>
    </w:p>
    <w:p w14:paraId="0525E291" w14:textId="4762D663" w:rsidR="00AF3CF1" w:rsidRPr="00124CC0" w:rsidRDefault="00AF3CF1" w:rsidP="00A50C75">
      <w:r w:rsidRPr="00124CC0">
        <w:t>6.9</w:t>
      </w:r>
      <w:r w:rsidRPr="00124CC0">
        <w:tab/>
        <w:t xml:space="preserve">Le Document </w:t>
      </w:r>
      <w:hyperlink r:id="rId41" w:history="1">
        <w:r w:rsidRPr="00124CC0">
          <w:rPr>
            <w:rStyle w:val="Hyperlink"/>
            <w:rFonts w:ascii="Times New Roman" w:hAnsi="Times New Roman"/>
          </w:rPr>
          <w:t>TD483R1</w:t>
        </w:r>
      </w:hyperlink>
      <w:r w:rsidRPr="00124CC0">
        <w:t xml:space="preserve"> donne une liste des présidents et vice-présidents qui n'ont pas assisté à des réunions des commissions d'études tenues depuis le début de la période d'études.</w:t>
      </w:r>
    </w:p>
    <w:p w14:paraId="30FD7F37" w14:textId="04DA143C" w:rsidR="00AF3CF1" w:rsidRPr="00124CC0" w:rsidRDefault="00AF3CF1" w:rsidP="00A50C75">
      <w:r w:rsidRPr="00124CC0">
        <w:t>6.9.1</w:t>
      </w:r>
      <w:r w:rsidRPr="00124CC0">
        <w:tab/>
        <w:t xml:space="preserve">Les participants ont pris note avec satisfaction du fait que, pour les CE 2, 15 et 20, le </w:t>
      </w:r>
      <w:r w:rsidR="006308E4" w:rsidRPr="00124CC0">
        <w:t>p</w:t>
      </w:r>
      <w:r w:rsidRPr="00124CC0">
        <w:t xml:space="preserve">résident et tous les </w:t>
      </w:r>
      <w:r w:rsidR="006308E4" w:rsidRPr="00124CC0">
        <w:t>v</w:t>
      </w:r>
      <w:r w:rsidRPr="00124CC0">
        <w:t>ice-</w:t>
      </w:r>
      <w:r w:rsidR="006308E4" w:rsidRPr="00124CC0">
        <w:t>p</w:t>
      </w:r>
      <w:r w:rsidRPr="00124CC0">
        <w:t>résidents avaient assisté aux réunions de leurs CE respectives. Les participants ont pris note de ce document temporaire.</w:t>
      </w:r>
    </w:p>
    <w:p w14:paraId="3C2BA7C5" w14:textId="69578CD8" w:rsidR="00AF3CF1" w:rsidRPr="00124CC0" w:rsidRDefault="00AF3CF1" w:rsidP="006308E4">
      <w:pPr>
        <w:pStyle w:val="Heading1"/>
      </w:pPr>
      <w:bookmarkStart w:id="15" w:name="_Toc161662724"/>
      <w:r w:rsidRPr="00124CC0">
        <w:t>7</w:t>
      </w:r>
      <w:r w:rsidRPr="00124CC0">
        <w:tab/>
      </w:r>
      <w:r w:rsidR="006308E4" w:rsidRPr="00124CC0">
        <w:t>Nouveau programme BSG</w:t>
      </w:r>
      <w:bookmarkEnd w:id="15"/>
    </w:p>
    <w:p w14:paraId="5EC31B33" w14:textId="28B25680" w:rsidR="006308E4" w:rsidRPr="00124CC0" w:rsidRDefault="006308E4" w:rsidP="006308E4">
      <w:r w:rsidRPr="00124CC0">
        <w:t>7.1</w:t>
      </w:r>
      <w:r w:rsidRPr="00124CC0">
        <w:tab/>
        <w:t xml:space="preserve">Le Document </w:t>
      </w:r>
      <w:hyperlink r:id="rId42" w:history="1">
        <w:r w:rsidRPr="00124CC0">
          <w:rPr>
            <w:rStyle w:val="Hyperlink"/>
            <w:rFonts w:ascii="Times New Roman" w:hAnsi="Times New Roman"/>
          </w:rPr>
          <w:t>TD422</w:t>
        </w:r>
      </w:hyperlink>
      <w:r w:rsidRPr="00124CC0">
        <w:t xml:space="preserve"> donne un aperçu du programme pour la réduction de l'écart en matière de normalisation (BSG) repensé. Il porte en outre sur la séance d'information organisée par le Directeur du TSB sur ce nouveau programme BSG qui a eu lieu le 23 janvier. On trouvera dans l'</w:t>
      </w:r>
      <w:r w:rsidR="00397752" w:rsidRPr="00124CC0">
        <w:t>A</w:t>
      </w:r>
      <w:r w:rsidRPr="00124CC0">
        <w:t>ddendum</w:t>
      </w:r>
      <w:r w:rsidR="00397752" w:rsidRPr="00124CC0">
        <w:t> </w:t>
      </w:r>
      <w:r w:rsidRPr="00124CC0">
        <w:t>1 du document temporaire la présentation faite par le Directeur du TSB lors de cette séance d'information. L'</w:t>
      </w:r>
      <w:r w:rsidR="00397752" w:rsidRPr="00124CC0">
        <w:t>A</w:t>
      </w:r>
      <w:r w:rsidRPr="00124CC0">
        <w:t>ddendum 2 contient les résultats d'une enquête faite en directe lors de la présentation. Il a été pris note de ce document temporaire.</w:t>
      </w:r>
    </w:p>
    <w:p w14:paraId="608B4566" w14:textId="60150E66" w:rsidR="006308E4" w:rsidRPr="00124CC0" w:rsidRDefault="006308E4" w:rsidP="006308E4">
      <w:pPr>
        <w:pStyle w:val="Heading1"/>
      </w:pPr>
      <w:bookmarkStart w:id="16" w:name="_Toc161662725"/>
      <w:r w:rsidRPr="00124CC0">
        <w:lastRenderedPageBreak/>
        <w:t>8</w:t>
      </w:r>
      <w:r w:rsidRPr="00124CC0">
        <w:tab/>
        <w:t>Réseau de femmes à l'UIT-T (NoW)</w:t>
      </w:r>
      <w:bookmarkEnd w:id="16"/>
    </w:p>
    <w:p w14:paraId="0AB2FACD" w14:textId="07A207EC" w:rsidR="006308E4" w:rsidRPr="00124CC0" w:rsidRDefault="006308E4" w:rsidP="006308E4">
      <w:r w:rsidRPr="00124CC0">
        <w:t>8.1</w:t>
      </w:r>
      <w:r w:rsidRPr="00124CC0">
        <w:tab/>
        <w:t xml:space="preserve">Le Document </w:t>
      </w:r>
      <w:hyperlink r:id="rId43" w:history="1">
        <w:r w:rsidRPr="00124CC0">
          <w:rPr>
            <w:rStyle w:val="Hyperlink"/>
            <w:rFonts w:ascii="Times New Roman" w:hAnsi="Times New Roman"/>
          </w:rPr>
          <w:t>TD423R2</w:t>
        </w:r>
      </w:hyperlink>
      <w:r w:rsidRPr="00124CC0">
        <w:t xml:space="preserve"> contient le texte du mandat du Réseau de femmes (NoW) à l'UIT</w:t>
      </w:r>
      <w:r w:rsidRPr="00124CC0">
        <w:noBreakHyphen/>
        <w:t>T actualisé compte tenu des observations formulées pendant la séance plénière d'ouverture.</w:t>
      </w:r>
    </w:p>
    <w:p w14:paraId="22D6379F" w14:textId="2AB10002" w:rsidR="006308E4" w:rsidRPr="00124CC0" w:rsidRDefault="006308E4" w:rsidP="006308E4">
      <w:r w:rsidRPr="00124CC0">
        <w:t>8.1.1</w:t>
      </w:r>
      <w:r w:rsidRPr="00124CC0">
        <w:tab/>
        <w:t>Les participants à la réunion du GCNT a approuvé le mandat mis à jour.</w:t>
      </w:r>
    </w:p>
    <w:p w14:paraId="7234AF27" w14:textId="39E439EC" w:rsidR="006308E4" w:rsidRPr="00124CC0" w:rsidRDefault="006308E4" w:rsidP="006308E4">
      <w:pPr>
        <w:pStyle w:val="Heading1"/>
      </w:pPr>
      <w:bookmarkStart w:id="17" w:name="_Toc161662726"/>
      <w:r w:rsidRPr="00124CC0">
        <w:t>9</w:t>
      </w:r>
      <w:r w:rsidRPr="00124CC0">
        <w:tab/>
        <w:t>Droits de l'</w:t>
      </w:r>
      <w:r w:rsidR="00B7351B" w:rsidRPr="00124CC0">
        <w:t>h</w:t>
      </w:r>
      <w:r w:rsidRPr="00124CC0">
        <w:t>omme et normes</w:t>
      </w:r>
      <w:bookmarkEnd w:id="17"/>
    </w:p>
    <w:p w14:paraId="5A40D3AB" w14:textId="1A229717" w:rsidR="006308E4" w:rsidRPr="00124CC0" w:rsidRDefault="006308E4" w:rsidP="006308E4">
      <w:r w:rsidRPr="00124CC0">
        <w:t>9.1</w:t>
      </w:r>
      <w:r w:rsidRPr="00124CC0">
        <w:tab/>
        <w:t xml:space="preserve">Le Document </w:t>
      </w:r>
      <w:hyperlink r:id="rId44" w:history="1">
        <w:r w:rsidRPr="00124CC0">
          <w:rPr>
            <w:rStyle w:val="Hyperlink"/>
            <w:rFonts w:ascii="Times New Roman" w:hAnsi="Times New Roman"/>
          </w:rPr>
          <w:t>TD441R1</w:t>
        </w:r>
      </w:hyperlink>
      <w:r w:rsidRPr="00124CC0">
        <w:t xml:space="preserve"> est un résumé des activités du TSB sur le thème droits de l'</w:t>
      </w:r>
      <w:r w:rsidR="00B7351B" w:rsidRPr="00124CC0">
        <w:t>h</w:t>
      </w:r>
      <w:r w:rsidRPr="00124CC0">
        <w:t>omme et normes.</w:t>
      </w:r>
    </w:p>
    <w:p w14:paraId="04051EB7" w14:textId="5C4430B3" w:rsidR="006308E4" w:rsidRPr="00124CC0" w:rsidRDefault="006308E4" w:rsidP="006308E4">
      <w:r w:rsidRPr="00124CC0">
        <w:t xml:space="preserve">La contribution Document </w:t>
      </w:r>
      <w:hyperlink r:id="rId45" w:history="1">
        <w:r w:rsidRPr="00124CC0">
          <w:rPr>
            <w:rStyle w:val="Hyperlink"/>
            <w:rFonts w:ascii="Times New Roman" w:hAnsi="Times New Roman"/>
          </w:rPr>
          <w:t>C80R1</w:t>
        </w:r>
      </w:hyperlink>
      <w:r w:rsidRPr="00124CC0">
        <w:t xml:space="preserve"> (*) vise à ce qu'il soit établi que les droits de l'</w:t>
      </w:r>
      <w:r w:rsidR="00B7351B" w:rsidRPr="00124CC0">
        <w:t>h</w:t>
      </w:r>
      <w:r w:rsidRPr="00124CC0">
        <w:t>omme sont un critère important pris en compte lors de l'élaboration de normes techniques, en coopération avec le Haut</w:t>
      </w:r>
      <w:r w:rsidR="00397752" w:rsidRPr="00124CC0">
        <w:noBreakHyphen/>
      </w:r>
      <w:r w:rsidRPr="00124CC0">
        <w:t>Commissariat aux droits de l'</w:t>
      </w:r>
      <w:r w:rsidR="00B7351B" w:rsidRPr="00124CC0">
        <w:t>h</w:t>
      </w:r>
      <w:r w:rsidRPr="00124CC0">
        <w:t>omme des Nations Unies.</w:t>
      </w:r>
    </w:p>
    <w:p w14:paraId="1DF93CF9" w14:textId="5AD8EB1E" w:rsidR="006308E4" w:rsidRPr="00124CC0" w:rsidRDefault="006308E4" w:rsidP="00B7351B">
      <w:pPr>
        <w:pStyle w:val="enumlev1"/>
        <w:tabs>
          <w:tab w:val="clear" w:pos="794"/>
        </w:tabs>
      </w:pPr>
      <w:r w:rsidRPr="00124CC0">
        <w:t>*</w:t>
      </w:r>
      <w:r w:rsidRPr="00124CC0">
        <w:tab/>
        <w:t>Origine: Allemagne, Autriche, Belgique, Bulgarie, Croatie, Chypre, Danemark, Espagne, Estonie, Finlande, France, Grèce, Hongrie, Irlande, Italie, Lettonie, Lituanie, Luxembourg, Malte, Mexique, Pays-Bas (Royaume des), Pologne, Portugal, République tchèque, Roumanie, Slovaquie, Slovénie, Suède.</w:t>
      </w:r>
    </w:p>
    <w:p w14:paraId="4664234C" w14:textId="23C25362" w:rsidR="006308E4" w:rsidRPr="00124CC0" w:rsidRDefault="006308E4" w:rsidP="006308E4">
      <w:r w:rsidRPr="00124CC0">
        <w:t>9.1.1</w:t>
      </w:r>
      <w:r w:rsidRPr="00124CC0">
        <w:tab/>
        <w:t>Le TSB est invité à présenter un rapport sur toutes les activités relatives à cette question à la prochaine réunion du GCNT.</w:t>
      </w:r>
    </w:p>
    <w:p w14:paraId="7105A4E6" w14:textId="7EBC5BD0" w:rsidR="006308E4" w:rsidRPr="00124CC0" w:rsidRDefault="006308E4" w:rsidP="006308E4">
      <w:pPr>
        <w:pStyle w:val="Heading1"/>
      </w:pPr>
      <w:bookmarkStart w:id="18" w:name="_Toc161662727"/>
      <w:r w:rsidRPr="00124CC0">
        <w:t>10</w:t>
      </w:r>
      <w:r w:rsidRPr="00124CC0">
        <w:tab/>
        <w:t>Utilisation des langues sur un pied d'égalité (Résolution 67 de l'AMNT-20)</w:t>
      </w:r>
      <w:bookmarkEnd w:id="18"/>
    </w:p>
    <w:p w14:paraId="61B65946" w14:textId="0442E157" w:rsidR="006308E4" w:rsidRPr="00124CC0" w:rsidRDefault="006308E4" w:rsidP="006308E4">
      <w:r w:rsidRPr="00124CC0">
        <w:t>10.1</w:t>
      </w:r>
      <w:r w:rsidRPr="00124CC0">
        <w:tab/>
        <w:t xml:space="preserve">La Contribution </w:t>
      </w:r>
      <w:hyperlink r:id="rId46" w:history="1">
        <w:r w:rsidRPr="00124CC0">
          <w:rPr>
            <w:rStyle w:val="Hyperlink"/>
            <w:rFonts w:ascii="Times New Roman" w:hAnsi="Times New Roman"/>
          </w:rPr>
          <w:t>C54</w:t>
        </w:r>
      </w:hyperlink>
      <w:r w:rsidRPr="00124CC0">
        <w:t xml:space="preserve"> (Fédération de Russie) contient une première proposition de révision de la Résolution</w:t>
      </w:r>
      <w:r w:rsidRPr="00124CC0">
        <w:rPr>
          <w:b/>
          <w:bCs/>
        </w:rPr>
        <w:t xml:space="preserve"> 67</w:t>
      </w:r>
      <w:r w:rsidRPr="00124CC0">
        <w:t xml:space="preserve"> de l'AMNT (Rév. Genève, 2022).</w:t>
      </w:r>
    </w:p>
    <w:p w14:paraId="1B1B3778" w14:textId="3D81240A" w:rsidR="006308E4" w:rsidRPr="00124CC0" w:rsidRDefault="006308E4" w:rsidP="006308E4">
      <w:r w:rsidRPr="00124CC0">
        <w:t>10.1.1</w:t>
      </w:r>
      <w:r w:rsidRPr="00124CC0">
        <w:tab/>
        <w:t>Les participants à la séance plénière d'ouverture du GCNT ont pris note de cette contribution.</w:t>
      </w:r>
    </w:p>
    <w:p w14:paraId="5A8BCA34" w14:textId="18AAB4E6" w:rsidR="006308E4" w:rsidRPr="00124CC0" w:rsidRDefault="006308E4" w:rsidP="006308E4">
      <w:pPr>
        <w:pStyle w:val="Heading1"/>
      </w:pPr>
      <w:bookmarkStart w:id="19" w:name="_Toc161662728"/>
      <w:r w:rsidRPr="00124CC0">
        <w:t>11</w:t>
      </w:r>
      <w:r w:rsidRPr="00124CC0">
        <w:tab/>
        <w:t>Dates et horaires des réunions physiques et virtuelles de l'UIT-T</w:t>
      </w:r>
      <w:bookmarkEnd w:id="19"/>
    </w:p>
    <w:p w14:paraId="09E4DE0D" w14:textId="50C5FE6A" w:rsidR="006308E4" w:rsidRPr="00124CC0" w:rsidRDefault="006308E4" w:rsidP="006308E4">
      <w:r w:rsidRPr="00124CC0">
        <w:t>11.1</w:t>
      </w:r>
      <w:r w:rsidRPr="00124CC0">
        <w:tab/>
        <w:t xml:space="preserve">Il est indiqué dans le Document </w:t>
      </w:r>
      <w:hyperlink r:id="rId47" w:history="1">
        <w:r w:rsidRPr="00124CC0">
          <w:rPr>
            <w:rStyle w:val="Hyperlink"/>
            <w:rFonts w:ascii="Times New Roman" w:hAnsi="Times New Roman"/>
          </w:rPr>
          <w:t>C56</w:t>
        </w:r>
      </w:hyperlink>
      <w:r w:rsidRPr="00124CC0">
        <w:t xml:space="preserve"> (Fédération de Russie) que la tenue en même temps des réunions du GCNT et des groupes de travail du Conseil va à l'encontre de la Décision 11 (Rév. Bucarest, 2022) de la Conférence de plénipotentiaires.</w:t>
      </w:r>
    </w:p>
    <w:p w14:paraId="67EA8EA7" w14:textId="56BE0797" w:rsidR="006308E4" w:rsidRPr="00124CC0" w:rsidRDefault="006308E4" w:rsidP="006308E4">
      <w:r w:rsidRPr="00124CC0">
        <w:t>11.1.1</w:t>
      </w:r>
      <w:r w:rsidRPr="00124CC0">
        <w:tab/>
        <w:t>Le représentant du TSB a expliqué qu'il s'agissait d'une question de disponibilité de salles et de planification. L'orateur a assuré que le TSB continuerait de tout mettre en œuvre dans l'avenir pour éviter de tels chevauchements, mais il a par ailleurs rappelé qu'il fallait garder à l'esprit les nombreuses contraintes dont le TSB et le secrétariat du Conseil de l'UIT devaient tenir compte pour fixer les dates des réunions.</w:t>
      </w:r>
    </w:p>
    <w:p w14:paraId="533618F3" w14:textId="0F247465" w:rsidR="006308E4" w:rsidRPr="00124CC0" w:rsidRDefault="006308E4" w:rsidP="006308E4">
      <w:pPr>
        <w:pStyle w:val="Heading1"/>
      </w:pPr>
      <w:bookmarkStart w:id="20" w:name="_Toc161662729"/>
      <w:r w:rsidRPr="00124CC0">
        <w:t>12</w:t>
      </w:r>
      <w:r w:rsidRPr="00124CC0">
        <w:tab/>
        <w:t>Plan stratégique et plan opérationnel (SOP)</w:t>
      </w:r>
      <w:bookmarkEnd w:id="20"/>
    </w:p>
    <w:p w14:paraId="0491EE55" w14:textId="435A36E6" w:rsidR="006308E4" w:rsidRPr="00124CC0" w:rsidRDefault="006308E4" w:rsidP="006308E4">
      <w:r w:rsidRPr="00124CC0">
        <w:t>12.1</w:t>
      </w:r>
      <w:r w:rsidRPr="00124CC0">
        <w:tab/>
        <w:t xml:space="preserve">il a été pris note du Document </w:t>
      </w:r>
      <w:hyperlink r:id="rId48" w:history="1">
        <w:r w:rsidRPr="00124CC0">
          <w:rPr>
            <w:rStyle w:val="Hyperlink"/>
            <w:rFonts w:ascii="Times New Roman" w:hAnsi="Times New Roman"/>
          </w:rPr>
          <w:t>TD415</w:t>
        </w:r>
      </w:hyperlink>
      <w:r w:rsidRPr="00124CC0">
        <w:t xml:space="preserve"> qui contient des informations mises à jour sur l'élaboration des projets de plan opérationnel quadriennal glissant de l'Union pour la période</w:t>
      </w:r>
      <w:r w:rsidR="00B7351B" w:rsidRPr="00124CC0">
        <w:t> </w:t>
      </w:r>
      <w:r w:rsidRPr="00124CC0">
        <w:t>2025</w:t>
      </w:r>
      <w:r w:rsidRPr="00124CC0">
        <w:noBreakHyphen/>
        <w:t>2028 et il a été demandé au Groupe RG-SOP d'examiner ce document plus en détail.</w:t>
      </w:r>
    </w:p>
    <w:p w14:paraId="43017185" w14:textId="6B93135F" w:rsidR="006308E4" w:rsidRPr="00124CC0" w:rsidRDefault="006308E4" w:rsidP="006308E4">
      <w:pPr>
        <w:pStyle w:val="Heading1"/>
      </w:pPr>
      <w:bookmarkStart w:id="21" w:name="_Toc161662730"/>
      <w:r w:rsidRPr="00124CC0">
        <w:lastRenderedPageBreak/>
        <w:t>13</w:t>
      </w:r>
      <w:r w:rsidRPr="00124CC0">
        <w:tab/>
        <w:t>Activités conjointes de coordination de l'UIT-T</w:t>
      </w:r>
      <w:bookmarkEnd w:id="21"/>
    </w:p>
    <w:p w14:paraId="2C8FC403" w14:textId="5206AC41" w:rsidR="006308E4" w:rsidRPr="00124CC0" w:rsidRDefault="006308E4" w:rsidP="006308E4">
      <w:pPr>
        <w:pStyle w:val="Heading2"/>
      </w:pPr>
      <w:bookmarkStart w:id="22" w:name="_Toc161662731"/>
      <w:r w:rsidRPr="00124CC0">
        <w:t>13.1</w:t>
      </w:r>
      <w:r w:rsidRPr="00124CC0">
        <w:tab/>
        <w:t>Activité conjointe de coordination de l'UIT-T sur les certificats COVID-19 numériques (JCA-DCC de l'UIT-T)</w:t>
      </w:r>
      <w:bookmarkEnd w:id="22"/>
    </w:p>
    <w:p w14:paraId="225F79D0" w14:textId="32BC8848" w:rsidR="006308E4" w:rsidRPr="00124CC0" w:rsidRDefault="006308E4" w:rsidP="006308E4">
      <w:r w:rsidRPr="00124CC0">
        <w:t>13.1.1</w:t>
      </w:r>
      <w:r w:rsidRPr="00124CC0">
        <w:tab/>
        <w:t xml:space="preserve">Le Document </w:t>
      </w:r>
      <w:hyperlink r:id="rId49" w:history="1">
        <w:r w:rsidRPr="00124CC0">
          <w:rPr>
            <w:rStyle w:val="Hyperlink"/>
            <w:rFonts w:ascii="Times New Roman" w:hAnsi="Times New Roman"/>
          </w:rPr>
          <w:t>TD391</w:t>
        </w:r>
      </w:hyperlink>
      <w:r w:rsidRPr="00124CC0">
        <w:t xml:space="preserve"> contient le rapport de la réunion du JCA-DCC tenue le 11 septembre 2023, dans lequel le GCNT est invité à:</w:t>
      </w:r>
    </w:p>
    <w:p w14:paraId="43D0E86B" w14:textId="6FD2E69D" w:rsidR="006308E4" w:rsidRPr="00124CC0" w:rsidRDefault="006308E4" w:rsidP="006308E4">
      <w:pPr>
        <w:pStyle w:val="enumlev1"/>
      </w:pPr>
      <w:r w:rsidRPr="00124CC0">
        <w:t>–</w:t>
      </w:r>
      <w:r w:rsidRPr="00124CC0">
        <w:tab/>
        <w:t>approuver la proposition de révision du nom et du mandat de la JCA-DCC figurant dans l'Annexe A;</w:t>
      </w:r>
    </w:p>
    <w:p w14:paraId="40713221" w14:textId="77777777" w:rsidR="006308E4" w:rsidRPr="00124CC0" w:rsidRDefault="006308E4" w:rsidP="006308E4">
      <w:pPr>
        <w:pStyle w:val="enumlev1"/>
      </w:pPr>
      <w:r w:rsidRPr="00124CC0">
        <w:t>–</w:t>
      </w:r>
      <w:r w:rsidRPr="00124CC0">
        <w:tab/>
        <w:t>approuver la proposition selon laquelle le nom et le mandat révisés prendront effet à compter du début de la prochaine période d'études.</w:t>
      </w:r>
    </w:p>
    <w:p w14:paraId="519CECFC" w14:textId="533F7ACF" w:rsidR="006308E4" w:rsidRPr="00124CC0" w:rsidRDefault="006308E4" w:rsidP="006308E4">
      <w:r w:rsidRPr="00124CC0">
        <w:t xml:space="preserve">Le Document </w:t>
      </w:r>
      <w:hyperlink r:id="rId50" w:history="1">
        <w:r w:rsidRPr="00124CC0">
          <w:rPr>
            <w:rStyle w:val="Hyperlink"/>
            <w:rFonts w:ascii="Times New Roman" w:hAnsi="Times New Roman"/>
          </w:rPr>
          <w:t>C63</w:t>
        </w:r>
      </w:hyperlink>
      <w:r w:rsidRPr="00124CC0">
        <w:t xml:space="preserve"> (Corée (Rép. de)) fait part d'un souhait que la JCA-DCC soit maintenue avec le nom et le mandat révisés figurant dans le Document </w:t>
      </w:r>
      <w:hyperlink r:id="rId51" w:history="1">
        <w:r w:rsidRPr="00124CC0">
          <w:rPr>
            <w:rStyle w:val="Hyperlink"/>
            <w:rFonts w:ascii="Times New Roman" w:hAnsi="Times New Roman"/>
          </w:rPr>
          <w:t>DCC-054</w:t>
        </w:r>
      </w:hyperlink>
      <w:r w:rsidRPr="00124CC0">
        <w:t xml:space="preserve"> afin que la question des "justificatifs médicaux vérifiables (VHC)" soit couverte.</w:t>
      </w:r>
    </w:p>
    <w:p w14:paraId="0C3C66F4" w14:textId="73374FE3" w:rsidR="006308E4" w:rsidRPr="00124CC0" w:rsidRDefault="006308E4" w:rsidP="006308E4">
      <w:r w:rsidRPr="00124CC0">
        <w:t>13.1.1.1</w:t>
      </w:r>
      <w:r w:rsidRPr="00124CC0">
        <w:tab/>
      </w:r>
      <w:r w:rsidRPr="00124CC0">
        <w:tab/>
        <w:t>Les participants ont approuvé le nom et le mandat révisés figurant dans le Document </w:t>
      </w:r>
      <w:hyperlink r:id="rId52" w:history="1">
        <w:r w:rsidRPr="00124CC0">
          <w:rPr>
            <w:rStyle w:val="Hyperlink"/>
            <w:rFonts w:ascii="Times New Roman" w:hAnsi="Times New Roman"/>
          </w:rPr>
          <w:t>TD391</w:t>
        </w:r>
      </w:hyperlink>
      <w:r w:rsidRPr="00124CC0">
        <w:t>.</w:t>
      </w:r>
    </w:p>
    <w:p w14:paraId="0446453C" w14:textId="455745DE" w:rsidR="006308E4" w:rsidRPr="00124CC0" w:rsidRDefault="006308E4" w:rsidP="005954E5">
      <w:pPr>
        <w:pStyle w:val="Heading2"/>
      </w:pPr>
      <w:bookmarkStart w:id="23" w:name="_Toc161662732"/>
      <w:r w:rsidRPr="00124CC0">
        <w:t>13.2</w:t>
      </w:r>
      <w:r w:rsidRPr="00124CC0">
        <w:tab/>
        <w:t>Activité conjointe de coordination de l'UIT-T sur les réseaux de distribution de clés quantiques (JCA-QKDN de l'UIT-T)</w:t>
      </w:r>
      <w:bookmarkEnd w:id="23"/>
    </w:p>
    <w:p w14:paraId="16DAB0D1" w14:textId="5DDA863B" w:rsidR="006308E4" w:rsidRPr="00124CC0" w:rsidRDefault="006308E4" w:rsidP="006308E4">
      <w:r w:rsidRPr="00124CC0">
        <w:t>13.2.1</w:t>
      </w:r>
      <w:r w:rsidRPr="00124CC0">
        <w:tab/>
        <w:t xml:space="preserve">Le Document </w:t>
      </w:r>
      <w:hyperlink r:id="rId53" w:history="1">
        <w:r w:rsidRPr="00124CC0">
          <w:rPr>
            <w:rStyle w:val="Hyperlink"/>
            <w:rFonts w:ascii="Times New Roman" w:hAnsi="Times New Roman"/>
          </w:rPr>
          <w:t>TD434</w:t>
        </w:r>
      </w:hyperlink>
      <w:r w:rsidRPr="00124CC0">
        <w:t xml:space="preserve"> contient un rapport sur les activités récentes menées récemment par la</w:t>
      </w:r>
      <w:r w:rsidR="005954E5" w:rsidRPr="00124CC0">
        <w:t> </w:t>
      </w:r>
      <w:r w:rsidRPr="00124CC0">
        <w:t xml:space="preserve">JCA-QKDN lors de ses réunions du 8 juin et du 14 décembre 2023. Le GCNT est invité à approuver la nomination de Hao </w:t>
      </w:r>
      <w:r w:rsidR="00397752" w:rsidRPr="00124CC0">
        <w:t>QIN</w:t>
      </w:r>
      <w:r w:rsidRPr="00124CC0">
        <w:t xml:space="preserve"> (NUS, Singapore) aux fonctions de Vice-Président de la</w:t>
      </w:r>
      <w:r w:rsidR="005954E5" w:rsidRPr="00124CC0">
        <w:t> </w:t>
      </w:r>
      <w:r w:rsidRPr="00124CC0">
        <w:t>JCA</w:t>
      </w:r>
      <w:r w:rsidR="005954E5" w:rsidRPr="00124CC0">
        <w:noBreakHyphen/>
      </w:r>
      <w:r w:rsidRPr="00124CC0">
        <w:t>QKDN.</w:t>
      </w:r>
    </w:p>
    <w:p w14:paraId="5EBE073C" w14:textId="2DB0C4B6" w:rsidR="006308E4" w:rsidRPr="00124CC0" w:rsidRDefault="006308E4" w:rsidP="005954E5">
      <w:pPr>
        <w:tabs>
          <w:tab w:val="clear" w:pos="794"/>
          <w:tab w:val="clear" w:pos="1191"/>
          <w:tab w:val="clear" w:pos="1588"/>
          <w:tab w:val="clear" w:pos="1985"/>
          <w:tab w:val="left" w:pos="851"/>
        </w:tabs>
      </w:pPr>
      <w:r w:rsidRPr="00124CC0">
        <w:t>13.2.1.1</w:t>
      </w:r>
      <w:r w:rsidRPr="00124CC0">
        <w:tab/>
        <w:t xml:space="preserve">Les participants ont pris note du rapport et ont approuvé la nomination de Hao </w:t>
      </w:r>
      <w:r w:rsidR="00397752" w:rsidRPr="00124CC0">
        <w:t>QIN</w:t>
      </w:r>
      <w:r w:rsidRPr="00124CC0">
        <w:t xml:space="preserve"> (NUS,</w:t>
      </w:r>
      <w:r w:rsidR="005954E5" w:rsidRPr="00124CC0">
        <w:t> </w:t>
      </w:r>
      <w:r w:rsidRPr="00124CC0">
        <w:t>Singapore) aux fonctions de Vice-Président de la JCA-QKDN.</w:t>
      </w:r>
    </w:p>
    <w:p w14:paraId="3B286350" w14:textId="77BBD8BC" w:rsidR="006308E4" w:rsidRPr="00124CC0" w:rsidRDefault="006308E4" w:rsidP="006308E4">
      <w:r w:rsidRPr="00124CC0">
        <w:t>13.2.2</w:t>
      </w:r>
      <w:r w:rsidRPr="00124CC0">
        <w:tab/>
        <w:t xml:space="preserve">Le Document </w:t>
      </w:r>
      <w:hyperlink r:id="rId54" w:history="1">
        <w:r w:rsidRPr="00124CC0">
          <w:rPr>
            <w:rStyle w:val="Hyperlink"/>
            <w:rFonts w:ascii="Times New Roman" w:hAnsi="Times New Roman"/>
          </w:rPr>
          <w:t>TD465</w:t>
        </w:r>
      </w:hyperlink>
      <w:r w:rsidRPr="00124CC0">
        <w:t xml:space="preserve"> présente un aperçu des activités de l'UIT-T sur l'informatique quantique. Il a été pris note de ce document temporaire.</w:t>
      </w:r>
    </w:p>
    <w:p w14:paraId="1776B7BA" w14:textId="6E4C9759" w:rsidR="006308E4" w:rsidRPr="00124CC0" w:rsidRDefault="006308E4" w:rsidP="005954E5">
      <w:pPr>
        <w:pStyle w:val="Heading2"/>
      </w:pPr>
      <w:bookmarkStart w:id="24" w:name="_Toc161662733"/>
      <w:r w:rsidRPr="00124CC0">
        <w:t>13.3</w:t>
      </w:r>
      <w:r w:rsidRPr="00124CC0">
        <w:tab/>
        <w:t>Activité conjointe de coordination de l'UIT-T sur l'accessibilité et les facteurs humains (JCA</w:t>
      </w:r>
      <w:r w:rsidR="005954E5" w:rsidRPr="00124CC0">
        <w:noBreakHyphen/>
      </w:r>
      <w:r w:rsidRPr="00124CC0">
        <w:t>AHF de l'UIT-T)</w:t>
      </w:r>
      <w:bookmarkEnd w:id="24"/>
    </w:p>
    <w:p w14:paraId="40730EDF" w14:textId="1F816B6B" w:rsidR="006308E4" w:rsidRPr="00124CC0" w:rsidRDefault="006308E4" w:rsidP="006308E4">
      <w:r w:rsidRPr="00124CC0">
        <w:t>13.3.1</w:t>
      </w:r>
      <w:r w:rsidRPr="00124CC0">
        <w:tab/>
        <w:t xml:space="preserve">Le Document </w:t>
      </w:r>
      <w:hyperlink r:id="rId55" w:history="1">
        <w:r w:rsidRPr="00124CC0">
          <w:rPr>
            <w:rStyle w:val="Hyperlink"/>
            <w:rFonts w:ascii="Times New Roman" w:hAnsi="Times New Roman"/>
          </w:rPr>
          <w:t>TD449</w:t>
        </w:r>
      </w:hyperlink>
      <w:r w:rsidRPr="00124CC0">
        <w:t xml:space="preserve"> contient le rapport de la réunion de la JCA-AHF tenu le</w:t>
      </w:r>
      <w:r w:rsidR="005954E5" w:rsidRPr="00124CC0">
        <w:t> </w:t>
      </w:r>
      <w:r w:rsidRPr="00124CC0">
        <w:t>19</w:t>
      </w:r>
      <w:r w:rsidR="005954E5" w:rsidRPr="00124CC0">
        <w:t> </w:t>
      </w:r>
      <w:r w:rsidRPr="00124CC0">
        <w:t>juillet</w:t>
      </w:r>
      <w:r w:rsidR="005954E5" w:rsidRPr="00124CC0">
        <w:t> </w:t>
      </w:r>
      <w:r w:rsidRPr="00124CC0">
        <w:t>2023 à Genève. Il a été pris note de ce document temporaire.</w:t>
      </w:r>
    </w:p>
    <w:p w14:paraId="190E529D" w14:textId="77777777" w:rsidR="006308E4" w:rsidRPr="00124CC0" w:rsidRDefault="006308E4" w:rsidP="005954E5">
      <w:pPr>
        <w:pStyle w:val="Heading1"/>
      </w:pPr>
      <w:bookmarkStart w:id="25" w:name="_Toc161662734"/>
      <w:r w:rsidRPr="00124CC0">
        <w:t>14</w:t>
      </w:r>
      <w:r w:rsidRPr="00124CC0">
        <w:tab/>
        <w:t>Groupes régionaux</w:t>
      </w:r>
      <w:bookmarkEnd w:id="25"/>
    </w:p>
    <w:p w14:paraId="5583FD18" w14:textId="2BE493CF" w:rsidR="006308E4" w:rsidRPr="00124CC0" w:rsidRDefault="006308E4" w:rsidP="006308E4">
      <w:r w:rsidRPr="00124CC0">
        <w:t>14.1</w:t>
      </w:r>
      <w:r w:rsidRPr="00124CC0">
        <w:tab/>
        <w:t xml:space="preserve">Par la note de liaison figurant dans le Document </w:t>
      </w:r>
      <w:hyperlink r:id="rId56" w:history="1">
        <w:r w:rsidRPr="00124CC0">
          <w:rPr>
            <w:rStyle w:val="Hyperlink"/>
            <w:rFonts w:ascii="Times New Roman" w:hAnsi="Times New Roman"/>
          </w:rPr>
          <w:t>TD356</w:t>
        </w:r>
      </w:hyperlink>
      <w:r w:rsidRPr="00124CC0">
        <w:t>, le GCNT est informé de la création du nouveau Groupe régional de la CE 12 de l'UIT-T pour la région Amériques (SG12RG</w:t>
      </w:r>
      <w:r w:rsidR="005954E5" w:rsidRPr="00124CC0">
        <w:noBreakHyphen/>
      </w:r>
      <w:r w:rsidRPr="00124CC0">
        <w:t>AMR). Il a été pris note de ce document temporaire.</w:t>
      </w:r>
    </w:p>
    <w:p w14:paraId="43915411" w14:textId="77777777" w:rsidR="006308E4" w:rsidRPr="00124CC0" w:rsidRDefault="006308E4" w:rsidP="005954E5">
      <w:pPr>
        <w:pStyle w:val="Heading1"/>
      </w:pPr>
      <w:bookmarkStart w:id="26" w:name="_Toc161662735"/>
      <w:r w:rsidRPr="00124CC0">
        <w:t>15</w:t>
      </w:r>
      <w:r w:rsidRPr="00124CC0">
        <w:tab/>
        <w:t>Vocabulaire</w:t>
      </w:r>
      <w:bookmarkEnd w:id="26"/>
    </w:p>
    <w:p w14:paraId="3952DB8E" w14:textId="77D4070A" w:rsidR="006308E4" w:rsidRPr="00124CC0" w:rsidRDefault="006308E4" w:rsidP="006308E4">
      <w:r w:rsidRPr="00124CC0">
        <w:t>15.1</w:t>
      </w:r>
      <w:r w:rsidRPr="00124CC0">
        <w:tab/>
        <w:t xml:space="preserve">Le Document </w:t>
      </w:r>
      <w:hyperlink r:id="rId57" w:history="1">
        <w:r w:rsidRPr="00124CC0">
          <w:rPr>
            <w:rStyle w:val="Hyperlink"/>
            <w:rFonts w:ascii="Times New Roman" w:hAnsi="Times New Roman"/>
          </w:rPr>
          <w:t>TD435</w:t>
        </w:r>
      </w:hyperlink>
      <w:r w:rsidRPr="00124CC0">
        <w:t xml:space="preserve"> contient le rapport d'activités du Comité de normalisation pour le vocabulaire (SCV) pour la période mai 2023</w:t>
      </w:r>
      <w:r w:rsidR="0079412C" w:rsidRPr="00124CC0">
        <w:t xml:space="preserve"> – </w:t>
      </w:r>
      <w:r w:rsidRPr="00124CC0">
        <w:t>janvier 2024. Il a été pris note de ce document temporaire.</w:t>
      </w:r>
    </w:p>
    <w:p w14:paraId="3ABDA616" w14:textId="2259A145" w:rsidR="006308E4" w:rsidRPr="00124CC0" w:rsidRDefault="006308E4" w:rsidP="005954E5">
      <w:pPr>
        <w:keepLines/>
      </w:pPr>
      <w:r w:rsidRPr="00124CC0">
        <w:lastRenderedPageBreak/>
        <w:t>15.2</w:t>
      </w:r>
      <w:r w:rsidRPr="00124CC0">
        <w:tab/>
        <w:t xml:space="preserve">La note de liaison figurant dans le Document </w:t>
      </w:r>
      <w:hyperlink r:id="rId58" w:history="1">
        <w:r w:rsidRPr="00124CC0">
          <w:rPr>
            <w:rStyle w:val="Hyperlink"/>
            <w:rFonts w:ascii="Times New Roman" w:hAnsi="Times New Roman"/>
          </w:rPr>
          <w:t>TD383</w:t>
        </w:r>
      </w:hyperlink>
      <w:r w:rsidRPr="00124CC0">
        <w:t xml:space="preserve"> contenait des informations demandées via la note de liaison TSAG-LS20 relative à l'utilisation d'un langage inclusif dans les textes de</w:t>
      </w:r>
      <w:r w:rsidR="005954E5" w:rsidRPr="00124CC0">
        <w:t> </w:t>
      </w:r>
      <w:r w:rsidRPr="00124CC0">
        <w:t>l'UIT-T, ainsi qu'une proposition visant à ce que la CE 2 de l'UIT-T commence à définir, sur la base de contributions, des solutions pour remplacer la terminologie qui pourrait être considérée comme non inclusive.</w:t>
      </w:r>
    </w:p>
    <w:p w14:paraId="1899691F" w14:textId="2A77ADEF" w:rsidR="006308E4" w:rsidRPr="00124CC0" w:rsidRDefault="006308E4" w:rsidP="006308E4">
      <w:r w:rsidRPr="00124CC0">
        <w:t>15.2.1</w:t>
      </w:r>
      <w:r w:rsidRPr="00124CC0">
        <w:tab/>
        <w:t>Les participants ont décidé de programmer une courte séance ad hoc à la prochaine réunion du</w:t>
      </w:r>
      <w:r w:rsidR="005954E5" w:rsidRPr="00124CC0">
        <w:t> </w:t>
      </w:r>
      <w:r w:rsidRPr="00124CC0">
        <w:t>GCNT afin de définir la manière de procéder pour la terminologie technique, en particulier celle qui nécessiterait à terme un alignement avec d'autres organisations pour des questions de comptabilité des protocoles.</w:t>
      </w:r>
    </w:p>
    <w:p w14:paraId="5062768B" w14:textId="3CE1C5C2" w:rsidR="006308E4" w:rsidRPr="00124CC0" w:rsidRDefault="006308E4" w:rsidP="006308E4">
      <w:r w:rsidRPr="00124CC0">
        <w:t>15.3</w:t>
      </w:r>
      <w:r w:rsidRPr="00124CC0">
        <w:tab/>
        <w:t xml:space="preserve">La note de liaison figurant dans le Document </w:t>
      </w:r>
      <w:hyperlink r:id="rId59" w:history="1">
        <w:r w:rsidRPr="00124CC0">
          <w:rPr>
            <w:rStyle w:val="Hyperlink"/>
            <w:rFonts w:ascii="Times New Roman" w:hAnsi="Times New Roman"/>
          </w:rPr>
          <w:t>TD377</w:t>
        </w:r>
      </w:hyperlink>
      <w:r w:rsidRPr="00124CC0">
        <w:t xml:space="preserve"> donne un aperçu des activités menées actuellement au sein de la CE 2 de l'UIT-T sur la terminologie et les définitions. Il a été pris note de ce document temporaire.</w:t>
      </w:r>
    </w:p>
    <w:p w14:paraId="6C6A99BF" w14:textId="03AB645C" w:rsidR="006308E4" w:rsidRPr="00124CC0" w:rsidRDefault="006308E4" w:rsidP="006308E4">
      <w:r w:rsidRPr="00124CC0">
        <w:t>15.4</w:t>
      </w:r>
      <w:r w:rsidRPr="00124CC0">
        <w:tab/>
        <w:t xml:space="preserve">La note de liaison figurant dans le Document </w:t>
      </w:r>
      <w:hyperlink r:id="rId60" w:history="1">
        <w:r w:rsidRPr="00124CC0">
          <w:rPr>
            <w:rStyle w:val="Hyperlink"/>
            <w:rFonts w:ascii="Times New Roman" w:hAnsi="Times New Roman"/>
          </w:rPr>
          <w:t>TD408</w:t>
        </w:r>
      </w:hyperlink>
      <w:r w:rsidRPr="00124CC0">
        <w:t xml:space="preserve"> contient des informations sur les mesures prises par la CE 15 sur la question de la langue non inclusive. Il a été pris note de ce document temporaire.</w:t>
      </w:r>
    </w:p>
    <w:p w14:paraId="509919C4" w14:textId="77777777" w:rsidR="006308E4" w:rsidRPr="00124CC0" w:rsidRDefault="006308E4" w:rsidP="005954E5">
      <w:pPr>
        <w:pStyle w:val="Heading1"/>
      </w:pPr>
      <w:bookmarkStart w:id="27" w:name="_Toc161662736"/>
      <w:r w:rsidRPr="00124CC0">
        <w:t>16</w:t>
      </w:r>
      <w:r w:rsidRPr="00124CC0">
        <w:tab/>
        <w:t>L'intelligence artificielle au service du bien social</w:t>
      </w:r>
      <w:bookmarkEnd w:id="27"/>
    </w:p>
    <w:p w14:paraId="1C7E44E7" w14:textId="4CCB38D1" w:rsidR="006308E4" w:rsidRPr="00124CC0" w:rsidRDefault="006308E4" w:rsidP="006308E4">
      <w:r w:rsidRPr="00124CC0">
        <w:t>16.1</w:t>
      </w:r>
      <w:r w:rsidRPr="00124CC0">
        <w:tab/>
        <w:t xml:space="preserve">Le Document </w:t>
      </w:r>
      <w:hyperlink r:id="rId61" w:history="1">
        <w:r w:rsidRPr="00124CC0">
          <w:rPr>
            <w:rStyle w:val="Hyperlink"/>
            <w:rFonts w:ascii="Times New Roman" w:hAnsi="Times New Roman"/>
          </w:rPr>
          <w:t>TD421</w:t>
        </w:r>
      </w:hyperlink>
      <w:r w:rsidRPr="00124CC0">
        <w:t xml:space="preserve"> contient une présentation avec des projets d'activités détaillés pour la plate</w:t>
      </w:r>
      <w:r w:rsidR="005954E5" w:rsidRPr="00124CC0">
        <w:noBreakHyphen/>
      </w:r>
      <w:r w:rsidRPr="00124CC0">
        <w:t xml:space="preserve">forme </w:t>
      </w:r>
      <w:r w:rsidR="005954E5" w:rsidRPr="00124CC0">
        <w:t>"</w:t>
      </w:r>
      <w:r w:rsidRPr="00124CC0">
        <w:t>L'IA au service du bien social</w:t>
      </w:r>
      <w:r w:rsidR="005954E5" w:rsidRPr="00124CC0">
        <w:t>"</w:t>
      </w:r>
      <w:r w:rsidRPr="00124CC0">
        <w:t xml:space="preserve"> en 2024. Il a été pris note de ce document temporaire.</w:t>
      </w:r>
    </w:p>
    <w:p w14:paraId="33261D72" w14:textId="77777777" w:rsidR="006308E4" w:rsidRPr="00124CC0" w:rsidRDefault="006308E4" w:rsidP="005954E5">
      <w:pPr>
        <w:pStyle w:val="Heading1"/>
      </w:pPr>
      <w:bookmarkStart w:id="28" w:name="_Toc161662737"/>
      <w:r w:rsidRPr="00124CC0">
        <w:t>17</w:t>
      </w:r>
      <w:r w:rsidRPr="00124CC0">
        <w:tab/>
        <w:t>Conférence Kaléidoscope</w:t>
      </w:r>
      <w:bookmarkEnd w:id="28"/>
    </w:p>
    <w:p w14:paraId="58447BD9" w14:textId="07309963" w:rsidR="006308E4" w:rsidRPr="00124CC0" w:rsidRDefault="006308E4" w:rsidP="006308E4">
      <w:r w:rsidRPr="00124CC0">
        <w:t>17.1</w:t>
      </w:r>
      <w:r w:rsidRPr="00124CC0">
        <w:tab/>
        <w:t xml:space="preserve">Le Document </w:t>
      </w:r>
      <w:hyperlink r:id="rId62" w:history="1">
        <w:r w:rsidRPr="00124CC0">
          <w:rPr>
            <w:rStyle w:val="Hyperlink"/>
            <w:rFonts w:ascii="Times New Roman" w:hAnsi="Times New Roman"/>
          </w:rPr>
          <w:t>TD405R1</w:t>
        </w:r>
      </w:hyperlink>
      <w:r w:rsidRPr="00124CC0">
        <w:t xml:space="preserve"> présente un aperçu de la prochaine Conférence universitaire Kaléidoscope de l'UIT de 2024 (K-2024) qui aura lieu à New Delhi (Inde), du 21 au 23</w:t>
      </w:r>
      <w:r w:rsidR="005954E5" w:rsidRPr="00124CC0">
        <w:t> </w:t>
      </w:r>
      <w:r w:rsidRPr="00124CC0">
        <w:t>octobre</w:t>
      </w:r>
      <w:r w:rsidR="005954E5" w:rsidRPr="00124CC0">
        <w:t> </w:t>
      </w:r>
      <w:r w:rsidRPr="00124CC0">
        <w:t>2024.</w:t>
      </w:r>
    </w:p>
    <w:p w14:paraId="56502114" w14:textId="77777777" w:rsidR="006308E4" w:rsidRPr="00124CC0" w:rsidRDefault="006308E4" w:rsidP="006308E4">
      <w:r w:rsidRPr="00124CC0">
        <w:t>17.1.1</w:t>
      </w:r>
      <w:r w:rsidRPr="00124CC0">
        <w:tab/>
        <w:t>Les participants ont pris note de ce document temporaire et ont invité tous les membres à faire la promotion de cette manifestation, qui aura lieu parallèlement à l'AMNT.</w:t>
      </w:r>
    </w:p>
    <w:p w14:paraId="5B11CFA9" w14:textId="77777777" w:rsidR="006308E4" w:rsidRPr="00124CC0" w:rsidRDefault="006308E4" w:rsidP="005954E5">
      <w:pPr>
        <w:pStyle w:val="Heading1"/>
      </w:pPr>
      <w:bookmarkStart w:id="29" w:name="_Toc161662738"/>
      <w:r w:rsidRPr="00124CC0">
        <w:t>18</w:t>
      </w:r>
      <w:r w:rsidRPr="00124CC0">
        <w:tab/>
        <w:t>Journal de l'UIT sur les technologies futures et les technologies en évolution</w:t>
      </w:r>
      <w:bookmarkEnd w:id="29"/>
    </w:p>
    <w:p w14:paraId="5558669A" w14:textId="6B13EBEE" w:rsidR="006308E4" w:rsidRPr="00124CC0" w:rsidRDefault="006308E4" w:rsidP="006308E4">
      <w:r w:rsidRPr="00124CC0">
        <w:t>18.1</w:t>
      </w:r>
      <w:r w:rsidRPr="00124CC0">
        <w:tab/>
        <w:t xml:space="preserve">Le Document </w:t>
      </w:r>
      <w:hyperlink r:id="rId63" w:history="1">
        <w:r w:rsidRPr="00124CC0">
          <w:rPr>
            <w:rStyle w:val="Hyperlink"/>
            <w:rFonts w:ascii="Times New Roman" w:hAnsi="Times New Roman"/>
          </w:rPr>
          <w:t>TD406</w:t>
        </w:r>
      </w:hyperlink>
      <w:r w:rsidRPr="00124CC0">
        <w:t xml:space="preserve"> donne des informations sur les numéros publiés en 2023, ainsi que sur la série de webinaires lors desquels des directeurs techniques et des universitaires de renom partagent leurs points de vue.</w:t>
      </w:r>
    </w:p>
    <w:p w14:paraId="3B65047A" w14:textId="04A64E2A" w:rsidR="006308E4" w:rsidRPr="00124CC0" w:rsidRDefault="006308E4" w:rsidP="006308E4">
      <w:r w:rsidRPr="00124CC0">
        <w:t>18.1.1</w:t>
      </w:r>
      <w:r w:rsidRPr="00124CC0">
        <w:tab/>
        <w:t>Les participants ont pris note de ce document temporaire et le travail accompli par le</w:t>
      </w:r>
      <w:r w:rsidR="00397752" w:rsidRPr="00124CC0">
        <w:t> </w:t>
      </w:r>
      <w:r w:rsidRPr="00124CC0">
        <w:t>TSB sur ce point a été particulièrement apprécié.</w:t>
      </w:r>
    </w:p>
    <w:p w14:paraId="2D6990B1" w14:textId="2C800A3E" w:rsidR="006308E4" w:rsidRPr="00124CC0" w:rsidRDefault="006308E4" w:rsidP="005954E5">
      <w:pPr>
        <w:pStyle w:val="Heading1"/>
      </w:pPr>
      <w:bookmarkStart w:id="30" w:name="_Toc161662739"/>
      <w:r w:rsidRPr="00124CC0">
        <w:t>19</w:t>
      </w:r>
      <w:r w:rsidRPr="00124CC0">
        <w:tab/>
        <w:t>Contribution des bureaux régionaux de l'U</w:t>
      </w:r>
      <w:r w:rsidR="0044193C" w:rsidRPr="00124CC0">
        <w:t>IT</w:t>
      </w:r>
      <w:bookmarkEnd w:id="30"/>
    </w:p>
    <w:p w14:paraId="45E09E02" w14:textId="2995AD64" w:rsidR="006308E4" w:rsidRPr="00124CC0" w:rsidRDefault="005954E5" w:rsidP="006308E4">
      <w:r w:rsidRPr="00124CC0">
        <w:t>19</w:t>
      </w:r>
      <w:r w:rsidR="006308E4" w:rsidRPr="00124CC0">
        <w:t>.1</w:t>
      </w:r>
      <w:r w:rsidR="006308E4" w:rsidRPr="00124CC0">
        <w:tab/>
        <w:t xml:space="preserve">Le Document </w:t>
      </w:r>
      <w:hyperlink r:id="rId64" w:history="1">
        <w:r w:rsidR="006308E4" w:rsidRPr="00124CC0">
          <w:rPr>
            <w:rStyle w:val="Hyperlink"/>
            <w:rFonts w:ascii="Times New Roman" w:hAnsi="Times New Roman"/>
          </w:rPr>
          <w:t>TD390</w:t>
        </w:r>
      </w:hyperlink>
      <w:r w:rsidR="006308E4" w:rsidRPr="00124CC0">
        <w:t xml:space="preserve"> fait un résumé de la contribution apportée par les bureaux régionaux de l'UI</w:t>
      </w:r>
      <w:r w:rsidR="0044193C" w:rsidRPr="00124CC0">
        <w:t>T</w:t>
      </w:r>
      <w:r w:rsidR="006308E4" w:rsidRPr="00124CC0">
        <w:t xml:space="preserve"> à la mise en œuvre du plan opérationnel quadriennal glissant de l'UIT, comme demandé dans la Résolution </w:t>
      </w:r>
      <w:r w:rsidR="006308E4" w:rsidRPr="00124CC0">
        <w:rPr>
          <w:b/>
          <w:bCs/>
        </w:rPr>
        <w:t>25 (Rév. Bucarest, 2022)</w:t>
      </w:r>
      <w:r w:rsidR="006308E4" w:rsidRPr="00124CC0">
        <w:t xml:space="preserve"> de la Conférence de plénipotentiaires de l'UIT. Il a été pris note de ce document temporaire.</w:t>
      </w:r>
    </w:p>
    <w:p w14:paraId="551A860C" w14:textId="77777777" w:rsidR="006308E4" w:rsidRPr="00124CC0" w:rsidRDefault="006308E4" w:rsidP="005954E5">
      <w:pPr>
        <w:pStyle w:val="Heading1"/>
      </w:pPr>
      <w:bookmarkStart w:id="31" w:name="_Toc161662740"/>
      <w:r w:rsidRPr="00124CC0">
        <w:t>20</w:t>
      </w:r>
      <w:r w:rsidRPr="00124CC0">
        <w:tab/>
        <w:t>Coordination avec la Collaboration CITS</w:t>
      </w:r>
      <w:bookmarkEnd w:id="31"/>
    </w:p>
    <w:p w14:paraId="75955399" w14:textId="10032FB2" w:rsidR="006308E4" w:rsidRPr="00124CC0" w:rsidRDefault="006308E4" w:rsidP="006308E4">
      <w:r w:rsidRPr="00124CC0">
        <w:t>20.1</w:t>
      </w:r>
      <w:r w:rsidRPr="00124CC0">
        <w:tab/>
        <w:t xml:space="preserve">Le Document </w:t>
      </w:r>
      <w:hyperlink r:id="rId65" w:history="1">
        <w:r w:rsidRPr="00124CC0">
          <w:rPr>
            <w:rStyle w:val="Hyperlink"/>
            <w:rFonts w:ascii="Times New Roman" w:hAnsi="Times New Roman"/>
          </w:rPr>
          <w:t>TD431</w:t>
        </w:r>
      </w:hyperlink>
      <w:r w:rsidRPr="00124CC0">
        <w:t xml:space="preserve"> présente un résumé des activités menées par l'UIT-T dans le domaine des communications pour les systèmes de transport intelligents (ITS) depuis la dernière réunion du</w:t>
      </w:r>
      <w:r w:rsidR="005954E5" w:rsidRPr="00124CC0">
        <w:t> </w:t>
      </w:r>
      <w:r w:rsidRPr="00124CC0">
        <w:t>GCNT tenue en mai</w:t>
      </w:r>
      <w:r w:rsidR="0044193C" w:rsidRPr="00124CC0">
        <w:t>-</w:t>
      </w:r>
      <w:r w:rsidRPr="00124CC0">
        <w:t>juin 2023. Il a été pris note de ce document temporaire.</w:t>
      </w:r>
    </w:p>
    <w:p w14:paraId="7CB4FB3B" w14:textId="60802A24" w:rsidR="006308E4" w:rsidRPr="00124CC0" w:rsidRDefault="006308E4" w:rsidP="006308E4">
      <w:r w:rsidRPr="00124CC0">
        <w:lastRenderedPageBreak/>
        <w:t>20.21</w:t>
      </w:r>
      <w:r w:rsidRPr="00124CC0">
        <w:tab/>
        <w:t xml:space="preserve">Le Document </w:t>
      </w:r>
      <w:hyperlink r:id="rId66" w:history="1">
        <w:r w:rsidRPr="00124CC0">
          <w:rPr>
            <w:rStyle w:val="Hyperlink"/>
            <w:rFonts w:ascii="Times New Roman" w:hAnsi="Times New Roman"/>
          </w:rPr>
          <w:t>TD359</w:t>
        </w:r>
      </w:hyperlink>
      <w:r w:rsidRPr="00124CC0">
        <w:t xml:space="preserve"> indique qu'un Groupe d'experts sur les technologies de la communication pour la conduite automatisée a été créé. Il a été pris note de ce document temporaire.</w:t>
      </w:r>
    </w:p>
    <w:p w14:paraId="461700F1" w14:textId="77777777" w:rsidR="006308E4" w:rsidRPr="00124CC0" w:rsidRDefault="006308E4" w:rsidP="005954E5">
      <w:pPr>
        <w:pStyle w:val="Heading1"/>
      </w:pPr>
      <w:bookmarkStart w:id="32" w:name="_Toc161662741"/>
      <w:r w:rsidRPr="00124CC0">
        <w:t>21</w:t>
      </w:r>
      <w:r w:rsidRPr="00124CC0">
        <w:tab/>
        <w:t>Résultats des activités des Groupes de travail du GCNT</w:t>
      </w:r>
      <w:bookmarkEnd w:id="32"/>
    </w:p>
    <w:p w14:paraId="7B8BF6C9" w14:textId="1135ED78" w:rsidR="006308E4" w:rsidRPr="00124CC0" w:rsidRDefault="006308E4" w:rsidP="006308E4">
      <w:r w:rsidRPr="00124CC0">
        <w:t>Les activités des deux Groupes de travail du GCNT ont progressé dans le cadre des séances prévues (Document</w:t>
      </w:r>
      <w:r w:rsidR="005954E5" w:rsidRPr="00124CC0">
        <w:t> </w:t>
      </w:r>
      <w:hyperlink r:id="rId67" w:history="1">
        <w:r w:rsidRPr="00124CC0">
          <w:rPr>
            <w:rStyle w:val="Hyperlink"/>
            <w:rFonts w:ascii="Times New Roman" w:hAnsi="Times New Roman"/>
          </w:rPr>
          <w:t>TD303R1</w:t>
        </w:r>
      </w:hyperlink>
      <w:r w:rsidRPr="00124CC0">
        <w:t>) et les deux Groupes ont présenté les résultats à la plénière de clôture du</w:t>
      </w:r>
      <w:r w:rsidR="005954E5" w:rsidRPr="00124CC0">
        <w:t> </w:t>
      </w:r>
      <w:r w:rsidRPr="00124CC0">
        <w:t>GCNT. Les rapports ont été approuvés. Les décisions de la plénière sont résumées ci</w:t>
      </w:r>
      <w:r w:rsidR="005954E5" w:rsidRPr="00124CC0">
        <w:noBreakHyphen/>
      </w:r>
      <w:r w:rsidRPr="00124CC0">
        <w:t>dessous. L'Annexe</w:t>
      </w:r>
      <w:r w:rsidR="005954E5" w:rsidRPr="00124CC0">
        <w:t> </w:t>
      </w:r>
      <w:r w:rsidRPr="00124CC0">
        <w:t xml:space="preserve">A au présent rapport contient un tableau répertoriant les documents temporaires ainsi que les rapports des divers </w:t>
      </w:r>
      <w:r w:rsidR="005954E5" w:rsidRPr="00124CC0">
        <w:t>g</w:t>
      </w:r>
      <w:r w:rsidRPr="00124CC0">
        <w:t xml:space="preserve">roupes de travail et </w:t>
      </w:r>
      <w:r w:rsidR="005954E5" w:rsidRPr="00124CC0">
        <w:t>g</w:t>
      </w:r>
      <w:r w:rsidRPr="00124CC0">
        <w:t>roupes du Rapporteur, les notes de liaison qu'ils ont produites et les activités intérimaires qui sont prévues.</w:t>
      </w:r>
    </w:p>
    <w:p w14:paraId="43878A09" w14:textId="2449A891" w:rsidR="006308E4" w:rsidRPr="00124CC0" w:rsidRDefault="006308E4" w:rsidP="005954E5">
      <w:pPr>
        <w:pStyle w:val="Heading2"/>
      </w:pPr>
      <w:bookmarkStart w:id="33" w:name="_Toc161662742"/>
      <w:r w:rsidRPr="00124CC0">
        <w:t>21.1</w:t>
      </w:r>
      <w:r w:rsidRPr="00124CC0">
        <w:tab/>
        <w:t>Groupe de travail 1 du GCNT</w:t>
      </w:r>
      <w:r w:rsidR="005954E5" w:rsidRPr="00124CC0">
        <w:t xml:space="preserve"> – </w:t>
      </w:r>
      <w:r w:rsidRPr="00124CC0">
        <w:t>"Méthodes de travail et travaux préparatoires connexes en vue de l'AMNT"</w:t>
      </w:r>
      <w:bookmarkEnd w:id="33"/>
    </w:p>
    <w:p w14:paraId="41C74F6A" w14:textId="768AC28B" w:rsidR="006308E4" w:rsidRPr="00124CC0" w:rsidRDefault="006308E4" w:rsidP="006308E4">
      <w:r w:rsidRPr="00124CC0">
        <w:t>21.1.1</w:t>
      </w:r>
      <w:r w:rsidRPr="00124CC0">
        <w:tab/>
        <w:t>Le Groupe de travail 1 s'est réuni sous la direction de son Président, M.</w:t>
      </w:r>
      <w:r w:rsidR="005954E5" w:rsidRPr="00124CC0">
        <w:t> </w:t>
      </w:r>
      <w:r w:rsidRPr="00124CC0">
        <w:t>Mihail</w:t>
      </w:r>
      <w:r w:rsidR="005954E5" w:rsidRPr="00124CC0">
        <w:t> </w:t>
      </w:r>
      <w:r w:rsidRPr="00124CC0">
        <w:t>ION (Roumanie), avec l'assistance de la Vice-Présidente du GT 1, Mme Minah LEE, Corée (Rép.</w:t>
      </w:r>
      <w:r w:rsidR="005954E5" w:rsidRPr="00124CC0">
        <w:t> </w:t>
      </w:r>
      <w:r w:rsidRPr="00124CC0">
        <w:t>de), et de M.</w:t>
      </w:r>
      <w:r w:rsidR="005954E5" w:rsidRPr="00124CC0">
        <w:t> </w:t>
      </w:r>
      <w:r w:rsidRPr="00124CC0">
        <w:t>Simão</w:t>
      </w:r>
      <w:r w:rsidR="005954E5" w:rsidRPr="00124CC0">
        <w:t> </w:t>
      </w:r>
      <w:r w:rsidRPr="00124CC0">
        <w:t>CAMPOS (TSB).</w:t>
      </w:r>
    </w:p>
    <w:p w14:paraId="163E6EAD" w14:textId="2C7E6ACB" w:rsidR="006308E4" w:rsidRPr="00124CC0" w:rsidRDefault="006308E4" w:rsidP="006308E4">
      <w:r w:rsidRPr="00124CC0">
        <w:t>21.1.2</w:t>
      </w:r>
      <w:r w:rsidRPr="00124CC0">
        <w:tab/>
        <w:t xml:space="preserve">Le Document </w:t>
      </w:r>
      <w:hyperlink r:id="rId68" w:history="1">
        <w:r w:rsidRPr="00124CC0">
          <w:rPr>
            <w:rStyle w:val="Hyperlink"/>
            <w:rFonts w:ascii="Times New Roman" w:hAnsi="Times New Roman"/>
          </w:rPr>
          <w:t>TD312R1</w:t>
        </w:r>
      </w:hyperlink>
      <w:r w:rsidRPr="00124CC0">
        <w:t xml:space="preserve"> contient le rapport du GT 1.</w:t>
      </w:r>
    </w:p>
    <w:p w14:paraId="74289C2A" w14:textId="49443806" w:rsidR="006308E4" w:rsidRPr="00124CC0" w:rsidRDefault="006308E4" w:rsidP="006308E4">
      <w:r w:rsidRPr="00124CC0">
        <w:t>21.1.3</w:t>
      </w:r>
      <w:r w:rsidRPr="00124CC0">
        <w:tab/>
        <w:t>Le GCNT a approuvé le rapport de la réunion du GT 1 figurant dans le Document</w:t>
      </w:r>
      <w:r w:rsidR="005954E5" w:rsidRPr="00124CC0">
        <w:t> </w:t>
      </w:r>
      <w:hyperlink r:id="rId69" w:history="1">
        <w:r w:rsidRPr="00124CC0">
          <w:rPr>
            <w:rStyle w:val="Hyperlink"/>
            <w:rFonts w:ascii="Times New Roman" w:hAnsi="Times New Roman"/>
          </w:rPr>
          <w:t>TD312R1</w:t>
        </w:r>
      </w:hyperlink>
      <w:r w:rsidRPr="00124CC0">
        <w:t xml:space="preserve"> [</w:t>
      </w:r>
      <w:r w:rsidR="00397752" w:rsidRPr="00124CC0">
        <w:rPr>
          <w:b/>
          <w:bCs/>
        </w:rPr>
        <w:t xml:space="preserve">GT </w:t>
      </w:r>
      <w:r w:rsidRPr="00124CC0">
        <w:rPr>
          <w:b/>
          <w:bCs/>
        </w:rPr>
        <w:t>1-1</w:t>
      </w:r>
      <w:r w:rsidRPr="00124CC0">
        <w:t>].</w:t>
      </w:r>
    </w:p>
    <w:p w14:paraId="54FBF5BC" w14:textId="65497E14" w:rsidR="006308E4" w:rsidRPr="00124CC0" w:rsidRDefault="006308E4" w:rsidP="006308E4">
      <w:r w:rsidRPr="00124CC0">
        <w:t>21.1.4</w:t>
      </w:r>
      <w:r w:rsidRPr="00124CC0">
        <w:tab/>
        <w:t xml:space="preserve">Concernant le projet de Recommandation </w:t>
      </w:r>
      <w:r w:rsidRPr="00124CC0">
        <w:rPr>
          <w:b/>
          <w:bCs/>
        </w:rPr>
        <w:t>UI</w:t>
      </w:r>
      <w:r w:rsidR="0044193C" w:rsidRPr="00124CC0">
        <w:rPr>
          <w:b/>
          <w:bCs/>
        </w:rPr>
        <w:t>T</w:t>
      </w:r>
      <w:r w:rsidRPr="00124CC0">
        <w:rPr>
          <w:b/>
          <w:bCs/>
        </w:rPr>
        <w:t>-T A.8</w:t>
      </w:r>
      <w:r w:rsidRPr="00124CC0">
        <w:t xml:space="preserve"> révisée [</w:t>
      </w:r>
      <w:r w:rsidRPr="00124CC0">
        <w:rPr>
          <w:b/>
          <w:bCs/>
        </w:rPr>
        <w:t>RG-WM-2</w:t>
      </w:r>
      <w:r w:rsidRPr="00124CC0">
        <w:t>], le GCNT a décidé:</w:t>
      </w:r>
    </w:p>
    <w:p w14:paraId="610F1E83" w14:textId="1685EC2E" w:rsidR="006308E4" w:rsidRPr="00124CC0" w:rsidRDefault="006308E4" w:rsidP="005954E5">
      <w:pPr>
        <w:pStyle w:val="enumlev1"/>
      </w:pPr>
      <w:r w:rsidRPr="00124CC0">
        <w:t>a)</w:t>
      </w:r>
      <w:r w:rsidRPr="00124CC0">
        <w:tab/>
        <w:t xml:space="preserve">de recommander au Directeur du TSB de demander des instructions au Conseil de l'UIT, à sa prochaine session, sur l'utilisation en anglais du terme "chair" en lieu et place de "chairman" dans les </w:t>
      </w:r>
      <w:r w:rsidR="0044193C" w:rsidRPr="00124CC0">
        <w:t>r</w:t>
      </w:r>
      <w:r w:rsidRPr="00124CC0">
        <w:t>ecommandations nouvelles ou révisées</w:t>
      </w:r>
      <w:r w:rsidR="00B93A04" w:rsidRPr="00124CC0">
        <w:t>;</w:t>
      </w:r>
    </w:p>
    <w:p w14:paraId="1C12730A" w14:textId="54F32BBF" w:rsidR="006308E4" w:rsidRPr="00124CC0" w:rsidRDefault="006308E4" w:rsidP="005954E5">
      <w:pPr>
        <w:pStyle w:val="enumlev1"/>
      </w:pPr>
      <w:r w:rsidRPr="00124CC0">
        <w:t>b)</w:t>
      </w:r>
      <w:r w:rsidRPr="00124CC0">
        <w:tab/>
        <w:t xml:space="preserve">d'approuver le texte révisé de la Recommandation </w:t>
      </w:r>
      <w:r w:rsidRPr="00124CC0">
        <w:rPr>
          <w:b/>
          <w:bCs/>
        </w:rPr>
        <w:t>UIT-T A.8</w:t>
      </w:r>
      <w:r w:rsidR="005954E5" w:rsidRPr="00124CC0">
        <w:t xml:space="preserve"> – </w:t>
      </w:r>
      <w:r w:rsidRPr="00124CC0">
        <w:t>"Variante de la procédure d'approbation pour les Recommandations UIT-T nouvelles ou révisées" (Document</w:t>
      </w:r>
      <w:r w:rsidR="005954E5" w:rsidRPr="00124CC0">
        <w:t> </w:t>
      </w:r>
      <w:hyperlink r:id="rId70" w:history="1">
        <w:r w:rsidRPr="00124CC0">
          <w:rPr>
            <w:rStyle w:val="Hyperlink"/>
            <w:rFonts w:ascii="Times New Roman" w:hAnsi="Times New Roman"/>
          </w:rPr>
          <w:t>TD450R2</w:t>
        </w:r>
      </w:hyperlink>
      <w:r w:rsidRPr="00124CC0">
        <w:t>)</w:t>
      </w:r>
      <w:r w:rsidR="00B93A04" w:rsidRPr="00124CC0">
        <w:t>;</w:t>
      </w:r>
    </w:p>
    <w:p w14:paraId="0AD40C3F" w14:textId="0091D5F1" w:rsidR="006308E4" w:rsidRPr="00124CC0" w:rsidRDefault="006308E4" w:rsidP="005954E5">
      <w:pPr>
        <w:pStyle w:val="enumlev1"/>
      </w:pPr>
      <w:r w:rsidRPr="00124CC0">
        <w:t>c)</w:t>
      </w:r>
      <w:r w:rsidRPr="00124CC0">
        <w:tab/>
        <w:t xml:space="preserve">de demander au TSB de prépublier la Recommandation </w:t>
      </w:r>
      <w:r w:rsidRPr="00124CC0">
        <w:rPr>
          <w:b/>
          <w:bCs/>
        </w:rPr>
        <w:t>UIT-T A.8</w:t>
      </w:r>
      <w:r w:rsidRPr="00124CC0">
        <w:t xml:space="preserve"> (telle qu'elle figure dans le Document</w:t>
      </w:r>
      <w:r w:rsidR="005954E5" w:rsidRPr="00124CC0">
        <w:t> </w:t>
      </w:r>
      <w:hyperlink r:id="rId71" w:history="1">
        <w:r w:rsidRPr="00124CC0">
          <w:rPr>
            <w:rStyle w:val="Hyperlink"/>
            <w:rFonts w:ascii="Times New Roman" w:hAnsi="Times New Roman"/>
          </w:rPr>
          <w:t>TD450</w:t>
        </w:r>
      </w:hyperlink>
      <w:r w:rsidRPr="00124CC0">
        <w:t>), mais d'attendre les instructions données par le Conseil de l'UIT avant de procéder à sa publication dans sa forme finale.</w:t>
      </w:r>
    </w:p>
    <w:p w14:paraId="03E6768D" w14:textId="3E8984DF" w:rsidR="006308E4" w:rsidRPr="00124CC0" w:rsidRDefault="006308E4" w:rsidP="005954E5">
      <w:pPr>
        <w:pStyle w:val="Note"/>
      </w:pPr>
      <w:r w:rsidRPr="00124CC0">
        <w:t xml:space="preserve">NOTE 1 – Dans le Document </w:t>
      </w:r>
      <w:hyperlink r:id="rId72" w:history="1">
        <w:r w:rsidRPr="00124CC0">
          <w:rPr>
            <w:rStyle w:val="Hyperlink"/>
            <w:rFonts w:ascii="Times New Roman" w:hAnsi="Times New Roman"/>
          </w:rPr>
          <w:t>TD450R2</w:t>
        </w:r>
      </w:hyperlink>
      <w:r w:rsidRPr="00124CC0">
        <w:t>, le terme "chairman" est utilisé.</w:t>
      </w:r>
    </w:p>
    <w:p w14:paraId="3B5EB266" w14:textId="76B18728" w:rsidR="006308E4" w:rsidRPr="00124CC0" w:rsidRDefault="006308E4" w:rsidP="005954E5">
      <w:pPr>
        <w:pStyle w:val="Note"/>
      </w:pPr>
      <w:r w:rsidRPr="00124CC0">
        <w:t xml:space="preserve">NOTE 2 – Le point a) ci-dessus est également pertinent pour les autres textes proposés en vue d'une détermination à la présente réunion, à savoir les projets de Recommandations </w:t>
      </w:r>
      <w:r w:rsidRPr="00124CC0">
        <w:rPr>
          <w:b/>
          <w:bCs/>
        </w:rPr>
        <w:t>UIT-T A.7</w:t>
      </w:r>
      <w:r w:rsidRPr="00124CC0">
        <w:t xml:space="preserve">, </w:t>
      </w:r>
      <w:r w:rsidRPr="00124CC0">
        <w:rPr>
          <w:b/>
          <w:bCs/>
        </w:rPr>
        <w:t>A.18</w:t>
      </w:r>
      <w:r w:rsidRPr="00124CC0">
        <w:t xml:space="preserve"> (ex</w:t>
      </w:r>
      <w:r w:rsidR="005954E5" w:rsidRPr="00124CC0">
        <w:t> </w:t>
      </w:r>
      <w:r w:rsidRPr="00124CC0">
        <w:t xml:space="preserve">A.JCA) et </w:t>
      </w:r>
      <w:r w:rsidRPr="00124CC0">
        <w:rPr>
          <w:b/>
          <w:bCs/>
        </w:rPr>
        <w:t>A.24</w:t>
      </w:r>
      <w:r w:rsidRPr="00124CC0">
        <w:t>.</w:t>
      </w:r>
    </w:p>
    <w:p w14:paraId="3AEECF38" w14:textId="39475119" w:rsidR="006308E4" w:rsidRPr="00124CC0" w:rsidRDefault="006308E4" w:rsidP="005954E5">
      <w:pPr>
        <w:pStyle w:val="Note"/>
      </w:pPr>
      <w:r w:rsidRPr="00124CC0">
        <w:t xml:space="preserve">NOTE 3 – Les participants ont décidé de remplacer les termes "chair" et "chairman" par "chairman/chair" dans le texte des Recommandations </w:t>
      </w:r>
      <w:r w:rsidRPr="00124CC0">
        <w:rPr>
          <w:b/>
          <w:bCs/>
        </w:rPr>
        <w:t>UIT-T</w:t>
      </w:r>
      <w:r w:rsidRPr="00124CC0">
        <w:t xml:space="preserve"> </w:t>
      </w:r>
      <w:r w:rsidRPr="00124CC0">
        <w:rPr>
          <w:b/>
          <w:bCs/>
        </w:rPr>
        <w:t>A.7</w:t>
      </w:r>
      <w:r w:rsidRPr="00124CC0">
        <w:t xml:space="preserve">, </w:t>
      </w:r>
      <w:r w:rsidRPr="00124CC0">
        <w:rPr>
          <w:b/>
          <w:bCs/>
        </w:rPr>
        <w:t>A.24</w:t>
      </w:r>
      <w:r w:rsidRPr="00124CC0">
        <w:t xml:space="preserve"> et </w:t>
      </w:r>
      <w:r w:rsidRPr="00124CC0">
        <w:rPr>
          <w:b/>
          <w:bCs/>
        </w:rPr>
        <w:t>A.18</w:t>
      </w:r>
      <w:r w:rsidRPr="00124CC0">
        <w:t xml:space="preserve"> (ex A.JCA) qui font l'objet d'une consultation dans le cadre de la procédure TAP. Les instructions que le Conseil de</w:t>
      </w:r>
      <w:r w:rsidR="005954E5" w:rsidRPr="00124CC0">
        <w:t> </w:t>
      </w:r>
      <w:r w:rsidRPr="00124CC0">
        <w:t>l'UIT adressera, à sa prochaine session, au GCNT seront mises en œuvre avant la publication des versions finales.</w:t>
      </w:r>
    </w:p>
    <w:p w14:paraId="5014055C" w14:textId="77777777" w:rsidR="00A756BE" w:rsidRPr="00124CC0" w:rsidRDefault="00A756BE" w:rsidP="00A756BE">
      <w:pPr>
        <w:keepNext/>
        <w:keepLines/>
      </w:pPr>
      <w:r w:rsidRPr="00124CC0">
        <w:lastRenderedPageBreak/>
        <w:t>21.1.5</w:t>
      </w:r>
      <w:r w:rsidRPr="00124CC0">
        <w:tab/>
        <w:t>Le GCNT a décidé: [</w:t>
      </w:r>
      <w:r w:rsidRPr="00124CC0">
        <w:rPr>
          <w:b/>
          <w:bCs/>
        </w:rPr>
        <w:t>RG-WM-4</w:t>
      </w:r>
      <w:r w:rsidRPr="00124CC0">
        <w:t>]</w:t>
      </w:r>
    </w:p>
    <w:p w14:paraId="2B1E77DC" w14:textId="6D29248B" w:rsidR="00A756BE" w:rsidRPr="00124CC0" w:rsidRDefault="00A756BE" w:rsidP="00A756BE">
      <w:pPr>
        <w:pStyle w:val="enumlev1"/>
        <w:keepNext/>
        <w:keepLines/>
      </w:pPr>
      <w:r w:rsidRPr="00124CC0">
        <w:t>a)</w:t>
      </w:r>
      <w:r w:rsidRPr="00124CC0">
        <w:tab/>
        <w:t xml:space="preserve">D'engager la procédure de suppression des Recommandations </w:t>
      </w:r>
      <w:r w:rsidRPr="00124CC0">
        <w:rPr>
          <w:b/>
          <w:bCs/>
        </w:rPr>
        <w:t>UIT-T A.4</w:t>
      </w:r>
      <w:r w:rsidRPr="00124CC0">
        <w:t xml:space="preserve"> et </w:t>
      </w:r>
      <w:r w:rsidRPr="00124CC0">
        <w:rPr>
          <w:b/>
          <w:bCs/>
        </w:rPr>
        <w:t xml:space="preserve">A.6 </w:t>
      </w:r>
      <w:r w:rsidRPr="00124CC0">
        <w:t xml:space="preserve">en utilisant les justifications figurant dans le Document </w:t>
      </w:r>
      <w:hyperlink r:id="rId73" w:history="1">
        <w:r w:rsidRPr="00124CC0">
          <w:rPr>
            <w:rStyle w:val="Hyperlink"/>
            <w:rFonts w:ascii="Times New Roman" w:hAnsi="Times New Roman"/>
          </w:rPr>
          <w:t>TD394R1</w:t>
        </w:r>
      </w:hyperlink>
      <w:r w:rsidRPr="00124CC0">
        <w:t>, procédure qui débutera trois mois avant la réunion du GCNT en juillet 2024 (de sorte que la suppression entrera en vigueur en même temps que l'examen par le GCNT de l'approbation de la Recommandation </w:t>
      </w:r>
      <w:r w:rsidRPr="00124CC0">
        <w:rPr>
          <w:b/>
          <w:bCs/>
        </w:rPr>
        <w:t>UIT</w:t>
      </w:r>
      <w:r w:rsidRPr="00124CC0">
        <w:rPr>
          <w:b/>
          <w:bCs/>
        </w:rPr>
        <w:noBreakHyphen/>
        <w:t>T A.24</w:t>
      </w:r>
      <w:r w:rsidRPr="00124CC0">
        <w:t>).</w:t>
      </w:r>
    </w:p>
    <w:p w14:paraId="4AE8F9CE" w14:textId="77777777" w:rsidR="00A756BE" w:rsidRPr="00124CC0" w:rsidRDefault="00A756BE" w:rsidP="00A756BE">
      <w:pPr>
        <w:pStyle w:val="Note"/>
      </w:pPr>
      <w:r w:rsidRPr="00124CC0">
        <w:t>NOTE – Le TSB a été prié d'envisager des renvois aux circulaires correspondantes.</w:t>
      </w:r>
    </w:p>
    <w:p w14:paraId="66C4273B" w14:textId="6B6C3C8D" w:rsidR="00A756BE" w:rsidRPr="00124CC0" w:rsidRDefault="00A756BE" w:rsidP="00A756BE">
      <w:pPr>
        <w:pStyle w:val="enumlev1"/>
      </w:pPr>
      <w:r w:rsidRPr="00124CC0">
        <w:t>b)</w:t>
      </w:r>
      <w:r w:rsidRPr="00124CC0">
        <w:tab/>
        <w:t xml:space="preserve">De déterminer la nouvelle Recommandation </w:t>
      </w:r>
      <w:r w:rsidRPr="00124CC0">
        <w:rPr>
          <w:b/>
          <w:bCs/>
        </w:rPr>
        <w:t>UIT-T A.24</w:t>
      </w:r>
      <w:r w:rsidRPr="00124CC0">
        <w:t xml:space="preserve"> – "Collaboration et échange d'informations avec d'autres organisations" (Document </w:t>
      </w:r>
      <w:hyperlink r:id="rId74" w:history="1">
        <w:r w:rsidRPr="00124CC0">
          <w:rPr>
            <w:rStyle w:val="Hyperlink"/>
            <w:rFonts w:ascii="Times New Roman" w:hAnsi="Times New Roman"/>
          </w:rPr>
          <w:t>TD470R1</w:t>
        </w:r>
      </w:hyperlink>
      <w:r w:rsidRPr="00124CC0">
        <w:t>). (Voir l'action a) du paragraphe 21.1.4).</w:t>
      </w:r>
    </w:p>
    <w:p w14:paraId="0E21E2A5" w14:textId="325BD1A1" w:rsidR="00A756BE" w:rsidRPr="00124CC0" w:rsidRDefault="00A756BE" w:rsidP="00A756BE">
      <w:r w:rsidRPr="00124CC0">
        <w:t>21.1.6</w:t>
      </w:r>
      <w:r w:rsidRPr="00124CC0">
        <w:tab/>
        <w:t xml:space="preserve">Le GCNT a déterminé le projet de texte révisé de la Recommandation </w:t>
      </w:r>
      <w:r w:rsidRPr="00124CC0">
        <w:rPr>
          <w:b/>
          <w:bCs/>
        </w:rPr>
        <w:t>UIT-T A.7</w:t>
      </w:r>
      <w:r w:rsidRPr="00124CC0">
        <w:t xml:space="preserve"> – "Groupes spécialisés: création et méthodes de travail" (Document </w:t>
      </w:r>
      <w:hyperlink r:id="rId75" w:history="1">
        <w:r w:rsidRPr="00124CC0">
          <w:rPr>
            <w:rStyle w:val="Hyperlink"/>
            <w:rFonts w:ascii="Times New Roman" w:hAnsi="Times New Roman"/>
          </w:rPr>
          <w:t>TD453R1</w:t>
        </w:r>
      </w:hyperlink>
      <w:r w:rsidRPr="00124CC0">
        <w:t>) [</w:t>
      </w:r>
      <w:r w:rsidRPr="00124CC0">
        <w:rPr>
          <w:b/>
          <w:bCs/>
        </w:rPr>
        <w:t>RG-WM-3</w:t>
      </w:r>
      <w:r w:rsidRPr="00124CC0">
        <w:t>] (Voir l'action a) du paragraphe 21.1.4).</w:t>
      </w:r>
    </w:p>
    <w:p w14:paraId="4500901C" w14:textId="0785D041" w:rsidR="00A756BE" w:rsidRPr="00124CC0" w:rsidRDefault="00A756BE" w:rsidP="00A756BE">
      <w:r w:rsidRPr="00124CC0">
        <w:t>21.1.7</w:t>
      </w:r>
      <w:r w:rsidRPr="00124CC0">
        <w:tab/>
        <w:t xml:space="preserve">Le GCNT a déterminé le projet de nouvelle Recommandation </w:t>
      </w:r>
      <w:r w:rsidRPr="00124CC0">
        <w:rPr>
          <w:b/>
          <w:bCs/>
        </w:rPr>
        <w:t>UIT-T A.18 (ex-A.JCA)</w:t>
      </w:r>
      <w:r w:rsidRPr="00124CC0">
        <w:t xml:space="preserve"> (Document </w:t>
      </w:r>
      <w:hyperlink r:id="rId76" w:history="1">
        <w:r w:rsidRPr="00124CC0">
          <w:rPr>
            <w:rStyle w:val="Hyperlink"/>
            <w:rFonts w:ascii="Times New Roman" w:hAnsi="Times New Roman"/>
          </w:rPr>
          <w:t>TD467R1</w:t>
        </w:r>
      </w:hyperlink>
      <w:r w:rsidRPr="00124CC0">
        <w:t>) [</w:t>
      </w:r>
      <w:r w:rsidRPr="00124CC0">
        <w:rPr>
          <w:b/>
          <w:bCs/>
        </w:rPr>
        <w:t>RG-WM-5</w:t>
      </w:r>
      <w:r w:rsidRPr="00124CC0">
        <w:t>] (Voir l'action a) du paragraphe 21.1.4).</w:t>
      </w:r>
    </w:p>
    <w:p w14:paraId="41A5568B" w14:textId="77777777" w:rsidR="00A756BE" w:rsidRPr="00124CC0" w:rsidRDefault="00A756BE" w:rsidP="00A756BE">
      <w:r w:rsidRPr="00124CC0">
        <w:t>21.1.8</w:t>
      </w:r>
      <w:r w:rsidRPr="00124CC0">
        <w:tab/>
        <w:t>Le délégué de la Fédération de Russie a prononcé une déclaration concernant l'utilisation des termes "chairman/chair" dans les documents en langue anglaise:</w:t>
      </w:r>
    </w:p>
    <w:p w14:paraId="7EF5DA33" w14:textId="77777777" w:rsidR="00A756BE" w:rsidRPr="00124CC0" w:rsidRDefault="00A756BE" w:rsidP="00A756BE">
      <w:pPr>
        <w:ind w:left="794" w:hanging="794"/>
        <w:rPr>
          <w:i/>
          <w:iCs/>
        </w:rPr>
      </w:pPr>
      <w:r w:rsidRPr="00124CC0">
        <w:rPr>
          <w:i/>
          <w:iCs/>
        </w:rPr>
        <w:tab/>
        <w:t>La Fédération de Russie attire l'attention du GCNT sur la décision de l'AMNT (Résolution 1 sur le Règlement intérieur de l'UIT-T) selon laquelle "en cas de divergence, les dispositions de la Constitution, de la Convention, du RTI et des Règles générales régissant les conférences, assemblées et réunions de l'Union (dans cet ordre) l'emportent sur celles de la présente Résolution".</w:t>
      </w:r>
    </w:p>
    <w:p w14:paraId="38C0D036" w14:textId="77777777" w:rsidR="00A756BE" w:rsidRPr="00124CC0" w:rsidRDefault="00A756BE" w:rsidP="00A756BE">
      <w:pPr>
        <w:ind w:left="794" w:hanging="794"/>
        <w:rPr>
          <w:i/>
          <w:iCs/>
        </w:rPr>
      </w:pPr>
      <w:r w:rsidRPr="00124CC0">
        <w:rPr>
          <w:i/>
          <w:iCs/>
        </w:rPr>
        <w:tab/>
        <w:t>La Fédération de Russie estime également qu'il n'existe aucune décision officielle du Conseil de l'UIT, ni aucun autre document contraignant pour les États Membres, qui établirait qu'il est nécessaire d'utiliser un nouveau terme ("chair") en raison de l'abrogation de la Décision 500 du Conseil. Le guide stylistique de langue anglaise de l'UIT est une aide et ne doit pas servir de justification pour remplacer la terminologie. La Fédération de Russie ne traite pas les aspects sexospécifiques de ces termes, mais défend le fait que leur application dans tous les documents de l'UIT, y compris l'UIT</w:t>
      </w:r>
      <w:r w:rsidRPr="00124CC0">
        <w:rPr>
          <w:i/>
          <w:iCs/>
        </w:rPr>
        <w:noBreakHyphen/>
        <w:t>T, devrait être conforme à la terminologie utilisée dans les instruments fondamentaux de l'Union (Convention et Constitution – CV et CS). Toute modification du texte de la Convention et de la Constitution doit être effectuée par la Conférence de plénipotentiaires. Toute autre décision est contraire à la Convention et à la Constitution et crée un dangereux précédent de violation des principes fondamentaux de l'Union.</w:t>
      </w:r>
    </w:p>
    <w:p w14:paraId="580080DB" w14:textId="77777777" w:rsidR="00A756BE" w:rsidRPr="00124CC0" w:rsidRDefault="00A756BE" w:rsidP="00A756BE">
      <w:r w:rsidRPr="00124CC0">
        <w:t>21.1.9</w:t>
      </w:r>
      <w:r w:rsidRPr="00124CC0">
        <w:tab/>
        <w:t>Le GCNT a modifié le statut du projet de Supplément UIT-T A.SupplRA au projet de Recommandation UIT-T A.RA intitulé "Lignes directrices relatives à la désignation et au fonctionnement des autorités d'enregistrement" [</w:t>
      </w:r>
      <w:r w:rsidRPr="00124CC0">
        <w:rPr>
          <w:b/>
          <w:bCs/>
        </w:rPr>
        <w:t>RG-WM-7</w:t>
      </w:r>
      <w:r w:rsidRPr="00124CC0">
        <w:t>].</w:t>
      </w:r>
    </w:p>
    <w:p w14:paraId="265C3836" w14:textId="77777777" w:rsidR="00A756BE" w:rsidRPr="00124CC0" w:rsidRDefault="00A756BE" w:rsidP="00A756BE">
      <w:r w:rsidRPr="00124CC0">
        <w:t>21.1.10</w:t>
      </w:r>
      <w:r w:rsidRPr="00124CC0">
        <w:tab/>
        <w:t>Le GCNT a établi les nouveaux sujets d'étude suivants: [</w:t>
      </w:r>
      <w:r w:rsidRPr="00124CC0">
        <w:rPr>
          <w:b/>
          <w:bCs/>
        </w:rPr>
        <w:t>RG-WM-8</w:t>
      </w:r>
      <w:r w:rsidRPr="00124CC0">
        <w:t>].</w:t>
      </w:r>
    </w:p>
    <w:p w14:paraId="3AE5439D" w14:textId="77777777" w:rsidR="00A756BE" w:rsidRPr="00124CC0" w:rsidRDefault="00A756BE" w:rsidP="00A756BE">
      <w:pPr>
        <w:pStyle w:val="enumlev1"/>
      </w:pPr>
      <w:r w:rsidRPr="00124CC0">
        <w:t>a)</w:t>
      </w:r>
      <w:r w:rsidRPr="00124CC0">
        <w:tab/>
        <w:t xml:space="preserve">projet de Recommandation UIT-T A.JCA – "Activités conjointes de coordination: création et méthodes de travail" (Document </w:t>
      </w:r>
      <w:hyperlink r:id="rId77" w:history="1">
        <w:r w:rsidRPr="00124CC0">
          <w:rPr>
            <w:rStyle w:val="Hyperlink"/>
            <w:rFonts w:ascii="Times New Roman" w:hAnsi="Times New Roman"/>
          </w:rPr>
          <w:t>TD468</w:t>
        </w:r>
      </w:hyperlink>
      <w:r w:rsidRPr="00124CC0">
        <w:t>);</w:t>
      </w:r>
    </w:p>
    <w:p w14:paraId="085FA944" w14:textId="77777777" w:rsidR="00A756BE" w:rsidRPr="00124CC0" w:rsidRDefault="00A756BE" w:rsidP="00A756BE">
      <w:pPr>
        <w:pStyle w:val="enumlev1"/>
      </w:pPr>
      <w:r w:rsidRPr="00124CC0">
        <w:t>b)</w:t>
      </w:r>
      <w:r w:rsidRPr="00124CC0">
        <w:tab/>
        <w:t>projet de Supplément UIT-T A.SupplSGA aux Recommandation UIT-T de la série A – "Lignes directrices pour l'élaboration d'une analyse des écarts en matière de normalisation" (Document </w:t>
      </w:r>
      <w:hyperlink r:id="rId78" w:history="1">
        <w:r w:rsidRPr="00124CC0">
          <w:rPr>
            <w:rStyle w:val="Hyperlink"/>
            <w:rFonts w:ascii="Times New Roman" w:hAnsi="Times New Roman"/>
          </w:rPr>
          <w:t>TD454R2</w:t>
        </w:r>
      </w:hyperlink>
      <w:r w:rsidRPr="00124CC0">
        <w:t>).</w:t>
      </w:r>
    </w:p>
    <w:p w14:paraId="58ED5744" w14:textId="77777777" w:rsidR="00A756BE" w:rsidRPr="00124CC0" w:rsidRDefault="00A756BE" w:rsidP="00A756BE">
      <w:pPr>
        <w:keepNext/>
      </w:pPr>
      <w:r w:rsidRPr="00124CC0">
        <w:lastRenderedPageBreak/>
        <w:t>21.1.11</w:t>
      </w:r>
      <w:r w:rsidRPr="00124CC0">
        <w:tab/>
        <w:t>Le GCNT a décidé d'envoyer les deux notes de liaison suivantes élaborées par le GT 1:</w:t>
      </w:r>
    </w:p>
    <w:p w14:paraId="2439A312" w14:textId="77777777" w:rsidR="00A756BE" w:rsidRPr="00124CC0" w:rsidRDefault="00A756BE" w:rsidP="00A756BE">
      <w:pPr>
        <w:pStyle w:val="enumlev1"/>
      </w:pPr>
      <w:r w:rsidRPr="00124CC0">
        <w:t>a)</w:t>
      </w:r>
      <w:r w:rsidRPr="00124CC0">
        <w:tab/>
        <w:t xml:space="preserve">Document </w:t>
      </w:r>
      <w:hyperlink r:id="rId79" w:history="1">
        <w:r w:rsidRPr="00124CC0">
          <w:rPr>
            <w:rStyle w:val="Hyperlink"/>
            <w:rFonts w:ascii="Times New Roman" w:hAnsi="Times New Roman"/>
          </w:rPr>
          <w:t>TD479</w:t>
        </w:r>
      </w:hyperlink>
      <w:r w:rsidRPr="00124CC0">
        <w:t>: note de liaison sur la version la plus récente du Plan d'action de l'AMNT et le projet intitulé "Lignes directrices relatives aux travaux préparatoires en vue de l'AMNT sur les Résolutions" (envoyée à toutes les CE de l'UIT-T et organisations régionales de télécommunication) [</w:t>
      </w:r>
      <w:r w:rsidRPr="00124CC0">
        <w:rPr>
          <w:b/>
          <w:bCs/>
        </w:rPr>
        <w:t>RG-AMNT-3</w:t>
      </w:r>
      <w:r w:rsidRPr="00124CC0">
        <w:t>].</w:t>
      </w:r>
    </w:p>
    <w:p w14:paraId="5231BB6F" w14:textId="77777777" w:rsidR="00A756BE" w:rsidRPr="00124CC0" w:rsidRDefault="00A756BE" w:rsidP="00A756BE">
      <w:pPr>
        <w:pStyle w:val="enumlev1"/>
      </w:pPr>
      <w:r w:rsidRPr="00124CC0">
        <w:t>b)</w:t>
      </w:r>
      <w:r w:rsidRPr="00124CC0">
        <w:tab/>
        <w:t xml:space="preserve">Document </w:t>
      </w:r>
      <w:hyperlink r:id="rId80" w:history="1">
        <w:r w:rsidRPr="00124CC0">
          <w:rPr>
            <w:rStyle w:val="Hyperlink"/>
            <w:rFonts w:ascii="Times New Roman" w:hAnsi="Times New Roman"/>
          </w:rPr>
          <w:t>TD477</w:t>
        </w:r>
      </w:hyperlink>
      <w:r w:rsidRPr="00124CC0">
        <w:t>: note de liaison sur les lignes directrices pour l'élaboration des contributions et le rôle des mentors des CE (envoyée à toutes les CE) [</w:t>
      </w:r>
      <w:r w:rsidRPr="00124CC0">
        <w:rPr>
          <w:b/>
          <w:bCs/>
        </w:rPr>
        <w:t>RG-WM-6</w:t>
      </w:r>
      <w:r w:rsidRPr="00124CC0">
        <w:t>].</w:t>
      </w:r>
    </w:p>
    <w:p w14:paraId="58F07F9E" w14:textId="77777777" w:rsidR="00A756BE" w:rsidRPr="00124CC0" w:rsidRDefault="00A756BE" w:rsidP="00A756BE">
      <w:r w:rsidRPr="00124CC0">
        <w:t>21.1.12</w:t>
      </w:r>
      <w:r w:rsidRPr="00124CC0">
        <w:tab/>
        <w:t xml:space="preserve">Le GCNT est convenu d'actualiser le programme de travail du Groupe RG-WTSA comme indiqué dans le Document </w:t>
      </w:r>
      <w:hyperlink r:id="rId81" w:history="1">
        <w:r w:rsidRPr="00124CC0">
          <w:rPr>
            <w:rStyle w:val="Hyperlink"/>
            <w:rFonts w:ascii="Times New Roman" w:hAnsi="Times New Roman"/>
          </w:rPr>
          <w:t>TD462</w:t>
        </w:r>
      </w:hyperlink>
      <w:r w:rsidRPr="00124CC0">
        <w:t xml:space="preserve"> [</w:t>
      </w:r>
      <w:r w:rsidRPr="00124CC0">
        <w:rPr>
          <w:b/>
          <w:bCs/>
        </w:rPr>
        <w:t>RG-WTSA-4</w:t>
      </w:r>
      <w:r w:rsidRPr="00124CC0">
        <w:t>] et du Groupe RG-WM comme indiqué dans le Document </w:t>
      </w:r>
      <w:hyperlink r:id="rId82" w:history="1">
        <w:r w:rsidRPr="00124CC0">
          <w:rPr>
            <w:rStyle w:val="Hyperlink"/>
            <w:rFonts w:ascii="Times New Roman" w:hAnsi="Times New Roman"/>
          </w:rPr>
          <w:t>TSAG-TD397R1</w:t>
        </w:r>
      </w:hyperlink>
      <w:r w:rsidRPr="00124CC0">
        <w:t xml:space="preserve"> [</w:t>
      </w:r>
      <w:r w:rsidRPr="00124CC0">
        <w:rPr>
          <w:b/>
          <w:bCs/>
        </w:rPr>
        <w:t>RG-WM-9</w:t>
      </w:r>
      <w:r w:rsidRPr="00124CC0">
        <w:t>].</w:t>
      </w:r>
    </w:p>
    <w:p w14:paraId="1D5CB8A0" w14:textId="77777777" w:rsidR="00A756BE" w:rsidRPr="00124CC0" w:rsidRDefault="00A756BE" w:rsidP="00A756BE">
      <w:r w:rsidRPr="00124CC0">
        <w:t>21.1.13</w:t>
      </w:r>
      <w:r w:rsidRPr="00124CC0">
        <w:tab/>
        <w:t xml:space="preserve">Le GCNT a attribué les Résolutions </w:t>
      </w:r>
      <w:r w:rsidRPr="00124CC0">
        <w:rPr>
          <w:b/>
          <w:bCs/>
        </w:rPr>
        <w:t>40</w:t>
      </w:r>
      <w:r w:rsidRPr="00124CC0">
        <w:t xml:space="preserve"> et </w:t>
      </w:r>
      <w:r w:rsidRPr="00124CC0">
        <w:rPr>
          <w:b/>
          <w:bCs/>
        </w:rPr>
        <w:t xml:space="preserve">80 </w:t>
      </w:r>
      <w:r w:rsidRPr="00124CC0">
        <w:t xml:space="preserve">de l'AMNT au Groupe RG-WM, en plus de celles énumérées dans le Document </w:t>
      </w:r>
      <w:hyperlink r:id="rId83" w:history="1">
        <w:r w:rsidRPr="00124CC0">
          <w:rPr>
            <w:rStyle w:val="Hyperlink"/>
            <w:rFonts w:ascii="Times New Roman" w:hAnsi="Times New Roman"/>
          </w:rPr>
          <w:t>TD463</w:t>
        </w:r>
      </w:hyperlink>
      <w:r w:rsidRPr="00124CC0">
        <w:t>, et a mis à jour en conséquence le mandat du Groupe </w:t>
      </w:r>
      <w:hyperlink r:id="rId84" w:history="1">
        <w:r w:rsidRPr="00124CC0">
          <w:rPr>
            <w:rStyle w:val="Hyperlink"/>
            <w:rFonts w:ascii="Times New Roman" w:hAnsi="Times New Roman"/>
          </w:rPr>
          <w:t>RG-WM</w:t>
        </w:r>
      </w:hyperlink>
      <w:r w:rsidRPr="00124CC0">
        <w:t xml:space="preserve"> [</w:t>
      </w:r>
      <w:r w:rsidRPr="00124CC0">
        <w:rPr>
          <w:b/>
          <w:bCs/>
        </w:rPr>
        <w:t>RG-WM-9</w:t>
      </w:r>
      <w:r w:rsidRPr="00124CC0">
        <w:t>].</w:t>
      </w:r>
    </w:p>
    <w:p w14:paraId="09239F01" w14:textId="77777777" w:rsidR="00A756BE" w:rsidRPr="00124CC0" w:rsidRDefault="00A756BE" w:rsidP="00A756BE">
      <w:r w:rsidRPr="00124CC0">
        <w:t>21.1.14</w:t>
      </w:r>
      <w:r w:rsidRPr="00124CC0">
        <w:tab/>
        <w:t xml:space="preserve">Le GCNT a autorisé les réunions des Groupes du Rapporteur suivantes: deux réunions intérimaires (entièrement virtuelles) des Groupes du Rapporteur, conformément aux indications du paragraphe 7.1 du rapport du GT 1 (Document </w:t>
      </w:r>
      <w:hyperlink r:id="rId85" w:history="1">
        <w:r w:rsidRPr="00124CC0">
          <w:rPr>
            <w:rStyle w:val="Hyperlink"/>
            <w:rFonts w:ascii="Times New Roman" w:hAnsi="Times New Roman"/>
          </w:rPr>
          <w:t>TD312R1</w:t>
        </w:r>
      </w:hyperlink>
      <w:r w:rsidRPr="00124CC0">
        <w:t>) [</w:t>
      </w:r>
      <w:r w:rsidRPr="00124CC0">
        <w:rPr>
          <w:b/>
          <w:bCs/>
        </w:rPr>
        <w:t>RG-WTSA-4</w:t>
      </w:r>
      <w:r w:rsidRPr="00124CC0">
        <w:t xml:space="preserve">] et six réunions intérimaires du Groupe RG-WM (entièrement virtuelles), conformément aux indications du paragraphe 7.2 du rapport du GT 1 (Document </w:t>
      </w:r>
      <w:hyperlink r:id="rId86" w:history="1">
        <w:r w:rsidRPr="00124CC0">
          <w:rPr>
            <w:rStyle w:val="Hyperlink"/>
            <w:rFonts w:ascii="Times New Roman" w:hAnsi="Times New Roman"/>
          </w:rPr>
          <w:t>TD312R1</w:t>
        </w:r>
      </w:hyperlink>
      <w:r w:rsidRPr="00124CC0">
        <w:t>) [</w:t>
      </w:r>
      <w:r w:rsidRPr="00124CC0">
        <w:rPr>
          <w:b/>
          <w:bCs/>
        </w:rPr>
        <w:t>RG-WM-10</w:t>
      </w:r>
      <w:r w:rsidRPr="00124CC0">
        <w:t>]. Voir la liste récapitulative figurant dans l'</w:t>
      </w:r>
      <w:hyperlink w:anchor="AnnexeB" w:history="1">
        <w:r w:rsidRPr="00124CC0">
          <w:rPr>
            <w:rStyle w:val="Hyperlink"/>
            <w:rFonts w:ascii="Times New Roman" w:hAnsi="Times New Roman"/>
          </w:rPr>
          <w:t>Annexe B</w:t>
        </w:r>
      </w:hyperlink>
      <w:r w:rsidRPr="00124CC0">
        <w:t xml:space="preserve"> ci-après.</w:t>
      </w:r>
    </w:p>
    <w:p w14:paraId="3697AAC7" w14:textId="77777777" w:rsidR="00A756BE" w:rsidRPr="00124CC0" w:rsidRDefault="00A756BE" w:rsidP="00A756BE">
      <w:r w:rsidRPr="00124CC0">
        <w:t>21.1.15</w:t>
      </w:r>
      <w:r w:rsidRPr="00124CC0">
        <w:tab/>
        <w:t>Le GCNT a confirmé la nomination de M. Samuel AGYEKUM (Ghana) à la fonction de Rapporteur associé du Groupe RG-WTSA, en remplacement de M. Isaac BOATENG [</w:t>
      </w:r>
      <w:r w:rsidRPr="00124CC0">
        <w:rPr>
          <w:b/>
          <w:bCs/>
        </w:rPr>
        <w:t>GT 1-2</w:t>
      </w:r>
      <w:r w:rsidRPr="00124CC0">
        <w:t>].</w:t>
      </w:r>
    </w:p>
    <w:p w14:paraId="737F5DB8" w14:textId="5566CE1D" w:rsidR="00A756BE" w:rsidRPr="00124CC0" w:rsidRDefault="00A756BE" w:rsidP="00A756BE">
      <w:pPr>
        <w:pStyle w:val="Heading2"/>
      </w:pPr>
      <w:bookmarkStart w:id="34" w:name="_Toc161662743"/>
      <w:r w:rsidRPr="00124CC0">
        <w:t>21.2</w:t>
      </w:r>
      <w:r w:rsidRPr="00124CC0">
        <w:tab/>
        <w:t>Groupe de travail 2 du GCNT – "Participation du secteur privé, programme de travail, restructuration"</w:t>
      </w:r>
      <w:bookmarkEnd w:id="34"/>
    </w:p>
    <w:p w14:paraId="783B5C58" w14:textId="77777777" w:rsidR="00A756BE" w:rsidRPr="00124CC0" w:rsidRDefault="00A756BE" w:rsidP="00A756BE">
      <w:r w:rsidRPr="00124CC0">
        <w:t>21.2.1</w:t>
      </w:r>
      <w:r w:rsidRPr="00124CC0">
        <w:tab/>
        <w:t>Le Groupe de travail 2 s'est réuni sous la direction de sa Présidente, Mme Gaëlle MARTIN</w:t>
      </w:r>
      <w:r w:rsidRPr="00124CC0">
        <w:noBreakHyphen/>
        <w:t>COCHER (InterDigital, Canada), avec l'assistance du Vice-Président du Groupe de travail 2, M. Guy-Michel KOUAKOU (Côte d'Ivoire), et de Mme Tatiana KURAKOVA (TSB).</w:t>
      </w:r>
    </w:p>
    <w:p w14:paraId="18528997" w14:textId="77777777" w:rsidR="00A756BE" w:rsidRPr="00124CC0" w:rsidRDefault="00A756BE" w:rsidP="00A756BE">
      <w:r w:rsidRPr="00124CC0">
        <w:t>21.2.2</w:t>
      </w:r>
      <w:r w:rsidRPr="00124CC0">
        <w:tab/>
        <w:t xml:space="preserve">Le Document </w:t>
      </w:r>
      <w:hyperlink r:id="rId87" w:history="1">
        <w:r w:rsidRPr="00124CC0">
          <w:rPr>
            <w:rStyle w:val="Hyperlink"/>
            <w:rFonts w:ascii="Times New Roman" w:hAnsi="Times New Roman"/>
          </w:rPr>
          <w:t>TD315R3</w:t>
        </w:r>
      </w:hyperlink>
      <w:r w:rsidRPr="00124CC0">
        <w:t xml:space="preserve"> contient le rapport de la réunion du GT 2.</w:t>
      </w:r>
    </w:p>
    <w:p w14:paraId="317535CE" w14:textId="77777777" w:rsidR="00A756BE" w:rsidRPr="00124CC0" w:rsidRDefault="00A756BE" w:rsidP="00A756BE">
      <w:r w:rsidRPr="00124CC0">
        <w:t>21.2.3</w:t>
      </w:r>
      <w:r w:rsidRPr="00124CC0">
        <w:tab/>
        <w:t xml:space="preserve">Le GCNT a approuvé le rapport de la réunion du GT 2 (Document </w:t>
      </w:r>
      <w:hyperlink r:id="rId88" w:history="1">
        <w:r w:rsidRPr="00124CC0">
          <w:rPr>
            <w:rStyle w:val="Hyperlink"/>
            <w:rFonts w:ascii="Times New Roman" w:hAnsi="Times New Roman"/>
          </w:rPr>
          <w:t>TD315R3</w:t>
        </w:r>
      </w:hyperlink>
      <w:r w:rsidRPr="00124CC0">
        <w:t>) [</w:t>
      </w:r>
      <w:r w:rsidRPr="00124CC0">
        <w:rPr>
          <w:b/>
          <w:bCs/>
        </w:rPr>
        <w:t>GT 2-13</w:t>
      </w:r>
      <w:r w:rsidRPr="00124CC0">
        <w:t>].</w:t>
      </w:r>
    </w:p>
    <w:p w14:paraId="789DF267" w14:textId="77777777" w:rsidR="00A756BE" w:rsidRPr="00124CC0" w:rsidRDefault="00A756BE" w:rsidP="00A756BE">
      <w:r w:rsidRPr="00124CC0">
        <w:t>21.2.4</w:t>
      </w:r>
      <w:r w:rsidRPr="00124CC0">
        <w:tab/>
        <w:t>Le GCNT a approuvé la date de l'</w:t>
      </w:r>
      <w:r w:rsidRPr="00124CC0">
        <w:rPr>
          <w:i/>
          <w:iCs/>
        </w:rPr>
        <w:t>Atelier sur la participation du secteur privé</w:t>
      </w:r>
      <w:r w:rsidRPr="00124CC0">
        <w:t xml:space="preserve"> à Genève, qui se tiendra le 19 avril 2024 [</w:t>
      </w:r>
      <w:r w:rsidRPr="00124CC0">
        <w:rPr>
          <w:b/>
          <w:bCs/>
        </w:rPr>
        <w:t>GT 2-1</w:t>
      </w:r>
      <w:r w:rsidRPr="00124CC0">
        <w:t>].</w:t>
      </w:r>
    </w:p>
    <w:p w14:paraId="5E696010" w14:textId="77777777" w:rsidR="00A756BE" w:rsidRPr="00124CC0" w:rsidRDefault="00A756BE" w:rsidP="00A756BE">
      <w:r w:rsidRPr="00124CC0">
        <w:t>21.2.5</w:t>
      </w:r>
      <w:r w:rsidRPr="00124CC0">
        <w:tab/>
        <w:t>Le GCNT est convenu de demander au TSB de publier une Lettre circulaire annonçant la tenue de l'atelier sur la participation du secteur privé le 19 avril 2024 à Genève.</w:t>
      </w:r>
    </w:p>
    <w:p w14:paraId="0B972F64" w14:textId="77777777" w:rsidR="00A756BE" w:rsidRPr="00124CC0" w:rsidRDefault="00A756BE" w:rsidP="00A756BE">
      <w:r w:rsidRPr="00124CC0">
        <w:t>21.2.6</w:t>
      </w:r>
      <w:r w:rsidRPr="00124CC0">
        <w:tab/>
        <w:t>Le GCNT a décidé de prendre des mesures pour préparer la fusion des CE 9 et 16 de l'UIT</w:t>
      </w:r>
      <w:r w:rsidRPr="00124CC0">
        <w:noBreakHyphen/>
        <w:t>T à la prochaine période d'études.</w:t>
      </w:r>
    </w:p>
    <w:p w14:paraId="4201C02E" w14:textId="77777777" w:rsidR="00A756BE" w:rsidRPr="00124CC0" w:rsidRDefault="00A756BE" w:rsidP="00A756BE">
      <w:r w:rsidRPr="00124CC0">
        <w:t>21.2.7</w:t>
      </w:r>
      <w:r w:rsidRPr="00124CC0">
        <w:tab/>
        <w:t xml:space="preserve">Conformément au principe de roulement convenu pour les dirigeants de ce groupe à la réunion de mai-juin 2023 du GCNT, le GCNT a nommé M. Ahmad SHARAFAT (Iran) Rapporteur et M. Ahmed SAID (Égypte) Rapporteur associé du Groupe RG-DT </w:t>
      </w:r>
      <w:r w:rsidRPr="00124CC0">
        <w:rPr>
          <w:sz w:val="22"/>
          <w:szCs w:val="18"/>
        </w:rPr>
        <w:t>[</w:t>
      </w:r>
      <w:r w:rsidRPr="00124CC0">
        <w:rPr>
          <w:b/>
          <w:bCs/>
        </w:rPr>
        <w:t>GT 2-3</w:t>
      </w:r>
      <w:r w:rsidRPr="00124CC0">
        <w:t>].</w:t>
      </w:r>
    </w:p>
    <w:p w14:paraId="58368F08" w14:textId="77777777" w:rsidR="00A756BE" w:rsidRPr="00124CC0" w:rsidRDefault="00A756BE" w:rsidP="00A756BE">
      <w:pPr>
        <w:pStyle w:val="enumlev1"/>
      </w:pPr>
      <w:r w:rsidRPr="00124CC0">
        <w:t>21.2.8</w:t>
      </w:r>
      <w:r w:rsidRPr="00124CC0">
        <w:tab/>
        <w:t>1)</w:t>
      </w:r>
      <w:r w:rsidRPr="00124CC0">
        <w:tab/>
        <w:t>Le GCNT a créé le Groupe du Rapporteur sur la planification stratégique et la planification opérationnelle (RG-SOP), dont le mandat est reproduit dans l'</w:t>
      </w:r>
      <w:hyperlink w:anchor="AnnexeE" w:history="1">
        <w:r w:rsidRPr="00124CC0">
          <w:rPr>
            <w:rStyle w:val="Hyperlink"/>
            <w:rFonts w:ascii="Times New Roman" w:hAnsi="Times New Roman"/>
          </w:rPr>
          <w:t>Annexe E</w:t>
        </w:r>
      </w:hyperlink>
      <w:r w:rsidRPr="00124CC0">
        <w:t xml:space="preserve"> [</w:t>
      </w:r>
      <w:r w:rsidRPr="00124CC0">
        <w:rPr>
          <w:b/>
          <w:bCs/>
        </w:rPr>
        <w:t>GT 2</w:t>
      </w:r>
      <w:r w:rsidRPr="00124CC0">
        <w:rPr>
          <w:b/>
          <w:bCs/>
        </w:rPr>
        <w:noBreakHyphen/>
        <w:t>4</w:t>
      </w:r>
      <w:r w:rsidRPr="00124CC0">
        <w:t>].</w:t>
      </w:r>
    </w:p>
    <w:p w14:paraId="401A1C71" w14:textId="77777777" w:rsidR="00A756BE" w:rsidRPr="00124CC0" w:rsidRDefault="00A756BE" w:rsidP="00A756BE">
      <w:pPr>
        <w:pStyle w:val="enumlev1"/>
        <w:keepNext/>
      </w:pPr>
      <w:r w:rsidRPr="00124CC0">
        <w:lastRenderedPageBreak/>
        <w:t>2)</w:t>
      </w:r>
      <w:r w:rsidRPr="00124CC0">
        <w:tab/>
        <w:t>Le GCNT a nommé M. Victor Manuel MARTÍNEZ VANEGAS (Mexique) Rapporteur du Groupe RG-SOP, et M. Bruce GRACIE (Ericsson Canada) et M. Dao TIAN (ZTE, Chine) Rapporteurs associés du Groupe RG-SOP [</w:t>
      </w:r>
      <w:r w:rsidRPr="00124CC0">
        <w:rPr>
          <w:b/>
          <w:bCs/>
        </w:rPr>
        <w:t>GT 2-5</w:t>
      </w:r>
      <w:r w:rsidRPr="00124CC0">
        <w:t>].</w:t>
      </w:r>
    </w:p>
    <w:p w14:paraId="44C20287" w14:textId="77777777" w:rsidR="00A756BE" w:rsidRPr="00124CC0" w:rsidRDefault="00A756BE" w:rsidP="00A756BE">
      <w:pPr>
        <w:pStyle w:val="enumlev1"/>
      </w:pPr>
      <w:r w:rsidRPr="00124CC0">
        <w:t>3)</w:t>
      </w:r>
      <w:r w:rsidRPr="00124CC0">
        <w:tab/>
        <w:t>Le GCNT a décidé que le nouveau Groupe RG-SOP ferait rapport directement à la plénière du GCNT [</w:t>
      </w:r>
      <w:r w:rsidRPr="00124CC0">
        <w:rPr>
          <w:b/>
          <w:bCs/>
        </w:rPr>
        <w:t>GT 2-6</w:t>
      </w:r>
      <w:r w:rsidRPr="00124CC0">
        <w:t>].</w:t>
      </w:r>
    </w:p>
    <w:p w14:paraId="61E7C8F6" w14:textId="77777777" w:rsidR="00A756BE" w:rsidRPr="00124CC0" w:rsidRDefault="00A756BE" w:rsidP="00A756BE">
      <w:pPr>
        <w:pStyle w:val="enumlev1"/>
      </w:pPr>
      <w:r w:rsidRPr="00124CC0">
        <w:t>21.2.9</w:t>
      </w:r>
      <w:r w:rsidRPr="00124CC0">
        <w:tab/>
        <w:t>1)</w:t>
      </w:r>
      <w:r w:rsidRPr="00124CC0">
        <w:tab/>
        <w:t>Le GCNT a prolongé le mandat du Groupe FG-MV jusqu'en juin 2024 [</w:t>
      </w:r>
      <w:r w:rsidRPr="00124CC0">
        <w:rPr>
          <w:b/>
          <w:bCs/>
        </w:rPr>
        <w:t>GT 2-7</w:t>
      </w:r>
      <w:r w:rsidRPr="00124CC0">
        <w:t>].</w:t>
      </w:r>
    </w:p>
    <w:p w14:paraId="14156FFE" w14:textId="77777777" w:rsidR="00A756BE" w:rsidRPr="00124CC0" w:rsidRDefault="00A756BE" w:rsidP="00A756BE">
      <w:pPr>
        <w:pStyle w:val="enumlev1"/>
      </w:pPr>
      <w:r w:rsidRPr="00124CC0">
        <w:t>2)</w:t>
      </w:r>
      <w:r w:rsidRPr="00124CC0">
        <w:tab/>
        <w:t xml:space="preserve">Le GCNT a approuvé la répartition des produits du Groupe FG-MV comme indiqué dans le tableau de la note de liaison figurant dans le Document </w:t>
      </w:r>
      <w:hyperlink r:id="rId89" w:history="1">
        <w:r w:rsidRPr="00124CC0">
          <w:rPr>
            <w:rStyle w:val="Hyperlink"/>
            <w:rFonts w:ascii="Times New Roman" w:hAnsi="Times New Roman"/>
          </w:rPr>
          <w:t>TD480R2</w:t>
        </w:r>
      </w:hyperlink>
      <w:r w:rsidRPr="00124CC0">
        <w:t>) [</w:t>
      </w:r>
      <w:r w:rsidRPr="00124CC0">
        <w:rPr>
          <w:b/>
          <w:bCs/>
        </w:rPr>
        <w:t>GT 2</w:t>
      </w:r>
      <w:r w:rsidRPr="00124CC0">
        <w:rPr>
          <w:b/>
          <w:bCs/>
        </w:rPr>
        <w:noBreakHyphen/>
        <w:t>8</w:t>
      </w:r>
      <w:r w:rsidRPr="00124CC0">
        <w:t>].</w:t>
      </w:r>
    </w:p>
    <w:p w14:paraId="157628F6" w14:textId="77777777" w:rsidR="00A756BE" w:rsidRPr="00124CC0" w:rsidRDefault="00A756BE" w:rsidP="00A756BE">
      <w:r w:rsidRPr="00124CC0">
        <w:t>21.2.10</w:t>
      </w:r>
      <w:r w:rsidRPr="00124CC0">
        <w:tab/>
        <w:t>Le GCNT a décidé d'envoyer les notes de liaison suivantes élaborées par le GT 2:</w:t>
      </w:r>
    </w:p>
    <w:p w14:paraId="710E15FE" w14:textId="77777777" w:rsidR="00A756BE" w:rsidRPr="00124CC0" w:rsidRDefault="00A756BE" w:rsidP="00A756BE">
      <w:pPr>
        <w:pStyle w:val="enumlev1"/>
      </w:pPr>
      <w:r w:rsidRPr="00124CC0">
        <w:t>1)</w:t>
      </w:r>
      <w:r w:rsidRPr="00124CC0">
        <w:tab/>
        <w:t xml:space="preserve">Document </w:t>
      </w:r>
      <w:hyperlink r:id="rId90" w:history="1">
        <w:r w:rsidRPr="00124CC0">
          <w:rPr>
            <w:rStyle w:val="Hyperlink"/>
            <w:rFonts w:ascii="Times New Roman" w:hAnsi="Times New Roman"/>
          </w:rPr>
          <w:t>TD484R1</w:t>
        </w:r>
      </w:hyperlink>
      <w:r w:rsidRPr="00124CC0">
        <w:t>: note de liaison sur la fusion des CE 9 et 16 de l'UIT-T envoyée à la CE 9 et à la CE 16 de l'UIT-T pour suite à donner et aux autres CE de l'UIT-T pour information [</w:t>
      </w:r>
      <w:r w:rsidRPr="00124CC0">
        <w:rPr>
          <w:b/>
          <w:bCs/>
        </w:rPr>
        <w:t>RG-WPR-2</w:t>
      </w:r>
      <w:r w:rsidRPr="00124CC0">
        <w:t>].</w:t>
      </w:r>
    </w:p>
    <w:p w14:paraId="446EAD0E" w14:textId="77777777" w:rsidR="00A756BE" w:rsidRPr="00124CC0" w:rsidRDefault="00A756BE" w:rsidP="00A756BE">
      <w:pPr>
        <w:pStyle w:val="enumlev1"/>
      </w:pPr>
      <w:r w:rsidRPr="00124CC0">
        <w:t>2)</w:t>
      </w:r>
      <w:r w:rsidRPr="00124CC0">
        <w:tab/>
        <w:t xml:space="preserve">Document </w:t>
      </w:r>
      <w:hyperlink r:id="rId91" w:history="1">
        <w:r w:rsidRPr="00124CC0">
          <w:rPr>
            <w:rStyle w:val="Hyperlink"/>
            <w:rFonts w:ascii="Times New Roman" w:hAnsi="Times New Roman"/>
          </w:rPr>
          <w:t>TD485</w:t>
        </w:r>
      </w:hyperlink>
      <w:r w:rsidRPr="00124CC0">
        <w:t>: note de liaison sur les travaux préparatoires en vue l'AMNT-24 envoyée à toutes les CE de l'UIT-T pour suite à donner, et à tous les groupes régionaux des commissions d'études de l'UIT-T pour information [</w:t>
      </w:r>
      <w:r w:rsidRPr="00124CC0">
        <w:rPr>
          <w:b/>
          <w:bCs/>
        </w:rPr>
        <w:t>RG-WPR-3</w:t>
      </w:r>
      <w:r w:rsidRPr="00124CC0">
        <w:t>].</w:t>
      </w:r>
    </w:p>
    <w:p w14:paraId="64F1CE9F" w14:textId="77777777" w:rsidR="00A756BE" w:rsidRPr="00124CC0" w:rsidRDefault="00A756BE" w:rsidP="00A756BE">
      <w:pPr>
        <w:pStyle w:val="enumlev1"/>
      </w:pPr>
      <w:r w:rsidRPr="00124CC0">
        <w:t>3)</w:t>
      </w:r>
      <w:r w:rsidRPr="00124CC0">
        <w:tab/>
        <w:t xml:space="preserve">Document </w:t>
      </w:r>
      <w:hyperlink r:id="rId92" w:history="1">
        <w:r w:rsidRPr="00124CC0">
          <w:rPr>
            <w:rStyle w:val="Hyperlink"/>
            <w:rFonts w:ascii="Times New Roman" w:hAnsi="Times New Roman"/>
          </w:rPr>
          <w:t>TD475R1</w:t>
        </w:r>
      </w:hyperlink>
      <w:r w:rsidRPr="00124CC0">
        <w:t>: note de liaison sur le nouveau sujet d'étude UIT-T Q.TSCA, qui définit la procédure de délivrance de certificats numériques pour la sécurité de la signalisation, envoyée à la CE 17 de l'UIT-T pour suite à donner et aux CE 2 et 11 de l'UIT</w:t>
      </w:r>
      <w:r w:rsidRPr="00124CC0">
        <w:noBreakHyphen/>
        <w:t>T pour information [</w:t>
      </w:r>
      <w:r w:rsidRPr="00124CC0">
        <w:rPr>
          <w:b/>
          <w:bCs/>
        </w:rPr>
        <w:t>RG-WPR-4</w:t>
      </w:r>
      <w:r w:rsidRPr="00124CC0">
        <w:t>].</w:t>
      </w:r>
    </w:p>
    <w:p w14:paraId="2B90901E" w14:textId="77777777" w:rsidR="00A756BE" w:rsidRPr="00124CC0" w:rsidRDefault="00A756BE" w:rsidP="00A756BE">
      <w:pPr>
        <w:pStyle w:val="enumlev1"/>
      </w:pPr>
      <w:r w:rsidRPr="00124CC0">
        <w:t>4)</w:t>
      </w:r>
      <w:r w:rsidRPr="00124CC0">
        <w:tab/>
        <w:t xml:space="preserve">Document </w:t>
      </w:r>
      <w:hyperlink r:id="rId93" w:history="1">
        <w:r w:rsidRPr="00124CC0">
          <w:rPr>
            <w:rStyle w:val="Hyperlink"/>
            <w:rFonts w:ascii="Times New Roman" w:hAnsi="Times New Roman"/>
          </w:rPr>
          <w:t>TD480R2</w:t>
        </w:r>
      </w:hyperlink>
      <w:r w:rsidRPr="00124CC0">
        <w:t>: note de liaison sur le métavers [envoyée à toutes les CE de l'UIT-T] [</w:t>
      </w:r>
      <w:r w:rsidRPr="00124CC0">
        <w:rPr>
          <w:b/>
          <w:bCs/>
        </w:rPr>
        <w:t>GT 2</w:t>
      </w:r>
      <w:r w:rsidRPr="00124CC0">
        <w:rPr>
          <w:b/>
          <w:bCs/>
        </w:rPr>
        <w:noBreakHyphen/>
        <w:t>9</w:t>
      </w:r>
      <w:r w:rsidRPr="00124CC0">
        <w:t>].</w:t>
      </w:r>
    </w:p>
    <w:p w14:paraId="63F58705" w14:textId="77777777" w:rsidR="00A756BE" w:rsidRPr="00124CC0" w:rsidRDefault="00A756BE" w:rsidP="00A756BE">
      <w:pPr>
        <w:pStyle w:val="enumlev1"/>
      </w:pPr>
      <w:r w:rsidRPr="00124CC0">
        <w:t>5)</w:t>
      </w:r>
      <w:r w:rsidRPr="00124CC0">
        <w:tab/>
        <w:t xml:space="preserve">Document </w:t>
      </w:r>
      <w:hyperlink r:id="rId94" w:history="1">
        <w:r w:rsidRPr="00124CC0">
          <w:rPr>
            <w:rStyle w:val="Hyperlink"/>
            <w:rFonts w:ascii="Times New Roman" w:hAnsi="Times New Roman"/>
          </w:rPr>
          <w:t>TD474</w:t>
        </w:r>
      </w:hyperlink>
      <w:r w:rsidRPr="00124CC0">
        <w:t xml:space="preserve">: note de liaison 73-17 (Résolution </w:t>
      </w:r>
      <w:r w:rsidRPr="00524283">
        <w:rPr>
          <w:b/>
          <w:bCs/>
        </w:rPr>
        <w:t>73</w:t>
      </w:r>
      <w:r w:rsidRPr="00124CC0">
        <w:t xml:space="preserve"> sur l'environnement et les changements climatiques) [envoyée à la CE 5 de l'UIT-T] – [</w:t>
      </w:r>
      <w:r w:rsidRPr="00124CC0">
        <w:rPr>
          <w:b/>
          <w:bCs/>
        </w:rPr>
        <w:t>GT 2-11</w:t>
      </w:r>
      <w:r w:rsidRPr="00124CC0">
        <w:t>].</w:t>
      </w:r>
    </w:p>
    <w:p w14:paraId="5D49A687" w14:textId="77777777" w:rsidR="00A756BE" w:rsidRPr="00124CC0" w:rsidRDefault="00A756BE" w:rsidP="00A756BE">
      <w:r w:rsidRPr="00124CC0">
        <w:t>21.2.11</w:t>
      </w:r>
      <w:r w:rsidRPr="00124CC0">
        <w:tab/>
        <w:t>Le GCNT a décidé de clore les tâches 73-06, 73-17, 94-02 et 94-04 du Plan d'action de l'AMNT [</w:t>
      </w:r>
      <w:r w:rsidRPr="00124CC0">
        <w:rPr>
          <w:b/>
          <w:bCs/>
        </w:rPr>
        <w:t>GT 2-12</w:t>
      </w:r>
      <w:r w:rsidRPr="00124CC0">
        <w:t>].</w:t>
      </w:r>
    </w:p>
    <w:p w14:paraId="6D866F78" w14:textId="77777777" w:rsidR="00A756BE" w:rsidRPr="00124CC0" w:rsidRDefault="00A756BE" w:rsidP="00A756BE">
      <w:r w:rsidRPr="00124CC0">
        <w:t>21.2.12</w:t>
      </w:r>
      <w:r w:rsidRPr="00124CC0">
        <w:tab/>
        <w:t xml:space="preserve">Le GCNT a approuvé le programme d'activité provisoire du Groupe du Rapporteur figurant au paragraphe 8 du rapport de la réunion du GT 2 (Document </w:t>
      </w:r>
      <w:hyperlink r:id="rId95" w:history="1">
        <w:r w:rsidRPr="00124CC0">
          <w:rPr>
            <w:rStyle w:val="Hyperlink"/>
            <w:rFonts w:ascii="Times New Roman" w:hAnsi="Times New Roman"/>
          </w:rPr>
          <w:t>TD315R3</w:t>
        </w:r>
      </w:hyperlink>
      <w:r w:rsidRPr="00124CC0">
        <w:t>) [</w:t>
      </w:r>
      <w:r w:rsidRPr="00124CC0">
        <w:rPr>
          <w:b/>
          <w:bCs/>
        </w:rPr>
        <w:t>GT 2-10</w:t>
      </w:r>
      <w:r w:rsidRPr="00124CC0">
        <w:t>], reproduit dans l'</w:t>
      </w:r>
      <w:hyperlink w:anchor="AnnexeB" w:history="1">
        <w:r w:rsidRPr="00124CC0">
          <w:rPr>
            <w:rStyle w:val="Hyperlink"/>
            <w:rFonts w:ascii="Times New Roman" w:hAnsi="Times New Roman"/>
          </w:rPr>
          <w:t>Annexe B</w:t>
        </w:r>
      </w:hyperlink>
      <w:r w:rsidRPr="00124CC0">
        <w:t xml:space="preserve"> ci-après.</w:t>
      </w:r>
    </w:p>
    <w:p w14:paraId="596F340C" w14:textId="77777777" w:rsidR="00A756BE" w:rsidRPr="00124CC0" w:rsidRDefault="00A756BE" w:rsidP="00A756BE">
      <w:pPr>
        <w:pStyle w:val="Heading1"/>
      </w:pPr>
      <w:bookmarkStart w:id="35" w:name="_Toc161662744"/>
      <w:r w:rsidRPr="00124CC0">
        <w:t>22</w:t>
      </w:r>
      <w:r w:rsidRPr="00124CC0">
        <w:tab/>
        <w:t>Calendrier des réunions de l'UIT-T et date de la prochaine réunion du GCNT</w:t>
      </w:r>
      <w:bookmarkEnd w:id="35"/>
    </w:p>
    <w:p w14:paraId="1A2C881A" w14:textId="77777777" w:rsidR="00A756BE" w:rsidRPr="00124CC0" w:rsidRDefault="00A756BE" w:rsidP="00A756BE">
      <w:r w:rsidRPr="00124CC0">
        <w:t>22.1</w:t>
      </w:r>
      <w:r w:rsidRPr="00124CC0">
        <w:tab/>
        <w:t xml:space="preserve">Le GCNT a pris note du Document </w:t>
      </w:r>
      <w:hyperlink r:id="rId96" w:history="1">
        <w:r w:rsidRPr="00124CC0">
          <w:rPr>
            <w:rStyle w:val="Hyperlink"/>
            <w:rFonts w:ascii="Times New Roman" w:hAnsi="Times New Roman"/>
          </w:rPr>
          <w:t>TD413R1</w:t>
        </w:r>
      </w:hyperlink>
      <w:r w:rsidRPr="00124CC0">
        <w:t>, qui contient le calendrier des réunions de l'UIT-T en 2024. Le représentant du TSB a indiqué qu'il s'agit d'un document évolutif mis à jour en permanence et que le Bureau fournira des informations actualisées à intervalles réguliers.</w:t>
      </w:r>
    </w:p>
    <w:p w14:paraId="396E1BD2" w14:textId="77777777" w:rsidR="00A756BE" w:rsidRPr="00124CC0" w:rsidRDefault="00A756BE" w:rsidP="00A756BE">
      <w:pPr>
        <w:spacing w:after="120"/>
      </w:pPr>
      <w:r w:rsidRPr="00124CC0">
        <w:t>22.2</w:t>
      </w:r>
      <w:r w:rsidRPr="00124CC0">
        <w:tab/>
        <w:t>Le GCNT a pris note des dates proposées pour la quatrième réunion du GCNT et la deuxième réunion interrégionale au cours de la période d'études 2022-2024, qui qui sont les suivantes:</w:t>
      </w:r>
    </w:p>
    <w:tbl>
      <w:tblPr>
        <w:tblStyle w:val="TableGrid"/>
        <w:tblW w:w="8610"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3"/>
        <w:gridCol w:w="5387"/>
      </w:tblGrid>
      <w:tr w:rsidR="00A756BE" w:rsidRPr="00124CC0" w14:paraId="58941900" w14:textId="77777777" w:rsidTr="00B57C78">
        <w:trPr>
          <w:tblHeader/>
          <w:jc w:val="center"/>
        </w:trPr>
        <w:tc>
          <w:tcPr>
            <w:tcW w:w="3223" w:type="dxa"/>
            <w:tcBorders>
              <w:top w:val="single" w:sz="12" w:space="0" w:color="auto"/>
              <w:bottom w:val="single" w:sz="12" w:space="0" w:color="auto"/>
            </w:tcBorders>
          </w:tcPr>
          <w:p w14:paraId="502E20FA" w14:textId="77777777" w:rsidR="00A756BE" w:rsidRPr="00124CC0" w:rsidRDefault="00A756BE" w:rsidP="00B57C78">
            <w:pPr>
              <w:pStyle w:val="Tablehead"/>
              <w:rPr>
                <w:sz w:val="24"/>
                <w:szCs w:val="24"/>
              </w:rPr>
            </w:pPr>
            <w:r w:rsidRPr="00124CC0">
              <w:rPr>
                <w:sz w:val="24"/>
                <w:szCs w:val="24"/>
              </w:rPr>
              <w:t>Réunion</w:t>
            </w:r>
          </w:p>
        </w:tc>
        <w:tc>
          <w:tcPr>
            <w:tcW w:w="5387" w:type="dxa"/>
            <w:tcBorders>
              <w:top w:val="single" w:sz="12" w:space="0" w:color="auto"/>
              <w:bottom w:val="single" w:sz="12" w:space="0" w:color="auto"/>
            </w:tcBorders>
          </w:tcPr>
          <w:p w14:paraId="14B400EC" w14:textId="77777777" w:rsidR="00A756BE" w:rsidRPr="00124CC0" w:rsidRDefault="00A756BE" w:rsidP="00B57C78">
            <w:pPr>
              <w:pStyle w:val="Tablehead"/>
              <w:rPr>
                <w:sz w:val="24"/>
                <w:szCs w:val="24"/>
              </w:rPr>
            </w:pPr>
            <w:r w:rsidRPr="00124CC0">
              <w:rPr>
                <w:sz w:val="24"/>
                <w:szCs w:val="24"/>
              </w:rPr>
              <w:t>Lieu et date provisoires</w:t>
            </w:r>
          </w:p>
        </w:tc>
      </w:tr>
      <w:tr w:rsidR="00A756BE" w:rsidRPr="00124CC0" w14:paraId="4D0656BE" w14:textId="77777777" w:rsidTr="00B57C78">
        <w:trPr>
          <w:jc w:val="center"/>
        </w:trPr>
        <w:tc>
          <w:tcPr>
            <w:tcW w:w="3223" w:type="dxa"/>
          </w:tcPr>
          <w:p w14:paraId="449008D7" w14:textId="77777777" w:rsidR="00A756BE" w:rsidRPr="00124CC0" w:rsidRDefault="00A756BE" w:rsidP="00B57C78">
            <w:pPr>
              <w:pStyle w:val="Tabletext"/>
              <w:rPr>
                <w:rFonts w:eastAsia="SimSun"/>
              </w:rPr>
            </w:pPr>
            <w:r w:rsidRPr="00124CC0">
              <w:rPr>
                <w:rFonts w:eastAsia="SimSun"/>
              </w:rPr>
              <w:t>2ème réunion interrégionale</w:t>
            </w:r>
          </w:p>
        </w:tc>
        <w:tc>
          <w:tcPr>
            <w:tcW w:w="5387" w:type="dxa"/>
          </w:tcPr>
          <w:p w14:paraId="64AFF2E6" w14:textId="77777777" w:rsidR="00A756BE" w:rsidRPr="00124CC0" w:rsidRDefault="00A756BE" w:rsidP="00B57C78">
            <w:pPr>
              <w:pStyle w:val="Tabletext"/>
              <w:rPr>
                <w:rFonts w:eastAsia="SimSun"/>
              </w:rPr>
            </w:pPr>
            <w:r w:rsidRPr="00124CC0">
              <w:t>Réunion virtuelle, jeudi 25 juillet 2024</w:t>
            </w:r>
          </w:p>
        </w:tc>
      </w:tr>
      <w:tr w:rsidR="00A756BE" w:rsidRPr="00124CC0" w14:paraId="19C0A696" w14:textId="77777777" w:rsidTr="00B57C78">
        <w:trPr>
          <w:jc w:val="center"/>
        </w:trPr>
        <w:tc>
          <w:tcPr>
            <w:tcW w:w="3223" w:type="dxa"/>
            <w:tcBorders>
              <w:bottom w:val="single" w:sz="12" w:space="0" w:color="auto"/>
            </w:tcBorders>
          </w:tcPr>
          <w:p w14:paraId="073A942A" w14:textId="77777777" w:rsidR="00A756BE" w:rsidRPr="00124CC0" w:rsidRDefault="00A756BE" w:rsidP="00B57C78">
            <w:pPr>
              <w:pStyle w:val="Tabletext"/>
              <w:rPr>
                <w:rFonts w:eastAsia="SimSun"/>
              </w:rPr>
            </w:pPr>
            <w:r w:rsidRPr="00124CC0">
              <w:rPr>
                <w:rFonts w:eastAsia="SimSun"/>
              </w:rPr>
              <w:t>4ème réunion du GCNT</w:t>
            </w:r>
          </w:p>
        </w:tc>
        <w:tc>
          <w:tcPr>
            <w:tcW w:w="5387" w:type="dxa"/>
            <w:tcBorders>
              <w:bottom w:val="single" w:sz="12" w:space="0" w:color="auto"/>
            </w:tcBorders>
          </w:tcPr>
          <w:p w14:paraId="6D52BA44" w14:textId="77777777" w:rsidR="00A756BE" w:rsidRPr="00124CC0" w:rsidRDefault="00A756BE" w:rsidP="00B57C78">
            <w:pPr>
              <w:pStyle w:val="Tabletext"/>
              <w:rPr>
                <w:rFonts w:eastAsia="SimSun"/>
              </w:rPr>
            </w:pPr>
            <w:r w:rsidRPr="00124CC0">
              <w:rPr>
                <w:rFonts w:eastAsia="SimSun"/>
              </w:rPr>
              <w:t>Genève, Suisse, 29 juillet – 2 août 2024 (lundi-vendredi)</w:t>
            </w:r>
          </w:p>
        </w:tc>
      </w:tr>
    </w:tbl>
    <w:p w14:paraId="0EC380EB" w14:textId="77777777" w:rsidR="00A756BE" w:rsidRPr="00124CC0" w:rsidRDefault="00A756BE" w:rsidP="00A756BE">
      <w:r w:rsidRPr="00124CC0">
        <w:t>22.3</w:t>
      </w:r>
      <w:r w:rsidRPr="00124CC0">
        <w:tab/>
        <w:t xml:space="preserve">Le GCNT a pris note du Document </w:t>
      </w:r>
      <w:hyperlink r:id="rId97" w:history="1">
        <w:r w:rsidRPr="00124CC0">
          <w:rPr>
            <w:rStyle w:val="Hyperlink"/>
            <w:rFonts w:ascii="Times New Roman" w:hAnsi="Times New Roman"/>
          </w:rPr>
          <w:t>TD481R1</w:t>
        </w:r>
      </w:hyperlink>
      <w:r w:rsidRPr="00124CC0">
        <w:t>, qui contient la liste de toutes les réunions intérimaires que le Groupe a prévu de tenir, comme indiqué dans l'</w:t>
      </w:r>
      <w:hyperlink w:anchor="AnnexeB" w:history="1">
        <w:r w:rsidRPr="00124CC0">
          <w:rPr>
            <w:rStyle w:val="Hyperlink"/>
            <w:rFonts w:ascii="Times New Roman" w:hAnsi="Times New Roman"/>
          </w:rPr>
          <w:t>Annexe B</w:t>
        </w:r>
      </w:hyperlink>
      <w:r w:rsidRPr="00124CC0">
        <w:t>.</w:t>
      </w:r>
    </w:p>
    <w:p w14:paraId="7D35623A" w14:textId="77777777" w:rsidR="00A756BE" w:rsidRPr="00124CC0" w:rsidRDefault="00A756BE" w:rsidP="00A756BE">
      <w:pPr>
        <w:pStyle w:val="Heading1"/>
      </w:pPr>
      <w:bookmarkStart w:id="36" w:name="_Toc161662745"/>
      <w:r w:rsidRPr="00124CC0">
        <w:lastRenderedPageBreak/>
        <w:t>23</w:t>
      </w:r>
      <w:r w:rsidRPr="00124CC0">
        <w:tab/>
        <w:t>Divers</w:t>
      </w:r>
      <w:bookmarkEnd w:id="36"/>
    </w:p>
    <w:p w14:paraId="04064761" w14:textId="77777777" w:rsidR="00A756BE" w:rsidRPr="00124CC0" w:rsidRDefault="00A756BE" w:rsidP="00A756BE">
      <w:pPr>
        <w:keepLines/>
      </w:pPr>
      <w:r w:rsidRPr="00124CC0">
        <w:t>23.1</w:t>
      </w:r>
      <w:r w:rsidRPr="00124CC0">
        <w:tab/>
        <w:t>Le délégué de la Fédération de Russie a précédemment prononcé une déclaration résumant toutes les préoccupations de son Administration, ainsi que les discussions formelles et informelles tenues au cours de cette réunion du GCNT concernant l'utilisation en anglais des termes "Chair/Vice-chair" au lieu de "Chairman/Vice-chairman" comme suit:</w:t>
      </w:r>
    </w:p>
    <w:p w14:paraId="7FED14E6" w14:textId="77777777" w:rsidR="00A756BE" w:rsidRPr="00124CC0" w:rsidRDefault="00A756BE" w:rsidP="00A756BE">
      <w:pPr>
        <w:ind w:left="794" w:hanging="794"/>
        <w:rPr>
          <w:i/>
          <w:iCs/>
        </w:rPr>
      </w:pPr>
      <w:r w:rsidRPr="00124CC0">
        <w:rPr>
          <w:i/>
          <w:iCs/>
        </w:rPr>
        <w:tab/>
        <w:t>Lors de la réunion du Groupe consultatif de la normalisation des télécommunications (GCNT), la Fédération de Russie s'oppose à l'utilisation injustifiée des termes anglais non convenus de "Chair" et "Vice-Chair" dans les documents de l'UIT-T rédigés en anglais, car elle estime que cette utilisation ne correspond pas aux méthodes de travail et aux dispositions de la Convention et de la Constitution de l'UIT.</w:t>
      </w:r>
    </w:p>
    <w:p w14:paraId="4547B264" w14:textId="77777777" w:rsidR="00A756BE" w:rsidRPr="00124CC0" w:rsidRDefault="00A756BE" w:rsidP="00A756BE">
      <w:pPr>
        <w:ind w:left="794" w:hanging="794"/>
        <w:rPr>
          <w:i/>
          <w:iCs/>
        </w:rPr>
      </w:pPr>
      <w:r w:rsidRPr="00124CC0">
        <w:rPr>
          <w:i/>
          <w:iCs/>
        </w:rPr>
        <w:tab/>
        <w:t>La Fédération de Russie estime qu'il n'est pas légitime d'utiliser l'abrogation de la Décision 500 du Conseil (C2000) (Document C23/3) et le contenu connexe des comptes rendus de la septième et dernière séance plénière du Conseil de l'UIT (Document C23/112) pour modifier le Guide stylistique de langue anglaise de l'UIT et remplacer par la suite les termes anglais "Chairman/Vice-Chairman" par "Chair/Vice-Chair" dans les documents de langue anglaise de l'UIT.</w:t>
      </w:r>
    </w:p>
    <w:p w14:paraId="6A938376" w14:textId="77777777" w:rsidR="00A756BE" w:rsidRPr="00124CC0" w:rsidRDefault="00A756BE" w:rsidP="00A756BE">
      <w:pPr>
        <w:ind w:left="794" w:hanging="794"/>
        <w:rPr>
          <w:i/>
          <w:iCs/>
        </w:rPr>
      </w:pPr>
      <w:r w:rsidRPr="00124CC0">
        <w:rPr>
          <w:i/>
          <w:iCs/>
        </w:rPr>
        <w:tab/>
        <w:t>Les termes anglais "Chairman/Chairmen" et "Vice-Chairmen/Vice-Chairmen" sont utilisés dans la version anglaise de l'article 3 de la Constitution de l'UIT et des articles 2, 4, 6, 8, 9, 10, 11A, 13, 14A, 15, 16, 17A, 20 et 31, ainsi que dans la version anglaise des Résolutions des Conférences de plénipotentiaires.</w:t>
      </w:r>
    </w:p>
    <w:p w14:paraId="38273D9A" w14:textId="77777777" w:rsidR="00A756BE" w:rsidRPr="00124CC0" w:rsidRDefault="00A756BE" w:rsidP="00A756BE">
      <w:pPr>
        <w:ind w:left="794" w:hanging="794"/>
        <w:rPr>
          <w:i/>
          <w:iCs/>
        </w:rPr>
      </w:pPr>
      <w:r w:rsidRPr="00124CC0">
        <w:rPr>
          <w:i/>
          <w:iCs/>
        </w:rPr>
        <w:tab/>
        <w:t>À cet égard, la Fédération de Russie estime que l'application par le secrétariat du TSB du Guide susmentionné aux documents de travail et aux documents de l'UIT-T approuvés ainsi que l'utilisation de ce Guide comme outil pour l'élaboration des documents de l'UIT-T afin de justifier la légitimité de la mise à jour de la terminologie susmentionnée sont en contradiction avec les dispositions de la Constitution et de la Convention de l'UIT.</w:t>
      </w:r>
    </w:p>
    <w:p w14:paraId="547320D3" w14:textId="77777777" w:rsidR="00A756BE" w:rsidRPr="00124CC0" w:rsidRDefault="00A756BE" w:rsidP="00A756BE">
      <w:pPr>
        <w:ind w:left="794" w:hanging="794"/>
        <w:rPr>
          <w:i/>
          <w:iCs/>
        </w:rPr>
      </w:pPr>
      <w:r w:rsidRPr="00124CC0">
        <w:rPr>
          <w:i/>
          <w:iCs/>
        </w:rPr>
        <w:tab/>
        <w:t>La Fédération de Russie réaffirme que toute modification qui n'est pas acceptée par tous les États Membres de l'UIT et qui est contraire à la Constitution et à la Convention de l'Union, ainsi qu'aux Résolutions des Conférences de plénipotentiaires, est inacceptable, nuit à la légitimité des documents dans lesquels elle est appliquée et compromet la possibilité de leur application dans les activités de l'Union. Tous les textes de langue anglaise, existants ou révisés, doivent rester inchangés en ce qui concerne l'utilisation écrite des termes anglais "Chairman/Vice-Chairman" conformément aux dispositions de la Constitution et de la Convention de l'UIT, jusqu'à ce qu'une décision soit prise sur cette question selon les modalités prescrites.</w:t>
      </w:r>
    </w:p>
    <w:p w14:paraId="5FBF1D5C" w14:textId="77777777" w:rsidR="00A756BE" w:rsidRPr="00124CC0" w:rsidRDefault="00A756BE" w:rsidP="00A756BE">
      <w:pPr>
        <w:pStyle w:val="Heading1"/>
      </w:pPr>
      <w:bookmarkStart w:id="37" w:name="_Toc161662746"/>
      <w:r w:rsidRPr="00124CC0">
        <w:t>24</w:t>
      </w:r>
      <w:r w:rsidRPr="00124CC0">
        <w:tab/>
        <w:t>Examen du projet de rapport de la réunion</w:t>
      </w:r>
      <w:bookmarkEnd w:id="37"/>
    </w:p>
    <w:p w14:paraId="41D6430A" w14:textId="77777777" w:rsidR="00A756BE" w:rsidRPr="00124CC0" w:rsidRDefault="00A756BE" w:rsidP="00A756BE">
      <w:r w:rsidRPr="00124CC0">
        <w:t>24.1</w:t>
      </w:r>
      <w:r w:rsidRPr="00124CC0">
        <w:tab/>
        <w:t xml:space="preserve">Le Président a annoncé que, conformément à la pratique suivie précédemment dans le cadre des réunions du GCNT, le projet de rapport de la réunion reproduit dans le Document </w:t>
      </w:r>
      <w:hyperlink r:id="rId98" w:history="1">
        <w:r w:rsidRPr="00124CC0">
          <w:rPr>
            <w:rStyle w:val="Hyperlink"/>
            <w:rFonts w:ascii="Times New Roman" w:hAnsi="Times New Roman"/>
          </w:rPr>
          <w:t>TD306</w:t>
        </w:r>
      </w:hyperlink>
      <w:r w:rsidRPr="00124CC0">
        <w:t xml:space="preserve"> serait établi en temps utile et pourrait être examiné et faire l'objet de commentaires pendant une période de deux semaines.</w:t>
      </w:r>
    </w:p>
    <w:p w14:paraId="53D6B0B2" w14:textId="77777777" w:rsidR="00A756BE" w:rsidRPr="00124CC0" w:rsidRDefault="00A756BE" w:rsidP="00A756BE">
      <w:pPr>
        <w:pStyle w:val="Heading1"/>
      </w:pPr>
      <w:bookmarkStart w:id="38" w:name="_Toc161662747"/>
      <w:r w:rsidRPr="00124CC0">
        <w:lastRenderedPageBreak/>
        <w:t>25</w:t>
      </w:r>
      <w:r w:rsidRPr="00124CC0">
        <w:tab/>
        <w:t>Clôture de la réunion</w:t>
      </w:r>
      <w:bookmarkEnd w:id="38"/>
    </w:p>
    <w:p w14:paraId="6E45833D" w14:textId="77777777" w:rsidR="00A756BE" w:rsidRPr="00124CC0" w:rsidRDefault="00A756BE" w:rsidP="00A756BE">
      <w:pPr>
        <w:keepLines/>
      </w:pPr>
      <w:r w:rsidRPr="00124CC0">
        <w:t>25.1</w:t>
      </w:r>
      <w:r w:rsidRPr="00124CC0">
        <w:tab/>
        <w:t>Le Directeur du TSB a remercié les participants pour leur contribution aux travaux. Il a indiqué que les discussions importantes sur la stratégie, la structure et la méthode de travail, y compris la fusion des Commissions d'études 9 et 16, avaient progressé. Il a également indiqué que les participants avaient tenu des discussions animées sur les nombreux produits du Groupe spécialisé sur le métavers.</w:t>
      </w:r>
    </w:p>
    <w:p w14:paraId="7BC8AE8C" w14:textId="77777777" w:rsidR="00A756BE" w:rsidRPr="00124CC0" w:rsidRDefault="00A756BE" w:rsidP="00A756BE">
      <w:r w:rsidRPr="00124CC0">
        <w:t>Puis, il a évoqué les priorités pour l'avenir des travaux de l'UIT en vue de réduire la fracture numérique et les écarts entre les hommes et les femmes. La nécessité d'une forte participation du secteur privé aux travaux de normalisation de l'UIT a été soulignée.</w:t>
      </w:r>
    </w:p>
    <w:p w14:paraId="5CDD2692" w14:textId="77777777" w:rsidR="00A756BE" w:rsidRPr="00124CC0" w:rsidRDefault="00A756BE" w:rsidP="00A756BE">
      <w:r w:rsidRPr="00124CC0">
        <w:t>Le Président a invité tous les participants à bien se préparer en vue des discussions relatives à l'AMNT</w:t>
      </w:r>
      <w:r w:rsidRPr="00124CC0">
        <w:noBreakHyphen/>
        <w:t>24 qui se tiendront lors la prochaine réunion du GCNT en juillet. Il a remercié une nouvelle fois l'Inde d'avoir permis la tenue de l'AMNT en Asie pour la toute première fois. Le Président a félicité l'Inde à cet égard.</w:t>
      </w:r>
    </w:p>
    <w:p w14:paraId="2B1D96AB" w14:textId="77777777" w:rsidR="00A756BE" w:rsidRPr="00124CC0" w:rsidRDefault="00A756BE" w:rsidP="00A756BE">
      <w:r w:rsidRPr="00124CC0">
        <w:t>M. ONOE a remercié le Président du GCNT, M. Abdurahman AL HASSAN, l'équipe de direction du GCNT et tous les délégués du GCNT pour leur travail remarquable. Il leur a souhaité à toutes et à tous un bon voyage de retour.</w:t>
      </w:r>
    </w:p>
    <w:p w14:paraId="2929D99E" w14:textId="77777777" w:rsidR="00A756BE" w:rsidRPr="00124CC0" w:rsidRDefault="00A756BE" w:rsidP="00A756BE">
      <w:r w:rsidRPr="00124CC0">
        <w:t>25.2</w:t>
      </w:r>
      <w:r w:rsidRPr="00124CC0">
        <w:tab/>
        <w:t>Le Président du GCNT a remercié tous les participants aux travaux de cette importante réunion du GCNT et a salué leur participation et leurs contributions, qui ont contribué au succès de cette réunion.</w:t>
      </w:r>
    </w:p>
    <w:p w14:paraId="458E3E6A" w14:textId="77777777" w:rsidR="00A756BE" w:rsidRPr="00124CC0" w:rsidRDefault="00A756BE" w:rsidP="00A756BE">
      <w:r w:rsidRPr="00124CC0">
        <w:t>Il a souligné que les participants étaient parvenus à un consensus important sur la restructuration des commissions d'études, une première depuis 2008, exception faite de la création de la Commission d'études 20 en 2016. L'orateur a exprimé sa volonté d'atteindre les résultats attendus du GCNT pendant la prochaine période d'études afin de répondre aux attentes des membres.</w:t>
      </w:r>
    </w:p>
    <w:p w14:paraId="7CFD554D" w14:textId="77777777" w:rsidR="00A756BE" w:rsidRPr="00124CC0" w:rsidRDefault="00A756BE" w:rsidP="00A756BE">
      <w:r w:rsidRPr="00124CC0">
        <w:t>Il a remercié l'équipe de direction élargie composée des Présidents des Groupes de travail, M. MIHAIL et Mme Gaëlle MARTIN, des Présidents des Groupes du Rapporteur, M. Olivier DUBUISSON et Mme Fang LI, ainsi que les présidents des commissions d'études de l'UIT-T, les membres des groupes de rédaction, les participants aux séances d'édition, ainsi que les délégués pour leur participation active et l'esprit de compromis dont ils ont fait preuve.</w:t>
      </w:r>
    </w:p>
    <w:p w14:paraId="1DBE6149" w14:textId="77777777" w:rsidR="00A756BE" w:rsidRPr="00124CC0" w:rsidRDefault="00A756BE" w:rsidP="00A756BE">
      <w:r w:rsidRPr="00124CC0">
        <w:t>Le Président a également remercié M. Seizo ONOE et M. Bilel JAMOUSSI. Il a félicité M. JAMOUSSI d'avoir célébré sa 14ème année au service de l'UIT. L'orateur a également remercié M. Hiroshi OTA et tous les conseillers du TSB pour leurs conseils et leur appui remarquables. Il a remercié Mme Lara AL-MNINI pour l'aide considérable qu'elle avait apportée pendant la réunion du GCNT. Le Président a en outre remercié le personnel d'assistance, les informaticiens du TSB et l'équipe chargée de la logistique des réunions, ainsi que les interprètes et les personnes responsables du sous</w:t>
      </w:r>
      <w:r w:rsidRPr="00124CC0">
        <w:noBreakHyphen/>
        <w:t>titrage pour leur appui, qui a aidé tous les participants à communiquer efficacement et à faire avancer les travaux. Il a remercié toutes les personnes qu'il n'avait pas mentionnées et qui ont contribué à la réunion du GCNT. L'orateur a souhaité à tous les participants un bon voyage de retour et un agréable repos après cette réunion.</w:t>
      </w:r>
    </w:p>
    <w:p w14:paraId="2BA7002B" w14:textId="77777777" w:rsidR="00A756BE" w:rsidRPr="00124CC0" w:rsidRDefault="00A756BE" w:rsidP="00A756BE">
      <w:r w:rsidRPr="00124CC0">
        <w:t>25.3</w:t>
      </w:r>
      <w:r w:rsidRPr="00124CC0">
        <w:tab/>
        <w:t>La réunion du GCNT a été déclarée close le 26 janvier 2024 à 16 heures, heure de Genève.</w:t>
      </w:r>
    </w:p>
    <w:p w14:paraId="40BE3282" w14:textId="77777777" w:rsidR="00A756BE" w:rsidRPr="00124CC0" w:rsidRDefault="00A756BE" w:rsidP="00A756BE">
      <w:r w:rsidRPr="00124CC0">
        <w:br w:type="page"/>
      </w:r>
    </w:p>
    <w:p w14:paraId="5BA48A9A" w14:textId="00FB570E" w:rsidR="00A756BE" w:rsidRPr="00124CC0" w:rsidRDefault="00A756BE" w:rsidP="00A756BE">
      <w:pPr>
        <w:pStyle w:val="AnnexNotitle"/>
      </w:pPr>
      <w:bookmarkStart w:id="39" w:name="_Toc161662748"/>
      <w:bookmarkStart w:id="40" w:name="AnnexeA"/>
      <w:r w:rsidRPr="00124CC0">
        <w:lastRenderedPageBreak/>
        <w:t>Annexe A:</w:t>
      </w:r>
      <w:r w:rsidRPr="00124CC0">
        <w:br/>
        <w:t>Décisions relatives aux Recommandations</w:t>
      </w:r>
      <w:r w:rsidR="00E353AF" w:rsidRPr="00124CC0">
        <w:br/>
      </w:r>
      <w:r w:rsidRPr="00124CC0">
        <w:t>(GCNT, janvier 2024)</w:t>
      </w:r>
      <w:bookmarkEnd w:id="39"/>
    </w:p>
    <w:bookmarkEnd w:id="40"/>
    <w:p w14:paraId="52662CEE" w14:textId="77777777" w:rsidR="00A756BE" w:rsidRPr="00124CC0" w:rsidRDefault="00A756BE" w:rsidP="00E353AF">
      <w:pPr>
        <w:pStyle w:val="Headingb"/>
        <w:spacing w:before="480" w:after="120"/>
      </w:pPr>
      <w:r w:rsidRPr="00124CC0">
        <w:rPr>
          <w:bCs/>
        </w:rPr>
        <w:t>Approbation dans le cadre de la procédure TAP</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1"/>
        <w:gridCol w:w="1136"/>
        <w:gridCol w:w="4507"/>
        <w:gridCol w:w="1855"/>
      </w:tblGrid>
      <w:tr w:rsidR="00A756BE" w:rsidRPr="00124CC0" w14:paraId="6071D8B1" w14:textId="77777777" w:rsidTr="00E353AF">
        <w:trPr>
          <w:tblHeader/>
          <w:jc w:val="center"/>
        </w:trPr>
        <w:tc>
          <w:tcPr>
            <w:tcW w:w="1098" w:type="pct"/>
            <w:tcBorders>
              <w:top w:val="single" w:sz="12" w:space="0" w:color="auto"/>
              <w:bottom w:val="single" w:sz="12" w:space="0" w:color="auto"/>
            </w:tcBorders>
          </w:tcPr>
          <w:p w14:paraId="34D69162" w14:textId="77777777" w:rsidR="00A756BE" w:rsidRPr="00124CC0" w:rsidRDefault="00A756BE" w:rsidP="00B57C78">
            <w:pPr>
              <w:pStyle w:val="Tablehead"/>
            </w:pPr>
            <w:r w:rsidRPr="00124CC0">
              <w:rPr>
                <w:bCs/>
              </w:rPr>
              <w:t>Recommandation</w:t>
            </w:r>
          </w:p>
        </w:tc>
        <w:tc>
          <w:tcPr>
            <w:tcW w:w="591" w:type="pct"/>
            <w:tcBorders>
              <w:top w:val="single" w:sz="12" w:space="0" w:color="auto"/>
              <w:bottom w:val="single" w:sz="12" w:space="0" w:color="auto"/>
            </w:tcBorders>
          </w:tcPr>
          <w:p w14:paraId="26943E29" w14:textId="77777777" w:rsidR="00A756BE" w:rsidRPr="00124CC0" w:rsidRDefault="00A756BE" w:rsidP="00B57C78">
            <w:pPr>
              <w:pStyle w:val="Tablehead"/>
            </w:pPr>
            <w:r w:rsidRPr="00124CC0">
              <w:rPr>
                <w:bCs/>
              </w:rPr>
              <w:t>Statut</w:t>
            </w:r>
          </w:p>
        </w:tc>
        <w:tc>
          <w:tcPr>
            <w:tcW w:w="2345" w:type="pct"/>
            <w:tcBorders>
              <w:top w:val="single" w:sz="12" w:space="0" w:color="auto"/>
              <w:bottom w:val="single" w:sz="12" w:space="0" w:color="auto"/>
            </w:tcBorders>
          </w:tcPr>
          <w:p w14:paraId="20217168" w14:textId="77777777" w:rsidR="00A756BE" w:rsidRPr="00124CC0" w:rsidRDefault="00A756BE" w:rsidP="00B57C78">
            <w:pPr>
              <w:pStyle w:val="Tablehead"/>
            </w:pPr>
            <w:r w:rsidRPr="00124CC0">
              <w:rPr>
                <w:bCs/>
              </w:rPr>
              <w:t>Titre</w:t>
            </w:r>
          </w:p>
        </w:tc>
        <w:tc>
          <w:tcPr>
            <w:tcW w:w="965" w:type="pct"/>
            <w:tcBorders>
              <w:top w:val="single" w:sz="12" w:space="0" w:color="auto"/>
              <w:bottom w:val="single" w:sz="12" w:space="0" w:color="auto"/>
            </w:tcBorders>
          </w:tcPr>
          <w:p w14:paraId="3E085356" w14:textId="77777777" w:rsidR="00A756BE" w:rsidRPr="00124CC0" w:rsidRDefault="00A756BE" w:rsidP="00B57C78">
            <w:pPr>
              <w:pStyle w:val="Tablehead"/>
            </w:pPr>
            <w:r w:rsidRPr="00124CC0">
              <w:rPr>
                <w:bCs/>
              </w:rPr>
              <w:t>Références</w:t>
            </w:r>
          </w:p>
        </w:tc>
      </w:tr>
      <w:tr w:rsidR="00A756BE" w:rsidRPr="00124CC0" w14:paraId="28D9CEAB" w14:textId="77777777" w:rsidTr="00E353AF">
        <w:trPr>
          <w:jc w:val="center"/>
        </w:trPr>
        <w:tc>
          <w:tcPr>
            <w:tcW w:w="1098" w:type="pct"/>
            <w:tcBorders>
              <w:top w:val="single" w:sz="12" w:space="0" w:color="auto"/>
              <w:bottom w:val="single" w:sz="12" w:space="0" w:color="auto"/>
            </w:tcBorders>
          </w:tcPr>
          <w:p w14:paraId="0A92DEF6" w14:textId="77777777" w:rsidR="00A756BE" w:rsidRPr="00124CC0" w:rsidRDefault="00A756BE" w:rsidP="00B57C78">
            <w:pPr>
              <w:pStyle w:val="Tabletext"/>
            </w:pPr>
            <w:r w:rsidRPr="00124CC0">
              <w:t>UIT-T A.8</w:t>
            </w:r>
          </w:p>
        </w:tc>
        <w:tc>
          <w:tcPr>
            <w:tcW w:w="591" w:type="pct"/>
            <w:tcBorders>
              <w:top w:val="single" w:sz="12" w:space="0" w:color="auto"/>
              <w:bottom w:val="single" w:sz="12" w:space="0" w:color="auto"/>
            </w:tcBorders>
          </w:tcPr>
          <w:p w14:paraId="3F8042FB" w14:textId="77777777" w:rsidR="00A756BE" w:rsidRPr="00124CC0" w:rsidRDefault="00A756BE" w:rsidP="00B57C78">
            <w:pPr>
              <w:pStyle w:val="Tabletext"/>
            </w:pPr>
            <w:r w:rsidRPr="00124CC0">
              <w:t>Révisée</w:t>
            </w:r>
          </w:p>
        </w:tc>
        <w:tc>
          <w:tcPr>
            <w:tcW w:w="2345" w:type="pct"/>
            <w:tcBorders>
              <w:top w:val="single" w:sz="12" w:space="0" w:color="auto"/>
              <w:bottom w:val="single" w:sz="12" w:space="0" w:color="auto"/>
            </w:tcBorders>
          </w:tcPr>
          <w:p w14:paraId="36967931" w14:textId="77777777" w:rsidR="00A756BE" w:rsidRPr="00124CC0" w:rsidRDefault="00A756BE" w:rsidP="00B57C78">
            <w:pPr>
              <w:pStyle w:val="Tabletext"/>
            </w:pPr>
            <w:r w:rsidRPr="00124CC0">
              <w:t>Variante de la procédure d'approbation pour les Recommandations UIT-T nouvelles ou révisées</w:t>
            </w:r>
          </w:p>
        </w:tc>
        <w:tc>
          <w:tcPr>
            <w:tcW w:w="965" w:type="pct"/>
            <w:tcBorders>
              <w:top w:val="single" w:sz="12" w:space="0" w:color="auto"/>
              <w:bottom w:val="single" w:sz="12" w:space="0" w:color="auto"/>
            </w:tcBorders>
          </w:tcPr>
          <w:p w14:paraId="45B416C1" w14:textId="77777777" w:rsidR="00A756BE" w:rsidRPr="00124CC0" w:rsidRDefault="0067192B" w:rsidP="00B57C78">
            <w:pPr>
              <w:pStyle w:val="Tabletext"/>
              <w:jc w:val="center"/>
              <w:rPr>
                <w:rStyle w:val="Hyperlink"/>
              </w:rPr>
            </w:pPr>
            <w:hyperlink r:id="rId99" w:history="1">
              <w:r w:rsidR="00A756BE" w:rsidRPr="00124CC0">
                <w:rPr>
                  <w:rStyle w:val="Hyperlink"/>
                </w:rPr>
                <w:t>TSAG-TD450R2</w:t>
              </w:r>
            </w:hyperlink>
          </w:p>
        </w:tc>
      </w:tr>
    </w:tbl>
    <w:p w14:paraId="46DA46D2" w14:textId="77777777" w:rsidR="00A756BE" w:rsidRPr="00124CC0" w:rsidRDefault="00A756BE" w:rsidP="00A756BE">
      <w:pPr>
        <w:pStyle w:val="Headingb"/>
        <w:spacing w:after="120"/>
      </w:pPr>
      <w:r w:rsidRPr="00124CC0">
        <w:rPr>
          <w:bCs/>
        </w:rPr>
        <w:t>Détermination</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1134"/>
        <w:gridCol w:w="4462"/>
        <w:gridCol w:w="1901"/>
      </w:tblGrid>
      <w:tr w:rsidR="00A756BE" w:rsidRPr="00124CC0" w14:paraId="16A8C12A" w14:textId="77777777" w:rsidTr="00E353AF">
        <w:trPr>
          <w:tblHeader/>
          <w:jc w:val="center"/>
        </w:trPr>
        <w:tc>
          <w:tcPr>
            <w:tcW w:w="1099" w:type="pct"/>
            <w:tcBorders>
              <w:top w:val="single" w:sz="12" w:space="0" w:color="auto"/>
              <w:bottom w:val="single" w:sz="12" w:space="0" w:color="auto"/>
            </w:tcBorders>
          </w:tcPr>
          <w:p w14:paraId="3EDBB1D1" w14:textId="77777777" w:rsidR="00A756BE" w:rsidRPr="00124CC0" w:rsidRDefault="00A756BE" w:rsidP="00B57C78">
            <w:pPr>
              <w:pStyle w:val="Tablehead"/>
            </w:pPr>
            <w:r w:rsidRPr="00124CC0">
              <w:rPr>
                <w:bCs/>
              </w:rPr>
              <w:t>Recommandation</w:t>
            </w:r>
          </w:p>
        </w:tc>
        <w:tc>
          <w:tcPr>
            <w:tcW w:w="590" w:type="pct"/>
            <w:tcBorders>
              <w:top w:val="single" w:sz="12" w:space="0" w:color="auto"/>
              <w:bottom w:val="single" w:sz="12" w:space="0" w:color="auto"/>
            </w:tcBorders>
          </w:tcPr>
          <w:p w14:paraId="0D417C5D" w14:textId="77777777" w:rsidR="00A756BE" w:rsidRPr="00124CC0" w:rsidRDefault="00A756BE" w:rsidP="00B57C78">
            <w:pPr>
              <w:pStyle w:val="Tablehead"/>
            </w:pPr>
            <w:r w:rsidRPr="00124CC0">
              <w:rPr>
                <w:bCs/>
              </w:rPr>
              <w:t>Statut</w:t>
            </w:r>
          </w:p>
        </w:tc>
        <w:tc>
          <w:tcPr>
            <w:tcW w:w="2322" w:type="pct"/>
            <w:tcBorders>
              <w:top w:val="single" w:sz="12" w:space="0" w:color="auto"/>
              <w:bottom w:val="single" w:sz="12" w:space="0" w:color="auto"/>
            </w:tcBorders>
          </w:tcPr>
          <w:p w14:paraId="244CC2AB" w14:textId="77777777" w:rsidR="00A756BE" w:rsidRPr="00124CC0" w:rsidRDefault="00A756BE" w:rsidP="00B57C78">
            <w:pPr>
              <w:pStyle w:val="Tablehead"/>
            </w:pPr>
            <w:r w:rsidRPr="00124CC0">
              <w:rPr>
                <w:bCs/>
              </w:rPr>
              <w:t>Titre</w:t>
            </w:r>
          </w:p>
        </w:tc>
        <w:tc>
          <w:tcPr>
            <w:tcW w:w="989" w:type="pct"/>
            <w:tcBorders>
              <w:top w:val="single" w:sz="12" w:space="0" w:color="auto"/>
              <w:bottom w:val="single" w:sz="12" w:space="0" w:color="auto"/>
            </w:tcBorders>
          </w:tcPr>
          <w:p w14:paraId="2FD4ED85" w14:textId="77777777" w:rsidR="00A756BE" w:rsidRPr="00124CC0" w:rsidRDefault="00A756BE" w:rsidP="00B57C78">
            <w:pPr>
              <w:pStyle w:val="Tablehead"/>
            </w:pPr>
            <w:r w:rsidRPr="00124CC0">
              <w:rPr>
                <w:bCs/>
              </w:rPr>
              <w:t>Références</w:t>
            </w:r>
          </w:p>
        </w:tc>
      </w:tr>
      <w:tr w:rsidR="00A756BE" w:rsidRPr="00124CC0" w14:paraId="4BAC2DFC" w14:textId="77777777" w:rsidTr="00E353AF">
        <w:trPr>
          <w:jc w:val="center"/>
        </w:trPr>
        <w:tc>
          <w:tcPr>
            <w:tcW w:w="1099" w:type="pct"/>
            <w:tcBorders>
              <w:top w:val="single" w:sz="12" w:space="0" w:color="auto"/>
            </w:tcBorders>
          </w:tcPr>
          <w:p w14:paraId="6307246C" w14:textId="77777777" w:rsidR="00A756BE" w:rsidRPr="00124CC0" w:rsidRDefault="00A756BE" w:rsidP="00B57C78">
            <w:pPr>
              <w:pStyle w:val="Tabletext"/>
            </w:pPr>
            <w:r w:rsidRPr="00124CC0">
              <w:t>UIT-T A.7</w:t>
            </w:r>
          </w:p>
        </w:tc>
        <w:tc>
          <w:tcPr>
            <w:tcW w:w="590" w:type="pct"/>
            <w:tcBorders>
              <w:top w:val="single" w:sz="12" w:space="0" w:color="auto"/>
            </w:tcBorders>
          </w:tcPr>
          <w:p w14:paraId="240D3DF8" w14:textId="77777777" w:rsidR="00A756BE" w:rsidRPr="00124CC0" w:rsidRDefault="00A756BE" w:rsidP="00B57C78">
            <w:pPr>
              <w:pStyle w:val="Tabletext"/>
            </w:pPr>
            <w:r w:rsidRPr="00124CC0">
              <w:t>Révisée</w:t>
            </w:r>
          </w:p>
        </w:tc>
        <w:tc>
          <w:tcPr>
            <w:tcW w:w="2322" w:type="pct"/>
            <w:tcBorders>
              <w:top w:val="single" w:sz="12" w:space="0" w:color="auto"/>
            </w:tcBorders>
          </w:tcPr>
          <w:p w14:paraId="2B0F1ACD" w14:textId="77777777" w:rsidR="00A756BE" w:rsidRPr="00124CC0" w:rsidRDefault="00A756BE" w:rsidP="00B57C78">
            <w:pPr>
              <w:pStyle w:val="Tabletext"/>
            </w:pPr>
            <w:r w:rsidRPr="00124CC0">
              <w:t>Groupes spécialisés: création et méthodes de travail</w:t>
            </w:r>
          </w:p>
        </w:tc>
        <w:tc>
          <w:tcPr>
            <w:tcW w:w="989" w:type="pct"/>
            <w:tcBorders>
              <w:top w:val="single" w:sz="12" w:space="0" w:color="auto"/>
            </w:tcBorders>
          </w:tcPr>
          <w:p w14:paraId="7D83FDCA" w14:textId="5CF6A32E" w:rsidR="00A756BE" w:rsidRPr="00124CC0" w:rsidRDefault="0067192B" w:rsidP="00B57C78">
            <w:pPr>
              <w:pStyle w:val="Tabletext"/>
              <w:jc w:val="center"/>
            </w:pPr>
            <w:hyperlink r:id="rId100" w:history="1">
              <w:r w:rsidR="00A756BE" w:rsidRPr="00124CC0">
                <w:rPr>
                  <w:rStyle w:val="Hyperlink"/>
                </w:rPr>
                <w:t>TSAG-R5</w:t>
              </w:r>
              <w:r w:rsidR="00A756BE" w:rsidRPr="00124CC0">
                <w:rPr>
                  <w:rStyle w:val="Hyperlink"/>
                </w:rPr>
                <w:br/>
                <w:t>(TSAG-TD453)</w:t>
              </w:r>
            </w:hyperlink>
          </w:p>
        </w:tc>
      </w:tr>
      <w:tr w:rsidR="00A756BE" w:rsidRPr="00124CC0" w14:paraId="615BFDFD" w14:textId="77777777" w:rsidTr="00E353AF">
        <w:trPr>
          <w:jc w:val="center"/>
        </w:trPr>
        <w:tc>
          <w:tcPr>
            <w:tcW w:w="1099" w:type="pct"/>
          </w:tcPr>
          <w:p w14:paraId="276D0346" w14:textId="77777777" w:rsidR="00A756BE" w:rsidRPr="00124CC0" w:rsidRDefault="00A756BE" w:rsidP="00B57C78">
            <w:pPr>
              <w:pStyle w:val="Tabletext"/>
            </w:pPr>
            <w:r w:rsidRPr="00124CC0">
              <w:t>UIT-T A.18 (ex A.JCA)</w:t>
            </w:r>
          </w:p>
        </w:tc>
        <w:tc>
          <w:tcPr>
            <w:tcW w:w="590" w:type="pct"/>
          </w:tcPr>
          <w:p w14:paraId="1C236F65" w14:textId="77777777" w:rsidR="00A756BE" w:rsidRPr="00124CC0" w:rsidRDefault="00A756BE" w:rsidP="00B57C78">
            <w:pPr>
              <w:pStyle w:val="Tabletext"/>
            </w:pPr>
            <w:r w:rsidRPr="00124CC0">
              <w:t>Nouvelle</w:t>
            </w:r>
          </w:p>
        </w:tc>
        <w:tc>
          <w:tcPr>
            <w:tcW w:w="2322" w:type="pct"/>
          </w:tcPr>
          <w:p w14:paraId="16753CCD" w14:textId="77777777" w:rsidR="00A756BE" w:rsidRPr="00124CC0" w:rsidRDefault="00A756BE" w:rsidP="00B57C78">
            <w:pPr>
              <w:pStyle w:val="Tabletext"/>
            </w:pPr>
            <w:r w:rsidRPr="00124CC0">
              <w:t>Activités conjointes de coordination: création et méthodes de travail</w:t>
            </w:r>
          </w:p>
        </w:tc>
        <w:tc>
          <w:tcPr>
            <w:tcW w:w="989" w:type="pct"/>
          </w:tcPr>
          <w:p w14:paraId="2AAA4669" w14:textId="77777777" w:rsidR="00A756BE" w:rsidRPr="00124CC0" w:rsidRDefault="0067192B" w:rsidP="00B57C78">
            <w:pPr>
              <w:pStyle w:val="Tabletext"/>
              <w:jc w:val="center"/>
              <w:rPr>
                <w:rStyle w:val="Hyperlink"/>
              </w:rPr>
            </w:pPr>
            <w:hyperlink r:id="rId101" w:history="1">
              <w:r w:rsidR="00A756BE" w:rsidRPr="00124CC0">
                <w:rPr>
                  <w:rStyle w:val="Hyperlink"/>
                </w:rPr>
                <w:t xml:space="preserve">TSAG-R6 </w:t>
              </w:r>
              <w:r w:rsidR="00A756BE" w:rsidRPr="00124CC0">
                <w:rPr>
                  <w:rStyle w:val="Hyperlink"/>
                </w:rPr>
                <w:br/>
                <w:t>(TSAG-TD467R1)</w:t>
              </w:r>
            </w:hyperlink>
          </w:p>
        </w:tc>
      </w:tr>
      <w:tr w:rsidR="00A756BE" w:rsidRPr="00124CC0" w14:paraId="23CBCCCA" w14:textId="77777777" w:rsidTr="00E353AF">
        <w:trPr>
          <w:jc w:val="center"/>
        </w:trPr>
        <w:tc>
          <w:tcPr>
            <w:tcW w:w="1099" w:type="pct"/>
            <w:tcBorders>
              <w:bottom w:val="single" w:sz="12" w:space="0" w:color="auto"/>
            </w:tcBorders>
          </w:tcPr>
          <w:p w14:paraId="212BB691" w14:textId="77777777" w:rsidR="00A756BE" w:rsidRPr="00124CC0" w:rsidRDefault="00A756BE" w:rsidP="00B57C78">
            <w:pPr>
              <w:pStyle w:val="Tabletext"/>
            </w:pPr>
            <w:r w:rsidRPr="00124CC0">
              <w:t>UIT-T A.24</w:t>
            </w:r>
          </w:p>
        </w:tc>
        <w:tc>
          <w:tcPr>
            <w:tcW w:w="590" w:type="pct"/>
            <w:tcBorders>
              <w:bottom w:val="single" w:sz="12" w:space="0" w:color="auto"/>
            </w:tcBorders>
          </w:tcPr>
          <w:p w14:paraId="2507A27B" w14:textId="77777777" w:rsidR="00A756BE" w:rsidRPr="00124CC0" w:rsidRDefault="00A756BE" w:rsidP="00B57C78">
            <w:pPr>
              <w:pStyle w:val="Tabletext"/>
            </w:pPr>
            <w:r w:rsidRPr="00124CC0">
              <w:t>Nouvelle</w:t>
            </w:r>
          </w:p>
        </w:tc>
        <w:tc>
          <w:tcPr>
            <w:tcW w:w="2322" w:type="pct"/>
            <w:tcBorders>
              <w:bottom w:val="single" w:sz="12" w:space="0" w:color="auto"/>
            </w:tcBorders>
          </w:tcPr>
          <w:p w14:paraId="30F11F4D" w14:textId="77777777" w:rsidR="00A756BE" w:rsidRPr="00124CC0" w:rsidRDefault="00A756BE" w:rsidP="00B57C78">
            <w:pPr>
              <w:pStyle w:val="Tabletext"/>
            </w:pPr>
            <w:r w:rsidRPr="00124CC0">
              <w:t>Collaboration et échange d'informations avec d'autres organisations</w:t>
            </w:r>
          </w:p>
        </w:tc>
        <w:tc>
          <w:tcPr>
            <w:tcW w:w="989" w:type="pct"/>
            <w:tcBorders>
              <w:bottom w:val="single" w:sz="12" w:space="0" w:color="auto"/>
            </w:tcBorders>
          </w:tcPr>
          <w:p w14:paraId="2D4AA5EA" w14:textId="77777777" w:rsidR="00A756BE" w:rsidRPr="00124CC0" w:rsidRDefault="0067192B" w:rsidP="00B57C78">
            <w:pPr>
              <w:pStyle w:val="Tabletext"/>
              <w:jc w:val="center"/>
              <w:rPr>
                <w:rStyle w:val="Hyperlink"/>
              </w:rPr>
            </w:pPr>
            <w:hyperlink r:id="rId102" w:history="1">
              <w:r w:rsidR="00A756BE" w:rsidRPr="00124CC0">
                <w:rPr>
                  <w:rStyle w:val="Hyperlink"/>
                </w:rPr>
                <w:t xml:space="preserve">TSAG-R7 </w:t>
              </w:r>
              <w:r w:rsidR="00A756BE" w:rsidRPr="00124CC0">
                <w:rPr>
                  <w:rStyle w:val="Hyperlink"/>
                </w:rPr>
                <w:br/>
                <w:t>(TSAG-TD470R1)</w:t>
              </w:r>
            </w:hyperlink>
          </w:p>
        </w:tc>
      </w:tr>
    </w:tbl>
    <w:p w14:paraId="5C7C1F7F" w14:textId="77777777" w:rsidR="00A756BE" w:rsidRPr="00124CC0" w:rsidRDefault="00A756BE" w:rsidP="00A756BE">
      <w:pPr>
        <w:pStyle w:val="Headingb"/>
        <w:spacing w:after="120"/>
      </w:pPr>
      <w:r w:rsidRPr="00124CC0">
        <w:rPr>
          <w:bCs/>
        </w:rPr>
        <w:t>Suppression</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54"/>
        <w:gridCol w:w="7455"/>
      </w:tblGrid>
      <w:tr w:rsidR="00A756BE" w:rsidRPr="00124CC0" w14:paraId="6A8E00B0" w14:textId="77777777" w:rsidTr="00B57C78">
        <w:trPr>
          <w:tblHeader/>
          <w:jc w:val="center"/>
        </w:trPr>
        <w:tc>
          <w:tcPr>
            <w:tcW w:w="1121" w:type="pct"/>
            <w:tcBorders>
              <w:top w:val="single" w:sz="12" w:space="0" w:color="auto"/>
              <w:bottom w:val="single" w:sz="12" w:space="0" w:color="auto"/>
            </w:tcBorders>
            <w:hideMark/>
          </w:tcPr>
          <w:p w14:paraId="20D13B3B" w14:textId="77777777" w:rsidR="00A756BE" w:rsidRPr="00124CC0" w:rsidRDefault="00A756BE" w:rsidP="00B57C78">
            <w:pPr>
              <w:pStyle w:val="Tablehead"/>
              <w:rPr>
                <w:rFonts w:eastAsia="MS Mincho"/>
              </w:rPr>
            </w:pPr>
            <w:r w:rsidRPr="00124CC0">
              <w:rPr>
                <w:bCs/>
              </w:rPr>
              <w:t>Recommandation</w:t>
            </w:r>
          </w:p>
        </w:tc>
        <w:tc>
          <w:tcPr>
            <w:tcW w:w="3879" w:type="pct"/>
            <w:tcBorders>
              <w:top w:val="single" w:sz="12" w:space="0" w:color="auto"/>
              <w:bottom w:val="single" w:sz="12" w:space="0" w:color="auto"/>
            </w:tcBorders>
            <w:hideMark/>
          </w:tcPr>
          <w:p w14:paraId="15DA1616" w14:textId="77777777" w:rsidR="00A756BE" w:rsidRPr="00124CC0" w:rsidRDefault="00A756BE" w:rsidP="00B57C78">
            <w:pPr>
              <w:pStyle w:val="Tablehead"/>
              <w:rPr>
                <w:rFonts w:eastAsia="MS Mincho"/>
              </w:rPr>
            </w:pPr>
            <w:r w:rsidRPr="00124CC0">
              <w:rPr>
                <w:bCs/>
              </w:rPr>
              <w:t>Titre</w:t>
            </w:r>
          </w:p>
        </w:tc>
      </w:tr>
      <w:tr w:rsidR="00A756BE" w:rsidRPr="00124CC0" w14:paraId="70B267A9" w14:textId="77777777" w:rsidTr="00B57C78">
        <w:trPr>
          <w:jc w:val="center"/>
        </w:trPr>
        <w:tc>
          <w:tcPr>
            <w:tcW w:w="1121" w:type="pct"/>
            <w:tcBorders>
              <w:top w:val="single" w:sz="12" w:space="0" w:color="auto"/>
            </w:tcBorders>
          </w:tcPr>
          <w:p w14:paraId="64BD50B4" w14:textId="77777777" w:rsidR="00A756BE" w:rsidRPr="00124CC0" w:rsidRDefault="00A756BE" w:rsidP="00B57C78">
            <w:pPr>
              <w:pStyle w:val="Tabletext"/>
            </w:pPr>
            <w:r w:rsidRPr="00124CC0">
              <w:t>UIT-T A.4</w:t>
            </w:r>
          </w:p>
        </w:tc>
        <w:tc>
          <w:tcPr>
            <w:tcW w:w="3879" w:type="pct"/>
            <w:tcBorders>
              <w:top w:val="single" w:sz="12" w:space="0" w:color="auto"/>
            </w:tcBorders>
          </w:tcPr>
          <w:p w14:paraId="4DCDF164" w14:textId="77777777" w:rsidR="00A756BE" w:rsidRPr="00124CC0" w:rsidRDefault="00A756BE" w:rsidP="00B57C78">
            <w:pPr>
              <w:pStyle w:val="Tabletext"/>
            </w:pPr>
            <w:r w:rsidRPr="00124CC0">
              <w:t>Processus de communication entre l'UIT-T et les forums et consortiums</w:t>
            </w:r>
          </w:p>
        </w:tc>
      </w:tr>
      <w:tr w:rsidR="00A756BE" w:rsidRPr="00124CC0" w14:paraId="6D7C4F58" w14:textId="77777777" w:rsidTr="00B57C78">
        <w:trPr>
          <w:jc w:val="center"/>
        </w:trPr>
        <w:tc>
          <w:tcPr>
            <w:tcW w:w="1121" w:type="pct"/>
            <w:tcBorders>
              <w:bottom w:val="single" w:sz="12" w:space="0" w:color="auto"/>
            </w:tcBorders>
          </w:tcPr>
          <w:p w14:paraId="073FB28A" w14:textId="77777777" w:rsidR="00A756BE" w:rsidRPr="00124CC0" w:rsidRDefault="00A756BE" w:rsidP="00B57C78">
            <w:pPr>
              <w:pStyle w:val="Tabletext"/>
            </w:pPr>
            <w:r w:rsidRPr="00124CC0">
              <w:t>UIT-T A.6</w:t>
            </w:r>
          </w:p>
        </w:tc>
        <w:tc>
          <w:tcPr>
            <w:tcW w:w="3879" w:type="pct"/>
            <w:tcBorders>
              <w:bottom w:val="single" w:sz="12" w:space="0" w:color="auto"/>
            </w:tcBorders>
          </w:tcPr>
          <w:p w14:paraId="31B0FA3A" w14:textId="77777777" w:rsidR="00A756BE" w:rsidRPr="00124CC0" w:rsidRDefault="00A756BE" w:rsidP="00B57C78">
            <w:pPr>
              <w:pStyle w:val="Tabletext"/>
            </w:pPr>
            <w:r w:rsidRPr="00124CC0">
              <w:t>Coopération et échange d'informations entre l'UIT-T et les organisations de normalisation régionales et nationales</w:t>
            </w:r>
          </w:p>
        </w:tc>
      </w:tr>
    </w:tbl>
    <w:p w14:paraId="54FCDFB9" w14:textId="77777777" w:rsidR="00A756BE" w:rsidRPr="00124CC0" w:rsidRDefault="00A756BE" w:rsidP="00A756BE">
      <w:pPr>
        <w:pStyle w:val="Note"/>
      </w:pPr>
      <w:r w:rsidRPr="00124CC0">
        <w:rPr>
          <w:b/>
          <w:bCs/>
        </w:rPr>
        <w:t>NOTE</w:t>
      </w:r>
      <w:r w:rsidRPr="00124CC0">
        <w:t xml:space="preserve"> – La consultation sur la suppression des Recommandations </w:t>
      </w:r>
      <w:r w:rsidRPr="00124CC0">
        <w:rPr>
          <w:b/>
          <w:bCs/>
        </w:rPr>
        <w:t>UIT-T A.4</w:t>
      </w:r>
      <w:r w:rsidRPr="00124CC0">
        <w:t xml:space="preserve"> et </w:t>
      </w:r>
      <w:r w:rsidRPr="00124CC0">
        <w:rPr>
          <w:b/>
          <w:bCs/>
        </w:rPr>
        <w:t>A.6</w:t>
      </w:r>
      <w:r w:rsidRPr="00124CC0">
        <w:t xml:space="preserve"> débutera trois mois avant la réunion du GCNT en juillet 2024 de sorte que la suppression entrera en vigueur en même temps que l'examen par le GCNT de l'approbation de la Recommandation </w:t>
      </w:r>
      <w:r w:rsidRPr="00124CC0">
        <w:rPr>
          <w:b/>
          <w:bCs/>
        </w:rPr>
        <w:t>UIT-T A.24</w:t>
      </w:r>
      <w:r w:rsidRPr="00124CC0">
        <w:t>.</w:t>
      </w:r>
    </w:p>
    <w:p w14:paraId="041FA6AF" w14:textId="77777777" w:rsidR="00A756BE" w:rsidRPr="00124CC0" w:rsidRDefault="00A756BE" w:rsidP="00A756BE">
      <w:r w:rsidRPr="00124CC0">
        <w:br w:type="page"/>
      </w:r>
    </w:p>
    <w:p w14:paraId="4D4A3F52" w14:textId="316D6D94" w:rsidR="00A756BE" w:rsidRPr="00124CC0" w:rsidRDefault="00A756BE" w:rsidP="00A756BE">
      <w:pPr>
        <w:pStyle w:val="AnnexNotitle"/>
      </w:pPr>
      <w:bookmarkStart w:id="41" w:name="_Toc161662749"/>
      <w:bookmarkStart w:id="42" w:name="AnnexeB"/>
      <w:r w:rsidRPr="00124CC0">
        <w:lastRenderedPageBreak/>
        <w:t>Annexe B:</w:t>
      </w:r>
      <w:r w:rsidRPr="00124CC0">
        <w:br/>
        <w:t>Calendrier provisoire des réunions</w:t>
      </w:r>
      <w:r w:rsidR="00E353AF" w:rsidRPr="00124CC0">
        <w:br/>
      </w:r>
      <w:r w:rsidRPr="00124CC0">
        <w:t>des Groupes du Rapporteur</w:t>
      </w:r>
      <w:bookmarkEnd w:id="41"/>
    </w:p>
    <w:bookmarkEnd w:id="42"/>
    <w:p w14:paraId="346C0C06" w14:textId="77777777" w:rsidR="00A756BE" w:rsidRPr="00124CC0" w:rsidRDefault="00A756BE" w:rsidP="00A756BE">
      <w:pPr>
        <w:pStyle w:val="Note"/>
      </w:pPr>
      <w:r w:rsidRPr="00124CC0">
        <w:rPr>
          <w:b/>
          <w:bCs/>
        </w:rPr>
        <w:t>NOTES:</w:t>
      </w:r>
    </w:p>
    <w:p w14:paraId="301616DA" w14:textId="77777777" w:rsidR="00A756BE" w:rsidRPr="00124CC0" w:rsidRDefault="00A756BE" w:rsidP="00A756BE">
      <w:pPr>
        <w:pStyle w:val="enumlev1"/>
      </w:pPr>
      <w:r w:rsidRPr="00124CC0">
        <w:t>–</w:t>
      </w:r>
      <w:r w:rsidRPr="00124CC0">
        <w:tab/>
        <w:t>Toutes les réunions ci-dessous se tiendront de manière virtuelle. Les heures indiquées sont à l'heure de Genève.</w:t>
      </w:r>
    </w:p>
    <w:p w14:paraId="5A776669" w14:textId="77777777" w:rsidR="00A756BE" w:rsidRPr="00124CC0" w:rsidRDefault="00A756BE" w:rsidP="00A756BE">
      <w:pPr>
        <w:pStyle w:val="enumlev1"/>
      </w:pPr>
      <w:r w:rsidRPr="00124CC0">
        <w:t>–</w:t>
      </w:r>
      <w:r w:rsidRPr="00124CC0">
        <w:tab/>
        <w:t xml:space="preserve">Consultez l'adresse </w:t>
      </w:r>
      <w:hyperlink r:id="rId103" w:history="1">
        <w:r w:rsidRPr="00124CC0">
          <w:rPr>
            <w:rStyle w:val="Hyperlink"/>
            <w:rFonts w:ascii="Times New Roman" w:hAnsi="Times New Roman"/>
          </w:rPr>
          <w:t>https://www.itu.int/net/ITU-T/lists/rgm.aspx?Group=0</w:t>
        </w:r>
      </w:hyperlink>
      <w:r w:rsidRPr="00124CC0">
        <w:t xml:space="preserve"> pour obtenir les informations les plus récentes.</w:t>
      </w:r>
    </w:p>
    <w:p w14:paraId="31A0B358" w14:textId="77777777" w:rsidR="00A756BE" w:rsidRPr="00124CC0" w:rsidRDefault="00A756BE" w:rsidP="00A756BE">
      <w:pPr>
        <w:pStyle w:val="Headingb"/>
      </w:pPr>
      <w:r w:rsidRPr="00124CC0">
        <w:rPr>
          <w:bCs/>
        </w:rPr>
        <w:t>GT 1</w:t>
      </w:r>
    </w:p>
    <w:p w14:paraId="7D0D11B4" w14:textId="77777777" w:rsidR="00A756BE" w:rsidRPr="00124CC0" w:rsidRDefault="00A756BE" w:rsidP="00A756BE">
      <w:pPr>
        <w:pStyle w:val="Headingb"/>
        <w:spacing w:after="120"/>
      </w:pPr>
      <w:r w:rsidRPr="00124CC0">
        <w:rPr>
          <w:bCs/>
        </w:rPr>
        <w:t>RG-WM</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1"/>
        <w:gridCol w:w="1628"/>
        <w:gridCol w:w="1682"/>
        <w:gridCol w:w="3984"/>
        <w:gridCol w:w="1764"/>
      </w:tblGrid>
      <w:tr w:rsidR="00A756BE" w:rsidRPr="00124CC0" w14:paraId="731A4724" w14:textId="77777777" w:rsidTr="00B57C78">
        <w:trPr>
          <w:tblHeader/>
          <w:jc w:val="center"/>
        </w:trPr>
        <w:tc>
          <w:tcPr>
            <w:tcW w:w="287" w:type="pct"/>
            <w:tcBorders>
              <w:top w:val="single" w:sz="12" w:space="0" w:color="auto"/>
              <w:bottom w:val="single" w:sz="12" w:space="0" w:color="auto"/>
            </w:tcBorders>
            <w:hideMark/>
          </w:tcPr>
          <w:p w14:paraId="796D2551" w14:textId="77777777" w:rsidR="00A756BE" w:rsidRPr="00124CC0" w:rsidRDefault="00A756BE" w:rsidP="00B57C78">
            <w:pPr>
              <w:pStyle w:val="Tablehead"/>
            </w:pPr>
            <w:r w:rsidRPr="00124CC0">
              <w:rPr>
                <w:bCs/>
              </w:rPr>
              <w:t>N°</w:t>
            </w:r>
          </w:p>
        </w:tc>
        <w:tc>
          <w:tcPr>
            <w:tcW w:w="847" w:type="pct"/>
            <w:tcBorders>
              <w:top w:val="single" w:sz="12" w:space="0" w:color="auto"/>
              <w:bottom w:val="single" w:sz="12" w:space="0" w:color="auto"/>
            </w:tcBorders>
            <w:hideMark/>
          </w:tcPr>
          <w:p w14:paraId="6B3D893D" w14:textId="77777777" w:rsidR="00A756BE" w:rsidRPr="00124CC0" w:rsidRDefault="00A756BE" w:rsidP="00B57C78">
            <w:pPr>
              <w:pStyle w:val="Tablehead"/>
            </w:pPr>
            <w:r w:rsidRPr="00124CC0">
              <w:rPr>
                <w:bCs/>
              </w:rPr>
              <w:t>Date</w:t>
            </w:r>
          </w:p>
        </w:tc>
        <w:tc>
          <w:tcPr>
            <w:tcW w:w="875" w:type="pct"/>
            <w:tcBorders>
              <w:top w:val="single" w:sz="12" w:space="0" w:color="auto"/>
              <w:bottom w:val="single" w:sz="12" w:space="0" w:color="auto"/>
            </w:tcBorders>
            <w:hideMark/>
          </w:tcPr>
          <w:p w14:paraId="32C6C9E5" w14:textId="77777777" w:rsidR="00A756BE" w:rsidRPr="00124CC0" w:rsidRDefault="00A756BE" w:rsidP="00B57C78">
            <w:pPr>
              <w:pStyle w:val="Tablehead"/>
            </w:pPr>
            <w:r w:rsidRPr="00124CC0">
              <w:rPr>
                <w:bCs/>
              </w:rPr>
              <w:t>Heure</w:t>
            </w:r>
          </w:p>
        </w:tc>
        <w:tc>
          <w:tcPr>
            <w:tcW w:w="2073" w:type="pct"/>
            <w:tcBorders>
              <w:top w:val="single" w:sz="12" w:space="0" w:color="auto"/>
              <w:bottom w:val="single" w:sz="12" w:space="0" w:color="auto"/>
            </w:tcBorders>
          </w:tcPr>
          <w:p w14:paraId="0F3C1CDA" w14:textId="77777777" w:rsidR="00A756BE" w:rsidRPr="00124CC0" w:rsidRDefault="00A756BE" w:rsidP="00B57C78">
            <w:pPr>
              <w:pStyle w:val="Tablehead"/>
            </w:pPr>
            <w:r w:rsidRPr="00124CC0">
              <w:rPr>
                <w:bCs/>
              </w:rPr>
              <w:t>Objectifs</w:t>
            </w:r>
          </w:p>
        </w:tc>
        <w:tc>
          <w:tcPr>
            <w:tcW w:w="918" w:type="pct"/>
            <w:tcBorders>
              <w:top w:val="single" w:sz="12" w:space="0" w:color="auto"/>
              <w:bottom w:val="single" w:sz="12" w:space="0" w:color="auto"/>
            </w:tcBorders>
          </w:tcPr>
          <w:p w14:paraId="102B95B0" w14:textId="77777777" w:rsidR="00A756BE" w:rsidRPr="00124CC0" w:rsidRDefault="00A756BE" w:rsidP="00B57C78">
            <w:pPr>
              <w:pStyle w:val="Tablehead"/>
            </w:pPr>
            <w:r w:rsidRPr="00124CC0">
              <w:rPr>
                <w:bCs/>
              </w:rPr>
              <w:t>Date limite</w:t>
            </w:r>
          </w:p>
        </w:tc>
      </w:tr>
      <w:tr w:rsidR="00A756BE" w:rsidRPr="00124CC0" w14:paraId="75DDA0DC" w14:textId="77777777" w:rsidTr="00B57C78">
        <w:trPr>
          <w:jc w:val="center"/>
        </w:trPr>
        <w:tc>
          <w:tcPr>
            <w:tcW w:w="287" w:type="pct"/>
            <w:tcBorders>
              <w:top w:val="single" w:sz="12" w:space="0" w:color="auto"/>
            </w:tcBorders>
            <w:hideMark/>
          </w:tcPr>
          <w:p w14:paraId="522837D9" w14:textId="77777777" w:rsidR="00A756BE" w:rsidRPr="00124CC0" w:rsidRDefault="00A756BE" w:rsidP="00B57C78">
            <w:pPr>
              <w:pStyle w:val="Tabletext"/>
            </w:pPr>
            <w:r w:rsidRPr="00124CC0">
              <w:t>1</w:t>
            </w:r>
          </w:p>
        </w:tc>
        <w:tc>
          <w:tcPr>
            <w:tcW w:w="847" w:type="pct"/>
            <w:tcBorders>
              <w:top w:val="single" w:sz="12" w:space="0" w:color="auto"/>
            </w:tcBorders>
          </w:tcPr>
          <w:p w14:paraId="6BF35EC4" w14:textId="77777777" w:rsidR="00A756BE" w:rsidRPr="00124CC0" w:rsidRDefault="00A756BE" w:rsidP="00B57C78">
            <w:pPr>
              <w:pStyle w:val="Tabletext"/>
              <w:jc w:val="center"/>
            </w:pPr>
            <w:r w:rsidRPr="00124CC0">
              <w:t>21 février 2024</w:t>
            </w:r>
          </w:p>
        </w:tc>
        <w:tc>
          <w:tcPr>
            <w:tcW w:w="875" w:type="pct"/>
            <w:tcBorders>
              <w:top w:val="single" w:sz="12" w:space="0" w:color="auto"/>
            </w:tcBorders>
          </w:tcPr>
          <w:p w14:paraId="7287645C" w14:textId="77777777" w:rsidR="00A756BE" w:rsidRPr="00124CC0" w:rsidRDefault="00A756BE" w:rsidP="00B57C78">
            <w:pPr>
              <w:pStyle w:val="Tabletext"/>
              <w:jc w:val="center"/>
            </w:pPr>
            <w:r w:rsidRPr="00124CC0">
              <w:t>12 h 00-15 h 00</w:t>
            </w:r>
          </w:p>
        </w:tc>
        <w:tc>
          <w:tcPr>
            <w:tcW w:w="2073" w:type="pct"/>
            <w:tcBorders>
              <w:top w:val="single" w:sz="12" w:space="0" w:color="auto"/>
            </w:tcBorders>
          </w:tcPr>
          <w:p w14:paraId="4F2211A3" w14:textId="0758B0D4" w:rsidR="00A756BE" w:rsidRPr="00124CC0" w:rsidRDefault="00A756BE" w:rsidP="00B57C78">
            <w:pPr>
              <w:pStyle w:val="Tabletext"/>
            </w:pPr>
            <w:r w:rsidRPr="00124CC0">
              <w:t xml:space="preserve">Projet de Recommandation UIT-T A.RA (Document </w:t>
            </w:r>
            <w:hyperlink r:id="rId104" w:history="1">
              <w:r w:rsidRPr="00124CC0">
                <w:rPr>
                  <w:rStyle w:val="Hyperlink"/>
                  <w:rFonts w:ascii="Times New Roman" w:hAnsi="Times New Roman"/>
                </w:rPr>
                <w:t>TSAG-TD396R1</w:t>
              </w:r>
            </w:hyperlink>
            <w:r w:rsidRPr="00124CC0">
              <w:t>)</w:t>
            </w:r>
          </w:p>
        </w:tc>
        <w:tc>
          <w:tcPr>
            <w:tcW w:w="918" w:type="pct"/>
            <w:tcBorders>
              <w:top w:val="single" w:sz="12" w:space="0" w:color="auto"/>
            </w:tcBorders>
          </w:tcPr>
          <w:p w14:paraId="690B6990" w14:textId="77777777" w:rsidR="00A756BE" w:rsidRPr="00124CC0" w:rsidRDefault="00A756BE" w:rsidP="00B57C78">
            <w:pPr>
              <w:pStyle w:val="Tabletext"/>
              <w:jc w:val="center"/>
            </w:pPr>
            <w:r w:rsidRPr="00124CC0">
              <w:t>11 février 2024</w:t>
            </w:r>
          </w:p>
        </w:tc>
      </w:tr>
      <w:tr w:rsidR="00A756BE" w:rsidRPr="00124CC0" w14:paraId="3FBF4AB0" w14:textId="77777777" w:rsidTr="00B57C78">
        <w:trPr>
          <w:jc w:val="center"/>
        </w:trPr>
        <w:tc>
          <w:tcPr>
            <w:tcW w:w="287" w:type="pct"/>
          </w:tcPr>
          <w:p w14:paraId="5271192C" w14:textId="77777777" w:rsidR="00A756BE" w:rsidRPr="00124CC0" w:rsidRDefault="00A756BE" w:rsidP="00B57C78">
            <w:pPr>
              <w:pStyle w:val="Tabletext"/>
            </w:pPr>
            <w:r w:rsidRPr="00124CC0">
              <w:t>2</w:t>
            </w:r>
          </w:p>
        </w:tc>
        <w:tc>
          <w:tcPr>
            <w:tcW w:w="847" w:type="pct"/>
          </w:tcPr>
          <w:p w14:paraId="57DF938F" w14:textId="77777777" w:rsidR="00A756BE" w:rsidRPr="00124CC0" w:rsidRDefault="00A756BE" w:rsidP="00B57C78">
            <w:pPr>
              <w:pStyle w:val="Tabletext"/>
              <w:jc w:val="center"/>
            </w:pPr>
            <w:r w:rsidRPr="00124CC0">
              <w:t>13 mars 2024</w:t>
            </w:r>
          </w:p>
        </w:tc>
        <w:tc>
          <w:tcPr>
            <w:tcW w:w="875" w:type="pct"/>
          </w:tcPr>
          <w:p w14:paraId="372CC857" w14:textId="77777777" w:rsidR="00A756BE" w:rsidRPr="00124CC0" w:rsidRDefault="00A756BE" w:rsidP="00B57C78">
            <w:pPr>
              <w:pStyle w:val="Tabletext"/>
              <w:jc w:val="center"/>
            </w:pPr>
            <w:r w:rsidRPr="00124CC0">
              <w:t>12 h 00-15 h 00</w:t>
            </w:r>
          </w:p>
        </w:tc>
        <w:tc>
          <w:tcPr>
            <w:tcW w:w="2073" w:type="pct"/>
          </w:tcPr>
          <w:p w14:paraId="4C0E80F4" w14:textId="70847933" w:rsidR="00A756BE" w:rsidRPr="00124CC0" w:rsidRDefault="00A756BE" w:rsidP="00B57C78">
            <w:pPr>
              <w:pStyle w:val="Tabletext"/>
            </w:pPr>
            <w:r w:rsidRPr="00124CC0">
              <w:t xml:space="preserve">Projet de Supplément Suppl-SGA (Document </w:t>
            </w:r>
            <w:hyperlink r:id="rId105" w:history="1">
              <w:r w:rsidRPr="00124CC0">
                <w:rPr>
                  <w:rStyle w:val="Hyperlink"/>
                  <w:rFonts w:ascii="Times New Roman" w:hAnsi="Times New Roman"/>
                </w:rPr>
                <w:t>TSAG-TD385R1</w:t>
              </w:r>
            </w:hyperlink>
            <w:r w:rsidRPr="00124CC0">
              <w:t>)</w:t>
            </w:r>
          </w:p>
        </w:tc>
        <w:tc>
          <w:tcPr>
            <w:tcW w:w="918" w:type="pct"/>
          </w:tcPr>
          <w:p w14:paraId="6375F831" w14:textId="77777777" w:rsidR="00A756BE" w:rsidRPr="00124CC0" w:rsidRDefault="00A756BE" w:rsidP="00B57C78">
            <w:pPr>
              <w:pStyle w:val="Tabletext"/>
              <w:jc w:val="center"/>
            </w:pPr>
            <w:r w:rsidRPr="00124CC0">
              <w:t>3 mars 2024</w:t>
            </w:r>
          </w:p>
        </w:tc>
      </w:tr>
      <w:tr w:rsidR="00A756BE" w:rsidRPr="00124CC0" w14:paraId="7EACFB6C" w14:textId="77777777" w:rsidTr="00B57C78">
        <w:trPr>
          <w:jc w:val="center"/>
        </w:trPr>
        <w:tc>
          <w:tcPr>
            <w:tcW w:w="287" w:type="pct"/>
          </w:tcPr>
          <w:p w14:paraId="28A12871" w14:textId="77777777" w:rsidR="00A756BE" w:rsidRPr="00124CC0" w:rsidRDefault="00A756BE" w:rsidP="00B57C78">
            <w:pPr>
              <w:pStyle w:val="Tabletext"/>
            </w:pPr>
            <w:r w:rsidRPr="00124CC0">
              <w:t>3</w:t>
            </w:r>
          </w:p>
        </w:tc>
        <w:tc>
          <w:tcPr>
            <w:tcW w:w="847" w:type="pct"/>
          </w:tcPr>
          <w:p w14:paraId="49993D1C" w14:textId="77777777" w:rsidR="00A756BE" w:rsidRPr="00124CC0" w:rsidRDefault="00A756BE" w:rsidP="00B57C78">
            <w:pPr>
              <w:pStyle w:val="Tabletext"/>
              <w:jc w:val="center"/>
              <w:rPr>
                <w:rFonts w:eastAsia="SimSun"/>
              </w:rPr>
            </w:pPr>
            <w:r w:rsidRPr="00124CC0">
              <w:t>3 avril 2024</w:t>
            </w:r>
          </w:p>
        </w:tc>
        <w:tc>
          <w:tcPr>
            <w:tcW w:w="875" w:type="pct"/>
          </w:tcPr>
          <w:p w14:paraId="16CA2EA5" w14:textId="77777777" w:rsidR="00A756BE" w:rsidRPr="00124CC0" w:rsidRDefault="00A756BE" w:rsidP="00B57C78">
            <w:pPr>
              <w:pStyle w:val="Tabletext"/>
              <w:jc w:val="center"/>
              <w:rPr>
                <w:rFonts w:eastAsia="SimSun"/>
              </w:rPr>
            </w:pPr>
            <w:r w:rsidRPr="00124CC0">
              <w:t>12 h 00-15 h 00</w:t>
            </w:r>
          </w:p>
        </w:tc>
        <w:tc>
          <w:tcPr>
            <w:tcW w:w="2073" w:type="pct"/>
          </w:tcPr>
          <w:p w14:paraId="656C30C1" w14:textId="252A7E9C" w:rsidR="00A756BE" w:rsidRPr="00124CC0" w:rsidRDefault="00A756BE" w:rsidP="00B57C78">
            <w:pPr>
              <w:pStyle w:val="Tabletext"/>
              <w:rPr>
                <w:rFonts w:eastAsia="SimSun"/>
              </w:rPr>
            </w:pPr>
            <w:r w:rsidRPr="00124CC0">
              <w:t xml:space="preserve">Projet de Recommandation UIT-T A.1 révisée, y compris les Appendices II et III (Document </w:t>
            </w:r>
            <w:hyperlink r:id="rId106" w:history="1">
              <w:r w:rsidRPr="00124CC0">
                <w:rPr>
                  <w:rStyle w:val="Hyperlink"/>
                  <w:rFonts w:ascii="Times New Roman" w:hAnsi="Times New Roman"/>
                </w:rPr>
                <w:t>TSAG-TD478</w:t>
              </w:r>
            </w:hyperlink>
            <w:r w:rsidRPr="00124CC0">
              <w:t>)</w:t>
            </w:r>
          </w:p>
        </w:tc>
        <w:tc>
          <w:tcPr>
            <w:tcW w:w="918" w:type="pct"/>
          </w:tcPr>
          <w:p w14:paraId="02973A87" w14:textId="77777777" w:rsidR="00A756BE" w:rsidRPr="00124CC0" w:rsidRDefault="00A756BE" w:rsidP="00B57C78">
            <w:pPr>
              <w:pStyle w:val="Tabletext"/>
              <w:jc w:val="center"/>
              <w:rPr>
                <w:rFonts w:eastAsia="SimSun"/>
              </w:rPr>
            </w:pPr>
            <w:r w:rsidRPr="00124CC0">
              <w:t>24 mars 2024</w:t>
            </w:r>
          </w:p>
        </w:tc>
      </w:tr>
      <w:tr w:rsidR="00A756BE" w:rsidRPr="00124CC0" w14:paraId="243D3862" w14:textId="77777777" w:rsidTr="00B57C78">
        <w:trPr>
          <w:jc w:val="center"/>
        </w:trPr>
        <w:tc>
          <w:tcPr>
            <w:tcW w:w="287" w:type="pct"/>
          </w:tcPr>
          <w:p w14:paraId="4D3648C9" w14:textId="77777777" w:rsidR="00A756BE" w:rsidRPr="00124CC0" w:rsidRDefault="00A756BE" w:rsidP="00B57C78">
            <w:pPr>
              <w:pStyle w:val="Tabletext"/>
            </w:pPr>
            <w:r w:rsidRPr="00124CC0">
              <w:t>4</w:t>
            </w:r>
          </w:p>
        </w:tc>
        <w:tc>
          <w:tcPr>
            <w:tcW w:w="847" w:type="pct"/>
          </w:tcPr>
          <w:p w14:paraId="36931CD0" w14:textId="77777777" w:rsidR="00A756BE" w:rsidRPr="00124CC0" w:rsidRDefault="00A756BE" w:rsidP="00B57C78">
            <w:pPr>
              <w:pStyle w:val="Tabletext"/>
              <w:jc w:val="center"/>
              <w:rPr>
                <w:rFonts w:eastAsia="Batang"/>
              </w:rPr>
            </w:pPr>
            <w:r w:rsidRPr="00124CC0">
              <w:t>26 avril 2024</w:t>
            </w:r>
          </w:p>
        </w:tc>
        <w:tc>
          <w:tcPr>
            <w:tcW w:w="875" w:type="pct"/>
          </w:tcPr>
          <w:p w14:paraId="44C53094" w14:textId="77777777" w:rsidR="00A756BE" w:rsidRPr="00124CC0" w:rsidRDefault="00A756BE" w:rsidP="00B57C78">
            <w:pPr>
              <w:pStyle w:val="Tabletext"/>
              <w:jc w:val="center"/>
              <w:rPr>
                <w:rFonts w:eastAsia="SimSun"/>
              </w:rPr>
            </w:pPr>
            <w:r w:rsidRPr="00124CC0">
              <w:t>12 h 00-15 h 00</w:t>
            </w:r>
          </w:p>
        </w:tc>
        <w:tc>
          <w:tcPr>
            <w:tcW w:w="2073" w:type="pct"/>
          </w:tcPr>
          <w:p w14:paraId="5BE56F83" w14:textId="6A47DB7E" w:rsidR="00A756BE" w:rsidRPr="00124CC0" w:rsidRDefault="00A756BE" w:rsidP="00B57C78">
            <w:pPr>
              <w:pStyle w:val="Tabletext"/>
              <w:rPr>
                <w:rFonts w:eastAsia="SimSun"/>
              </w:rPr>
            </w:pPr>
            <w:r w:rsidRPr="00124CC0">
              <w:t xml:space="preserve">Projet de Recommandation UIT-T A.RA (Document </w:t>
            </w:r>
            <w:hyperlink r:id="rId107" w:history="1">
              <w:r w:rsidRPr="00124CC0">
                <w:rPr>
                  <w:rStyle w:val="Hyperlink"/>
                  <w:rFonts w:ascii="Times New Roman" w:hAnsi="Times New Roman"/>
                </w:rPr>
                <w:t>TSAG-TD396R1</w:t>
              </w:r>
            </w:hyperlink>
            <w:r w:rsidRPr="00124CC0">
              <w:t>)</w:t>
            </w:r>
          </w:p>
        </w:tc>
        <w:tc>
          <w:tcPr>
            <w:tcW w:w="918" w:type="pct"/>
          </w:tcPr>
          <w:p w14:paraId="0BF3D4F3" w14:textId="77777777" w:rsidR="00A756BE" w:rsidRPr="00124CC0" w:rsidRDefault="00A756BE" w:rsidP="00B57C78">
            <w:pPr>
              <w:pStyle w:val="Tabletext"/>
              <w:jc w:val="center"/>
              <w:rPr>
                <w:rFonts w:eastAsia="SimSun"/>
              </w:rPr>
            </w:pPr>
            <w:r w:rsidRPr="00124CC0">
              <w:t>16 avril 2024</w:t>
            </w:r>
          </w:p>
        </w:tc>
      </w:tr>
      <w:tr w:rsidR="00A756BE" w:rsidRPr="00124CC0" w14:paraId="4584A685" w14:textId="77777777" w:rsidTr="00B57C78">
        <w:trPr>
          <w:jc w:val="center"/>
        </w:trPr>
        <w:tc>
          <w:tcPr>
            <w:tcW w:w="287" w:type="pct"/>
          </w:tcPr>
          <w:p w14:paraId="5BA8D3BA" w14:textId="77777777" w:rsidR="00A756BE" w:rsidRPr="00124CC0" w:rsidRDefault="00A756BE" w:rsidP="00B57C78">
            <w:pPr>
              <w:pStyle w:val="Tabletext"/>
            </w:pPr>
            <w:r w:rsidRPr="00124CC0">
              <w:t>5</w:t>
            </w:r>
          </w:p>
        </w:tc>
        <w:tc>
          <w:tcPr>
            <w:tcW w:w="847" w:type="pct"/>
          </w:tcPr>
          <w:p w14:paraId="76CF7563" w14:textId="77777777" w:rsidR="00A756BE" w:rsidRPr="00124CC0" w:rsidRDefault="00A756BE" w:rsidP="00B57C78">
            <w:pPr>
              <w:pStyle w:val="Tabletext"/>
              <w:jc w:val="center"/>
              <w:rPr>
                <w:rFonts w:eastAsia="SimSun"/>
              </w:rPr>
            </w:pPr>
            <w:r w:rsidRPr="00124CC0">
              <w:t>14 mai 2024</w:t>
            </w:r>
          </w:p>
        </w:tc>
        <w:tc>
          <w:tcPr>
            <w:tcW w:w="875" w:type="pct"/>
          </w:tcPr>
          <w:p w14:paraId="0FD7499C" w14:textId="77777777" w:rsidR="00A756BE" w:rsidRPr="00124CC0" w:rsidRDefault="00A756BE" w:rsidP="00B57C78">
            <w:pPr>
              <w:pStyle w:val="Tabletext"/>
              <w:jc w:val="center"/>
              <w:rPr>
                <w:rFonts w:eastAsia="SimSun"/>
              </w:rPr>
            </w:pPr>
            <w:r w:rsidRPr="00124CC0">
              <w:t>12 h 00-15 h 00</w:t>
            </w:r>
          </w:p>
        </w:tc>
        <w:tc>
          <w:tcPr>
            <w:tcW w:w="2073" w:type="pct"/>
          </w:tcPr>
          <w:p w14:paraId="512F95DA" w14:textId="61BC7326" w:rsidR="00A756BE" w:rsidRPr="00124CC0" w:rsidRDefault="00A756BE" w:rsidP="00B57C78">
            <w:pPr>
              <w:pStyle w:val="Tabletext"/>
              <w:rPr>
                <w:rFonts w:eastAsia="SimSun"/>
              </w:rPr>
            </w:pPr>
            <w:r w:rsidRPr="00124CC0">
              <w:t>Questions restées en suspens lors de précédentes réunions du Groupe du Rapporteur</w:t>
            </w:r>
          </w:p>
        </w:tc>
        <w:tc>
          <w:tcPr>
            <w:tcW w:w="918" w:type="pct"/>
          </w:tcPr>
          <w:p w14:paraId="29949E2B" w14:textId="77777777" w:rsidR="00A756BE" w:rsidRPr="00124CC0" w:rsidRDefault="00A756BE" w:rsidP="00B57C78">
            <w:pPr>
              <w:pStyle w:val="Tabletext"/>
              <w:jc w:val="center"/>
              <w:rPr>
                <w:rFonts w:eastAsia="SimSun"/>
              </w:rPr>
            </w:pPr>
            <w:r w:rsidRPr="00124CC0">
              <w:t>5 mai 2024</w:t>
            </w:r>
          </w:p>
        </w:tc>
      </w:tr>
      <w:tr w:rsidR="00A756BE" w:rsidRPr="00124CC0" w14:paraId="4E70A638" w14:textId="77777777" w:rsidTr="00B57C78">
        <w:trPr>
          <w:jc w:val="center"/>
        </w:trPr>
        <w:tc>
          <w:tcPr>
            <w:tcW w:w="287" w:type="pct"/>
            <w:tcBorders>
              <w:bottom w:val="single" w:sz="12" w:space="0" w:color="auto"/>
            </w:tcBorders>
          </w:tcPr>
          <w:p w14:paraId="0CF5206D" w14:textId="77777777" w:rsidR="00A756BE" w:rsidRPr="00124CC0" w:rsidRDefault="00A756BE" w:rsidP="00B57C78">
            <w:pPr>
              <w:pStyle w:val="Tabletext"/>
            </w:pPr>
            <w:r w:rsidRPr="00124CC0">
              <w:t>6</w:t>
            </w:r>
          </w:p>
        </w:tc>
        <w:tc>
          <w:tcPr>
            <w:tcW w:w="847" w:type="pct"/>
            <w:tcBorders>
              <w:bottom w:val="single" w:sz="12" w:space="0" w:color="auto"/>
            </w:tcBorders>
          </w:tcPr>
          <w:p w14:paraId="32E99C7D" w14:textId="77777777" w:rsidR="00A756BE" w:rsidRPr="00124CC0" w:rsidRDefault="00A756BE" w:rsidP="00B57C78">
            <w:pPr>
              <w:pStyle w:val="Tabletext"/>
              <w:jc w:val="center"/>
              <w:rPr>
                <w:rFonts w:eastAsia="SimSun"/>
              </w:rPr>
            </w:pPr>
            <w:r w:rsidRPr="00124CC0">
              <w:t>2 juillet 2024</w:t>
            </w:r>
          </w:p>
        </w:tc>
        <w:tc>
          <w:tcPr>
            <w:tcW w:w="875" w:type="pct"/>
            <w:tcBorders>
              <w:bottom w:val="single" w:sz="12" w:space="0" w:color="auto"/>
            </w:tcBorders>
          </w:tcPr>
          <w:p w14:paraId="4725254D" w14:textId="77777777" w:rsidR="00A756BE" w:rsidRPr="00124CC0" w:rsidRDefault="00A756BE" w:rsidP="00B57C78">
            <w:pPr>
              <w:pStyle w:val="Tabletext"/>
              <w:jc w:val="center"/>
              <w:rPr>
                <w:rFonts w:eastAsia="SimSun"/>
              </w:rPr>
            </w:pPr>
            <w:r w:rsidRPr="00124CC0">
              <w:t>12 h 00-15 h 00</w:t>
            </w:r>
          </w:p>
        </w:tc>
        <w:tc>
          <w:tcPr>
            <w:tcW w:w="2073" w:type="pct"/>
            <w:tcBorders>
              <w:bottom w:val="single" w:sz="12" w:space="0" w:color="auto"/>
            </w:tcBorders>
          </w:tcPr>
          <w:p w14:paraId="7714D628" w14:textId="159A54BF" w:rsidR="00A756BE" w:rsidRPr="00124CC0" w:rsidRDefault="00A756BE" w:rsidP="00B57C78">
            <w:pPr>
              <w:pStyle w:val="Tabletext"/>
            </w:pPr>
            <w:r w:rsidRPr="00124CC0">
              <w:t>Suppl.4 aux Rec. UIT-T de la série A; Questions restées en suspens lors de précédentes réunions du Groupe du Rapporteur</w:t>
            </w:r>
          </w:p>
        </w:tc>
        <w:tc>
          <w:tcPr>
            <w:tcW w:w="918" w:type="pct"/>
            <w:tcBorders>
              <w:bottom w:val="single" w:sz="12" w:space="0" w:color="auto"/>
            </w:tcBorders>
          </w:tcPr>
          <w:p w14:paraId="7568BEE7" w14:textId="77777777" w:rsidR="00A756BE" w:rsidRPr="00124CC0" w:rsidRDefault="00A756BE" w:rsidP="00B57C78">
            <w:pPr>
              <w:pStyle w:val="Tabletext"/>
              <w:jc w:val="center"/>
              <w:rPr>
                <w:rFonts w:eastAsia="SimSun"/>
              </w:rPr>
            </w:pPr>
            <w:r w:rsidRPr="00124CC0">
              <w:t>23 juin 2024</w:t>
            </w:r>
          </w:p>
        </w:tc>
      </w:tr>
    </w:tbl>
    <w:p w14:paraId="52A58763" w14:textId="77777777" w:rsidR="00A756BE" w:rsidRPr="00124CC0" w:rsidRDefault="00A756BE" w:rsidP="00A756BE">
      <w:pPr>
        <w:pStyle w:val="Headingb"/>
        <w:spacing w:after="120"/>
      </w:pPr>
      <w:r w:rsidRPr="00124CC0">
        <w:rPr>
          <w:bCs/>
        </w:rPr>
        <w:t>RG-WTSA</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3"/>
        <w:gridCol w:w="1629"/>
        <w:gridCol w:w="1668"/>
        <w:gridCol w:w="3995"/>
        <w:gridCol w:w="1764"/>
      </w:tblGrid>
      <w:tr w:rsidR="00A756BE" w:rsidRPr="00124CC0" w14:paraId="431EDEF3" w14:textId="77777777" w:rsidTr="00B57C78">
        <w:trPr>
          <w:tblHeader/>
          <w:jc w:val="center"/>
        </w:trPr>
        <w:tc>
          <w:tcPr>
            <w:tcW w:w="287" w:type="pct"/>
            <w:tcBorders>
              <w:top w:val="single" w:sz="12" w:space="0" w:color="auto"/>
              <w:bottom w:val="single" w:sz="12" w:space="0" w:color="auto"/>
            </w:tcBorders>
            <w:hideMark/>
          </w:tcPr>
          <w:p w14:paraId="3347C106" w14:textId="77777777" w:rsidR="00A756BE" w:rsidRPr="00124CC0" w:rsidRDefault="00A756BE" w:rsidP="00B57C78">
            <w:pPr>
              <w:pStyle w:val="Tablehead"/>
            </w:pPr>
            <w:r w:rsidRPr="00124CC0">
              <w:rPr>
                <w:bCs/>
              </w:rPr>
              <w:t>N°</w:t>
            </w:r>
          </w:p>
        </w:tc>
        <w:tc>
          <w:tcPr>
            <w:tcW w:w="847" w:type="pct"/>
            <w:tcBorders>
              <w:top w:val="single" w:sz="12" w:space="0" w:color="auto"/>
              <w:bottom w:val="single" w:sz="12" w:space="0" w:color="auto"/>
            </w:tcBorders>
            <w:hideMark/>
          </w:tcPr>
          <w:p w14:paraId="62C4D7C6" w14:textId="77777777" w:rsidR="00A756BE" w:rsidRPr="00124CC0" w:rsidRDefault="00A756BE" w:rsidP="00B57C78">
            <w:pPr>
              <w:pStyle w:val="Tablehead"/>
            </w:pPr>
            <w:r w:rsidRPr="00124CC0">
              <w:rPr>
                <w:bCs/>
              </w:rPr>
              <w:t>Date</w:t>
            </w:r>
          </w:p>
        </w:tc>
        <w:tc>
          <w:tcPr>
            <w:tcW w:w="868" w:type="pct"/>
            <w:tcBorders>
              <w:top w:val="single" w:sz="12" w:space="0" w:color="auto"/>
              <w:bottom w:val="single" w:sz="12" w:space="0" w:color="auto"/>
            </w:tcBorders>
            <w:hideMark/>
          </w:tcPr>
          <w:p w14:paraId="3496A38B" w14:textId="77777777" w:rsidR="00A756BE" w:rsidRPr="00124CC0" w:rsidRDefault="00A756BE" w:rsidP="00B57C78">
            <w:pPr>
              <w:pStyle w:val="Tablehead"/>
              <w:ind w:left="-113" w:right="-113"/>
            </w:pPr>
            <w:r w:rsidRPr="00124CC0">
              <w:rPr>
                <w:bCs/>
              </w:rPr>
              <w:t>Heure</w:t>
            </w:r>
          </w:p>
        </w:tc>
        <w:tc>
          <w:tcPr>
            <w:tcW w:w="2079" w:type="pct"/>
            <w:tcBorders>
              <w:top w:val="single" w:sz="12" w:space="0" w:color="auto"/>
              <w:bottom w:val="single" w:sz="12" w:space="0" w:color="auto"/>
            </w:tcBorders>
          </w:tcPr>
          <w:p w14:paraId="120CD275" w14:textId="77777777" w:rsidR="00A756BE" w:rsidRPr="00124CC0" w:rsidRDefault="00A756BE" w:rsidP="00B57C78">
            <w:pPr>
              <w:pStyle w:val="Tablehead"/>
            </w:pPr>
            <w:r w:rsidRPr="00124CC0">
              <w:rPr>
                <w:bCs/>
              </w:rPr>
              <w:t>Objectifs</w:t>
            </w:r>
          </w:p>
        </w:tc>
        <w:tc>
          <w:tcPr>
            <w:tcW w:w="918" w:type="pct"/>
            <w:tcBorders>
              <w:top w:val="single" w:sz="12" w:space="0" w:color="auto"/>
              <w:bottom w:val="single" w:sz="12" w:space="0" w:color="auto"/>
            </w:tcBorders>
          </w:tcPr>
          <w:p w14:paraId="10F28682" w14:textId="77777777" w:rsidR="00A756BE" w:rsidRPr="00124CC0" w:rsidRDefault="00A756BE" w:rsidP="00B57C78">
            <w:pPr>
              <w:pStyle w:val="Tablehead"/>
            </w:pPr>
            <w:r w:rsidRPr="00124CC0">
              <w:rPr>
                <w:bCs/>
              </w:rPr>
              <w:t>Date limite</w:t>
            </w:r>
          </w:p>
        </w:tc>
      </w:tr>
      <w:tr w:rsidR="00A756BE" w:rsidRPr="00124CC0" w14:paraId="2FAB0E30" w14:textId="77777777" w:rsidTr="00B57C78">
        <w:trPr>
          <w:trHeight w:val="527"/>
          <w:jc w:val="center"/>
        </w:trPr>
        <w:tc>
          <w:tcPr>
            <w:tcW w:w="287" w:type="pct"/>
            <w:tcBorders>
              <w:top w:val="single" w:sz="12" w:space="0" w:color="auto"/>
            </w:tcBorders>
            <w:hideMark/>
          </w:tcPr>
          <w:p w14:paraId="125BF330" w14:textId="77777777" w:rsidR="00A756BE" w:rsidRPr="00124CC0" w:rsidRDefault="00A756BE" w:rsidP="00B57C78">
            <w:pPr>
              <w:pStyle w:val="Tabletext"/>
            </w:pPr>
            <w:r w:rsidRPr="00124CC0">
              <w:t>1</w:t>
            </w:r>
          </w:p>
        </w:tc>
        <w:tc>
          <w:tcPr>
            <w:tcW w:w="847" w:type="pct"/>
            <w:tcBorders>
              <w:top w:val="single" w:sz="12" w:space="0" w:color="auto"/>
            </w:tcBorders>
          </w:tcPr>
          <w:p w14:paraId="6C8D22EB" w14:textId="77777777" w:rsidR="00A756BE" w:rsidRPr="00124CC0" w:rsidRDefault="00A756BE" w:rsidP="00B57C78">
            <w:pPr>
              <w:pStyle w:val="Tabletext"/>
              <w:jc w:val="center"/>
            </w:pPr>
            <w:r w:rsidRPr="00124CC0">
              <w:t>18 avril 2024</w:t>
            </w:r>
          </w:p>
        </w:tc>
        <w:tc>
          <w:tcPr>
            <w:tcW w:w="868" w:type="pct"/>
            <w:tcBorders>
              <w:top w:val="single" w:sz="12" w:space="0" w:color="auto"/>
            </w:tcBorders>
          </w:tcPr>
          <w:p w14:paraId="7D819132" w14:textId="77777777" w:rsidR="00A756BE" w:rsidRPr="00124CC0" w:rsidRDefault="00A756BE" w:rsidP="00B57C78">
            <w:pPr>
              <w:pStyle w:val="Tabletext"/>
              <w:jc w:val="center"/>
            </w:pPr>
            <w:r w:rsidRPr="00124CC0">
              <w:t>13 h 00-15 h 00</w:t>
            </w:r>
          </w:p>
        </w:tc>
        <w:tc>
          <w:tcPr>
            <w:tcW w:w="2079" w:type="pct"/>
            <w:vMerge w:val="restart"/>
            <w:tcBorders>
              <w:top w:val="single" w:sz="12" w:space="0" w:color="auto"/>
            </w:tcBorders>
          </w:tcPr>
          <w:p w14:paraId="6EAC26DE" w14:textId="5CB1D1FE" w:rsidR="00A756BE" w:rsidRPr="00124CC0" w:rsidRDefault="00A756BE" w:rsidP="00B57C78">
            <w:pPr>
              <w:pStyle w:val="Tabletext"/>
            </w:pPr>
            <w:r w:rsidRPr="00124CC0">
              <w:t>Faire avancer les projets de nouveaux Suppléments A.Suppl-WTSAGL et A.BN; examiner les propositions sur la mise en œuvre concrète de la rationalisation des Résolutions et du Vœu de l'AMNT</w:t>
            </w:r>
          </w:p>
        </w:tc>
        <w:tc>
          <w:tcPr>
            <w:tcW w:w="918" w:type="pct"/>
            <w:tcBorders>
              <w:top w:val="single" w:sz="12" w:space="0" w:color="auto"/>
            </w:tcBorders>
          </w:tcPr>
          <w:p w14:paraId="5D5C0EA7" w14:textId="77777777" w:rsidR="00A756BE" w:rsidRPr="00124CC0" w:rsidRDefault="00A756BE" w:rsidP="00B57C78">
            <w:pPr>
              <w:pStyle w:val="Tabletext"/>
              <w:jc w:val="center"/>
            </w:pPr>
            <w:r w:rsidRPr="00124CC0">
              <w:t>11 avril 2024</w:t>
            </w:r>
          </w:p>
        </w:tc>
      </w:tr>
      <w:tr w:rsidR="00A756BE" w:rsidRPr="00124CC0" w14:paraId="52F5EBC0" w14:textId="77777777" w:rsidTr="00B57C78">
        <w:trPr>
          <w:jc w:val="center"/>
        </w:trPr>
        <w:tc>
          <w:tcPr>
            <w:tcW w:w="287" w:type="pct"/>
            <w:tcBorders>
              <w:bottom w:val="single" w:sz="12" w:space="0" w:color="auto"/>
            </w:tcBorders>
          </w:tcPr>
          <w:p w14:paraId="504C0208" w14:textId="77777777" w:rsidR="00A756BE" w:rsidRPr="00124CC0" w:rsidRDefault="00A756BE" w:rsidP="00B57C78">
            <w:pPr>
              <w:pStyle w:val="Tabletext"/>
            </w:pPr>
            <w:r w:rsidRPr="00124CC0">
              <w:t>2</w:t>
            </w:r>
          </w:p>
        </w:tc>
        <w:tc>
          <w:tcPr>
            <w:tcW w:w="847" w:type="pct"/>
            <w:tcBorders>
              <w:bottom w:val="single" w:sz="12" w:space="0" w:color="auto"/>
            </w:tcBorders>
          </w:tcPr>
          <w:p w14:paraId="0EF6C866" w14:textId="77777777" w:rsidR="00A756BE" w:rsidRPr="00124CC0" w:rsidRDefault="00A756BE" w:rsidP="00B57C78">
            <w:pPr>
              <w:pStyle w:val="Tabletext"/>
              <w:jc w:val="center"/>
            </w:pPr>
            <w:r w:rsidRPr="00124CC0">
              <w:t>20 juin 2024</w:t>
            </w:r>
          </w:p>
        </w:tc>
        <w:tc>
          <w:tcPr>
            <w:tcW w:w="868" w:type="pct"/>
            <w:tcBorders>
              <w:bottom w:val="single" w:sz="12" w:space="0" w:color="auto"/>
            </w:tcBorders>
          </w:tcPr>
          <w:p w14:paraId="2C729C37" w14:textId="77777777" w:rsidR="00A756BE" w:rsidRPr="00124CC0" w:rsidRDefault="00A756BE" w:rsidP="00B57C78">
            <w:pPr>
              <w:pStyle w:val="Tabletext"/>
              <w:jc w:val="center"/>
            </w:pPr>
            <w:r w:rsidRPr="00124CC0">
              <w:t>13 h 00-15 h 00</w:t>
            </w:r>
          </w:p>
        </w:tc>
        <w:tc>
          <w:tcPr>
            <w:tcW w:w="2079" w:type="pct"/>
            <w:vMerge/>
            <w:tcBorders>
              <w:bottom w:val="single" w:sz="12" w:space="0" w:color="auto"/>
            </w:tcBorders>
          </w:tcPr>
          <w:p w14:paraId="43DFB56F" w14:textId="77777777" w:rsidR="00A756BE" w:rsidRPr="00124CC0" w:rsidRDefault="00A756BE" w:rsidP="00B57C78">
            <w:pPr>
              <w:pStyle w:val="Tabletext"/>
            </w:pPr>
          </w:p>
        </w:tc>
        <w:tc>
          <w:tcPr>
            <w:tcW w:w="918" w:type="pct"/>
            <w:tcBorders>
              <w:bottom w:val="single" w:sz="12" w:space="0" w:color="auto"/>
            </w:tcBorders>
          </w:tcPr>
          <w:p w14:paraId="784039CA" w14:textId="77777777" w:rsidR="00A756BE" w:rsidRPr="00124CC0" w:rsidRDefault="00A756BE" w:rsidP="00B57C78">
            <w:pPr>
              <w:pStyle w:val="Tabletext"/>
              <w:jc w:val="center"/>
            </w:pPr>
            <w:r w:rsidRPr="00124CC0">
              <w:t>13 juin 2024</w:t>
            </w:r>
          </w:p>
        </w:tc>
      </w:tr>
    </w:tbl>
    <w:p w14:paraId="3F61F7D9" w14:textId="77777777" w:rsidR="00A756BE" w:rsidRPr="00124CC0" w:rsidRDefault="00A756BE" w:rsidP="00A756BE">
      <w:pPr>
        <w:pStyle w:val="Headingb"/>
      </w:pPr>
      <w:r w:rsidRPr="00124CC0">
        <w:rPr>
          <w:bCs/>
        </w:rPr>
        <w:t>GT 2</w:t>
      </w:r>
    </w:p>
    <w:p w14:paraId="2C6E042B" w14:textId="77777777" w:rsidR="00A756BE" w:rsidRPr="00124CC0" w:rsidRDefault="00A756BE" w:rsidP="00A756BE">
      <w:pPr>
        <w:pStyle w:val="Headingb"/>
        <w:spacing w:after="120"/>
      </w:pPr>
      <w:r w:rsidRPr="00124CC0">
        <w:rPr>
          <w:bCs/>
        </w:rPr>
        <w:t>RG-WPR</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1"/>
        <w:gridCol w:w="1628"/>
        <w:gridCol w:w="1657"/>
        <w:gridCol w:w="4034"/>
        <w:gridCol w:w="1739"/>
      </w:tblGrid>
      <w:tr w:rsidR="00A756BE" w:rsidRPr="00124CC0" w14:paraId="6187DDC9" w14:textId="77777777" w:rsidTr="00B57C78">
        <w:trPr>
          <w:tblHeader/>
          <w:jc w:val="center"/>
        </w:trPr>
        <w:tc>
          <w:tcPr>
            <w:tcW w:w="287" w:type="pct"/>
            <w:tcBorders>
              <w:top w:val="single" w:sz="12" w:space="0" w:color="auto"/>
              <w:bottom w:val="single" w:sz="12" w:space="0" w:color="auto"/>
            </w:tcBorders>
          </w:tcPr>
          <w:p w14:paraId="13A2B247" w14:textId="77777777" w:rsidR="00A756BE" w:rsidRPr="00124CC0" w:rsidRDefault="00A756BE" w:rsidP="00B57C78">
            <w:pPr>
              <w:pStyle w:val="Tablehead"/>
            </w:pPr>
            <w:r w:rsidRPr="00124CC0">
              <w:rPr>
                <w:bCs/>
              </w:rPr>
              <w:t>N°</w:t>
            </w:r>
          </w:p>
        </w:tc>
        <w:tc>
          <w:tcPr>
            <w:tcW w:w="847" w:type="pct"/>
            <w:tcBorders>
              <w:top w:val="single" w:sz="12" w:space="0" w:color="auto"/>
              <w:bottom w:val="single" w:sz="12" w:space="0" w:color="auto"/>
            </w:tcBorders>
          </w:tcPr>
          <w:p w14:paraId="639DFA4C" w14:textId="77777777" w:rsidR="00A756BE" w:rsidRPr="00124CC0" w:rsidRDefault="00A756BE" w:rsidP="00B57C78">
            <w:pPr>
              <w:pStyle w:val="Tablehead"/>
            </w:pPr>
            <w:r w:rsidRPr="00124CC0">
              <w:rPr>
                <w:bCs/>
              </w:rPr>
              <w:t>Date</w:t>
            </w:r>
          </w:p>
        </w:tc>
        <w:tc>
          <w:tcPr>
            <w:tcW w:w="862" w:type="pct"/>
            <w:tcBorders>
              <w:top w:val="single" w:sz="12" w:space="0" w:color="auto"/>
              <w:bottom w:val="single" w:sz="12" w:space="0" w:color="auto"/>
            </w:tcBorders>
          </w:tcPr>
          <w:p w14:paraId="3E9831C4" w14:textId="77777777" w:rsidR="00A756BE" w:rsidRPr="00124CC0" w:rsidRDefault="00A756BE" w:rsidP="00B57C78">
            <w:pPr>
              <w:pStyle w:val="Tablehead"/>
              <w:ind w:left="-113" w:right="-113"/>
            </w:pPr>
            <w:r w:rsidRPr="00124CC0">
              <w:rPr>
                <w:bCs/>
              </w:rPr>
              <w:t>Heure</w:t>
            </w:r>
          </w:p>
        </w:tc>
        <w:tc>
          <w:tcPr>
            <w:tcW w:w="2099" w:type="pct"/>
            <w:tcBorders>
              <w:top w:val="single" w:sz="12" w:space="0" w:color="auto"/>
              <w:bottom w:val="single" w:sz="12" w:space="0" w:color="auto"/>
            </w:tcBorders>
          </w:tcPr>
          <w:p w14:paraId="6FBA0537" w14:textId="77777777" w:rsidR="00A756BE" w:rsidRPr="00124CC0" w:rsidRDefault="00A756BE" w:rsidP="00B57C78">
            <w:pPr>
              <w:pStyle w:val="Tablehead"/>
            </w:pPr>
            <w:r w:rsidRPr="00124CC0">
              <w:rPr>
                <w:bCs/>
              </w:rPr>
              <w:t>Objectifs</w:t>
            </w:r>
          </w:p>
        </w:tc>
        <w:tc>
          <w:tcPr>
            <w:tcW w:w="906" w:type="pct"/>
            <w:tcBorders>
              <w:top w:val="single" w:sz="12" w:space="0" w:color="auto"/>
              <w:bottom w:val="single" w:sz="12" w:space="0" w:color="auto"/>
            </w:tcBorders>
          </w:tcPr>
          <w:p w14:paraId="4E670717" w14:textId="77777777" w:rsidR="00A756BE" w:rsidRPr="00124CC0" w:rsidRDefault="00A756BE" w:rsidP="00B57C78">
            <w:pPr>
              <w:pStyle w:val="Tablehead"/>
            </w:pPr>
            <w:r w:rsidRPr="00124CC0">
              <w:rPr>
                <w:bCs/>
              </w:rPr>
              <w:t>Date limite</w:t>
            </w:r>
          </w:p>
        </w:tc>
      </w:tr>
      <w:tr w:rsidR="00A756BE" w:rsidRPr="00124CC0" w14:paraId="050BB9B9" w14:textId="77777777" w:rsidTr="00B57C78">
        <w:trPr>
          <w:jc w:val="center"/>
        </w:trPr>
        <w:tc>
          <w:tcPr>
            <w:tcW w:w="287" w:type="pct"/>
            <w:tcBorders>
              <w:top w:val="single" w:sz="12" w:space="0" w:color="auto"/>
              <w:bottom w:val="single" w:sz="12" w:space="0" w:color="auto"/>
            </w:tcBorders>
          </w:tcPr>
          <w:p w14:paraId="34545F75" w14:textId="77777777" w:rsidR="00A756BE" w:rsidRPr="00124CC0" w:rsidRDefault="00A756BE" w:rsidP="00B57C78">
            <w:pPr>
              <w:pStyle w:val="Tabletext"/>
            </w:pPr>
            <w:r w:rsidRPr="00124CC0">
              <w:t>1</w:t>
            </w:r>
          </w:p>
        </w:tc>
        <w:tc>
          <w:tcPr>
            <w:tcW w:w="847" w:type="pct"/>
            <w:tcBorders>
              <w:top w:val="single" w:sz="12" w:space="0" w:color="auto"/>
              <w:bottom w:val="single" w:sz="12" w:space="0" w:color="auto"/>
            </w:tcBorders>
          </w:tcPr>
          <w:p w14:paraId="23DED383" w14:textId="77777777" w:rsidR="00A756BE" w:rsidRPr="00124CC0" w:rsidRDefault="00A756BE" w:rsidP="00B57C78">
            <w:pPr>
              <w:pStyle w:val="Tabletext"/>
              <w:jc w:val="center"/>
            </w:pPr>
            <w:r w:rsidRPr="00124CC0">
              <w:t>19 juin 2024</w:t>
            </w:r>
          </w:p>
        </w:tc>
        <w:tc>
          <w:tcPr>
            <w:tcW w:w="862" w:type="pct"/>
            <w:tcBorders>
              <w:top w:val="single" w:sz="12" w:space="0" w:color="auto"/>
              <w:bottom w:val="single" w:sz="12" w:space="0" w:color="auto"/>
            </w:tcBorders>
          </w:tcPr>
          <w:p w14:paraId="3665116C" w14:textId="77777777" w:rsidR="00A756BE" w:rsidRPr="00124CC0" w:rsidRDefault="00A756BE" w:rsidP="00B57C78">
            <w:pPr>
              <w:pStyle w:val="Tabletext"/>
              <w:ind w:left="-113" w:right="-113"/>
              <w:jc w:val="center"/>
            </w:pPr>
            <w:r w:rsidRPr="00124CC0">
              <w:t>13 h 00-15 h 00</w:t>
            </w:r>
          </w:p>
        </w:tc>
        <w:tc>
          <w:tcPr>
            <w:tcW w:w="2099" w:type="pct"/>
            <w:tcBorders>
              <w:top w:val="single" w:sz="12" w:space="0" w:color="auto"/>
              <w:bottom w:val="single" w:sz="12" w:space="0" w:color="auto"/>
            </w:tcBorders>
          </w:tcPr>
          <w:p w14:paraId="5E5A24FD" w14:textId="2CD1D65D" w:rsidR="00A756BE" w:rsidRPr="00124CC0" w:rsidRDefault="00A756BE" w:rsidP="00B57C78">
            <w:pPr>
              <w:pStyle w:val="Tabletext"/>
            </w:pPr>
            <w:r w:rsidRPr="00124CC0">
              <w:t>État d'avancement des travaux préparatoires concernant la fusion des CE 9 et 16 de l'UIT</w:t>
            </w:r>
            <w:r w:rsidRPr="00124CC0">
              <w:noBreakHyphen/>
              <w:t>T</w:t>
            </w:r>
          </w:p>
        </w:tc>
        <w:tc>
          <w:tcPr>
            <w:tcW w:w="906" w:type="pct"/>
            <w:tcBorders>
              <w:top w:val="single" w:sz="12" w:space="0" w:color="auto"/>
              <w:bottom w:val="single" w:sz="12" w:space="0" w:color="auto"/>
            </w:tcBorders>
          </w:tcPr>
          <w:p w14:paraId="4349E610" w14:textId="77777777" w:rsidR="00A756BE" w:rsidRPr="00124CC0" w:rsidRDefault="00A756BE" w:rsidP="00B57C78">
            <w:pPr>
              <w:pStyle w:val="Tabletext"/>
              <w:jc w:val="center"/>
            </w:pPr>
            <w:r w:rsidRPr="00124CC0">
              <w:t>12 juin 2024</w:t>
            </w:r>
          </w:p>
        </w:tc>
      </w:tr>
    </w:tbl>
    <w:p w14:paraId="2DE0B3BE" w14:textId="77777777" w:rsidR="00A756BE" w:rsidRPr="00124CC0" w:rsidRDefault="00A756BE" w:rsidP="00A756BE">
      <w:pPr>
        <w:pStyle w:val="Headingb"/>
        <w:spacing w:after="120"/>
      </w:pPr>
      <w:r w:rsidRPr="00124CC0">
        <w:rPr>
          <w:bCs/>
        </w:rPr>
        <w:lastRenderedPageBreak/>
        <w:t>RG-IEM</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9"/>
        <w:gridCol w:w="1620"/>
        <w:gridCol w:w="1657"/>
        <w:gridCol w:w="3872"/>
        <w:gridCol w:w="1901"/>
      </w:tblGrid>
      <w:tr w:rsidR="00A756BE" w:rsidRPr="00124CC0" w14:paraId="7C94E78E" w14:textId="77777777" w:rsidTr="00B57C78">
        <w:trPr>
          <w:tblHeader/>
          <w:jc w:val="center"/>
        </w:trPr>
        <w:tc>
          <w:tcPr>
            <w:tcW w:w="291" w:type="pct"/>
            <w:tcBorders>
              <w:top w:val="single" w:sz="12" w:space="0" w:color="auto"/>
              <w:bottom w:val="single" w:sz="12" w:space="0" w:color="auto"/>
            </w:tcBorders>
          </w:tcPr>
          <w:p w14:paraId="205C4915" w14:textId="77777777" w:rsidR="00A756BE" w:rsidRPr="00124CC0" w:rsidRDefault="00A756BE" w:rsidP="00B57C78">
            <w:pPr>
              <w:pStyle w:val="Tablehead"/>
            </w:pPr>
            <w:r w:rsidRPr="00124CC0">
              <w:rPr>
                <w:bCs/>
              </w:rPr>
              <w:t>N°</w:t>
            </w:r>
          </w:p>
        </w:tc>
        <w:tc>
          <w:tcPr>
            <w:tcW w:w="843" w:type="pct"/>
            <w:tcBorders>
              <w:top w:val="single" w:sz="12" w:space="0" w:color="auto"/>
              <w:bottom w:val="single" w:sz="12" w:space="0" w:color="auto"/>
            </w:tcBorders>
          </w:tcPr>
          <w:p w14:paraId="0F6C61EE" w14:textId="77777777" w:rsidR="00A756BE" w:rsidRPr="00124CC0" w:rsidRDefault="00A756BE" w:rsidP="00B57C78">
            <w:pPr>
              <w:pStyle w:val="Tablehead"/>
            </w:pPr>
            <w:r w:rsidRPr="00124CC0">
              <w:rPr>
                <w:bCs/>
              </w:rPr>
              <w:t>Date</w:t>
            </w:r>
          </w:p>
        </w:tc>
        <w:tc>
          <w:tcPr>
            <w:tcW w:w="862" w:type="pct"/>
            <w:tcBorders>
              <w:top w:val="single" w:sz="12" w:space="0" w:color="auto"/>
              <w:bottom w:val="single" w:sz="12" w:space="0" w:color="auto"/>
            </w:tcBorders>
          </w:tcPr>
          <w:p w14:paraId="4BF59CE2" w14:textId="77777777" w:rsidR="00A756BE" w:rsidRPr="00124CC0" w:rsidRDefault="00A756BE" w:rsidP="00B57C78">
            <w:pPr>
              <w:pStyle w:val="Tablehead"/>
              <w:ind w:left="-113" w:right="-113"/>
            </w:pPr>
            <w:r w:rsidRPr="00124CC0">
              <w:rPr>
                <w:bCs/>
              </w:rPr>
              <w:t>Heure</w:t>
            </w:r>
            <w:r w:rsidRPr="00124CC0">
              <w:t xml:space="preserve"> </w:t>
            </w:r>
          </w:p>
        </w:tc>
        <w:tc>
          <w:tcPr>
            <w:tcW w:w="2015" w:type="pct"/>
            <w:tcBorders>
              <w:top w:val="single" w:sz="12" w:space="0" w:color="auto"/>
              <w:bottom w:val="single" w:sz="12" w:space="0" w:color="auto"/>
            </w:tcBorders>
          </w:tcPr>
          <w:p w14:paraId="28907780" w14:textId="77777777" w:rsidR="00A756BE" w:rsidRPr="00124CC0" w:rsidRDefault="00A756BE" w:rsidP="00B57C78">
            <w:pPr>
              <w:pStyle w:val="Tablehead"/>
            </w:pPr>
            <w:r w:rsidRPr="00124CC0">
              <w:rPr>
                <w:bCs/>
              </w:rPr>
              <w:t>Objectifs</w:t>
            </w:r>
          </w:p>
        </w:tc>
        <w:tc>
          <w:tcPr>
            <w:tcW w:w="989" w:type="pct"/>
            <w:tcBorders>
              <w:top w:val="single" w:sz="12" w:space="0" w:color="auto"/>
              <w:bottom w:val="single" w:sz="12" w:space="0" w:color="auto"/>
            </w:tcBorders>
          </w:tcPr>
          <w:p w14:paraId="49452478" w14:textId="77777777" w:rsidR="00A756BE" w:rsidRPr="00124CC0" w:rsidRDefault="00A756BE" w:rsidP="00B57C78">
            <w:pPr>
              <w:pStyle w:val="Tablehead"/>
            </w:pPr>
            <w:r w:rsidRPr="00124CC0">
              <w:rPr>
                <w:bCs/>
              </w:rPr>
              <w:t>Date limite</w:t>
            </w:r>
          </w:p>
        </w:tc>
      </w:tr>
      <w:tr w:rsidR="00A756BE" w:rsidRPr="00124CC0" w14:paraId="139967CC" w14:textId="77777777" w:rsidTr="00B57C78">
        <w:trPr>
          <w:jc w:val="center"/>
        </w:trPr>
        <w:tc>
          <w:tcPr>
            <w:tcW w:w="291" w:type="pct"/>
            <w:tcBorders>
              <w:top w:val="single" w:sz="12" w:space="0" w:color="auto"/>
            </w:tcBorders>
          </w:tcPr>
          <w:p w14:paraId="77843C3A" w14:textId="77777777" w:rsidR="00A756BE" w:rsidRPr="00124CC0" w:rsidRDefault="00A756BE" w:rsidP="00B57C78">
            <w:pPr>
              <w:pStyle w:val="Tabletext"/>
              <w:rPr>
                <w:rFonts w:eastAsia="Malgun Gothic"/>
              </w:rPr>
            </w:pPr>
            <w:r w:rsidRPr="00124CC0">
              <w:t>1</w:t>
            </w:r>
          </w:p>
        </w:tc>
        <w:tc>
          <w:tcPr>
            <w:tcW w:w="843" w:type="pct"/>
            <w:tcBorders>
              <w:top w:val="single" w:sz="12" w:space="0" w:color="auto"/>
            </w:tcBorders>
          </w:tcPr>
          <w:p w14:paraId="270770D6" w14:textId="77777777" w:rsidR="00A756BE" w:rsidRPr="00124CC0" w:rsidRDefault="00A756BE" w:rsidP="00B57C78">
            <w:pPr>
              <w:pStyle w:val="Tabletext"/>
              <w:jc w:val="center"/>
            </w:pPr>
            <w:r w:rsidRPr="00124CC0">
              <w:t>20 février 2024</w:t>
            </w:r>
          </w:p>
        </w:tc>
        <w:tc>
          <w:tcPr>
            <w:tcW w:w="862" w:type="pct"/>
            <w:tcBorders>
              <w:top w:val="single" w:sz="12" w:space="0" w:color="auto"/>
            </w:tcBorders>
          </w:tcPr>
          <w:p w14:paraId="63808DA5" w14:textId="77777777" w:rsidR="00A756BE" w:rsidRPr="00124CC0" w:rsidRDefault="00A756BE" w:rsidP="00B57C78">
            <w:pPr>
              <w:pStyle w:val="Tabletext"/>
              <w:jc w:val="center"/>
            </w:pPr>
            <w:r w:rsidRPr="00124CC0">
              <w:t>13 h 00-14 h 30</w:t>
            </w:r>
          </w:p>
        </w:tc>
        <w:tc>
          <w:tcPr>
            <w:tcW w:w="2015" w:type="pct"/>
            <w:tcBorders>
              <w:top w:val="single" w:sz="12" w:space="0" w:color="auto"/>
            </w:tcBorders>
          </w:tcPr>
          <w:p w14:paraId="55C6CCDB" w14:textId="09198681" w:rsidR="00A756BE" w:rsidRPr="00124CC0" w:rsidRDefault="00A756BE" w:rsidP="00B57C78">
            <w:pPr>
              <w:pStyle w:val="Tabletext"/>
            </w:pPr>
            <w:r w:rsidRPr="00124CC0">
              <w:t>Statut de l'atelier</w:t>
            </w:r>
          </w:p>
        </w:tc>
        <w:tc>
          <w:tcPr>
            <w:tcW w:w="989" w:type="pct"/>
            <w:tcBorders>
              <w:top w:val="single" w:sz="12" w:space="0" w:color="auto"/>
            </w:tcBorders>
          </w:tcPr>
          <w:p w14:paraId="46ADC633" w14:textId="77777777" w:rsidR="00A756BE" w:rsidRPr="00124CC0" w:rsidRDefault="00A756BE" w:rsidP="00B57C78">
            <w:pPr>
              <w:pStyle w:val="Tabletext"/>
              <w:jc w:val="center"/>
            </w:pPr>
            <w:r w:rsidRPr="00124CC0">
              <w:t>12 février 2024</w:t>
            </w:r>
          </w:p>
        </w:tc>
      </w:tr>
      <w:tr w:rsidR="00A756BE" w:rsidRPr="00124CC0" w14:paraId="1EBF3401" w14:textId="77777777" w:rsidTr="00B57C78">
        <w:trPr>
          <w:jc w:val="center"/>
        </w:trPr>
        <w:tc>
          <w:tcPr>
            <w:tcW w:w="291" w:type="pct"/>
          </w:tcPr>
          <w:p w14:paraId="7F2FCBB5" w14:textId="77777777" w:rsidR="00A756BE" w:rsidRPr="00124CC0" w:rsidRDefault="00A756BE" w:rsidP="00B57C78">
            <w:pPr>
              <w:pStyle w:val="Tabletext"/>
              <w:rPr>
                <w:rFonts w:eastAsia="Malgun Gothic"/>
              </w:rPr>
            </w:pPr>
            <w:r w:rsidRPr="00124CC0">
              <w:t>2</w:t>
            </w:r>
          </w:p>
        </w:tc>
        <w:tc>
          <w:tcPr>
            <w:tcW w:w="843" w:type="pct"/>
          </w:tcPr>
          <w:p w14:paraId="67A6CD59" w14:textId="77777777" w:rsidR="00A756BE" w:rsidRPr="00124CC0" w:rsidRDefault="00A756BE" w:rsidP="00B57C78">
            <w:pPr>
              <w:pStyle w:val="Tabletext"/>
              <w:jc w:val="center"/>
            </w:pPr>
            <w:r w:rsidRPr="00124CC0">
              <w:t>19 mars 2024</w:t>
            </w:r>
          </w:p>
        </w:tc>
        <w:tc>
          <w:tcPr>
            <w:tcW w:w="862" w:type="pct"/>
          </w:tcPr>
          <w:p w14:paraId="0520AD12" w14:textId="77777777" w:rsidR="00A756BE" w:rsidRPr="00124CC0" w:rsidRDefault="00A756BE" w:rsidP="00B57C78">
            <w:pPr>
              <w:pStyle w:val="Tabletext"/>
              <w:jc w:val="center"/>
            </w:pPr>
            <w:r w:rsidRPr="00124CC0">
              <w:t>13 h 00-14 h 30</w:t>
            </w:r>
          </w:p>
        </w:tc>
        <w:tc>
          <w:tcPr>
            <w:tcW w:w="2015" w:type="pct"/>
          </w:tcPr>
          <w:p w14:paraId="519C47EE" w14:textId="3349B8BD" w:rsidR="00A756BE" w:rsidRPr="00124CC0" w:rsidRDefault="00A756BE" w:rsidP="00B57C78">
            <w:pPr>
              <w:pStyle w:val="Tabletext"/>
            </w:pPr>
            <w:r w:rsidRPr="00124CC0">
              <w:t>Mécanisme relatif aux technologies émergentes</w:t>
            </w:r>
          </w:p>
        </w:tc>
        <w:tc>
          <w:tcPr>
            <w:tcW w:w="989" w:type="pct"/>
          </w:tcPr>
          <w:p w14:paraId="73805EBB" w14:textId="77777777" w:rsidR="00A756BE" w:rsidRPr="00124CC0" w:rsidRDefault="00A756BE" w:rsidP="00B57C78">
            <w:pPr>
              <w:pStyle w:val="Tabletext"/>
              <w:jc w:val="center"/>
            </w:pPr>
            <w:r w:rsidRPr="00124CC0">
              <w:t>11 mars 2024</w:t>
            </w:r>
          </w:p>
        </w:tc>
      </w:tr>
      <w:tr w:rsidR="00A756BE" w:rsidRPr="00124CC0" w14:paraId="3C5301C6" w14:textId="77777777" w:rsidTr="00B57C78">
        <w:trPr>
          <w:jc w:val="center"/>
        </w:trPr>
        <w:tc>
          <w:tcPr>
            <w:tcW w:w="291" w:type="pct"/>
          </w:tcPr>
          <w:p w14:paraId="283ADECF" w14:textId="77777777" w:rsidR="00A756BE" w:rsidRPr="00124CC0" w:rsidRDefault="00A756BE" w:rsidP="00B57C78">
            <w:pPr>
              <w:pStyle w:val="Tabletext"/>
              <w:rPr>
                <w:rFonts w:eastAsia="Malgun Gothic"/>
              </w:rPr>
            </w:pPr>
            <w:r w:rsidRPr="00124CC0">
              <w:t>3</w:t>
            </w:r>
          </w:p>
        </w:tc>
        <w:tc>
          <w:tcPr>
            <w:tcW w:w="843" w:type="pct"/>
          </w:tcPr>
          <w:p w14:paraId="758279DF" w14:textId="77777777" w:rsidR="00A756BE" w:rsidRPr="00124CC0" w:rsidRDefault="00A756BE" w:rsidP="00B57C78">
            <w:pPr>
              <w:pStyle w:val="Tabletext"/>
              <w:jc w:val="center"/>
            </w:pPr>
            <w:r w:rsidRPr="00124CC0">
              <w:t>7 mai 2024</w:t>
            </w:r>
          </w:p>
        </w:tc>
        <w:tc>
          <w:tcPr>
            <w:tcW w:w="862" w:type="pct"/>
          </w:tcPr>
          <w:p w14:paraId="298A5593" w14:textId="77777777" w:rsidR="00A756BE" w:rsidRPr="00124CC0" w:rsidRDefault="00A756BE" w:rsidP="00B57C78">
            <w:pPr>
              <w:pStyle w:val="Tabletext"/>
              <w:jc w:val="center"/>
            </w:pPr>
            <w:r w:rsidRPr="00124CC0">
              <w:t>13 h 00-14 h 30</w:t>
            </w:r>
          </w:p>
        </w:tc>
        <w:tc>
          <w:tcPr>
            <w:tcW w:w="2015" w:type="pct"/>
          </w:tcPr>
          <w:p w14:paraId="3B01C218" w14:textId="2E40F524" w:rsidR="00A756BE" w:rsidRPr="00124CC0" w:rsidRDefault="00A756BE" w:rsidP="00B57C78">
            <w:pPr>
              <w:pStyle w:val="Tabletext"/>
            </w:pPr>
            <w:r w:rsidRPr="00124CC0">
              <w:t>Résultats de l'atelier</w:t>
            </w:r>
          </w:p>
        </w:tc>
        <w:tc>
          <w:tcPr>
            <w:tcW w:w="989" w:type="pct"/>
          </w:tcPr>
          <w:p w14:paraId="4D7FD674" w14:textId="77777777" w:rsidR="00A756BE" w:rsidRPr="00124CC0" w:rsidRDefault="00A756BE" w:rsidP="00B57C78">
            <w:pPr>
              <w:pStyle w:val="Tabletext"/>
              <w:jc w:val="center"/>
            </w:pPr>
            <w:r w:rsidRPr="00124CC0">
              <w:t>30 avril 2024</w:t>
            </w:r>
          </w:p>
        </w:tc>
      </w:tr>
      <w:tr w:rsidR="00A756BE" w:rsidRPr="00124CC0" w14:paraId="5EE151B1" w14:textId="77777777" w:rsidTr="00B57C78">
        <w:trPr>
          <w:jc w:val="center"/>
        </w:trPr>
        <w:tc>
          <w:tcPr>
            <w:tcW w:w="291" w:type="pct"/>
            <w:tcBorders>
              <w:bottom w:val="single" w:sz="12" w:space="0" w:color="auto"/>
            </w:tcBorders>
          </w:tcPr>
          <w:p w14:paraId="5777D668" w14:textId="77777777" w:rsidR="00A756BE" w:rsidRPr="00124CC0" w:rsidRDefault="00A756BE" w:rsidP="00B57C78">
            <w:pPr>
              <w:pStyle w:val="Tabletext"/>
              <w:rPr>
                <w:rFonts w:eastAsia="Malgun Gothic"/>
              </w:rPr>
            </w:pPr>
            <w:r w:rsidRPr="00124CC0">
              <w:t>4</w:t>
            </w:r>
          </w:p>
        </w:tc>
        <w:tc>
          <w:tcPr>
            <w:tcW w:w="843" w:type="pct"/>
            <w:tcBorders>
              <w:bottom w:val="single" w:sz="12" w:space="0" w:color="auto"/>
            </w:tcBorders>
          </w:tcPr>
          <w:p w14:paraId="2B692694" w14:textId="77777777" w:rsidR="00A756BE" w:rsidRPr="00124CC0" w:rsidRDefault="00A756BE" w:rsidP="00B57C78">
            <w:pPr>
              <w:pStyle w:val="Tabletext"/>
              <w:jc w:val="center"/>
            </w:pPr>
            <w:r w:rsidRPr="00124CC0">
              <w:t>17 juin 2024</w:t>
            </w:r>
          </w:p>
        </w:tc>
        <w:tc>
          <w:tcPr>
            <w:tcW w:w="862" w:type="pct"/>
            <w:tcBorders>
              <w:bottom w:val="single" w:sz="12" w:space="0" w:color="auto"/>
            </w:tcBorders>
          </w:tcPr>
          <w:p w14:paraId="7BF9CA96" w14:textId="77777777" w:rsidR="00A756BE" w:rsidRPr="00124CC0" w:rsidRDefault="00A756BE" w:rsidP="00B57C78">
            <w:pPr>
              <w:pStyle w:val="Tabletext"/>
              <w:jc w:val="center"/>
            </w:pPr>
            <w:r w:rsidRPr="00124CC0">
              <w:t>13 h 00-14 h 30</w:t>
            </w:r>
          </w:p>
        </w:tc>
        <w:tc>
          <w:tcPr>
            <w:tcW w:w="2015" w:type="pct"/>
            <w:tcBorders>
              <w:bottom w:val="single" w:sz="12" w:space="0" w:color="auto"/>
            </w:tcBorders>
          </w:tcPr>
          <w:p w14:paraId="38DDDFFE" w14:textId="451648AF" w:rsidR="00A756BE" w:rsidRPr="00124CC0" w:rsidRDefault="00A756BE" w:rsidP="00B57C78">
            <w:pPr>
              <w:pStyle w:val="Tabletext"/>
            </w:pPr>
            <w:r w:rsidRPr="00124CC0">
              <w:t>Mécanisme relatif aux technologies émergentes</w:t>
            </w:r>
          </w:p>
        </w:tc>
        <w:tc>
          <w:tcPr>
            <w:tcW w:w="989" w:type="pct"/>
            <w:tcBorders>
              <w:bottom w:val="single" w:sz="12" w:space="0" w:color="auto"/>
            </w:tcBorders>
          </w:tcPr>
          <w:p w14:paraId="32E6E4B9" w14:textId="77777777" w:rsidR="00A756BE" w:rsidRPr="00124CC0" w:rsidRDefault="00A756BE" w:rsidP="00B57C78">
            <w:pPr>
              <w:pStyle w:val="Tabletext"/>
              <w:jc w:val="center"/>
            </w:pPr>
            <w:r w:rsidRPr="00124CC0">
              <w:t>3 juin 2024</w:t>
            </w:r>
          </w:p>
        </w:tc>
      </w:tr>
    </w:tbl>
    <w:p w14:paraId="0507CDE5" w14:textId="77777777" w:rsidR="00A756BE" w:rsidRPr="00124CC0" w:rsidRDefault="00A756BE" w:rsidP="00A756BE">
      <w:pPr>
        <w:pStyle w:val="Headingb"/>
        <w:spacing w:after="120"/>
      </w:pPr>
      <w:r w:rsidRPr="00124CC0">
        <w:rPr>
          <w:bCs/>
        </w:rPr>
        <w:t>RG-DT</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3"/>
        <w:gridCol w:w="1564"/>
        <w:gridCol w:w="1732"/>
        <w:gridCol w:w="3859"/>
        <w:gridCol w:w="1901"/>
      </w:tblGrid>
      <w:tr w:rsidR="00A756BE" w:rsidRPr="00124CC0" w14:paraId="12C9B22E" w14:textId="77777777" w:rsidTr="00B57C78">
        <w:trPr>
          <w:tblHeader/>
          <w:jc w:val="center"/>
        </w:trPr>
        <w:tc>
          <w:tcPr>
            <w:tcW w:w="288" w:type="pct"/>
            <w:tcBorders>
              <w:top w:val="single" w:sz="12" w:space="0" w:color="auto"/>
              <w:bottom w:val="single" w:sz="12" w:space="0" w:color="auto"/>
            </w:tcBorders>
          </w:tcPr>
          <w:p w14:paraId="17726E76" w14:textId="77777777" w:rsidR="00A756BE" w:rsidRPr="00124CC0" w:rsidRDefault="00A756BE" w:rsidP="00B57C78">
            <w:pPr>
              <w:pStyle w:val="Tablehead"/>
            </w:pPr>
            <w:r w:rsidRPr="00124CC0">
              <w:rPr>
                <w:bCs/>
              </w:rPr>
              <w:t>N°</w:t>
            </w:r>
          </w:p>
        </w:tc>
        <w:tc>
          <w:tcPr>
            <w:tcW w:w="814" w:type="pct"/>
            <w:tcBorders>
              <w:top w:val="single" w:sz="12" w:space="0" w:color="auto"/>
              <w:bottom w:val="single" w:sz="12" w:space="0" w:color="auto"/>
            </w:tcBorders>
          </w:tcPr>
          <w:p w14:paraId="1C04550C" w14:textId="77777777" w:rsidR="00A756BE" w:rsidRPr="00124CC0" w:rsidRDefault="00A756BE" w:rsidP="00B57C78">
            <w:pPr>
              <w:pStyle w:val="Tablehead"/>
            </w:pPr>
            <w:r w:rsidRPr="00124CC0">
              <w:rPr>
                <w:bCs/>
              </w:rPr>
              <w:t>Date</w:t>
            </w:r>
          </w:p>
        </w:tc>
        <w:tc>
          <w:tcPr>
            <w:tcW w:w="901" w:type="pct"/>
            <w:tcBorders>
              <w:top w:val="single" w:sz="12" w:space="0" w:color="auto"/>
              <w:bottom w:val="single" w:sz="12" w:space="0" w:color="auto"/>
            </w:tcBorders>
          </w:tcPr>
          <w:p w14:paraId="6D3F7F54" w14:textId="77777777" w:rsidR="00A756BE" w:rsidRPr="00124CC0" w:rsidRDefault="00A756BE" w:rsidP="00B57C78">
            <w:pPr>
              <w:pStyle w:val="Tablehead"/>
              <w:ind w:left="-113" w:right="-113"/>
            </w:pPr>
            <w:r w:rsidRPr="00124CC0">
              <w:rPr>
                <w:bCs/>
              </w:rPr>
              <w:t>Heure</w:t>
            </w:r>
          </w:p>
        </w:tc>
        <w:tc>
          <w:tcPr>
            <w:tcW w:w="2008" w:type="pct"/>
            <w:tcBorders>
              <w:top w:val="single" w:sz="12" w:space="0" w:color="auto"/>
              <w:bottom w:val="single" w:sz="12" w:space="0" w:color="auto"/>
            </w:tcBorders>
          </w:tcPr>
          <w:p w14:paraId="3804AEC7" w14:textId="77777777" w:rsidR="00A756BE" w:rsidRPr="00124CC0" w:rsidRDefault="00A756BE" w:rsidP="00B57C78">
            <w:pPr>
              <w:pStyle w:val="Tablehead"/>
            </w:pPr>
            <w:r w:rsidRPr="00124CC0">
              <w:rPr>
                <w:bCs/>
              </w:rPr>
              <w:t>Objectifs</w:t>
            </w:r>
          </w:p>
        </w:tc>
        <w:tc>
          <w:tcPr>
            <w:tcW w:w="989" w:type="pct"/>
            <w:tcBorders>
              <w:top w:val="single" w:sz="12" w:space="0" w:color="auto"/>
              <w:bottom w:val="single" w:sz="12" w:space="0" w:color="auto"/>
            </w:tcBorders>
          </w:tcPr>
          <w:p w14:paraId="26B1EC79" w14:textId="77777777" w:rsidR="00A756BE" w:rsidRPr="00124CC0" w:rsidRDefault="00A756BE" w:rsidP="00B57C78">
            <w:pPr>
              <w:pStyle w:val="Tablehead"/>
            </w:pPr>
            <w:r w:rsidRPr="00124CC0">
              <w:rPr>
                <w:bCs/>
              </w:rPr>
              <w:t>Date limite</w:t>
            </w:r>
          </w:p>
        </w:tc>
      </w:tr>
      <w:tr w:rsidR="00A756BE" w:rsidRPr="00124CC0" w14:paraId="491D4BA1" w14:textId="77777777" w:rsidTr="00B57C78">
        <w:trPr>
          <w:jc w:val="center"/>
        </w:trPr>
        <w:tc>
          <w:tcPr>
            <w:tcW w:w="288" w:type="pct"/>
            <w:tcBorders>
              <w:top w:val="single" w:sz="12" w:space="0" w:color="auto"/>
            </w:tcBorders>
          </w:tcPr>
          <w:p w14:paraId="5EC5487B" w14:textId="77777777" w:rsidR="00A756BE" w:rsidRPr="00124CC0" w:rsidRDefault="00A756BE" w:rsidP="00B57C78">
            <w:pPr>
              <w:pStyle w:val="Tabletext"/>
            </w:pPr>
            <w:r w:rsidRPr="00124CC0">
              <w:t>1</w:t>
            </w:r>
          </w:p>
        </w:tc>
        <w:tc>
          <w:tcPr>
            <w:tcW w:w="814" w:type="pct"/>
            <w:tcBorders>
              <w:top w:val="single" w:sz="12" w:space="0" w:color="auto"/>
            </w:tcBorders>
          </w:tcPr>
          <w:p w14:paraId="517A723F" w14:textId="77777777" w:rsidR="00A756BE" w:rsidRPr="00124CC0" w:rsidRDefault="00A756BE" w:rsidP="00B57C78">
            <w:pPr>
              <w:pStyle w:val="Tabletext"/>
              <w:jc w:val="center"/>
            </w:pPr>
            <w:r w:rsidRPr="00124CC0">
              <w:t>5 mars 2024</w:t>
            </w:r>
          </w:p>
        </w:tc>
        <w:tc>
          <w:tcPr>
            <w:tcW w:w="901" w:type="pct"/>
            <w:tcBorders>
              <w:top w:val="single" w:sz="12" w:space="0" w:color="auto"/>
            </w:tcBorders>
          </w:tcPr>
          <w:p w14:paraId="617DB360" w14:textId="77777777" w:rsidR="00A756BE" w:rsidRPr="00124CC0" w:rsidRDefault="00A756BE" w:rsidP="00B57C78">
            <w:pPr>
              <w:pStyle w:val="Tabletext"/>
              <w:jc w:val="center"/>
            </w:pPr>
            <w:r w:rsidRPr="00124CC0">
              <w:t>13 h 00-15 h 00</w:t>
            </w:r>
          </w:p>
        </w:tc>
        <w:tc>
          <w:tcPr>
            <w:tcW w:w="2008" w:type="pct"/>
            <w:vMerge w:val="restart"/>
            <w:tcBorders>
              <w:top w:val="single" w:sz="12" w:space="0" w:color="auto"/>
            </w:tcBorders>
          </w:tcPr>
          <w:p w14:paraId="2E575792" w14:textId="77777777" w:rsidR="00A756BE" w:rsidRPr="00124CC0" w:rsidRDefault="00A756BE" w:rsidP="00B57C78">
            <w:pPr>
              <w:pStyle w:val="Tabletext"/>
              <w:ind w:left="284" w:hanging="284"/>
            </w:pPr>
            <w:r w:rsidRPr="00124CC0">
              <w:t>–</w:t>
            </w:r>
            <w:r w:rsidRPr="00124CC0">
              <w:tab/>
              <w:t>Faire avancer l'analyse des lacunes dans les activités et études portant sur la transformation numérique.</w:t>
            </w:r>
          </w:p>
          <w:p w14:paraId="67C752E1" w14:textId="77777777" w:rsidR="00A756BE" w:rsidRPr="00124CC0" w:rsidRDefault="00A756BE" w:rsidP="00B57C78">
            <w:pPr>
              <w:pStyle w:val="Tabletext"/>
              <w:ind w:left="284" w:hanging="284"/>
            </w:pPr>
            <w:r w:rsidRPr="00124CC0">
              <w:t>–</w:t>
            </w:r>
            <w:r w:rsidRPr="00124CC0">
              <w:tab/>
              <w:t>Examiner, entre autres, les définitions, les concepts, les architectures de systèmes, les cas d'utilisation, les technologies fondamentales sous-jacentes, l'interopérabilité et l'écosystème de la transformation numérique.</w:t>
            </w:r>
          </w:p>
          <w:p w14:paraId="64C36F95" w14:textId="77777777" w:rsidR="00A756BE" w:rsidRPr="00124CC0" w:rsidRDefault="00A756BE" w:rsidP="00B57C78">
            <w:pPr>
              <w:pStyle w:val="Tabletext"/>
              <w:ind w:left="284" w:hanging="284"/>
            </w:pPr>
            <w:r w:rsidRPr="00124CC0">
              <w:t>–</w:t>
            </w:r>
            <w:r w:rsidRPr="00124CC0">
              <w:tab/>
              <w:t>Faire avancer le projet de nouvelle Résolution de l'AMNT sur la transformation numérique.</w:t>
            </w:r>
          </w:p>
          <w:p w14:paraId="389C8BE9" w14:textId="77777777" w:rsidR="00A756BE" w:rsidRPr="00124CC0" w:rsidRDefault="00A756BE" w:rsidP="00B57C78">
            <w:pPr>
              <w:pStyle w:val="Tabletext"/>
              <w:ind w:left="284" w:hanging="284"/>
            </w:pPr>
            <w:r w:rsidRPr="00124CC0">
              <w:t>–</w:t>
            </w:r>
            <w:r w:rsidRPr="00124CC0">
              <w:tab/>
              <w:t>Présenter le rapport du Groupe RG</w:t>
            </w:r>
            <w:r w:rsidRPr="00124CC0">
              <w:noBreakHyphen/>
              <w:t>DT au GCNT.</w:t>
            </w:r>
          </w:p>
        </w:tc>
        <w:tc>
          <w:tcPr>
            <w:tcW w:w="989" w:type="pct"/>
            <w:tcBorders>
              <w:top w:val="single" w:sz="12" w:space="0" w:color="auto"/>
            </w:tcBorders>
          </w:tcPr>
          <w:p w14:paraId="68B028E2" w14:textId="77777777" w:rsidR="00A756BE" w:rsidRPr="00124CC0" w:rsidRDefault="00A756BE" w:rsidP="00B57C78">
            <w:pPr>
              <w:pStyle w:val="Tabletext"/>
              <w:jc w:val="center"/>
            </w:pPr>
            <w:r w:rsidRPr="00124CC0">
              <w:t>26 février 2024</w:t>
            </w:r>
          </w:p>
        </w:tc>
      </w:tr>
      <w:tr w:rsidR="00A756BE" w:rsidRPr="00124CC0" w14:paraId="587C2EE0" w14:textId="77777777" w:rsidTr="00B57C78">
        <w:trPr>
          <w:jc w:val="center"/>
        </w:trPr>
        <w:tc>
          <w:tcPr>
            <w:tcW w:w="288" w:type="pct"/>
          </w:tcPr>
          <w:p w14:paraId="03EB3E0D" w14:textId="77777777" w:rsidR="00A756BE" w:rsidRPr="00124CC0" w:rsidRDefault="00A756BE" w:rsidP="00B57C78">
            <w:pPr>
              <w:pStyle w:val="Tabletext"/>
            </w:pPr>
            <w:r w:rsidRPr="00124CC0">
              <w:t>2</w:t>
            </w:r>
          </w:p>
        </w:tc>
        <w:tc>
          <w:tcPr>
            <w:tcW w:w="814" w:type="pct"/>
          </w:tcPr>
          <w:p w14:paraId="72B8350A" w14:textId="77777777" w:rsidR="00A756BE" w:rsidRPr="00124CC0" w:rsidRDefault="00A756BE" w:rsidP="00B57C78">
            <w:pPr>
              <w:pStyle w:val="Tabletext"/>
              <w:jc w:val="center"/>
            </w:pPr>
            <w:r w:rsidRPr="00124CC0">
              <w:t>23 avril 2024</w:t>
            </w:r>
          </w:p>
        </w:tc>
        <w:tc>
          <w:tcPr>
            <w:tcW w:w="901" w:type="pct"/>
          </w:tcPr>
          <w:p w14:paraId="1FD7A2F1" w14:textId="77777777" w:rsidR="00A756BE" w:rsidRPr="00124CC0" w:rsidRDefault="00A756BE" w:rsidP="00B57C78">
            <w:pPr>
              <w:pStyle w:val="Tabletext"/>
              <w:jc w:val="center"/>
            </w:pPr>
            <w:r w:rsidRPr="00124CC0">
              <w:t>13 h 00-15 h 00</w:t>
            </w:r>
          </w:p>
        </w:tc>
        <w:tc>
          <w:tcPr>
            <w:tcW w:w="2008" w:type="pct"/>
            <w:vMerge/>
          </w:tcPr>
          <w:p w14:paraId="2E92B704" w14:textId="77777777" w:rsidR="00A756BE" w:rsidRPr="00124CC0" w:rsidRDefault="00A756BE" w:rsidP="00B57C78">
            <w:pPr>
              <w:pStyle w:val="Tabletext"/>
            </w:pPr>
          </w:p>
        </w:tc>
        <w:tc>
          <w:tcPr>
            <w:tcW w:w="989" w:type="pct"/>
          </w:tcPr>
          <w:p w14:paraId="4D83E886" w14:textId="77777777" w:rsidR="00A756BE" w:rsidRPr="00124CC0" w:rsidRDefault="00A756BE" w:rsidP="00B57C78">
            <w:pPr>
              <w:pStyle w:val="Tabletext"/>
              <w:jc w:val="center"/>
            </w:pPr>
            <w:r w:rsidRPr="00124CC0">
              <w:t>15 avril 2024</w:t>
            </w:r>
          </w:p>
        </w:tc>
      </w:tr>
      <w:tr w:rsidR="00A756BE" w:rsidRPr="00124CC0" w14:paraId="0117BB5B" w14:textId="77777777" w:rsidTr="00B57C78">
        <w:trPr>
          <w:jc w:val="center"/>
        </w:trPr>
        <w:tc>
          <w:tcPr>
            <w:tcW w:w="288" w:type="pct"/>
          </w:tcPr>
          <w:p w14:paraId="2F1F2B2E" w14:textId="77777777" w:rsidR="00A756BE" w:rsidRPr="00124CC0" w:rsidRDefault="00A756BE" w:rsidP="00B57C78">
            <w:pPr>
              <w:pStyle w:val="Tabletext"/>
            </w:pPr>
            <w:r w:rsidRPr="00124CC0">
              <w:t>3</w:t>
            </w:r>
          </w:p>
        </w:tc>
        <w:tc>
          <w:tcPr>
            <w:tcW w:w="814" w:type="pct"/>
          </w:tcPr>
          <w:p w14:paraId="59C85B73" w14:textId="77777777" w:rsidR="00A756BE" w:rsidRPr="00124CC0" w:rsidRDefault="00A756BE" w:rsidP="00B57C78">
            <w:pPr>
              <w:pStyle w:val="Tabletext"/>
              <w:jc w:val="center"/>
            </w:pPr>
            <w:r w:rsidRPr="00124CC0">
              <w:t>31 mai 2024</w:t>
            </w:r>
          </w:p>
        </w:tc>
        <w:tc>
          <w:tcPr>
            <w:tcW w:w="901" w:type="pct"/>
          </w:tcPr>
          <w:p w14:paraId="76693F83" w14:textId="77777777" w:rsidR="00A756BE" w:rsidRPr="00124CC0" w:rsidRDefault="00A756BE" w:rsidP="00B57C78">
            <w:pPr>
              <w:pStyle w:val="Tabletext"/>
              <w:jc w:val="center"/>
            </w:pPr>
            <w:r w:rsidRPr="00124CC0">
              <w:t>13 h 00-15 h 00</w:t>
            </w:r>
          </w:p>
        </w:tc>
        <w:tc>
          <w:tcPr>
            <w:tcW w:w="2008" w:type="pct"/>
            <w:vMerge/>
          </w:tcPr>
          <w:p w14:paraId="3EB684A5" w14:textId="77777777" w:rsidR="00A756BE" w:rsidRPr="00124CC0" w:rsidRDefault="00A756BE" w:rsidP="00B57C78">
            <w:pPr>
              <w:pStyle w:val="Tabletext"/>
            </w:pPr>
          </w:p>
        </w:tc>
        <w:tc>
          <w:tcPr>
            <w:tcW w:w="989" w:type="pct"/>
          </w:tcPr>
          <w:p w14:paraId="7B0B71C0" w14:textId="77777777" w:rsidR="00A756BE" w:rsidRPr="00124CC0" w:rsidRDefault="00A756BE" w:rsidP="00B57C78">
            <w:pPr>
              <w:pStyle w:val="Tabletext"/>
              <w:jc w:val="center"/>
            </w:pPr>
            <w:r w:rsidRPr="00124CC0">
              <w:t>23 mai 2024</w:t>
            </w:r>
          </w:p>
        </w:tc>
      </w:tr>
      <w:tr w:rsidR="00A756BE" w:rsidRPr="00124CC0" w14:paraId="2D4BC4A0" w14:textId="77777777" w:rsidTr="00B57C78">
        <w:trPr>
          <w:jc w:val="center"/>
        </w:trPr>
        <w:tc>
          <w:tcPr>
            <w:tcW w:w="288" w:type="pct"/>
            <w:tcBorders>
              <w:bottom w:val="single" w:sz="12" w:space="0" w:color="auto"/>
            </w:tcBorders>
          </w:tcPr>
          <w:p w14:paraId="067B350E" w14:textId="77777777" w:rsidR="00A756BE" w:rsidRPr="00124CC0" w:rsidRDefault="00A756BE" w:rsidP="00B57C78">
            <w:pPr>
              <w:pStyle w:val="Tabletext"/>
            </w:pPr>
            <w:r w:rsidRPr="00124CC0">
              <w:t>4</w:t>
            </w:r>
          </w:p>
        </w:tc>
        <w:tc>
          <w:tcPr>
            <w:tcW w:w="814" w:type="pct"/>
            <w:tcBorders>
              <w:bottom w:val="single" w:sz="12" w:space="0" w:color="auto"/>
            </w:tcBorders>
          </w:tcPr>
          <w:p w14:paraId="3FAF06E5" w14:textId="77777777" w:rsidR="00A756BE" w:rsidRPr="00124CC0" w:rsidRDefault="00A756BE" w:rsidP="00B57C78">
            <w:pPr>
              <w:pStyle w:val="Tabletext"/>
              <w:jc w:val="center"/>
            </w:pPr>
            <w:r w:rsidRPr="00124CC0">
              <w:t>16 juillet 2024</w:t>
            </w:r>
          </w:p>
        </w:tc>
        <w:tc>
          <w:tcPr>
            <w:tcW w:w="901" w:type="pct"/>
            <w:tcBorders>
              <w:bottom w:val="single" w:sz="12" w:space="0" w:color="auto"/>
            </w:tcBorders>
          </w:tcPr>
          <w:p w14:paraId="38A855FE" w14:textId="77777777" w:rsidR="00A756BE" w:rsidRPr="00124CC0" w:rsidRDefault="00A756BE" w:rsidP="00B57C78">
            <w:pPr>
              <w:pStyle w:val="Tabletext"/>
              <w:jc w:val="center"/>
            </w:pPr>
            <w:r w:rsidRPr="00124CC0">
              <w:t>13 h 00-15 h 00</w:t>
            </w:r>
          </w:p>
        </w:tc>
        <w:tc>
          <w:tcPr>
            <w:tcW w:w="2008" w:type="pct"/>
            <w:vMerge/>
            <w:tcBorders>
              <w:bottom w:val="single" w:sz="12" w:space="0" w:color="auto"/>
            </w:tcBorders>
          </w:tcPr>
          <w:p w14:paraId="2CF7C0D9" w14:textId="77777777" w:rsidR="00A756BE" w:rsidRPr="00124CC0" w:rsidRDefault="00A756BE" w:rsidP="00B57C78">
            <w:pPr>
              <w:pStyle w:val="Tabletext"/>
            </w:pPr>
          </w:p>
        </w:tc>
        <w:tc>
          <w:tcPr>
            <w:tcW w:w="989" w:type="pct"/>
            <w:tcBorders>
              <w:bottom w:val="single" w:sz="12" w:space="0" w:color="auto"/>
            </w:tcBorders>
          </w:tcPr>
          <w:p w14:paraId="37AE1AED" w14:textId="77777777" w:rsidR="00A756BE" w:rsidRPr="00124CC0" w:rsidRDefault="00A756BE" w:rsidP="00B57C78">
            <w:pPr>
              <w:pStyle w:val="Tabletext"/>
              <w:jc w:val="center"/>
            </w:pPr>
            <w:r w:rsidRPr="00124CC0">
              <w:t>8 juillet 2024</w:t>
            </w:r>
          </w:p>
        </w:tc>
      </w:tr>
    </w:tbl>
    <w:p w14:paraId="4EC2EF63" w14:textId="77777777" w:rsidR="00A756BE" w:rsidRPr="00124CC0" w:rsidRDefault="00A756BE" w:rsidP="00A756BE">
      <w:pPr>
        <w:pStyle w:val="Headingb"/>
      </w:pPr>
      <w:r w:rsidRPr="00124CC0">
        <w:rPr>
          <w:bCs/>
        </w:rPr>
        <w:t>RG-SOP</w:t>
      </w:r>
    </w:p>
    <w:p w14:paraId="27668AD3" w14:textId="77777777" w:rsidR="00A756BE" w:rsidRPr="00124CC0" w:rsidRDefault="00A756BE" w:rsidP="00A756BE">
      <w:pPr>
        <w:pStyle w:val="Note"/>
        <w:spacing w:after="120"/>
        <w:rPr>
          <w:rFonts w:eastAsia="Malgun Gothic"/>
          <w:b/>
          <w:bCs/>
          <w:szCs w:val="24"/>
        </w:rPr>
      </w:pPr>
      <w:r w:rsidRPr="00124CC0">
        <w:t>NOTE – À partir de la prochaine réunion du GCNT, le Groupe RG-SOP fera rapport directement à la plénière du GCNT.</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6"/>
        <w:gridCol w:w="1497"/>
        <w:gridCol w:w="1808"/>
        <w:gridCol w:w="4272"/>
        <w:gridCol w:w="1486"/>
      </w:tblGrid>
      <w:tr w:rsidR="00A756BE" w:rsidRPr="00124CC0" w14:paraId="5DCF7EE3" w14:textId="77777777" w:rsidTr="00B57C78">
        <w:trPr>
          <w:tblHeader/>
          <w:jc w:val="center"/>
        </w:trPr>
        <w:tc>
          <w:tcPr>
            <w:tcW w:w="284" w:type="pct"/>
            <w:tcBorders>
              <w:top w:val="single" w:sz="12" w:space="0" w:color="auto"/>
              <w:bottom w:val="single" w:sz="12" w:space="0" w:color="auto"/>
            </w:tcBorders>
          </w:tcPr>
          <w:p w14:paraId="23E87CAC" w14:textId="77777777" w:rsidR="00A756BE" w:rsidRPr="00124CC0" w:rsidRDefault="00A756BE" w:rsidP="00B57C78">
            <w:pPr>
              <w:pStyle w:val="Tablehead"/>
            </w:pPr>
            <w:r w:rsidRPr="00124CC0">
              <w:rPr>
                <w:bCs/>
              </w:rPr>
              <w:t>N°</w:t>
            </w:r>
          </w:p>
        </w:tc>
        <w:tc>
          <w:tcPr>
            <w:tcW w:w="779" w:type="pct"/>
            <w:tcBorders>
              <w:top w:val="single" w:sz="12" w:space="0" w:color="auto"/>
              <w:bottom w:val="single" w:sz="12" w:space="0" w:color="auto"/>
            </w:tcBorders>
          </w:tcPr>
          <w:p w14:paraId="290398EB" w14:textId="77777777" w:rsidR="00A756BE" w:rsidRPr="00124CC0" w:rsidRDefault="00A756BE" w:rsidP="00B57C78">
            <w:pPr>
              <w:pStyle w:val="Tablehead"/>
            </w:pPr>
            <w:r w:rsidRPr="00124CC0">
              <w:rPr>
                <w:bCs/>
              </w:rPr>
              <w:t>Date</w:t>
            </w:r>
          </w:p>
        </w:tc>
        <w:tc>
          <w:tcPr>
            <w:tcW w:w="941" w:type="pct"/>
            <w:tcBorders>
              <w:top w:val="single" w:sz="12" w:space="0" w:color="auto"/>
              <w:bottom w:val="single" w:sz="12" w:space="0" w:color="auto"/>
            </w:tcBorders>
          </w:tcPr>
          <w:p w14:paraId="0A0E3F53" w14:textId="77777777" w:rsidR="00A756BE" w:rsidRPr="00124CC0" w:rsidRDefault="00A756BE" w:rsidP="00B57C78">
            <w:pPr>
              <w:pStyle w:val="Tablehead"/>
            </w:pPr>
            <w:r w:rsidRPr="00124CC0">
              <w:rPr>
                <w:bCs/>
              </w:rPr>
              <w:t>Heure</w:t>
            </w:r>
          </w:p>
        </w:tc>
        <w:tc>
          <w:tcPr>
            <w:tcW w:w="2223" w:type="pct"/>
            <w:tcBorders>
              <w:top w:val="single" w:sz="12" w:space="0" w:color="auto"/>
              <w:bottom w:val="single" w:sz="12" w:space="0" w:color="auto"/>
            </w:tcBorders>
          </w:tcPr>
          <w:p w14:paraId="5F9FFF5C" w14:textId="77777777" w:rsidR="00A756BE" w:rsidRPr="00124CC0" w:rsidRDefault="00A756BE" w:rsidP="00B57C78">
            <w:pPr>
              <w:pStyle w:val="Tablehead"/>
            </w:pPr>
            <w:r w:rsidRPr="00124CC0">
              <w:rPr>
                <w:bCs/>
              </w:rPr>
              <w:t>Objectifs</w:t>
            </w:r>
          </w:p>
        </w:tc>
        <w:tc>
          <w:tcPr>
            <w:tcW w:w="774" w:type="pct"/>
            <w:tcBorders>
              <w:top w:val="single" w:sz="12" w:space="0" w:color="auto"/>
              <w:bottom w:val="single" w:sz="12" w:space="0" w:color="auto"/>
            </w:tcBorders>
          </w:tcPr>
          <w:p w14:paraId="18144CB5" w14:textId="77777777" w:rsidR="00A756BE" w:rsidRPr="00124CC0" w:rsidRDefault="00A756BE" w:rsidP="00B57C78">
            <w:pPr>
              <w:pStyle w:val="Tablehead"/>
            </w:pPr>
            <w:r w:rsidRPr="00124CC0">
              <w:rPr>
                <w:bCs/>
              </w:rPr>
              <w:t>Date limite</w:t>
            </w:r>
          </w:p>
        </w:tc>
      </w:tr>
      <w:tr w:rsidR="00A756BE" w:rsidRPr="00124CC0" w14:paraId="3880A217" w14:textId="77777777" w:rsidTr="00B57C78">
        <w:trPr>
          <w:jc w:val="center"/>
        </w:trPr>
        <w:tc>
          <w:tcPr>
            <w:tcW w:w="284" w:type="pct"/>
            <w:tcBorders>
              <w:top w:val="single" w:sz="12" w:space="0" w:color="auto"/>
              <w:bottom w:val="single" w:sz="12" w:space="0" w:color="auto"/>
            </w:tcBorders>
          </w:tcPr>
          <w:p w14:paraId="7C43C113" w14:textId="77777777" w:rsidR="00A756BE" w:rsidRPr="00124CC0" w:rsidRDefault="00A756BE" w:rsidP="00B57C78">
            <w:pPr>
              <w:pStyle w:val="Tabletext"/>
              <w:rPr>
                <w:rFonts w:eastAsia="Malgun Gothic"/>
              </w:rPr>
            </w:pPr>
            <w:r w:rsidRPr="00124CC0">
              <w:t>1</w:t>
            </w:r>
          </w:p>
        </w:tc>
        <w:tc>
          <w:tcPr>
            <w:tcW w:w="779" w:type="pct"/>
            <w:tcBorders>
              <w:top w:val="single" w:sz="12" w:space="0" w:color="auto"/>
              <w:bottom w:val="single" w:sz="12" w:space="0" w:color="auto"/>
            </w:tcBorders>
          </w:tcPr>
          <w:p w14:paraId="4E52E459" w14:textId="77777777" w:rsidR="00A756BE" w:rsidRPr="00124CC0" w:rsidRDefault="00A756BE" w:rsidP="00B57C78">
            <w:pPr>
              <w:pStyle w:val="Tabletext"/>
              <w:jc w:val="center"/>
              <w:rPr>
                <w:rFonts w:eastAsia="Malgun Gothic"/>
              </w:rPr>
            </w:pPr>
            <w:r w:rsidRPr="00124CC0">
              <w:t>18 juin 2024</w:t>
            </w:r>
          </w:p>
        </w:tc>
        <w:tc>
          <w:tcPr>
            <w:tcW w:w="941" w:type="pct"/>
            <w:tcBorders>
              <w:top w:val="single" w:sz="12" w:space="0" w:color="auto"/>
              <w:bottom w:val="single" w:sz="12" w:space="0" w:color="auto"/>
            </w:tcBorders>
          </w:tcPr>
          <w:p w14:paraId="5D0EFA47" w14:textId="77777777" w:rsidR="00A756BE" w:rsidRPr="00124CC0" w:rsidRDefault="00A756BE" w:rsidP="00B57C78">
            <w:pPr>
              <w:pStyle w:val="Tabletext"/>
              <w:jc w:val="center"/>
            </w:pPr>
            <w:r w:rsidRPr="00124CC0">
              <w:t>13 h 00-14 h 30</w:t>
            </w:r>
          </w:p>
        </w:tc>
        <w:tc>
          <w:tcPr>
            <w:tcW w:w="2223" w:type="pct"/>
            <w:tcBorders>
              <w:top w:val="single" w:sz="12" w:space="0" w:color="auto"/>
              <w:bottom w:val="single" w:sz="12" w:space="0" w:color="auto"/>
            </w:tcBorders>
          </w:tcPr>
          <w:p w14:paraId="22A46EBB" w14:textId="77777777" w:rsidR="00A756BE" w:rsidRPr="00124CC0" w:rsidRDefault="00A756BE" w:rsidP="00B57C78">
            <w:pPr>
              <w:pStyle w:val="Tabletext"/>
              <w:numPr>
                <w:ilvl w:val="0"/>
                <w:numId w:val="7"/>
              </w:numPr>
              <w:tabs>
                <w:tab w:val="left" w:pos="794"/>
                <w:tab w:val="left" w:pos="1191"/>
                <w:tab w:val="left" w:pos="1588"/>
              </w:tabs>
              <w:ind w:left="284" w:hanging="284"/>
            </w:pPr>
            <w:r w:rsidRPr="00124CC0">
              <w:t>Examiner les résultats de l'atelier sur la participation du secteur privé, en particulier la proposition de valeur pour l'UIT-T.</w:t>
            </w:r>
          </w:p>
          <w:p w14:paraId="1938B5DB" w14:textId="77777777" w:rsidR="00A756BE" w:rsidRPr="00124CC0" w:rsidRDefault="00A756BE" w:rsidP="00B57C78">
            <w:pPr>
              <w:pStyle w:val="Tabletext"/>
              <w:numPr>
                <w:ilvl w:val="0"/>
                <w:numId w:val="7"/>
              </w:numPr>
              <w:tabs>
                <w:tab w:val="left" w:pos="794"/>
                <w:tab w:val="left" w:pos="1191"/>
                <w:tab w:val="left" w:pos="1588"/>
              </w:tabs>
              <w:ind w:left="284" w:hanging="284"/>
            </w:pPr>
            <w:r w:rsidRPr="00124CC0">
              <w:t>Définir une méthode appropriée pour l'examen des plans opérationnels de l'UIT</w:t>
            </w:r>
            <w:r w:rsidRPr="00124CC0">
              <w:noBreakHyphen/>
              <w:t>T.</w:t>
            </w:r>
          </w:p>
          <w:p w14:paraId="2FA555B2" w14:textId="77777777" w:rsidR="00A756BE" w:rsidRPr="00124CC0" w:rsidRDefault="00A756BE" w:rsidP="00B57C78">
            <w:pPr>
              <w:pStyle w:val="Tabletext"/>
              <w:numPr>
                <w:ilvl w:val="0"/>
                <w:numId w:val="7"/>
              </w:numPr>
              <w:tabs>
                <w:tab w:val="left" w:pos="794"/>
                <w:tab w:val="left" w:pos="1191"/>
                <w:tab w:val="left" w:pos="1588"/>
              </w:tabs>
              <w:ind w:left="284" w:hanging="284"/>
            </w:pPr>
            <w:r w:rsidRPr="00124CC0">
              <w:t>Établir un plan de travail pour le Groupe POS</w:t>
            </w:r>
            <w:r w:rsidRPr="00124CC0">
              <w:noBreakHyphen/>
              <w:t>RG avant et après l'AMNT</w:t>
            </w:r>
            <w:r w:rsidRPr="00124CC0">
              <w:noBreakHyphen/>
              <w:t>24.</w:t>
            </w:r>
          </w:p>
        </w:tc>
        <w:tc>
          <w:tcPr>
            <w:tcW w:w="774" w:type="pct"/>
            <w:tcBorders>
              <w:top w:val="single" w:sz="12" w:space="0" w:color="auto"/>
              <w:bottom w:val="single" w:sz="12" w:space="0" w:color="auto"/>
            </w:tcBorders>
          </w:tcPr>
          <w:p w14:paraId="74D55DE9" w14:textId="77777777" w:rsidR="00A756BE" w:rsidRPr="00124CC0" w:rsidRDefault="00A756BE" w:rsidP="00B57C78">
            <w:pPr>
              <w:pStyle w:val="Tabletext"/>
              <w:jc w:val="center"/>
            </w:pPr>
            <w:r w:rsidRPr="00124CC0">
              <w:t>11 juin 2024</w:t>
            </w:r>
          </w:p>
        </w:tc>
      </w:tr>
    </w:tbl>
    <w:p w14:paraId="39D71C4E" w14:textId="77777777" w:rsidR="00A756BE" w:rsidRPr="00124CC0" w:rsidRDefault="00A756BE" w:rsidP="00A756BE">
      <w:r w:rsidRPr="00124CC0">
        <w:br w:type="page"/>
      </w:r>
    </w:p>
    <w:p w14:paraId="0C65AEE9" w14:textId="77777777" w:rsidR="00A756BE" w:rsidRPr="00124CC0" w:rsidRDefault="00A756BE" w:rsidP="00A756BE">
      <w:pPr>
        <w:pStyle w:val="AnnexNotitle"/>
        <w:spacing w:after="240"/>
      </w:pPr>
      <w:bookmarkStart w:id="43" w:name="_Toc161662750"/>
      <w:bookmarkStart w:id="44" w:name="AnnexeC"/>
      <w:r w:rsidRPr="00124CC0">
        <w:lastRenderedPageBreak/>
        <w:t>Annexe C:</w:t>
      </w:r>
      <w:r w:rsidRPr="00124CC0">
        <w:br/>
        <w:t>Notes de liaisons envoyées</w:t>
      </w:r>
      <w:bookmarkEnd w:id="43"/>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92"/>
        <w:gridCol w:w="3271"/>
        <w:gridCol w:w="1985"/>
        <w:gridCol w:w="1417"/>
        <w:gridCol w:w="1544"/>
      </w:tblGrid>
      <w:tr w:rsidR="00A756BE" w:rsidRPr="00124CC0" w14:paraId="644A93A8" w14:textId="77777777" w:rsidTr="00E353AF">
        <w:trPr>
          <w:tblHeader/>
          <w:jc w:val="center"/>
        </w:trPr>
        <w:tc>
          <w:tcPr>
            <w:tcW w:w="1392" w:type="dxa"/>
            <w:tcBorders>
              <w:top w:val="single" w:sz="12" w:space="0" w:color="auto"/>
              <w:bottom w:val="single" w:sz="12" w:space="0" w:color="auto"/>
            </w:tcBorders>
            <w:hideMark/>
          </w:tcPr>
          <w:bookmarkEnd w:id="44"/>
          <w:p w14:paraId="33F3DA91" w14:textId="77777777" w:rsidR="00A756BE" w:rsidRPr="00124CC0" w:rsidRDefault="00A756BE" w:rsidP="00B57C78">
            <w:pPr>
              <w:pStyle w:val="Tablehead"/>
            </w:pPr>
            <w:r w:rsidRPr="00124CC0">
              <w:t>Note de liaison envoyée</w:t>
            </w:r>
          </w:p>
        </w:tc>
        <w:tc>
          <w:tcPr>
            <w:tcW w:w="3271" w:type="dxa"/>
            <w:tcBorders>
              <w:top w:val="single" w:sz="12" w:space="0" w:color="auto"/>
              <w:bottom w:val="single" w:sz="12" w:space="0" w:color="auto"/>
            </w:tcBorders>
            <w:hideMark/>
          </w:tcPr>
          <w:p w14:paraId="2D14AFD0" w14:textId="77777777" w:rsidR="00A756BE" w:rsidRPr="00124CC0" w:rsidRDefault="00A756BE" w:rsidP="00B57C78">
            <w:pPr>
              <w:pStyle w:val="Tablehead"/>
            </w:pPr>
            <w:r w:rsidRPr="00124CC0">
              <w:rPr>
                <w:bCs/>
              </w:rPr>
              <w:t>Titre</w:t>
            </w:r>
          </w:p>
        </w:tc>
        <w:tc>
          <w:tcPr>
            <w:tcW w:w="1985" w:type="dxa"/>
            <w:tcBorders>
              <w:top w:val="single" w:sz="12" w:space="0" w:color="auto"/>
              <w:bottom w:val="single" w:sz="12" w:space="0" w:color="auto"/>
            </w:tcBorders>
            <w:hideMark/>
          </w:tcPr>
          <w:p w14:paraId="0DA98ED0" w14:textId="77777777" w:rsidR="00A756BE" w:rsidRPr="00124CC0" w:rsidRDefault="00A756BE" w:rsidP="00B57C78">
            <w:pPr>
              <w:pStyle w:val="Tablehead"/>
            </w:pPr>
            <w:r w:rsidRPr="00124CC0">
              <w:rPr>
                <w:bCs/>
              </w:rPr>
              <w:t>Pour suite à donner</w:t>
            </w:r>
          </w:p>
        </w:tc>
        <w:tc>
          <w:tcPr>
            <w:tcW w:w="1417" w:type="dxa"/>
            <w:tcBorders>
              <w:top w:val="single" w:sz="12" w:space="0" w:color="auto"/>
              <w:bottom w:val="single" w:sz="12" w:space="0" w:color="auto"/>
            </w:tcBorders>
            <w:hideMark/>
          </w:tcPr>
          <w:p w14:paraId="3CD889A5" w14:textId="77777777" w:rsidR="00A756BE" w:rsidRPr="00124CC0" w:rsidRDefault="00A756BE" w:rsidP="00B57C78">
            <w:pPr>
              <w:pStyle w:val="Tablehead"/>
            </w:pPr>
            <w:r w:rsidRPr="00124CC0">
              <w:rPr>
                <w:bCs/>
              </w:rPr>
              <w:t>Pour information</w:t>
            </w:r>
          </w:p>
        </w:tc>
        <w:tc>
          <w:tcPr>
            <w:tcW w:w="1544" w:type="dxa"/>
            <w:tcBorders>
              <w:top w:val="single" w:sz="12" w:space="0" w:color="auto"/>
              <w:bottom w:val="single" w:sz="12" w:space="0" w:color="auto"/>
            </w:tcBorders>
            <w:hideMark/>
          </w:tcPr>
          <w:p w14:paraId="5A254EBD" w14:textId="77777777" w:rsidR="00A756BE" w:rsidRPr="00124CC0" w:rsidRDefault="00A756BE" w:rsidP="00B57C78">
            <w:pPr>
              <w:pStyle w:val="Tablehead"/>
            </w:pPr>
            <w:r w:rsidRPr="00124CC0">
              <w:rPr>
                <w:bCs/>
              </w:rPr>
              <w:t>Date limite</w:t>
            </w:r>
          </w:p>
        </w:tc>
      </w:tr>
      <w:tr w:rsidR="00A756BE" w:rsidRPr="00124CC0" w14:paraId="6731AA30" w14:textId="77777777" w:rsidTr="00E353AF">
        <w:trPr>
          <w:jc w:val="center"/>
        </w:trPr>
        <w:tc>
          <w:tcPr>
            <w:tcW w:w="1392" w:type="dxa"/>
            <w:tcBorders>
              <w:top w:val="single" w:sz="12" w:space="0" w:color="auto"/>
            </w:tcBorders>
            <w:hideMark/>
          </w:tcPr>
          <w:p w14:paraId="1C0F7C8F" w14:textId="77777777" w:rsidR="00A756BE" w:rsidRPr="00124CC0" w:rsidRDefault="0067192B" w:rsidP="00B57C78">
            <w:pPr>
              <w:pStyle w:val="Tabletext"/>
              <w:rPr>
                <w:rStyle w:val="Hyperlink"/>
              </w:rPr>
            </w:pPr>
            <w:hyperlink r:id="rId108" w:history="1">
              <w:r w:rsidR="00A756BE" w:rsidRPr="00124CC0">
                <w:rPr>
                  <w:rStyle w:val="Hyperlink"/>
                </w:rPr>
                <w:t>TSAG-LS30</w:t>
              </w:r>
            </w:hyperlink>
          </w:p>
        </w:tc>
        <w:tc>
          <w:tcPr>
            <w:tcW w:w="3271" w:type="dxa"/>
            <w:tcBorders>
              <w:top w:val="single" w:sz="12" w:space="0" w:color="auto"/>
            </w:tcBorders>
            <w:hideMark/>
          </w:tcPr>
          <w:p w14:paraId="192A3C57" w14:textId="77777777" w:rsidR="00A756BE" w:rsidRPr="00124CC0" w:rsidRDefault="00A756BE" w:rsidP="00B57C78">
            <w:pPr>
              <w:pStyle w:val="Tabletext"/>
            </w:pPr>
            <w:r w:rsidRPr="00124CC0">
              <w:t>Note de liaison sur le nouveau sujet d'étude UIT-T Q.TSCA qui définit la procédure d'émission de certificats numériques pour la sécurité de la signalisation</w:t>
            </w:r>
          </w:p>
        </w:tc>
        <w:tc>
          <w:tcPr>
            <w:tcW w:w="1985" w:type="dxa"/>
            <w:tcBorders>
              <w:top w:val="single" w:sz="12" w:space="0" w:color="auto"/>
            </w:tcBorders>
            <w:hideMark/>
          </w:tcPr>
          <w:p w14:paraId="0459868A" w14:textId="77777777" w:rsidR="00A756BE" w:rsidRPr="00124CC0" w:rsidRDefault="00A756BE" w:rsidP="00B57C78">
            <w:pPr>
              <w:pStyle w:val="Tabletext"/>
            </w:pPr>
            <w:r w:rsidRPr="00124CC0">
              <w:t>CE 17</w:t>
            </w:r>
          </w:p>
        </w:tc>
        <w:tc>
          <w:tcPr>
            <w:tcW w:w="1417" w:type="dxa"/>
            <w:tcBorders>
              <w:top w:val="single" w:sz="12" w:space="0" w:color="auto"/>
            </w:tcBorders>
            <w:hideMark/>
          </w:tcPr>
          <w:p w14:paraId="798B00B2" w14:textId="77777777" w:rsidR="00A756BE" w:rsidRPr="00124CC0" w:rsidRDefault="00A756BE" w:rsidP="00B57C78">
            <w:pPr>
              <w:pStyle w:val="Tabletext"/>
            </w:pPr>
            <w:r w:rsidRPr="00124CC0">
              <w:t>CE 2; CE 11</w:t>
            </w:r>
          </w:p>
        </w:tc>
        <w:tc>
          <w:tcPr>
            <w:tcW w:w="1544" w:type="dxa"/>
            <w:tcBorders>
              <w:top w:val="single" w:sz="12" w:space="0" w:color="auto"/>
            </w:tcBorders>
            <w:hideMark/>
          </w:tcPr>
          <w:p w14:paraId="64A69F14" w14:textId="77777777" w:rsidR="00A756BE" w:rsidRPr="00124CC0" w:rsidRDefault="00A756BE" w:rsidP="00B57C78">
            <w:pPr>
              <w:pStyle w:val="Tabletext"/>
              <w:jc w:val="center"/>
            </w:pPr>
            <w:r w:rsidRPr="00124CC0">
              <w:t>30 avril 2024</w:t>
            </w:r>
          </w:p>
        </w:tc>
      </w:tr>
      <w:tr w:rsidR="00A756BE" w:rsidRPr="00124CC0" w14:paraId="015AEDE3" w14:textId="77777777" w:rsidTr="00E353AF">
        <w:trPr>
          <w:jc w:val="center"/>
        </w:trPr>
        <w:tc>
          <w:tcPr>
            <w:tcW w:w="1392" w:type="dxa"/>
            <w:hideMark/>
          </w:tcPr>
          <w:p w14:paraId="775AF12A" w14:textId="77777777" w:rsidR="00A756BE" w:rsidRPr="00124CC0" w:rsidRDefault="0067192B" w:rsidP="00B57C78">
            <w:pPr>
              <w:pStyle w:val="Tabletext"/>
              <w:rPr>
                <w:rStyle w:val="Hyperlink"/>
              </w:rPr>
            </w:pPr>
            <w:hyperlink r:id="rId109" w:history="1">
              <w:r w:rsidR="00A756BE" w:rsidRPr="00124CC0">
                <w:rPr>
                  <w:rStyle w:val="Hyperlink"/>
                </w:rPr>
                <w:t>TSAG-LS31</w:t>
              </w:r>
            </w:hyperlink>
          </w:p>
        </w:tc>
        <w:tc>
          <w:tcPr>
            <w:tcW w:w="3271" w:type="dxa"/>
            <w:hideMark/>
          </w:tcPr>
          <w:p w14:paraId="76E2D084" w14:textId="77777777" w:rsidR="00A756BE" w:rsidRPr="00124CC0" w:rsidRDefault="00A756BE" w:rsidP="00B57C78">
            <w:pPr>
              <w:pStyle w:val="Tabletext"/>
            </w:pPr>
            <w:r w:rsidRPr="00124CC0">
              <w:t>Note de liaison sur les lignes directrices pour l'élaboration des contributions et le rôle des mentors des CE</w:t>
            </w:r>
          </w:p>
        </w:tc>
        <w:tc>
          <w:tcPr>
            <w:tcW w:w="1985" w:type="dxa"/>
            <w:hideMark/>
          </w:tcPr>
          <w:p w14:paraId="76664652" w14:textId="77777777" w:rsidR="00A756BE" w:rsidRPr="00124CC0" w:rsidRDefault="00A756BE" w:rsidP="00B57C78">
            <w:pPr>
              <w:pStyle w:val="Tabletext"/>
            </w:pPr>
            <w:r w:rsidRPr="00124CC0">
              <w:t>–</w:t>
            </w:r>
          </w:p>
        </w:tc>
        <w:tc>
          <w:tcPr>
            <w:tcW w:w="1417" w:type="dxa"/>
            <w:hideMark/>
          </w:tcPr>
          <w:p w14:paraId="4CA4A70F" w14:textId="77777777" w:rsidR="00A756BE" w:rsidRPr="00124CC0" w:rsidRDefault="00A756BE" w:rsidP="00B57C78">
            <w:pPr>
              <w:pStyle w:val="Tabletext"/>
            </w:pPr>
            <w:r w:rsidRPr="00124CC0">
              <w:t>Toutes les commissions d'études de l'UIT-T</w:t>
            </w:r>
          </w:p>
        </w:tc>
        <w:tc>
          <w:tcPr>
            <w:tcW w:w="1544" w:type="dxa"/>
            <w:hideMark/>
          </w:tcPr>
          <w:p w14:paraId="63A9BA3F" w14:textId="77777777" w:rsidR="00A756BE" w:rsidRPr="00124CC0" w:rsidRDefault="00A756BE" w:rsidP="00B57C78">
            <w:pPr>
              <w:pStyle w:val="Tabletext"/>
              <w:jc w:val="center"/>
            </w:pPr>
            <w:r w:rsidRPr="00124CC0">
              <w:t>–</w:t>
            </w:r>
          </w:p>
        </w:tc>
      </w:tr>
      <w:tr w:rsidR="00A756BE" w:rsidRPr="00124CC0" w14:paraId="7EEA2F9C" w14:textId="77777777" w:rsidTr="00E353AF">
        <w:trPr>
          <w:jc w:val="center"/>
        </w:trPr>
        <w:tc>
          <w:tcPr>
            <w:tcW w:w="1392" w:type="dxa"/>
            <w:hideMark/>
          </w:tcPr>
          <w:p w14:paraId="1864DFA1" w14:textId="77777777" w:rsidR="00A756BE" w:rsidRPr="00124CC0" w:rsidRDefault="0067192B" w:rsidP="00B57C78">
            <w:pPr>
              <w:pStyle w:val="Tabletext"/>
              <w:rPr>
                <w:rStyle w:val="Hyperlink"/>
              </w:rPr>
            </w:pPr>
            <w:hyperlink r:id="rId110" w:history="1">
              <w:r w:rsidR="00A756BE" w:rsidRPr="00124CC0">
                <w:rPr>
                  <w:rStyle w:val="Hyperlink"/>
                </w:rPr>
                <w:t>TSAG-LS32</w:t>
              </w:r>
            </w:hyperlink>
          </w:p>
        </w:tc>
        <w:tc>
          <w:tcPr>
            <w:tcW w:w="3271" w:type="dxa"/>
            <w:hideMark/>
          </w:tcPr>
          <w:p w14:paraId="70E3E5E0" w14:textId="77777777" w:rsidR="00A756BE" w:rsidRPr="00124CC0" w:rsidRDefault="00A756BE" w:rsidP="00B57C78">
            <w:pPr>
              <w:pStyle w:val="Tabletext"/>
            </w:pPr>
            <w:r w:rsidRPr="00124CC0">
              <w:t>Note de liaison sur la version la plus récente plan d'action de l'AMNT et le projet de "Lignes directrices relatives aux travaux préparatoires de l'AMNT sur les Résolutions"</w:t>
            </w:r>
          </w:p>
        </w:tc>
        <w:tc>
          <w:tcPr>
            <w:tcW w:w="1985" w:type="dxa"/>
            <w:hideMark/>
          </w:tcPr>
          <w:p w14:paraId="71F6A52A" w14:textId="77777777" w:rsidR="00A756BE" w:rsidRPr="00124CC0" w:rsidRDefault="00A756BE" w:rsidP="00B57C78">
            <w:pPr>
              <w:pStyle w:val="Tabletext"/>
              <w:ind w:right="-57"/>
            </w:pPr>
            <w:r w:rsidRPr="00124CC0">
              <w:t>APT; Ligue arabe; UAT; CITEL; CEPT; RCC; toutes les commissions d'études de l'UIT</w:t>
            </w:r>
            <w:r w:rsidRPr="00124CC0">
              <w:noBreakHyphen/>
              <w:t>T</w:t>
            </w:r>
          </w:p>
        </w:tc>
        <w:tc>
          <w:tcPr>
            <w:tcW w:w="1417" w:type="dxa"/>
            <w:hideMark/>
          </w:tcPr>
          <w:p w14:paraId="1E2B3C50" w14:textId="77777777" w:rsidR="00A756BE" w:rsidRPr="00124CC0" w:rsidRDefault="00A756BE" w:rsidP="00B57C78">
            <w:pPr>
              <w:pStyle w:val="Tabletext"/>
            </w:pPr>
            <w:r w:rsidRPr="00124CC0">
              <w:t>–</w:t>
            </w:r>
          </w:p>
        </w:tc>
        <w:tc>
          <w:tcPr>
            <w:tcW w:w="1544" w:type="dxa"/>
            <w:hideMark/>
          </w:tcPr>
          <w:p w14:paraId="7BB58CDF" w14:textId="77777777" w:rsidR="00A756BE" w:rsidRPr="00124CC0" w:rsidRDefault="00A756BE" w:rsidP="00B57C78">
            <w:pPr>
              <w:pStyle w:val="Tabletext"/>
              <w:jc w:val="center"/>
            </w:pPr>
            <w:r w:rsidRPr="00124CC0">
              <w:t>15 juillet 2024</w:t>
            </w:r>
          </w:p>
        </w:tc>
      </w:tr>
      <w:tr w:rsidR="00A756BE" w:rsidRPr="00124CC0" w14:paraId="43CECD93" w14:textId="77777777" w:rsidTr="00E353AF">
        <w:trPr>
          <w:jc w:val="center"/>
        </w:trPr>
        <w:tc>
          <w:tcPr>
            <w:tcW w:w="1392" w:type="dxa"/>
            <w:hideMark/>
          </w:tcPr>
          <w:p w14:paraId="79316363" w14:textId="77777777" w:rsidR="00A756BE" w:rsidRPr="00124CC0" w:rsidRDefault="0067192B" w:rsidP="00B57C78">
            <w:pPr>
              <w:pStyle w:val="Tabletext"/>
              <w:rPr>
                <w:rStyle w:val="Hyperlink"/>
              </w:rPr>
            </w:pPr>
            <w:hyperlink r:id="rId111" w:history="1">
              <w:r w:rsidR="00A756BE" w:rsidRPr="00124CC0">
                <w:rPr>
                  <w:rStyle w:val="Hyperlink"/>
                </w:rPr>
                <w:t>TSAG-LS33</w:t>
              </w:r>
            </w:hyperlink>
          </w:p>
        </w:tc>
        <w:tc>
          <w:tcPr>
            <w:tcW w:w="3271" w:type="dxa"/>
            <w:hideMark/>
          </w:tcPr>
          <w:p w14:paraId="76BEC692" w14:textId="77777777" w:rsidR="00A756BE" w:rsidRPr="00124CC0" w:rsidRDefault="00A756BE" w:rsidP="00B57C78">
            <w:pPr>
              <w:pStyle w:val="Tabletext"/>
            </w:pPr>
            <w:r w:rsidRPr="00124CC0">
              <w:t>Note de liaison sur la fusion des CE 9 et 16 de l'UIT-T</w:t>
            </w:r>
          </w:p>
        </w:tc>
        <w:tc>
          <w:tcPr>
            <w:tcW w:w="1985" w:type="dxa"/>
            <w:hideMark/>
          </w:tcPr>
          <w:p w14:paraId="0FD4C7C0" w14:textId="77777777" w:rsidR="00A756BE" w:rsidRPr="00124CC0" w:rsidRDefault="00A756BE" w:rsidP="00B57C78">
            <w:pPr>
              <w:pStyle w:val="Tabletext"/>
            </w:pPr>
            <w:r w:rsidRPr="00124CC0">
              <w:t>CE 9; CE 16</w:t>
            </w:r>
          </w:p>
        </w:tc>
        <w:tc>
          <w:tcPr>
            <w:tcW w:w="1417" w:type="dxa"/>
            <w:hideMark/>
          </w:tcPr>
          <w:p w14:paraId="70FFDC33" w14:textId="77777777" w:rsidR="00A756BE" w:rsidRPr="00124CC0" w:rsidRDefault="00A756BE" w:rsidP="00B57C78">
            <w:pPr>
              <w:pStyle w:val="Tabletext"/>
            </w:pPr>
            <w:r w:rsidRPr="00124CC0">
              <w:t>Toutes les autres commissions d'études de l'UIT-T</w:t>
            </w:r>
          </w:p>
        </w:tc>
        <w:tc>
          <w:tcPr>
            <w:tcW w:w="1544" w:type="dxa"/>
            <w:hideMark/>
          </w:tcPr>
          <w:p w14:paraId="22AF8D5C" w14:textId="77777777" w:rsidR="00A756BE" w:rsidRPr="00124CC0" w:rsidRDefault="00A756BE" w:rsidP="00B57C78">
            <w:pPr>
              <w:pStyle w:val="Tabletext"/>
              <w:jc w:val="center"/>
            </w:pPr>
            <w:r w:rsidRPr="00124CC0">
              <w:t>30 juin 2024</w:t>
            </w:r>
          </w:p>
        </w:tc>
      </w:tr>
      <w:tr w:rsidR="00A756BE" w:rsidRPr="00124CC0" w14:paraId="7BAA84E2" w14:textId="77777777" w:rsidTr="00E353AF">
        <w:trPr>
          <w:jc w:val="center"/>
        </w:trPr>
        <w:tc>
          <w:tcPr>
            <w:tcW w:w="1392" w:type="dxa"/>
            <w:hideMark/>
          </w:tcPr>
          <w:p w14:paraId="6FB1615B" w14:textId="77777777" w:rsidR="00A756BE" w:rsidRPr="00124CC0" w:rsidRDefault="0067192B" w:rsidP="00B57C78">
            <w:pPr>
              <w:pStyle w:val="Tabletext"/>
              <w:rPr>
                <w:rStyle w:val="Hyperlink"/>
              </w:rPr>
            </w:pPr>
            <w:hyperlink r:id="rId112" w:history="1">
              <w:r w:rsidR="00A756BE" w:rsidRPr="00124CC0">
                <w:rPr>
                  <w:rStyle w:val="Hyperlink"/>
                </w:rPr>
                <w:t>TSAG-LS34</w:t>
              </w:r>
            </w:hyperlink>
          </w:p>
        </w:tc>
        <w:tc>
          <w:tcPr>
            <w:tcW w:w="3271" w:type="dxa"/>
            <w:hideMark/>
          </w:tcPr>
          <w:p w14:paraId="02F0E1EA" w14:textId="77777777" w:rsidR="00A756BE" w:rsidRPr="00124CC0" w:rsidRDefault="00A756BE" w:rsidP="00B57C78">
            <w:pPr>
              <w:pStyle w:val="Tabletext"/>
            </w:pPr>
            <w:r w:rsidRPr="00124CC0">
              <w:t>Note de liaison sur les travaux préparatoires en vue de l'AMNT</w:t>
            </w:r>
            <w:r w:rsidRPr="00124CC0">
              <w:noBreakHyphen/>
              <w:t>24</w:t>
            </w:r>
          </w:p>
        </w:tc>
        <w:tc>
          <w:tcPr>
            <w:tcW w:w="1985" w:type="dxa"/>
            <w:hideMark/>
          </w:tcPr>
          <w:p w14:paraId="6E17793D" w14:textId="77777777" w:rsidR="00A756BE" w:rsidRPr="00124CC0" w:rsidRDefault="00A756BE" w:rsidP="00B57C78">
            <w:pPr>
              <w:pStyle w:val="Tabletext"/>
            </w:pPr>
            <w:r w:rsidRPr="00124CC0">
              <w:t>Toutes les commissions d'études de l'UIT</w:t>
            </w:r>
            <w:r w:rsidRPr="00124CC0">
              <w:noBreakHyphen/>
              <w:t>T</w:t>
            </w:r>
          </w:p>
        </w:tc>
        <w:tc>
          <w:tcPr>
            <w:tcW w:w="1417" w:type="dxa"/>
            <w:hideMark/>
          </w:tcPr>
          <w:p w14:paraId="159311F3" w14:textId="77777777" w:rsidR="00A756BE" w:rsidRPr="00124CC0" w:rsidRDefault="00A756BE" w:rsidP="00B57C78">
            <w:pPr>
              <w:pStyle w:val="Tabletext"/>
            </w:pPr>
            <w:r w:rsidRPr="00124CC0">
              <w:t>–</w:t>
            </w:r>
          </w:p>
        </w:tc>
        <w:tc>
          <w:tcPr>
            <w:tcW w:w="1544" w:type="dxa"/>
            <w:hideMark/>
          </w:tcPr>
          <w:p w14:paraId="46245A57" w14:textId="77777777" w:rsidR="00A756BE" w:rsidRPr="00124CC0" w:rsidRDefault="00A756BE" w:rsidP="00B57C78">
            <w:pPr>
              <w:pStyle w:val="Tabletext"/>
              <w:jc w:val="center"/>
            </w:pPr>
            <w:r w:rsidRPr="00124CC0">
              <w:t>15 juillet 2024</w:t>
            </w:r>
          </w:p>
        </w:tc>
      </w:tr>
      <w:tr w:rsidR="00A756BE" w:rsidRPr="00124CC0" w14:paraId="1AD9359D" w14:textId="77777777" w:rsidTr="00E353AF">
        <w:trPr>
          <w:jc w:val="center"/>
        </w:trPr>
        <w:tc>
          <w:tcPr>
            <w:tcW w:w="1392" w:type="dxa"/>
            <w:hideMark/>
          </w:tcPr>
          <w:p w14:paraId="57B8C4AA" w14:textId="77777777" w:rsidR="00A756BE" w:rsidRPr="00124CC0" w:rsidRDefault="0067192B" w:rsidP="00B57C78">
            <w:pPr>
              <w:pStyle w:val="Tabletext"/>
              <w:rPr>
                <w:rStyle w:val="Hyperlink"/>
              </w:rPr>
            </w:pPr>
            <w:hyperlink r:id="rId113" w:history="1">
              <w:r w:rsidR="00A756BE" w:rsidRPr="00124CC0">
                <w:rPr>
                  <w:rStyle w:val="Hyperlink"/>
                </w:rPr>
                <w:t>TSAG-LS35</w:t>
              </w:r>
            </w:hyperlink>
          </w:p>
        </w:tc>
        <w:tc>
          <w:tcPr>
            <w:tcW w:w="3271" w:type="dxa"/>
            <w:hideMark/>
          </w:tcPr>
          <w:p w14:paraId="665DA39E" w14:textId="77777777" w:rsidR="00A756BE" w:rsidRPr="00124CC0" w:rsidRDefault="00A756BE" w:rsidP="00B57C78">
            <w:pPr>
              <w:pStyle w:val="Tabletext"/>
            </w:pPr>
            <w:r w:rsidRPr="00124CC0">
              <w:t>Note de liaison sur le métavers</w:t>
            </w:r>
          </w:p>
        </w:tc>
        <w:tc>
          <w:tcPr>
            <w:tcW w:w="1985" w:type="dxa"/>
            <w:hideMark/>
          </w:tcPr>
          <w:p w14:paraId="315AD9E3" w14:textId="77777777" w:rsidR="00A756BE" w:rsidRPr="00124CC0" w:rsidRDefault="00A756BE" w:rsidP="00B57C78">
            <w:pPr>
              <w:pStyle w:val="Tabletext"/>
            </w:pPr>
            <w:r w:rsidRPr="00124CC0">
              <w:t>Toutes les commissions d'études de l'UIT</w:t>
            </w:r>
            <w:r w:rsidRPr="00124CC0">
              <w:noBreakHyphen/>
              <w:t>T</w:t>
            </w:r>
          </w:p>
        </w:tc>
        <w:tc>
          <w:tcPr>
            <w:tcW w:w="1417" w:type="dxa"/>
            <w:hideMark/>
          </w:tcPr>
          <w:p w14:paraId="0565AC1D" w14:textId="77777777" w:rsidR="00A756BE" w:rsidRPr="00124CC0" w:rsidRDefault="00A756BE" w:rsidP="00B57C78">
            <w:pPr>
              <w:pStyle w:val="Tabletext"/>
            </w:pPr>
            <w:r w:rsidRPr="00124CC0">
              <w:t>–</w:t>
            </w:r>
          </w:p>
        </w:tc>
        <w:tc>
          <w:tcPr>
            <w:tcW w:w="1544" w:type="dxa"/>
            <w:hideMark/>
          </w:tcPr>
          <w:p w14:paraId="2888956D" w14:textId="77777777" w:rsidR="00A756BE" w:rsidRPr="00124CC0" w:rsidRDefault="00A756BE" w:rsidP="00B57C78">
            <w:pPr>
              <w:pStyle w:val="Tabletext"/>
              <w:jc w:val="center"/>
            </w:pPr>
            <w:r w:rsidRPr="00124CC0">
              <w:t>25 juillet 2024</w:t>
            </w:r>
          </w:p>
        </w:tc>
      </w:tr>
      <w:tr w:rsidR="00A756BE" w:rsidRPr="00124CC0" w14:paraId="47922BE3" w14:textId="77777777" w:rsidTr="00E353AF">
        <w:trPr>
          <w:jc w:val="center"/>
        </w:trPr>
        <w:tc>
          <w:tcPr>
            <w:tcW w:w="1392" w:type="dxa"/>
            <w:tcBorders>
              <w:bottom w:val="single" w:sz="12" w:space="0" w:color="auto"/>
            </w:tcBorders>
            <w:hideMark/>
          </w:tcPr>
          <w:p w14:paraId="19EA98A9" w14:textId="77777777" w:rsidR="00A756BE" w:rsidRPr="00124CC0" w:rsidRDefault="0067192B" w:rsidP="00B57C78">
            <w:pPr>
              <w:pStyle w:val="Tabletext"/>
              <w:rPr>
                <w:rStyle w:val="Hyperlink"/>
              </w:rPr>
            </w:pPr>
            <w:hyperlink r:id="rId114" w:history="1">
              <w:r w:rsidR="00A756BE" w:rsidRPr="00124CC0">
                <w:rPr>
                  <w:rStyle w:val="Hyperlink"/>
                </w:rPr>
                <w:t>TSAG-LS36</w:t>
              </w:r>
            </w:hyperlink>
          </w:p>
        </w:tc>
        <w:tc>
          <w:tcPr>
            <w:tcW w:w="3271" w:type="dxa"/>
            <w:tcBorders>
              <w:bottom w:val="single" w:sz="12" w:space="0" w:color="auto"/>
            </w:tcBorders>
            <w:hideMark/>
          </w:tcPr>
          <w:p w14:paraId="57EF4FF4" w14:textId="77777777" w:rsidR="00A756BE" w:rsidRPr="00124CC0" w:rsidRDefault="00A756BE" w:rsidP="00B57C78">
            <w:pPr>
              <w:pStyle w:val="Tabletext"/>
            </w:pPr>
            <w:r w:rsidRPr="00124CC0">
              <w:t>Note de liaison sur la tâche 73</w:t>
            </w:r>
            <w:r w:rsidRPr="00124CC0">
              <w:noBreakHyphen/>
              <w:t xml:space="preserve">17 (Résolution </w:t>
            </w:r>
            <w:r w:rsidRPr="00524283">
              <w:rPr>
                <w:b/>
                <w:bCs/>
              </w:rPr>
              <w:t>73</w:t>
            </w:r>
            <w:r w:rsidRPr="00124CC0">
              <w:t xml:space="preserve"> sur l'environnement et les changements climatiques)</w:t>
            </w:r>
          </w:p>
        </w:tc>
        <w:tc>
          <w:tcPr>
            <w:tcW w:w="1985" w:type="dxa"/>
            <w:tcBorders>
              <w:bottom w:val="single" w:sz="12" w:space="0" w:color="auto"/>
            </w:tcBorders>
            <w:hideMark/>
          </w:tcPr>
          <w:p w14:paraId="12DB2533" w14:textId="77777777" w:rsidR="00A756BE" w:rsidRPr="00124CC0" w:rsidRDefault="00A756BE" w:rsidP="00B57C78">
            <w:pPr>
              <w:pStyle w:val="Tabletext"/>
            </w:pPr>
            <w:r w:rsidRPr="00124CC0">
              <w:t>CE 5</w:t>
            </w:r>
          </w:p>
        </w:tc>
        <w:tc>
          <w:tcPr>
            <w:tcW w:w="1417" w:type="dxa"/>
            <w:tcBorders>
              <w:bottom w:val="single" w:sz="12" w:space="0" w:color="auto"/>
            </w:tcBorders>
            <w:hideMark/>
          </w:tcPr>
          <w:p w14:paraId="7C2EDC08" w14:textId="77777777" w:rsidR="00A756BE" w:rsidRPr="00124CC0" w:rsidRDefault="00A756BE" w:rsidP="00B57C78">
            <w:pPr>
              <w:pStyle w:val="Tabletext"/>
            </w:pPr>
            <w:r w:rsidRPr="00124CC0">
              <w:t>Toutes les autres commissions d'études de l'UIT</w:t>
            </w:r>
            <w:r w:rsidRPr="00124CC0">
              <w:noBreakHyphen/>
              <w:t>T</w:t>
            </w:r>
          </w:p>
        </w:tc>
        <w:tc>
          <w:tcPr>
            <w:tcW w:w="1544" w:type="dxa"/>
            <w:tcBorders>
              <w:bottom w:val="single" w:sz="12" w:space="0" w:color="auto"/>
            </w:tcBorders>
            <w:hideMark/>
          </w:tcPr>
          <w:p w14:paraId="2CBC1C30" w14:textId="77777777" w:rsidR="00A756BE" w:rsidRPr="00124CC0" w:rsidRDefault="00A756BE" w:rsidP="00B57C78">
            <w:pPr>
              <w:pStyle w:val="Tabletext"/>
              <w:jc w:val="center"/>
            </w:pPr>
            <w:r w:rsidRPr="00124CC0">
              <w:t>16 juillet 2024</w:t>
            </w:r>
          </w:p>
        </w:tc>
      </w:tr>
    </w:tbl>
    <w:p w14:paraId="4DAA841F" w14:textId="77777777" w:rsidR="00A756BE" w:rsidRPr="00124CC0" w:rsidRDefault="00A756BE" w:rsidP="00A756BE">
      <w:pPr>
        <w:sectPr w:rsidR="00A756BE" w:rsidRPr="00124CC0" w:rsidSect="001A2CAE">
          <w:headerReference w:type="even" r:id="rId115"/>
          <w:headerReference w:type="default" r:id="rId116"/>
          <w:footerReference w:type="even" r:id="rId117"/>
          <w:footerReference w:type="default" r:id="rId118"/>
          <w:headerReference w:type="first" r:id="rId119"/>
          <w:footerReference w:type="first" r:id="rId120"/>
          <w:pgSz w:w="11907" w:h="16834"/>
          <w:pgMar w:top="1417" w:right="1134" w:bottom="1417" w:left="1134" w:header="720" w:footer="720" w:gutter="0"/>
          <w:cols w:space="720"/>
          <w:titlePg/>
          <w:docGrid w:linePitch="326"/>
        </w:sectPr>
      </w:pPr>
    </w:p>
    <w:p w14:paraId="219B7F3E" w14:textId="77777777" w:rsidR="00A756BE" w:rsidRPr="00124CC0" w:rsidRDefault="00A756BE" w:rsidP="00954C59">
      <w:pPr>
        <w:pStyle w:val="AnnexNotitle"/>
        <w:spacing w:after="240"/>
      </w:pPr>
      <w:bookmarkStart w:id="45" w:name="_Toc161662751"/>
      <w:bookmarkStart w:id="46" w:name="AnnexeD"/>
      <w:r w:rsidRPr="00124CC0">
        <w:lastRenderedPageBreak/>
        <w:t>Annexe D:</w:t>
      </w:r>
      <w:r w:rsidRPr="00124CC0">
        <w:br/>
        <w:t>Sujets d'étude relevant du GNCT</w:t>
      </w:r>
      <w:bookmarkEnd w:id="45"/>
    </w:p>
    <w:bookmarkEnd w:id="46"/>
    <w:p w14:paraId="656D292A" w14:textId="77777777" w:rsidR="00A756BE" w:rsidRPr="00124CC0" w:rsidRDefault="00A756BE" w:rsidP="00A756BE">
      <w:pPr>
        <w:spacing w:after="240"/>
      </w:pPr>
      <w:r w:rsidRPr="00124CC0">
        <w:t xml:space="preserve">Le programme de travail du GCNT a été actualisé comme suit après cette réunion. Un rapport actualisé peut être produit à l'adresse suivante: </w:t>
      </w:r>
      <w:hyperlink r:id="rId121" w:history="1">
        <w:r w:rsidRPr="00124CC0">
          <w:rPr>
            <w:rStyle w:val="Hyperlink"/>
            <w:rFonts w:ascii="Times New Roman" w:hAnsi="Times New Roman"/>
          </w:rPr>
          <w:t>https://www.itu.int/ITU-T/workprog/wp_search.aspx?isn_sp=8265&amp;isn_sg=8276&amp;isn_status=-1,8,1,3,7&amp;details=0&amp;view=tab&amp;field=cazhegfjklv</w:t>
        </w:r>
      </w:hyperlink>
      <w:r w:rsidRPr="00124CC0">
        <w:t>.</w:t>
      </w:r>
    </w:p>
    <w:tbl>
      <w:tblPr>
        <w:tblStyle w:val="TableGrid"/>
        <w:tblW w:w="14724"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993"/>
        <w:gridCol w:w="1417"/>
        <w:gridCol w:w="992"/>
        <w:gridCol w:w="993"/>
        <w:gridCol w:w="1134"/>
        <w:gridCol w:w="992"/>
        <w:gridCol w:w="1276"/>
        <w:gridCol w:w="1275"/>
        <w:gridCol w:w="1418"/>
        <w:gridCol w:w="3115"/>
      </w:tblGrid>
      <w:tr w:rsidR="00A756BE" w:rsidRPr="00124CC0" w14:paraId="02DD9EE4" w14:textId="77777777" w:rsidTr="00124CC0">
        <w:trPr>
          <w:tblHeader/>
          <w:jc w:val="center"/>
        </w:trPr>
        <w:tc>
          <w:tcPr>
            <w:tcW w:w="1119" w:type="dxa"/>
            <w:tcBorders>
              <w:top w:val="single" w:sz="12" w:space="0" w:color="auto"/>
              <w:bottom w:val="single" w:sz="12" w:space="0" w:color="auto"/>
            </w:tcBorders>
            <w:hideMark/>
          </w:tcPr>
          <w:p w14:paraId="27D12094" w14:textId="77777777" w:rsidR="00A756BE" w:rsidRPr="00124CC0" w:rsidRDefault="00A756BE" w:rsidP="00B57C78">
            <w:pPr>
              <w:pStyle w:val="Tablehead"/>
              <w:rPr>
                <w:sz w:val="18"/>
                <w:szCs w:val="18"/>
              </w:rPr>
            </w:pPr>
            <w:r w:rsidRPr="00124CC0">
              <w:rPr>
                <w:bCs/>
                <w:sz w:val="18"/>
                <w:szCs w:val="18"/>
              </w:rPr>
              <w:t>Groupe</w:t>
            </w:r>
          </w:p>
        </w:tc>
        <w:tc>
          <w:tcPr>
            <w:tcW w:w="993" w:type="dxa"/>
            <w:tcBorders>
              <w:top w:val="single" w:sz="12" w:space="0" w:color="auto"/>
              <w:bottom w:val="single" w:sz="12" w:space="0" w:color="auto"/>
            </w:tcBorders>
            <w:hideMark/>
          </w:tcPr>
          <w:p w14:paraId="1CDB8BF5" w14:textId="77777777" w:rsidR="00A756BE" w:rsidRPr="00124CC0" w:rsidRDefault="00A756BE" w:rsidP="00B57C78">
            <w:pPr>
              <w:pStyle w:val="Tablehead"/>
              <w:rPr>
                <w:sz w:val="18"/>
                <w:szCs w:val="18"/>
              </w:rPr>
            </w:pPr>
            <w:r w:rsidRPr="00124CC0">
              <w:rPr>
                <w:bCs/>
                <w:sz w:val="18"/>
                <w:szCs w:val="18"/>
              </w:rPr>
              <w:t>Sujet d'étude</w:t>
            </w:r>
          </w:p>
        </w:tc>
        <w:tc>
          <w:tcPr>
            <w:tcW w:w="1417" w:type="dxa"/>
            <w:tcBorders>
              <w:top w:val="single" w:sz="12" w:space="0" w:color="auto"/>
              <w:bottom w:val="single" w:sz="12" w:space="0" w:color="auto"/>
            </w:tcBorders>
            <w:hideMark/>
          </w:tcPr>
          <w:p w14:paraId="2D9506B4" w14:textId="77777777" w:rsidR="00A756BE" w:rsidRPr="00124CC0" w:rsidRDefault="00A756BE" w:rsidP="00124CC0">
            <w:pPr>
              <w:pStyle w:val="Tablehead"/>
              <w:tabs>
                <w:tab w:val="clear" w:pos="1134"/>
                <w:tab w:val="clear" w:pos="1418"/>
                <w:tab w:val="clear" w:pos="2268"/>
              </w:tabs>
              <w:ind w:left="-108" w:right="-108"/>
              <w:rPr>
                <w:sz w:val="18"/>
                <w:szCs w:val="18"/>
              </w:rPr>
            </w:pPr>
            <w:r w:rsidRPr="00124CC0">
              <w:rPr>
                <w:bCs/>
                <w:sz w:val="18"/>
                <w:szCs w:val="18"/>
              </w:rPr>
              <w:t>Type</w:t>
            </w:r>
          </w:p>
        </w:tc>
        <w:tc>
          <w:tcPr>
            <w:tcW w:w="992" w:type="dxa"/>
            <w:tcBorders>
              <w:top w:val="single" w:sz="12" w:space="0" w:color="auto"/>
              <w:bottom w:val="single" w:sz="12" w:space="0" w:color="auto"/>
            </w:tcBorders>
            <w:hideMark/>
          </w:tcPr>
          <w:p w14:paraId="492EF2EB" w14:textId="77777777" w:rsidR="00A756BE" w:rsidRPr="00124CC0" w:rsidRDefault="00A756BE" w:rsidP="00B57C78">
            <w:pPr>
              <w:pStyle w:val="Tablehead"/>
              <w:rPr>
                <w:sz w:val="18"/>
                <w:szCs w:val="18"/>
              </w:rPr>
            </w:pPr>
            <w:r w:rsidRPr="00124CC0">
              <w:rPr>
                <w:bCs/>
                <w:sz w:val="18"/>
                <w:szCs w:val="18"/>
              </w:rPr>
              <w:t>Version</w:t>
            </w:r>
          </w:p>
        </w:tc>
        <w:tc>
          <w:tcPr>
            <w:tcW w:w="993" w:type="dxa"/>
            <w:tcBorders>
              <w:top w:val="single" w:sz="12" w:space="0" w:color="auto"/>
              <w:bottom w:val="single" w:sz="12" w:space="0" w:color="auto"/>
            </w:tcBorders>
            <w:hideMark/>
          </w:tcPr>
          <w:p w14:paraId="2929FECF" w14:textId="77777777" w:rsidR="00A756BE" w:rsidRPr="00124CC0" w:rsidRDefault="00A756BE" w:rsidP="00B57C78">
            <w:pPr>
              <w:pStyle w:val="Tablehead"/>
              <w:rPr>
                <w:sz w:val="18"/>
                <w:szCs w:val="18"/>
              </w:rPr>
            </w:pPr>
            <w:r w:rsidRPr="00124CC0">
              <w:rPr>
                <w:bCs/>
                <w:sz w:val="18"/>
                <w:szCs w:val="18"/>
              </w:rPr>
              <w:t>Statut</w:t>
            </w:r>
          </w:p>
        </w:tc>
        <w:tc>
          <w:tcPr>
            <w:tcW w:w="1134" w:type="dxa"/>
            <w:tcBorders>
              <w:top w:val="single" w:sz="12" w:space="0" w:color="auto"/>
              <w:bottom w:val="single" w:sz="12" w:space="0" w:color="auto"/>
            </w:tcBorders>
            <w:hideMark/>
          </w:tcPr>
          <w:p w14:paraId="4B211215" w14:textId="77777777" w:rsidR="00A756BE" w:rsidRPr="00124CC0" w:rsidRDefault="00A756BE" w:rsidP="00B57C78">
            <w:pPr>
              <w:pStyle w:val="Tablehead"/>
              <w:rPr>
                <w:sz w:val="18"/>
                <w:szCs w:val="18"/>
              </w:rPr>
            </w:pPr>
            <w:r w:rsidRPr="00124CC0">
              <w:rPr>
                <w:bCs/>
                <w:sz w:val="18"/>
                <w:szCs w:val="18"/>
              </w:rPr>
              <w:t>Procédure</w:t>
            </w:r>
          </w:p>
        </w:tc>
        <w:tc>
          <w:tcPr>
            <w:tcW w:w="992" w:type="dxa"/>
            <w:tcBorders>
              <w:top w:val="single" w:sz="12" w:space="0" w:color="auto"/>
              <w:bottom w:val="single" w:sz="12" w:space="0" w:color="auto"/>
            </w:tcBorders>
            <w:hideMark/>
          </w:tcPr>
          <w:p w14:paraId="4EBF8306" w14:textId="77777777" w:rsidR="00A756BE" w:rsidRPr="00124CC0" w:rsidRDefault="00A756BE" w:rsidP="00B57C78">
            <w:pPr>
              <w:pStyle w:val="Tablehead"/>
              <w:rPr>
                <w:sz w:val="18"/>
                <w:szCs w:val="18"/>
              </w:rPr>
            </w:pPr>
            <w:r w:rsidRPr="00124CC0">
              <w:rPr>
                <w:bCs/>
                <w:sz w:val="18"/>
                <w:szCs w:val="18"/>
              </w:rPr>
              <w:t>Échéance</w:t>
            </w:r>
          </w:p>
        </w:tc>
        <w:tc>
          <w:tcPr>
            <w:tcW w:w="1276" w:type="dxa"/>
            <w:tcBorders>
              <w:top w:val="single" w:sz="12" w:space="0" w:color="auto"/>
              <w:bottom w:val="single" w:sz="12" w:space="0" w:color="auto"/>
            </w:tcBorders>
            <w:hideMark/>
          </w:tcPr>
          <w:p w14:paraId="24125D64" w14:textId="77777777" w:rsidR="00A756BE" w:rsidRPr="00124CC0" w:rsidRDefault="00A756BE" w:rsidP="00B57C78">
            <w:pPr>
              <w:pStyle w:val="Tablehead"/>
              <w:rPr>
                <w:sz w:val="18"/>
                <w:szCs w:val="18"/>
              </w:rPr>
            </w:pPr>
            <w:r w:rsidRPr="00124CC0">
              <w:rPr>
                <w:bCs/>
                <w:sz w:val="18"/>
                <w:szCs w:val="18"/>
              </w:rPr>
              <w:t>Sujet/Titre</w:t>
            </w:r>
          </w:p>
        </w:tc>
        <w:tc>
          <w:tcPr>
            <w:tcW w:w="1275" w:type="dxa"/>
            <w:tcBorders>
              <w:top w:val="single" w:sz="12" w:space="0" w:color="auto"/>
              <w:bottom w:val="single" w:sz="12" w:space="0" w:color="auto"/>
            </w:tcBorders>
            <w:hideMark/>
          </w:tcPr>
          <w:p w14:paraId="6F95817E" w14:textId="77777777" w:rsidR="00A756BE" w:rsidRPr="00124CC0" w:rsidRDefault="00A756BE" w:rsidP="00B57C78">
            <w:pPr>
              <w:pStyle w:val="Tablehead"/>
              <w:rPr>
                <w:sz w:val="18"/>
                <w:szCs w:val="18"/>
              </w:rPr>
            </w:pPr>
            <w:r w:rsidRPr="00124CC0">
              <w:rPr>
                <w:bCs/>
                <w:sz w:val="18"/>
                <w:szCs w:val="18"/>
              </w:rPr>
              <w:t>Référence(s)</w:t>
            </w:r>
          </w:p>
        </w:tc>
        <w:tc>
          <w:tcPr>
            <w:tcW w:w="1418" w:type="dxa"/>
            <w:tcBorders>
              <w:top w:val="single" w:sz="12" w:space="0" w:color="auto"/>
              <w:bottom w:val="single" w:sz="12" w:space="0" w:color="auto"/>
            </w:tcBorders>
            <w:hideMark/>
          </w:tcPr>
          <w:p w14:paraId="5595B981" w14:textId="77777777" w:rsidR="00A756BE" w:rsidRPr="00124CC0" w:rsidRDefault="00A756BE" w:rsidP="00B57C78">
            <w:pPr>
              <w:pStyle w:val="Tablehead"/>
              <w:rPr>
                <w:sz w:val="18"/>
                <w:szCs w:val="18"/>
              </w:rPr>
            </w:pPr>
            <w:r w:rsidRPr="00124CC0">
              <w:rPr>
                <w:bCs/>
                <w:sz w:val="18"/>
                <w:szCs w:val="18"/>
              </w:rPr>
              <w:t>Éditeur(s)</w:t>
            </w:r>
          </w:p>
        </w:tc>
        <w:tc>
          <w:tcPr>
            <w:tcW w:w="3115" w:type="dxa"/>
            <w:tcBorders>
              <w:top w:val="single" w:sz="12" w:space="0" w:color="auto"/>
              <w:bottom w:val="single" w:sz="12" w:space="0" w:color="auto"/>
            </w:tcBorders>
            <w:hideMark/>
          </w:tcPr>
          <w:p w14:paraId="6BFA7815" w14:textId="77777777" w:rsidR="00A756BE" w:rsidRPr="00124CC0" w:rsidRDefault="00A756BE" w:rsidP="00B57C78">
            <w:pPr>
              <w:pStyle w:val="Tablehead"/>
              <w:rPr>
                <w:sz w:val="18"/>
                <w:szCs w:val="18"/>
              </w:rPr>
            </w:pPr>
            <w:r w:rsidRPr="00124CC0">
              <w:rPr>
                <w:bCs/>
                <w:sz w:val="18"/>
                <w:szCs w:val="18"/>
              </w:rPr>
              <w:t>Résumé</w:t>
            </w:r>
          </w:p>
        </w:tc>
      </w:tr>
      <w:tr w:rsidR="00A756BE" w:rsidRPr="00124CC0" w14:paraId="1473FB7D" w14:textId="77777777" w:rsidTr="00124CC0">
        <w:trPr>
          <w:jc w:val="center"/>
        </w:trPr>
        <w:tc>
          <w:tcPr>
            <w:tcW w:w="1119" w:type="dxa"/>
            <w:tcBorders>
              <w:top w:val="single" w:sz="12" w:space="0" w:color="auto"/>
            </w:tcBorders>
            <w:hideMark/>
          </w:tcPr>
          <w:p w14:paraId="0B253B9E" w14:textId="77777777" w:rsidR="00A756BE" w:rsidRPr="00124CC0" w:rsidRDefault="00A756BE" w:rsidP="00B57C78">
            <w:pPr>
              <w:pStyle w:val="Tabletext"/>
              <w:rPr>
                <w:sz w:val="18"/>
                <w:szCs w:val="18"/>
              </w:rPr>
            </w:pPr>
            <w:r w:rsidRPr="00124CC0">
              <w:rPr>
                <w:sz w:val="18"/>
                <w:szCs w:val="18"/>
              </w:rPr>
              <w:t>RG-WM</w:t>
            </w:r>
          </w:p>
        </w:tc>
        <w:tc>
          <w:tcPr>
            <w:tcW w:w="993" w:type="dxa"/>
            <w:tcBorders>
              <w:top w:val="single" w:sz="12" w:space="0" w:color="auto"/>
            </w:tcBorders>
            <w:hideMark/>
          </w:tcPr>
          <w:p w14:paraId="2E6CC503" w14:textId="77777777" w:rsidR="00A756BE" w:rsidRPr="00124CC0" w:rsidRDefault="0067192B" w:rsidP="00B57C78">
            <w:pPr>
              <w:pStyle w:val="Tabletext"/>
              <w:rPr>
                <w:rStyle w:val="Hyperlink"/>
                <w:sz w:val="18"/>
                <w:szCs w:val="18"/>
              </w:rPr>
            </w:pPr>
            <w:hyperlink r:id="rId122" w:tooltip="See more details" w:history="1">
              <w:r w:rsidR="00A756BE" w:rsidRPr="00124CC0">
                <w:rPr>
                  <w:rStyle w:val="Hyperlink"/>
                  <w:sz w:val="18"/>
                  <w:szCs w:val="18"/>
                </w:rPr>
                <w:t>A.1</w:t>
              </w:r>
            </w:hyperlink>
          </w:p>
        </w:tc>
        <w:tc>
          <w:tcPr>
            <w:tcW w:w="1417" w:type="dxa"/>
            <w:tcBorders>
              <w:top w:val="single" w:sz="12" w:space="0" w:color="auto"/>
            </w:tcBorders>
            <w:hideMark/>
          </w:tcPr>
          <w:p w14:paraId="1DCEDFCC"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Recommandation</w:t>
            </w:r>
          </w:p>
        </w:tc>
        <w:tc>
          <w:tcPr>
            <w:tcW w:w="992" w:type="dxa"/>
            <w:tcBorders>
              <w:top w:val="single" w:sz="12" w:space="0" w:color="auto"/>
            </w:tcBorders>
            <w:hideMark/>
          </w:tcPr>
          <w:p w14:paraId="246C45ED" w14:textId="77777777" w:rsidR="00A756BE" w:rsidRPr="00124CC0" w:rsidRDefault="00A756BE" w:rsidP="00B57C78">
            <w:pPr>
              <w:pStyle w:val="Tabletext"/>
              <w:jc w:val="center"/>
              <w:rPr>
                <w:sz w:val="18"/>
                <w:szCs w:val="18"/>
              </w:rPr>
            </w:pPr>
            <w:r w:rsidRPr="00124CC0">
              <w:rPr>
                <w:sz w:val="18"/>
                <w:szCs w:val="18"/>
              </w:rPr>
              <w:t>Révisée</w:t>
            </w:r>
          </w:p>
        </w:tc>
        <w:tc>
          <w:tcPr>
            <w:tcW w:w="993" w:type="dxa"/>
            <w:tcBorders>
              <w:top w:val="single" w:sz="12" w:space="0" w:color="auto"/>
            </w:tcBorders>
            <w:hideMark/>
          </w:tcPr>
          <w:p w14:paraId="68C368C1" w14:textId="77777777" w:rsidR="00A756BE" w:rsidRPr="00124CC0" w:rsidRDefault="00A756BE" w:rsidP="00B57C78">
            <w:pPr>
              <w:pStyle w:val="Tabletext"/>
              <w:rPr>
                <w:sz w:val="18"/>
                <w:szCs w:val="18"/>
              </w:rPr>
            </w:pPr>
            <w:r w:rsidRPr="00124CC0">
              <w:rPr>
                <w:sz w:val="18"/>
                <w:szCs w:val="18"/>
              </w:rPr>
              <w:t>À l'étude</w:t>
            </w:r>
          </w:p>
        </w:tc>
        <w:tc>
          <w:tcPr>
            <w:tcW w:w="1134" w:type="dxa"/>
            <w:tcBorders>
              <w:top w:val="single" w:sz="12" w:space="0" w:color="auto"/>
            </w:tcBorders>
            <w:hideMark/>
          </w:tcPr>
          <w:p w14:paraId="2B969988" w14:textId="77777777" w:rsidR="00A756BE" w:rsidRPr="00124CC0" w:rsidRDefault="00A756BE" w:rsidP="00B57C78">
            <w:pPr>
              <w:pStyle w:val="Tabletext"/>
              <w:jc w:val="center"/>
              <w:rPr>
                <w:sz w:val="18"/>
                <w:szCs w:val="18"/>
              </w:rPr>
            </w:pPr>
            <w:r w:rsidRPr="00124CC0">
              <w:rPr>
                <w:sz w:val="18"/>
                <w:szCs w:val="18"/>
              </w:rPr>
              <w:t>Procédure TAP</w:t>
            </w:r>
          </w:p>
        </w:tc>
        <w:tc>
          <w:tcPr>
            <w:tcW w:w="992" w:type="dxa"/>
            <w:tcBorders>
              <w:top w:val="single" w:sz="12" w:space="0" w:color="auto"/>
            </w:tcBorders>
            <w:hideMark/>
          </w:tcPr>
          <w:p w14:paraId="4B8CB74B" w14:textId="77777777" w:rsidR="00A756BE" w:rsidRPr="00124CC0" w:rsidRDefault="00A756BE" w:rsidP="00B57C78">
            <w:pPr>
              <w:pStyle w:val="Tabletext"/>
              <w:jc w:val="center"/>
              <w:rPr>
                <w:sz w:val="18"/>
                <w:szCs w:val="18"/>
              </w:rPr>
            </w:pPr>
            <w:r w:rsidRPr="00124CC0">
              <w:rPr>
                <w:sz w:val="18"/>
                <w:szCs w:val="18"/>
              </w:rPr>
              <w:t>Août 2024</w:t>
            </w:r>
          </w:p>
        </w:tc>
        <w:tc>
          <w:tcPr>
            <w:tcW w:w="1276" w:type="dxa"/>
            <w:tcBorders>
              <w:top w:val="single" w:sz="12" w:space="0" w:color="auto"/>
            </w:tcBorders>
            <w:hideMark/>
          </w:tcPr>
          <w:p w14:paraId="70609D9F" w14:textId="77777777" w:rsidR="00A756BE" w:rsidRPr="00124CC0" w:rsidRDefault="00A756BE" w:rsidP="00B57C78">
            <w:pPr>
              <w:pStyle w:val="Tabletext"/>
              <w:rPr>
                <w:sz w:val="18"/>
                <w:szCs w:val="18"/>
              </w:rPr>
            </w:pPr>
            <w:r w:rsidRPr="00124CC0">
              <w:rPr>
                <w:sz w:val="18"/>
                <w:szCs w:val="18"/>
              </w:rPr>
              <w:t>Méthodes de travail des commissions d'études du Secteur de la normalisation des télécom-munications de l'UIT</w:t>
            </w:r>
          </w:p>
        </w:tc>
        <w:tc>
          <w:tcPr>
            <w:tcW w:w="1275" w:type="dxa"/>
            <w:tcBorders>
              <w:top w:val="single" w:sz="12" w:space="0" w:color="auto"/>
            </w:tcBorders>
            <w:hideMark/>
          </w:tcPr>
          <w:p w14:paraId="458BD3BF" w14:textId="77777777" w:rsidR="00A756BE" w:rsidRPr="00124CC0" w:rsidRDefault="0067192B" w:rsidP="00B57C78">
            <w:pPr>
              <w:pStyle w:val="Tabletext"/>
              <w:jc w:val="center"/>
              <w:rPr>
                <w:rStyle w:val="Hyperlink"/>
                <w:sz w:val="18"/>
                <w:szCs w:val="18"/>
              </w:rPr>
            </w:pPr>
            <w:hyperlink r:id="rId123" w:tooltip="TSAG-TD456R3 (2024-01)" w:history="1">
              <w:r w:rsidR="00A756BE" w:rsidRPr="00124CC0">
                <w:rPr>
                  <w:rStyle w:val="Hyperlink"/>
                  <w:sz w:val="18"/>
                  <w:szCs w:val="18"/>
                </w:rPr>
                <w:t>TSAG-TD456-R3 (janvier 2024)</w:t>
              </w:r>
            </w:hyperlink>
          </w:p>
        </w:tc>
        <w:tc>
          <w:tcPr>
            <w:tcW w:w="1418" w:type="dxa"/>
            <w:tcBorders>
              <w:top w:val="single" w:sz="12" w:space="0" w:color="auto"/>
            </w:tcBorders>
            <w:hideMark/>
          </w:tcPr>
          <w:p w14:paraId="20473150" w14:textId="77777777" w:rsidR="00A756BE" w:rsidRPr="00124CC0" w:rsidRDefault="0067192B" w:rsidP="00B57C78">
            <w:pPr>
              <w:pStyle w:val="Tabletext"/>
              <w:rPr>
                <w:rStyle w:val="Hyperlink"/>
                <w:sz w:val="18"/>
                <w:szCs w:val="18"/>
              </w:rPr>
            </w:pPr>
            <w:hyperlink r:id="rId124" w:history="1">
              <w:r w:rsidR="00A756BE" w:rsidRPr="00124CC0">
                <w:rPr>
                  <w:rStyle w:val="Hyperlink"/>
                  <w:sz w:val="18"/>
                  <w:szCs w:val="18"/>
                </w:rPr>
                <w:t>Olivier Dubuisson (Orange, France)</w:t>
              </w:r>
            </w:hyperlink>
          </w:p>
        </w:tc>
        <w:tc>
          <w:tcPr>
            <w:tcW w:w="3115" w:type="dxa"/>
            <w:tcBorders>
              <w:top w:val="single" w:sz="12" w:space="0" w:color="auto"/>
            </w:tcBorders>
            <w:hideMark/>
          </w:tcPr>
          <w:p w14:paraId="663B8541" w14:textId="77777777" w:rsidR="00A756BE" w:rsidRPr="00124CC0" w:rsidRDefault="00A756BE" w:rsidP="00B57C78">
            <w:pPr>
              <w:pStyle w:val="Tabletext"/>
              <w:rPr>
                <w:sz w:val="18"/>
                <w:szCs w:val="18"/>
              </w:rPr>
            </w:pPr>
            <w:r w:rsidRPr="00124CC0">
              <w:rPr>
                <w:sz w:val="18"/>
                <w:szCs w:val="18"/>
              </w:rPr>
              <w:t xml:space="preserve">La Recommandation </w:t>
            </w:r>
            <w:r w:rsidRPr="00124CC0">
              <w:rPr>
                <w:b/>
                <w:bCs/>
                <w:sz w:val="18"/>
                <w:szCs w:val="18"/>
              </w:rPr>
              <w:t>UIT-T A.1</w:t>
            </w:r>
            <w:r w:rsidRPr="00124CC0">
              <w:rPr>
                <w:sz w:val="18"/>
                <w:szCs w:val="18"/>
              </w:rPr>
              <w:t xml:space="preserve"> décrit les méthodes de travail générales des commissions d'études de l'UIT-T.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(TD) de l'UIT-T.</w:t>
            </w:r>
          </w:p>
        </w:tc>
      </w:tr>
      <w:tr w:rsidR="00A756BE" w:rsidRPr="00124CC0" w14:paraId="716F2AC8" w14:textId="77777777" w:rsidTr="00124CC0">
        <w:trPr>
          <w:jc w:val="center"/>
        </w:trPr>
        <w:tc>
          <w:tcPr>
            <w:tcW w:w="1119" w:type="dxa"/>
            <w:hideMark/>
          </w:tcPr>
          <w:p w14:paraId="40839AF7" w14:textId="77777777" w:rsidR="00A756BE" w:rsidRPr="00124CC0" w:rsidRDefault="00A756BE" w:rsidP="00B57C78">
            <w:pPr>
              <w:pStyle w:val="Tabletext"/>
              <w:rPr>
                <w:sz w:val="18"/>
                <w:szCs w:val="18"/>
              </w:rPr>
            </w:pPr>
            <w:r w:rsidRPr="00124CC0">
              <w:rPr>
                <w:sz w:val="18"/>
                <w:szCs w:val="18"/>
              </w:rPr>
              <w:t>RG-WM</w:t>
            </w:r>
          </w:p>
        </w:tc>
        <w:tc>
          <w:tcPr>
            <w:tcW w:w="993" w:type="dxa"/>
            <w:hideMark/>
          </w:tcPr>
          <w:p w14:paraId="13DCC42F" w14:textId="77777777" w:rsidR="00A756BE" w:rsidRPr="00124CC0" w:rsidRDefault="0067192B" w:rsidP="00B57C78">
            <w:pPr>
              <w:pStyle w:val="Tabletext"/>
              <w:rPr>
                <w:rStyle w:val="Hyperlink"/>
                <w:sz w:val="18"/>
                <w:szCs w:val="18"/>
              </w:rPr>
            </w:pPr>
            <w:hyperlink r:id="rId125" w:tooltip="See more details" w:history="1">
              <w:r w:rsidR="00A756BE" w:rsidRPr="00124CC0">
                <w:rPr>
                  <w:rStyle w:val="Hyperlink"/>
                  <w:sz w:val="18"/>
                  <w:szCs w:val="18"/>
                </w:rPr>
                <w:t>A.18 (ex A.JCA)</w:t>
              </w:r>
            </w:hyperlink>
          </w:p>
        </w:tc>
        <w:tc>
          <w:tcPr>
            <w:tcW w:w="1417" w:type="dxa"/>
            <w:hideMark/>
          </w:tcPr>
          <w:p w14:paraId="175EF95F"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Recommandation</w:t>
            </w:r>
          </w:p>
        </w:tc>
        <w:tc>
          <w:tcPr>
            <w:tcW w:w="992" w:type="dxa"/>
            <w:hideMark/>
          </w:tcPr>
          <w:p w14:paraId="31917121" w14:textId="77777777" w:rsidR="00A756BE" w:rsidRPr="00124CC0" w:rsidRDefault="00A756BE" w:rsidP="00B57C78">
            <w:pPr>
              <w:pStyle w:val="Tabletext"/>
              <w:jc w:val="center"/>
              <w:rPr>
                <w:sz w:val="18"/>
                <w:szCs w:val="18"/>
              </w:rPr>
            </w:pPr>
            <w:r w:rsidRPr="00124CC0">
              <w:rPr>
                <w:sz w:val="18"/>
                <w:szCs w:val="18"/>
              </w:rPr>
              <w:t>Nouvelle</w:t>
            </w:r>
          </w:p>
        </w:tc>
        <w:tc>
          <w:tcPr>
            <w:tcW w:w="993" w:type="dxa"/>
            <w:hideMark/>
          </w:tcPr>
          <w:p w14:paraId="33ADBAA2" w14:textId="77777777" w:rsidR="00A756BE" w:rsidRPr="00124CC0" w:rsidRDefault="00A756BE" w:rsidP="00B57C78">
            <w:pPr>
              <w:pStyle w:val="Tabletext"/>
              <w:rPr>
                <w:sz w:val="18"/>
                <w:szCs w:val="18"/>
              </w:rPr>
            </w:pPr>
            <w:r w:rsidRPr="00124CC0">
              <w:rPr>
                <w:sz w:val="18"/>
                <w:szCs w:val="18"/>
              </w:rPr>
              <w:t>Déterminé le 26 janvier 2024</w:t>
            </w:r>
          </w:p>
        </w:tc>
        <w:tc>
          <w:tcPr>
            <w:tcW w:w="1134" w:type="dxa"/>
            <w:hideMark/>
          </w:tcPr>
          <w:p w14:paraId="2ADDA2CF" w14:textId="77777777" w:rsidR="00A756BE" w:rsidRPr="00124CC0" w:rsidRDefault="00A756BE" w:rsidP="00B57C78">
            <w:pPr>
              <w:pStyle w:val="Tabletext"/>
              <w:jc w:val="center"/>
              <w:rPr>
                <w:sz w:val="18"/>
                <w:szCs w:val="18"/>
              </w:rPr>
            </w:pPr>
            <w:r w:rsidRPr="00124CC0">
              <w:rPr>
                <w:sz w:val="18"/>
                <w:szCs w:val="18"/>
              </w:rPr>
              <w:t>Procédure TAP</w:t>
            </w:r>
          </w:p>
        </w:tc>
        <w:tc>
          <w:tcPr>
            <w:tcW w:w="992" w:type="dxa"/>
            <w:hideMark/>
          </w:tcPr>
          <w:p w14:paraId="13BB9D65" w14:textId="77777777" w:rsidR="00A756BE" w:rsidRPr="00124CC0" w:rsidRDefault="00A756BE" w:rsidP="00B57C78">
            <w:pPr>
              <w:pStyle w:val="Tabletext"/>
              <w:jc w:val="center"/>
              <w:rPr>
                <w:sz w:val="18"/>
                <w:szCs w:val="18"/>
              </w:rPr>
            </w:pPr>
            <w:r w:rsidRPr="00124CC0">
              <w:rPr>
                <w:sz w:val="18"/>
                <w:szCs w:val="18"/>
              </w:rPr>
              <w:t>Janvier 2024</w:t>
            </w:r>
          </w:p>
        </w:tc>
        <w:tc>
          <w:tcPr>
            <w:tcW w:w="1276" w:type="dxa"/>
            <w:hideMark/>
          </w:tcPr>
          <w:p w14:paraId="1F91D607" w14:textId="77777777" w:rsidR="00A756BE" w:rsidRPr="00124CC0" w:rsidRDefault="00A756BE" w:rsidP="00B57C78">
            <w:pPr>
              <w:pStyle w:val="Tabletext"/>
              <w:rPr>
                <w:sz w:val="18"/>
                <w:szCs w:val="18"/>
              </w:rPr>
            </w:pPr>
            <w:r w:rsidRPr="00124CC0">
              <w:rPr>
                <w:sz w:val="18"/>
                <w:szCs w:val="18"/>
              </w:rPr>
              <w:t>Activités conjointes de coordination: création et méthodes de travail</w:t>
            </w:r>
          </w:p>
        </w:tc>
        <w:tc>
          <w:tcPr>
            <w:tcW w:w="1275" w:type="dxa"/>
            <w:hideMark/>
          </w:tcPr>
          <w:p w14:paraId="38CC9612" w14:textId="77777777" w:rsidR="00A756BE" w:rsidRPr="00124CC0" w:rsidRDefault="0067192B" w:rsidP="00B57C78">
            <w:pPr>
              <w:pStyle w:val="Tabletext"/>
              <w:jc w:val="center"/>
              <w:rPr>
                <w:rStyle w:val="Hyperlink"/>
                <w:sz w:val="18"/>
                <w:szCs w:val="18"/>
              </w:rPr>
            </w:pPr>
            <w:hyperlink r:id="rId126" w:tooltip="TSAG-TD467-R1 (2024-01)" w:history="1">
              <w:r w:rsidR="00A756BE" w:rsidRPr="00124CC0">
                <w:rPr>
                  <w:rStyle w:val="Hyperlink"/>
                  <w:sz w:val="18"/>
                  <w:szCs w:val="18"/>
                </w:rPr>
                <w:t>TSAG-TD467-R1 (janvier 2024)</w:t>
              </w:r>
            </w:hyperlink>
          </w:p>
        </w:tc>
        <w:tc>
          <w:tcPr>
            <w:tcW w:w="1418" w:type="dxa"/>
            <w:hideMark/>
          </w:tcPr>
          <w:p w14:paraId="1BA60DFA" w14:textId="77777777" w:rsidR="00A756BE" w:rsidRPr="00124CC0" w:rsidRDefault="0067192B" w:rsidP="00B57C78">
            <w:pPr>
              <w:pStyle w:val="Tabletext"/>
              <w:rPr>
                <w:rStyle w:val="Hyperlink"/>
                <w:sz w:val="18"/>
                <w:szCs w:val="18"/>
              </w:rPr>
            </w:pPr>
            <w:hyperlink r:id="rId127" w:history="1">
              <w:r w:rsidR="00A756BE" w:rsidRPr="00124CC0">
                <w:rPr>
                  <w:rStyle w:val="Hyperlink"/>
                  <w:sz w:val="18"/>
                  <w:szCs w:val="18"/>
                </w:rPr>
                <w:t>Olivier Dubuisson (Orange, France)</w:t>
              </w:r>
            </w:hyperlink>
          </w:p>
        </w:tc>
        <w:tc>
          <w:tcPr>
            <w:tcW w:w="3115" w:type="dxa"/>
            <w:hideMark/>
          </w:tcPr>
          <w:p w14:paraId="4C72F6B4" w14:textId="77777777" w:rsidR="00A756BE" w:rsidRPr="00124CC0" w:rsidRDefault="00A756BE" w:rsidP="00B57C78">
            <w:pPr>
              <w:pStyle w:val="Tabletext"/>
              <w:rPr>
                <w:sz w:val="18"/>
                <w:szCs w:val="18"/>
              </w:rPr>
            </w:pPr>
            <w:r w:rsidRPr="00124CC0">
              <w:rPr>
                <w:sz w:val="18"/>
                <w:szCs w:val="18"/>
              </w:rPr>
              <w:t>Une activité conjointe de coordination est créée pour coordonner les activités sur des thèmes qui revêtent une importance pour plusieurs commissions d'études de l'UIT-T. Des rapports concernant l'avancement de leurs travaux sont soumis au GCNT ou à une commission d'études particulière. Les activités conjointes de coordination n'élaborent pas de Recommandations. Leurs méthodes de travail sont détaillées dans cette Recommandation.</w:t>
            </w:r>
          </w:p>
        </w:tc>
      </w:tr>
      <w:tr w:rsidR="00A756BE" w:rsidRPr="00124CC0" w14:paraId="72CA291D" w14:textId="77777777" w:rsidTr="00124CC0">
        <w:trPr>
          <w:cantSplit/>
          <w:jc w:val="center"/>
        </w:trPr>
        <w:tc>
          <w:tcPr>
            <w:tcW w:w="1119" w:type="dxa"/>
            <w:hideMark/>
          </w:tcPr>
          <w:p w14:paraId="50C9413A" w14:textId="77777777" w:rsidR="00A756BE" w:rsidRPr="00124CC0" w:rsidRDefault="00A756BE" w:rsidP="00B57C78">
            <w:pPr>
              <w:pStyle w:val="Tabletext"/>
              <w:rPr>
                <w:sz w:val="18"/>
                <w:szCs w:val="18"/>
              </w:rPr>
            </w:pPr>
            <w:r w:rsidRPr="00124CC0">
              <w:rPr>
                <w:sz w:val="18"/>
                <w:szCs w:val="18"/>
              </w:rPr>
              <w:lastRenderedPageBreak/>
              <w:t>RG-WM</w:t>
            </w:r>
          </w:p>
        </w:tc>
        <w:tc>
          <w:tcPr>
            <w:tcW w:w="993" w:type="dxa"/>
            <w:hideMark/>
          </w:tcPr>
          <w:p w14:paraId="53D8309A" w14:textId="77777777" w:rsidR="00A756BE" w:rsidRPr="00124CC0" w:rsidRDefault="0067192B" w:rsidP="00B57C78">
            <w:pPr>
              <w:pStyle w:val="Tabletext"/>
              <w:rPr>
                <w:rStyle w:val="Hyperlink"/>
                <w:sz w:val="18"/>
                <w:szCs w:val="18"/>
              </w:rPr>
            </w:pPr>
            <w:hyperlink r:id="rId128" w:tooltip="See more details" w:history="1">
              <w:r w:rsidR="00A756BE" w:rsidRPr="00124CC0">
                <w:rPr>
                  <w:rStyle w:val="Hyperlink"/>
                  <w:sz w:val="18"/>
                  <w:szCs w:val="18"/>
                </w:rPr>
                <w:t>A.Suppl-SGA</w:t>
              </w:r>
            </w:hyperlink>
          </w:p>
        </w:tc>
        <w:tc>
          <w:tcPr>
            <w:tcW w:w="1417" w:type="dxa"/>
            <w:hideMark/>
          </w:tcPr>
          <w:p w14:paraId="27CD5851"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Supplément</w:t>
            </w:r>
          </w:p>
        </w:tc>
        <w:tc>
          <w:tcPr>
            <w:tcW w:w="992" w:type="dxa"/>
            <w:hideMark/>
          </w:tcPr>
          <w:p w14:paraId="0BC1E323" w14:textId="77777777" w:rsidR="00A756BE" w:rsidRPr="00124CC0" w:rsidRDefault="00A756BE" w:rsidP="00B57C78">
            <w:pPr>
              <w:pStyle w:val="Tabletext"/>
              <w:jc w:val="center"/>
              <w:rPr>
                <w:sz w:val="18"/>
                <w:szCs w:val="18"/>
              </w:rPr>
            </w:pPr>
            <w:r w:rsidRPr="00124CC0">
              <w:rPr>
                <w:sz w:val="18"/>
                <w:szCs w:val="18"/>
              </w:rPr>
              <w:t>Nouvelle</w:t>
            </w:r>
          </w:p>
        </w:tc>
        <w:tc>
          <w:tcPr>
            <w:tcW w:w="993" w:type="dxa"/>
            <w:hideMark/>
          </w:tcPr>
          <w:p w14:paraId="283362AC" w14:textId="77777777" w:rsidR="00A756BE" w:rsidRPr="00124CC0" w:rsidRDefault="00A756BE" w:rsidP="00B57C78">
            <w:pPr>
              <w:pStyle w:val="Tabletext"/>
              <w:rPr>
                <w:sz w:val="18"/>
                <w:szCs w:val="18"/>
              </w:rPr>
            </w:pPr>
            <w:r w:rsidRPr="00124CC0">
              <w:rPr>
                <w:sz w:val="18"/>
                <w:szCs w:val="18"/>
              </w:rPr>
              <w:t>À l'étude</w:t>
            </w:r>
          </w:p>
        </w:tc>
        <w:tc>
          <w:tcPr>
            <w:tcW w:w="1134" w:type="dxa"/>
            <w:hideMark/>
          </w:tcPr>
          <w:p w14:paraId="565D39B9" w14:textId="77777777" w:rsidR="00A756BE" w:rsidRPr="00124CC0" w:rsidRDefault="00A756BE" w:rsidP="00B57C78">
            <w:pPr>
              <w:pStyle w:val="Tabletext"/>
              <w:jc w:val="center"/>
              <w:rPr>
                <w:sz w:val="18"/>
                <w:szCs w:val="18"/>
              </w:rPr>
            </w:pPr>
            <w:r w:rsidRPr="00124CC0">
              <w:rPr>
                <w:sz w:val="18"/>
                <w:szCs w:val="18"/>
              </w:rPr>
              <w:t>Accord</w:t>
            </w:r>
          </w:p>
        </w:tc>
        <w:tc>
          <w:tcPr>
            <w:tcW w:w="992" w:type="dxa"/>
            <w:hideMark/>
          </w:tcPr>
          <w:p w14:paraId="517C54DC" w14:textId="77777777" w:rsidR="00A756BE" w:rsidRPr="00124CC0" w:rsidRDefault="00A756BE" w:rsidP="00B57C78">
            <w:pPr>
              <w:pStyle w:val="Tabletext"/>
              <w:jc w:val="center"/>
              <w:rPr>
                <w:sz w:val="18"/>
                <w:szCs w:val="18"/>
              </w:rPr>
            </w:pPr>
            <w:r w:rsidRPr="00124CC0">
              <w:rPr>
                <w:sz w:val="18"/>
                <w:szCs w:val="18"/>
              </w:rPr>
              <w:t>Août 2024</w:t>
            </w:r>
          </w:p>
        </w:tc>
        <w:tc>
          <w:tcPr>
            <w:tcW w:w="1276" w:type="dxa"/>
            <w:hideMark/>
          </w:tcPr>
          <w:p w14:paraId="29D04FEB" w14:textId="77777777" w:rsidR="00A756BE" w:rsidRPr="00124CC0" w:rsidRDefault="00A756BE" w:rsidP="00B57C78">
            <w:pPr>
              <w:pStyle w:val="Tabletext"/>
              <w:rPr>
                <w:sz w:val="18"/>
                <w:szCs w:val="18"/>
              </w:rPr>
            </w:pPr>
            <w:r w:rsidRPr="00124CC0">
              <w:rPr>
                <w:sz w:val="18"/>
                <w:szCs w:val="18"/>
              </w:rPr>
              <w:t>Lignes directrices pour l'élaboration d'une analyse des écarts en matière de normalisation</w:t>
            </w:r>
          </w:p>
        </w:tc>
        <w:tc>
          <w:tcPr>
            <w:tcW w:w="1275" w:type="dxa"/>
            <w:hideMark/>
          </w:tcPr>
          <w:p w14:paraId="3796B59A" w14:textId="77777777" w:rsidR="00A756BE" w:rsidRPr="00124CC0" w:rsidRDefault="0067192B" w:rsidP="00B57C78">
            <w:pPr>
              <w:pStyle w:val="Tabletext"/>
              <w:jc w:val="center"/>
              <w:rPr>
                <w:rStyle w:val="Hyperlink"/>
                <w:sz w:val="18"/>
                <w:szCs w:val="18"/>
              </w:rPr>
            </w:pPr>
            <w:hyperlink r:id="rId129" w:tooltip="TSAG-TD385-R1 (2024-01)" w:history="1">
              <w:r w:rsidR="00A756BE" w:rsidRPr="00124CC0">
                <w:rPr>
                  <w:rStyle w:val="Hyperlink"/>
                  <w:sz w:val="18"/>
                  <w:szCs w:val="18"/>
                </w:rPr>
                <w:t>TSAG-TD385-R1 (janvier 2024)</w:t>
              </w:r>
            </w:hyperlink>
          </w:p>
        </w:tc>
        <w:tc>
          <w:tcPr>
            <w:tcW w:w="1418" w:type="dxa"/>
            <w:hideMark/>
          </w:tcPr>
          <w:p w14:paraId="2BC19682" w14:textId="77777777" w:rsidR="00A756BE" w:rsidRPr="00124CC0" w:rsidRDefault="0067192B" w:rsidP="00B57C78">
            <w:pPr>
              <w:pStyle w:val="Tabletext"/>
              <w:rPr>
                <w:rStyle w:val="Hyperlink"/>
                <w:sz w:val="18"/>
                <w:szCs w:val="18"/>
              </w:rPr>
            </w:pPr>
            <w:hyperlink r:id="rId130" w:history="1">
              <w:r w:rsidR="00A756BE" w:rsidRPr="00124CC0">
                <w:rPr>
                  <w:rStyle w:val="Hyperlink"/>
                  <w:sz w:val="18"/>
                  <w:szCs w:val="18"/>
                </w:rPr>
                <w:t>Olivier Dubuisson (Orange, France)</w:t>
              </w:r>
            </w:hyperlink>
          </w:p>
        </w:tc>
        <w:tc>
          <w:tcPr>
            <w:tcW w:w="3115" w:type="dxa"/>
            <w:hideMark/>
          </w:tcPr>
          <w:p w14:paraId="3CB7D098" w14:textId="77777777" w:rsidR="00A756BE" w:rsidRPr="00124CC0" w:rsidRDefault="00A756BE" w:rsidP="00B57C78">
            <w:pPr>
              <w:pStyle w:val="Tabletext"/>
              <w:rPr>
                <w:sz w:val="18"/>
                <w:szCs w:val="18"/>
              </w:rPr>
            </w:pPr>
            <w:r w:rsidRPr="00124CC0">
              <w:rPr>
                <w:sz w:val="18"/>
                <w:szCs w:val="18"/>
              </w:rPr>
              <w:t>Ce Supplément fournit des lignes directrices destinées à aider les commissions d'études de l'UIT-T à analyser les lacunes en matière de normalisation dans les travaux effectués par d'autres commissions d'études ou d'autres organisations de normalisation. Une analyse des lacunes en matière de normalisation peut s'avérer utile lorsqu'une commission d'études examine de nouveaux domaines de travail (par exemple, élaboration d'une nouvelle Question, création d'un groupe spécialisé, adjonction d'un nouveau sujet d'étude à son programme de travail).</w:t>
            </w:r>
          </w:p>
        </w:tc>
      </w:tr>
      <w:tr w:rsidR="00A756BE" w:rsidRPr="00124CC0" w14:paraId="5E1811CA" w14:textId="77777777" w:rsidTr="00124CC0">
        <w:trPr>
          <w:cantSplit/>
          <w:jc w:val="center"/>
        </w:trPr>
        <w:tc>
          <w:tcPr>
            <w:tcW w:w="1119" w:type="dxa"/>
            <w:hideMark/>
          </w:tcPr>
          <w:p w14:paraId="50982BD4" w14:textId="77777777" w:rsidR="00A756BE" w:rsidRPr="00124CC0" w:rsidRDefault="00A756BE" w:rsidP="00B57C78">
            <w:pPr>
              <w:pStyle w:val="Tabletext"/>
              <w:rPr>
                <w:sz w:val="18"/>
                <w:szCs w:val="18"/>
              </w:rPr>
            </w:pPr>
            <w:r w:rsidRPr="00124CC0">
              <w:rPr>
                <w:sz w:val="18"/>
                <w:szCs w:val="18"/>
              </w:rPr>
              <w:lastRenderedPageBreak/>
              <w:t>RG-WM</w:t>
            </w:r>
          </w:p>
        </w:tc>
        <w:tc>
          <w:tcPr>
            <w:tcW w:w="993" w:type="dxa"/>
            <w:hideMark/>
          </w:tcPr>
          <w:p w14:paraId="78D64C3D" w14:textId="77777777" w:rsidR="00A756BE" w:rsidRPr="00124CC0" w:rsidRDefault="0067192B" w:rsidP="00B57C78">
            <w:pPr>
              <w:pStyle w:val="Tabletext"/>
              <w:rPr>
                <w:rStyle w:val="Hyperlink"/>
                <w:sz w:val="18"/>
                <w:szCs w:val="18"/>
              </w:rPr>
            </w:pPr>
            <w:hyperlink r:id="rId131" w:tooltip="See more details" w:history="1">
              <w:r w:rsidR="00A756BE" w:rsidRPr="00124CC0">
                <w:rPr>
                  <w:rStyle w:val="Hyperlink"/>
                  <w:sz w:val="18"/>
                  <w:szCs w:val="18"/>
                </w:rPr>
                <w:t>A.7</w:t>
              </w:r>
            </w:hyperlink>
          </w:p>
        </w:tc>
        <w:tc>
          <w:tcPr>
            <w:tcW w:w="1417" w:type="dxa"/>
            <w:hideMark/>
          </w:tcPr>
          <w:p w14:paraId="5037B366"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Recommandation</w:t>
            </w:r>
          </w:p>
        </w:tc>
        <w:tc>
          <w:tcPr>
            <w:tcW w:w="992" w:type="dxa"/>
            <w:hideMark/>
          </w:tcPr>
          <w:p w14:paraId="03EA37FC" w14:textId="77777777" w:rsidR="00A756BE" w:rsidRPr="00124CC0" w:rsidRDefault="00A756BE" w:rsidP="00B57C78">
            <w:pPr>
              <w:pStyle w:val="Tabletext"/>
              <w:jc w:val="center"/>
              <w:rPr>
                <w:sz w:val="18"/>
                <w:szCs w:val="18"/>
              </w:rPr>
            </w:pPr>
            <w:r w:rsidRPr="00124CC0">
              <w:rPr>
                <w:sz w:val="18"/>
                <w:szCs w:val="18"/>
              </w:rPr>
              <w:t>Révisée</w:t>
            </w:r>
          </w:p>
        </w:tc>
        <w:tc>
          <w:tcPr>
            <w:tcW w:w="993" w:type="dxa"/>
            <w:hideMark/>
          </w:tcPr>
          <w:p w14:paraId="4B726F8D" w14:textId="77777777" w:rsidR="00A756BE" w:rsidRPr="00124CC0" w:rsidRDefault="00A756BE" w:rsidP="00B57C78">
            <w:pPr>
              <w:pStyle w:val="Tabletext"/>
              <w:rPr>
                <w:sz w:val="18"/>
                <w:szCs w:val="18"/>
              </w:rPr>
            </w:pPr>
            <w:r w:rsidRPr="00124CC0">
              <w:rPr>
                <w:sz w:val="18"/>
                <w:szCs w:val="18"/>
              </w:rPr>
              <w:t>Déterminé le 26 janvier 2024</w:t>
            </w:r>
          </w:p>
        </w:tc>
        <w:tc>
          <w:tcPr>
            <w:tcW w:w="1134" w:type="dxa"/>
            <w:hideMark/>
          </w:tcPr>
          <w:p w14:paraId="002E4620" w14:textId="77777777" w:rsidR="00A756BE" w:rsidRPr="00124CC0" w:rsidRDefault="00A756BE" w:rsidP="00B57C78">
            <w:pPr>
              <w:pStyle w:val="Tabletext"/>
              <w:jc w:val="center"/>
              <w:rPr>
                <w:sz w:val="18"/>
                <w:szCs w:val="18"/>
              </w:rPr>
            </w:pPr>
            <w:r w:rsidRPr="00124CC0">
              <w:rPr>
                <w:sz w:val="18"/>
                <w:szCs w:val="18"/>
              </w:rPr>
              <w:t>Procédure TAP</w:t>
            </w:r>
          </w:p>
        </w:tc>
        <w:tc>
          <w:tcPr>
            <w:tcW w:w="992" w:type="dxa"/>
            <w:hideMark/>
          </w:tcPr>
          <w:p w14:paraId="0A44DB32" w14:textId="77777777" w:rsidR="00A756BE" w:rsidRPr="00124CC0" w:rsidRDefault="00A756BE" w:rsidP="00B57C78">
            <w:pPr>
              <w:pStyle w:val="Tabletext"/>
              <w:jc w:val="center"/>
              <w:rPr>
                <w:sz w:val="18"/>
                <w:szCs w:val="18"/>
              </w:rPr>
            </w:pPr>
            <w:r w:rsidRPr="00124CC0">
              <w:rPr>
                <w:sz w:val="18"/>
                <w:szCs w:val="18"/>
              </w:rPr>
              <w:t>Janvier 2024</w:t>
            </w:r>
          </w:p>
        </w:tc>
        <w:tc>
          <w:tcPr>
            <w:tcW w:w="1276" w:type="dxa"/>
            <w:hideMark/>
          </w:tcPr>
          <w:p w14:paraId="0E99CF08" w14:textId="77777777" w:rsidR="00A756BE" w:rsidRPr="00124CC0" w:rsidRDefault="00A756BE" w:rsidP="00B57C78">
            <w:pPr>
              <w:pStyle w:val="Tabletext"/>
              <w:rPr>
                <w:sz w:val="18"/>
                <w:szCs w:val="18"/>
              </w:rPr>
            </w:pPr>
            <w:r w:rsidRPr="00124CC0">
              <w:rPr>
                <w:sz w:val="18"/>
                <w:szCs w:val="18"/>
              </w:rPr>
              <w:t>Groupes spécialisés: création et méthodes de travail</w:t>
            </w:r>
          </w:p>
        </w:tc>
        <w:tc>
          <w:tcPr>
            <w:tcW w:w="1275" w:type="dxa"/>
            <w:hideMark/>
          </w:tcPr>
          <w:p w14:paraId="3DA81ACC" w14:textId="77777777" w:rsidR="00A756BE" w:rsidRPr="00124CC0" w:rsidRDefault="0067192B" w:rsidP="00B57C78">
            <w:pPr>
              <w:pStyle w:val="Tabletext"/>
              <w:jc w:val="center"/>
              <w:rPr>
                <w:rStyle w:val="Hyperlink"/>
                <w:sz w:val="18"/>
                <w:szCs w:val="18"/>
              </w:rPr>
            </w:pPr>
            <w:hyperlink r:id="rId132" w:tooltip="TSAG-TD453 (2024-01)" w:history="1">
              <w:r w:rsidR="00A756BE" w:rsidRPr="00124CC0">
                <w:rPr>
                  <w:rStyle w:val="Hyperlink"/>
                  <w:sz w:val="18"/>
                  <w:szCs w:val="18"/>
                </w:rPr>
                <w:t>TSAG-TD453 (janvier 2024)</w:t>
              </w:r>
            </w:hyperlink>
          </w:p>
        </w:tc>
        <w:tc>
          <w:tcPr>
            <w:tcW w:w="1418" w:type="dxa"/>
            <w:hideMark/>
          </w:tcPr>
          <w:p w14:paraId="7518D7D7" w14:textId="77777777" w:rsidR="00A756BE" w:rsidRPr="00124CC0" w:rsidRDefault="0067192B" w:rsidP="00B57C78">
            <w:pPr>
              <w:pStyle w:val="Tabletext"/>
              <w:rPr>
                <w:rStyle w:val="Hyperlink"/>
                <w:sz w:val="18"/>
                <w:szCs w:val="18"/>
              </w:rPr>
            </w:pPr>
            <w:hyperlink r:id="rId133" w:history="1">
              <w:r w:rsidR="00A756BE" w:rsidRPr="00124CC0">
                <w:rPr>
                  <w:rStyle w:val="Hyperlink"/>
                  <w:sz w:val="18"/>
                  <w:szCs w:val="18"/>
                </w:rPr>
                <w:t>Ena Dekanic (FCC, États</w:t>
              </w:r>
              <w:r w:rsidR="00A756BE" w:rsidRPr="00124CC0">
                <w:rPr>
                  <w:rStyle w:val="Hyperlink"/>
                  <w:sz w:val="18"/>
                  <w:szCs w:val="18"/>
                </w:rPr>
                <w:noBreakHyphen/>
                <w:t>Unis)</w:t>
              </w:r>
            </w:hyperlink>
            <w:r w:rsidR="00A756BE" w:rsidRPr="00124CC0">
              <w:rPr>
                <w:rStyle w:val="Hyperlink"/>
                <w:sz w:val="18"/>
                <w:szCs w:val="18"/>
              </w:rPr>
              <w:t xml:space="preserve">, </w:t>
            </w:r>
            <w:hyperlink r:id="rId134" w:history="1">
              <w:r w:rsidR="00A756BE" w:rsidRPr="00124CC0">
                <w:rPr>
                  <w:rStyle w:val="Hyperlink"/>
                  <w:sz w:val="18"/>
                  <w:szCs w:val="18"/>
                </w:rPr>
                <w:t>Olivier Dubuisson (Orange, France)</w:t>
              </w:r>
            </w:hyperlink>
          </w:p>
        </w:tc>
        <w:tc>
          <w:tcPr>
            <w:tcW w:w="3115" w:type="dxa"/>
            <w:hideMark/>
          </w:tcPr>
          <w:p w14:paraId="551D3F73" w14:textId="77777777" w:rsidR="00A756BE" w:rsidRPr="00124CC0" w:rsidRDefault="00A756BE" w:rsidP="00B57C78">
            <w:pPr>
              <w:pStyle w:val="Tabletext"/>
              <w:rPr>
                <w:sz w:val="18"/>
                <w:szCs w:val="18"/>
              </w:rPr>
            </w:pPr>
            <w:r w:rsidRPr="00124CC0">
              <w:rPr>
                <w:sz w:val="18"/>
                <w:szCs w:val="18"/>
              </w:rPr>
              <w:t xml:space="preserve">La Recommandation </w:t>
            </w:r>
            <w:r w:rsidRPr="00124CC0">
              <w:rPr>
                <w:b/>
                <w:bCs/>
                <w:sz w:val="18"/>
                <w:szCs w:val="18"/>
              </w:rPr>
              <w:t>UIT-T A.7</w:t>
            </w:r>
            <w:r w:rsidRPr="00124CC0">
              <w:rPr>
                <w:sz w:val="18"/>
                <w:szCs w:val="18"/>
              </w:rPr>
              <w:t xml:space="preserve"> décrit les méthodes et procédures de travail des groupes spécialisés (création, mandat, équipe de direction, participation, financement, appui, produits livrables, etc.). Les groupes spécialisés de l'UIT</w:t>
            </w:r>
            <w:r w:rsidRPr="00124CC0">
              <w:rPr>
                <w:sz w:val="18"/>
                <w:szCs w:val="18"/>
              </w:rPr>
              <w:noBreakHyphen/>
              <w:t>T constituent un outil souple pour faire progresser de nouveaux travaux. La souplesse offerte permet aux groupes d'élaborer une grande variété de documents. Étant donné que dans de nombreux cas, les membres d'un groupe spécialisé ne possèdent pas d'expérience de l'élaboration de spécifications techniques, les documents produits par les groupes spécialisés, bien qu'ils soient utiles, doivent souvent être remaniés par les commissions d'études de rattachement. La création de lignes directrices pour les travaux des groupes spécialisés, notamment une coordination permanente avec leur entité de rattachement, pourrait faciliter une élaboration rapide des documents par l'entité de rattachement. L'Appendice 1 de la Recommandation </w:t>
            </w:r>
            <w:r w:rsidRPr="00124CC0">
              <w:rPr>
                <w:b/>
                <w:bCs/>
                <w:sz w:val="18"/>
                <w:szCs w:val="18"/>
              </w:rPr>
              <w:t>A.7</w:t>
            </w:r>
            <w:r w:rsidRPr="00124CC0">
              <w:rPr>
                <w:sz w:val="18"/>
                <w:szCs w:val="18"/>
              </w:rPr>
              <w:t xml:space="preserve"> fournit un ensemble de lignes directrices pour guider les commissions d'études et les groupes spécialisés lors de la création de groupes spécialisés, conformément à la Recommandation </w:t>
            </w:r>
            <w:r w:rsidRPr="00124CC0">
              <w:rPr>
                <w:b/>
                <w:bCs/>
                <w:sz w:val="18"/>
                <w:szCs w:val="18"/>
              </w:rPr>
              <w:t>UIT-T A7</w:t>
            </w:r>
            <w:r w:rsidRPr="00124CC0">
              <w:rPr>
                <w:sz w:val="18"/>
                <w:szCs w:val="18"/>
              </w:rPr>
              <w:t>, dont l'objectif est de produire des spécifications qui, à partir des documents élaborés par les groupes spécialisés, peuvent être transposées efficacement dans des Recommandations UIT-T, Suppléments, etc.</w:t>
            </w:r>
          </w:p>
        </w:tc>
      </w:tr>
      <w:tr w:rsidR="00A756BE" w:rsidRPr="00124CC0" w14:paraId="61278992" w14:textId="77777777" w:rsidTr="00124CC0">
        <w:trPr>
          <w:jc w:val="center"/>
        </w:trPr>
        <w:tc>
          <w:tcPr>
            <w:tcW w:w="1119" w:type="dxa"/>
            <w:hideMark/>
          </w:tcPr>
          <w:p w14:paraId="5C6F6B9E" w14:textId="77777777" w:rsidR="00A756BE" w:rsidRPr="00124CC0" w:rsidRDefault="00A756BE" w:rsidP="00B57C78">
            <w:pPr>
              <w:pStyle w:val="Tabletext"/>
              <w:rPr>
                <w:sz w:val="18"/>
                <w:szCs w:val="18"/>
              </w:rPr>
            </w:pPr>
            <w:r w:rsidRPr="00124CC0">
              <w:rPr>
                <w:sz w:val="18"/>
                <w:szCs w:val="18"/>
              </w:rPr>
              <w:lastRenderedPageBreak/>
              <w:t>RG-WM</w:t>
            </w:r>
          </w:p>
        </w:tc>
        <w:tc>
          <w:tcPr>
            <w:tcW w:w="993" w:type="dxa"/>
            <w:hideMark/>
          </w:tcPr>
          <w:p w14:paraId="39806231" w14:textId="77777777" w:rsidR="00A756BE" w:rsidRPr="00124CC0" w:rsidRDefault="0067192B" w:rsidP="00B57C78">
            <w:pPr>
              <w:pStyle w:val="Tabletext"/>
              <w:rPr>
                <w:sz w:val="18"/>
                <w:szCs w:val="18"/>
              </w:rPr>
            </w:pPr>
            <w:hyperlink r:id="rId135" w:tooltip="See more details" w:history="1">
              <w:r w:rsidR="00A756BE" w:rsidRPr="00124CC0">
                <w:rPr>
                  <w:rStyle w:val="Hyperlink"/>
                  <w:sz w:val="18"/>
                  <w:szCs w:val="18"/>
                </w:rPr>
                <w:t>A.24</w:t>
              </w:r>
              <w:r w:rsidR="00A756BE" w:rsidRPr="00124CC0">
                <w:rPr>
                  <w:sz w:val="18"/>
                  <w:szCs w:val="18"/>
                </w:rPr>
                <w:t>*</w:t>
              </w:r>
            </w:hyperlink>
          </w:p>
        </w:tc>
        <w:tc>
          <w:tcPr>
            <w:tcW w:w="1417" w:type="dxa"/>
            <w:hideMark/>
          </w:tcPr>
          <w:p w14:paraId="0D43CAD2"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Recommandation</w:t>
            </w:r>
          </w:p>
        </w:tc>
        <w:tc>
          <w:tcPr>
            <w:tcW w:w="992" w:type="dxa"/>
            <w:hideMark/>
          </w:tcPr>
          <w:p w14:paraId="7CC885AB" w14:textId="77777777" w:rsidR="00A756BE" w:rsidRPr="00124CC0" w:rsidRDefault="00A756BE" w:rsidP="00B57C78">
            <w:pPr>
              <w:pStyle w:val="Tabletext"/>
              <w:jc w:val="center"/>
              <w:rPr>
                <w:sz w:val="18"/>
                <w:szCs w:val="18"/>
              </w:rPr>
            </w:pPr>
            <w:r w:rsidRPr="00124CC0">
              <w:rPr>
                <w:sz w:val="18"/>
                <w:szCs w:val="18"/>
              </w:rPr>
              <w:t>Nouvelle</w:t>
            </w:r>
          </w:p>
        </w:tc>
        <w:tc>
          <w:tcPr>
            <w:tcW w:w="993" w:type="dxa"/>
            <w:hideMark/>
          </w:tcPr>
          <w:p w14:paraId="33BCF7D8" w14:textId="77777777" w:rsidR="00A756BE" w:rsidRPr="00124CC0" w:rsidRDefault="00A756BE" w:rsidP="00B57C78">
            <w:pPr>
              <w:pStyle w:val="Tabletext"/>
              <w:rPr>
                <w:sz w:val="18"/>
                <w:szCs w:val="18"/>
              </w:rPr>
            </w:pPr>
            <w:r w:rsidRPr="00124CC0">
              <w:rPr>
                <w:sz w:val="18"/>
                <w:szCs w:val="18"/>
              </w:rPr>
              <w:t>Déterminé le 26 janvier 2024</w:t>
            </w:r>
          </w:p>
        </w:tc>
        <w:tc>
          <w:tcPr>
            <w:tcW w:w="1134" w:type="dxa"/>
            <w:hideMark/>
          </w:tcPr>
          <w:p w14:paraId="737CE3B8" w14:textId="77777777" w:rsidR="00A756BE" w:rsidRPr="00124CC0" w:rsidRDefault="00A756BE" w:rsidP="00B57C78">
            <w:pPr>
              <w:pStyle w:val="Tabletext"/>
              <w:jc w:val="center"/>
              <w:rPr>
                <w:sz w:val="18"/>
                <w:szCs w:val="18"/>
              </w:rPr>
            </w:pPr>
            <w:r w:rsidRPr="00124CC0">
              <w:rPr>
                <w:sz w:val="18"/>
                <w:szCs w:val="18"/>
              </w:rPr>
              <w:t>Procédure TAP</w:t>
            </w:r>
          </w:p>
        </w:tc>
        <w:tc>
          <w:tcPr>
            <w:tcW w:w="992" w:type="dxa"/>
            <w:hideMark/>
          </w:tcPr>
          <w:p w14:paraId="19390A46" w14:textId="77777777" w:rsidR="00A756BE" w:rsidRPr="00124CC0" w:rsidRDefault="00A756BE" w:rsidP="00B57C78">
            <w:pPr>
              <w:pStyle w:val="Tabletext"/>
              <w:jc w:val="center"/>
              <w:rPr>
                <w:sz w:val="18"/>
                <w:szCs w:val="18"/>
              </w:rPr>
            </w:pPr>
            <w:r w:rsidRPr="00124CC0">
              <w:rPr>
                <w:sz w:val="18"/>
                <w:szCs w:val="18"/>
              </w:rPr>
              <w:t>Janvier 2024</w:t>
            </w:r>
          </w:p>
        </w:tc>
        <w:tc>
          <w:tcPr>
            <w:tcW w:w="1276" w:type="dxa"/>
            <w:hideMark/>
          </w:tcPr>
          <w:p w14:paraId="3C4BDFCB" w14:textId="77777777" w:rsidR="00A756BE" w:rsidRPr="00124CC0" w:rsidRDefault="00A756BE" w:rsidP="00B57C78">
            <w:pPr>
              <w:pStyle w:val="Tabletext"/>
              <w:rPr>
                <w:sz w:val="18"/>
                <w:szCs w:val="18"/>
              </w:rPr>
            </w:pPr>
            <w:r w:rsidRPr="00124CC0">
              <w:rPr>
                <w:sz w:val="18"/>
                <w:szCs w:val="18"/>
              </w:rPr>
              <w:t>Collaboration et échange d'informations avec d'autres organisations</w:t>
            </w:r>
          </w:p>
        </w:tc>
        <w:tc>
          <w:tcPr>
            <w:tcW w:w="1275" w:type="dxa"/>
            <w:hideMark/>
          </w:tcPr>
          <w:p w14:paraId="45D549B6" w14:textId="77777777" w:rsidR="00A756BE" w:rsidRPr="00124CC0" w:rsidRDefault="0067192B" w:rsidP="00B57C78">
            <w:pPr>
              <w:pStyle w:val="Tabletext"/>
              <w:jc w:val="center"/>
              <w:rPr>
                <w:rStyle w:val="Hyperlink"/>
                <w:sz w:val="18"/>
                <w:szCs w:val="18"/>
              </w:rPr>
            </w:pPr>
            <w:hyperlink r:id="rId136" w:tooltip="TSAG-TD470-R1 (2024-01)" w:history="1">
              <w:r w:rsidR="00A756BE" w:rsidRPr="00124CC0">
                <w:rPr>
                  <w:rStyle w:val="Hyperlink"/>
                  <w:sz w:val="18"/>
                  <w:szCs w:val="18"/>
                </w:rPr>
                <w:t>TSAG-TD470-R1 (janvier 2024)</w:t>
              </w:r>
            </w:hyperlink>
          </w:p>
        </w:tc>
        <w:tc>
          <w:tcPr>
            <w:tcW w:w="1418" w:type="dxa"/>
            <w:hideMark/>
          </w:tcPr>
          <w:p w14:paraId="2279923A" w14:textId="77777777" w:rsidR="00A756BE" w:rsidRPr="00124CC0" w:rsidRDefault="0067192B" w:rsidP="00B57C78">
            <w:pPr>
              <w:pStyle w:val="Tabletext"/>
              <w:rPr>
                <w:rStyle w:val="Hyperlink"/>
                <w:sz w:val="18"/>
                <w:szCs w:val="18"/>
              </w:rPr>
            </w:pPr>
            <w:hyperlink r:id="rId137" w:history="1">
              <w:r w:rsidR="00A756BE" w:rsidRPr="00124CC0">
                <w:rPr>
                  <w:rStyle w:val="Hyperlink"/>
                  <w:sz w:val="18"/>
                  <w:szCs w:val="18"/>
                </w:rPr>
                <w:t>Olivier Dubuisson (Orange, France)</w:t>
              </w:r>
            </w:hyperlink>
          </w:p>
        </w:tc>
        <w:tc>
          <w:tcPr>
            <w:tcW w:w="3115" w:type="dxa"/>
            <w:hideMark/>
          </w:tcPr>
          <w:p w14:paraId="2CEB7D02" w14:textId="77777777" w:rsidR="00A756BE" w:rsidRPr="00124CC0" w:rsidRDefault="00A756BE" w:rsidP="00B57C78">
            <w:pPr>
              <w:pStyle w:val="Tabletext"/>
              <w:keepLines/>
              <w:rPr>
                <w:sz w:val="18"/>
                <w:szCs w:val="18"/>
              </w:rPr>
            </w:pPr>
            <w:r w:rsidRPr="00124CC0">
              <w:rPr>
                <w:sz w:val="18"/>
                <w:szCs w:val="18"/>
              </w:rPr>
              <w:t>Cette Recommandation</w:t>
            </w:r>
            <w:r w:rsidRPr="00124CC0" w:rsidDel="009F74CA">
              <w:rPr>
                <w:sz w:val="18"/>
                <w:szCs w:val="18"/>
              </w:rPr>
              <w:t xml:space="preserve"> </w:t>
            </w:r>
            <w:r w:rsidRPr="00124CC0">
              <w:rPr>
                <w:sz w:val="18"/>
                <w:szCs w:val="18"/>
              </w:rPr>
              <w:t>décrit différentes procédures de collaboration et d'échange d'informations avec d'autres organisations habilitées, notamment une procédure générique applicable à l'élaboration d'un document de l'UIT-T (Recommandation, Supplément, etc.) en collaboration avec d'autres organisations en vue de produire des documents identiques (ou techniquement alignés).</w:t>
            </w:r>
          </w:p>
        </w:tc>
      </w:tr>
      <w:tr w:rsidR="00A756BE" w:rsidRPr="00124CC0" w14:paraId="6232C619" w14:textId="77777777" w:rsidTr="00124CC0">
        <w:trPr>
          <w:cantSplit/>
          <w:jc w:val="center"/>
        </w:trPr>
        <w:tc>
          <w:tcPr>
            <w:tcW w:w="1119" w:type="dxa"/>
            <w:hideMark/>
          </w:tcPr>
          <w:p w14:paraId="44D589B2" w14:textId="77777777" w:rsidR="00A756BE" w:rsidRPr="00124CC0" w:rsidRDefault="00A756BE" w:rsidP="00B57C78">
            <w:pPr>
              <w:pStyle w:val="Tabletext"/>
              <w:rPr>
                <w:sz w:val="18"/>
                <w:szCs w:val="18"/>
              </w:rPr>
            </w:pPr>
            <w:r w:rsidRPr="00124CC0">
              <w:rPr>
                <w:sz w:val="18"/>
                <w:szCs w:val="18"/>
              </w:rPr>
              <w:t>RG-WM</w:t>
            </w:r>
          </w:p>
        </w:tc>
        <w:tc>
          <w:tcPr>
            <w:tcW w:w="993" w:type="dxa"/>
            <w:hideMark/>
          </w:tcPr>
          <w:p w14:paraId="4F103B78" w14:textId="77777777" w:rsidR="00A756BE" w:rsidRPr="00124CC0" w:rsidRDefault="0067192B" w:rsidP="00B57C78">
            <w:pPr>
              <w:pStyle w:val="Tabletext"/>
              <w:rPr>
                <w:rStyle w:val="Hyperlink"/>
                <w:sz w:val="18"/>
                <w:szCs w:val="18"/>
              </w:rPr>
            </w:pPr>
            <w:hyperlink r:id="rId138" w:tooltip="See more details" w:history="1">
              <w:r w:rsidR="00A756BE" w:rsidRPr="00124CC0">
                <w:rPr>
                  <w:rStyle w:val="Hyperlink"/>
                  <w:sz w:val="18"/>
                  <w:szCs w:val="18"/>
                </w:rPr>
                <w:t>A.RA (ex A.Suppl-RA)</w:t>
              </w:r>
            </w:hyperlink>
          </w:p>
        </w:tc>
        <w:tc>
          <w:tcPr>
            <w:tcW w:w="1417" w:type="dxa"/>
            <w:hideMark/>
          </w:tcPr>
          <w:p w14:paraId="3CC64136"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Recommandation</w:t>
            </w:r>
          </w:p>
        </w:tc>
        <w:tc>
          <w:tcPr>
            <w:tcW w:w="992" w:type="dxa"/>
            <w:hideMark/>
          </w:tcPr>
          <w:p w14:paraId="1CC08D8F" w14:textId="77777777" w:rsidR="00A756BE" w:rsidRPr="00124CC0" w:rsidRDefault="00A756BE" w:rsidP="00B57C78">
            <w:pPr>
              <w:pStyle w:val="Tabletext"/>
              <w:jc w:val="center"/>
              <w:rPr>
                <w:sz w:val="18"/>
                <w:szCs w:val="18"/>
              </w:rPr>
            </w:pPr>
            <w:r w:rsidRPr="00124CC0">
              <w:rPr>
                <w:sz w:val="18"/>
                <w:szCs w:val="18"/>
              </w:rPr>
              <w:t>Nouvelle</w:t>
            </w:r>
          </w:p>
        </w:tc>
        <w:tc>
          <w:tcPr>
            <w:tcW w:w="993" w:type="dxa"/>
            <w:hideMark/>
          </w:tcPr>
          <w:p w14:paraId="220371BB" w14:textId="77777777" w:rsidR="00A756BE" w:rsidRPr="00124CC0" w:rsidRDefault="00A756BE" w:rsidP="00B57C78">
            <w:pPr>
              <w:pStyle w:val="Tabletext"/>
              <w:rPr>
                <w:sz w:val="18"/>
                <w:szCs w:val="18"/>
              </w:rPr>
            </w:pPr>
            <w:r w:rsidRPr="00124CC0">
              <w:rPr>
                <w:sz w:val="18"/>
                <w:szCs w:val="18"/>
              </w:rPr>
              <w:t>À l'étude</w:t>
            </w:r>
          </w:p>
        </w:tc>
        <w:tc>
          <w:tcPr>
            <w:tcW w:w="1134" w:type="dxa"/>
            <w:hideMark/>
          </w:tcPr>
          <w:p w14:paraId="792ED10C" w14:textId="77777777" w:rsidR="00A756BE" w:rsidRPr="00124CC0" w:rsidRDefault="00A756BE" w:rsidP="00B57C78">
            <w:pPr>
              <w:pStyle w:val="Tabletext"/>
              <w:jc w:val="center"/>
              <w:rPr>
                <w:sz w:val="18"/>
                <w:szCs w:val="18"/>
              </w:rPr>
            </w:pPr>
            <w:r w:rsidRPr="00124CC0">
              <w:rPr>
                <w:sz w:val="18"/>
                <w:szCs w:val="18"/>
              </w:rPr>
              <w:t>Procédure TAP</w:t>
            </w:r>
          </w:p>
        </w:tc>
        <w:tc>
          <w:tcPr>
            <w:tcW w:w="992" w:type="dxa"/>
            <w:hideMark/>
          </w:tcPr>
          <w:p w14:paraId="1416A975" w14:textId="77777777" w:rsidR="00A756BE" w:rsidRPr="00124CC0" w:rsidRDefault="00A756BE" w:rsidP="00B57C78">
            <w:pPr>
              <w:pStyle w:val="Tabletext"/>
              <w:jc w:val="center"/>
              <w:rPr>
                <w:sz w:val="18"/>
                <w:szCs w:val="18"/>
              </w:rPr>
            </w:pPr>
            <w:r w:rsidRPr="00124CC0">
              <w:rPr>
                <w:sz w:val="18"/>
                <w:szCs w:val="18"/>
              </w:rPr>
              <w:t>Août 2024</w:t>
            </w:r>
          </w:p>
        </w:tc>
        <w:tc>
          <w:tcPr>
            <w:tcW w:w="1276" w:type="dxa"/>
            <w:hideMark/>
          </w:tcPr>
          <w:p w14:paraId="446F96CA" w14:textId="77777777" w:rsidR="00A756BE" w:rsidRPr="00124CC0" w:rsidRDefault="00A756BE" w:rsidP="00B57C78">
            <w:pPr>
              <w:pStyle w:val="Tabletext"/>
              <w:rPr>
                <w:sz w:val="18"/>
                <w:szCs w:val="18"/>
              </w:rPr>
            </w:pPr>
            <w:r w:rsidRPr="00124CC0">
              <w:rPr>
                <w:sz w:val="18"/>
                <w:szCs w:val="18"/>
              </w:rPr>
              <w:t xml:space="preserve">Désignation et fonctionnement des autorités d'enregistrement </w:t>
            </w:r>
          </w:p>
        </w:tc>
        <w:tc>
          <w:tcPr>
            <w:tcW w:w="1275" w:type="dxa"/>
            <w:hideMark/>
          </w:tcPr>
          <w:p w14:paraId="07F8A073" w14:textId="77777777" w:rsidR="00A756BE" w:rsidRPr="00124CC0" w:rsidRDefault="0067192B" w:rsidP="00B57C78">
            <w:pPr>
              <w:pStyle w:val="Tabletext"/>
              <w:jc w:val="center"/>
              <w:rPr>
                <w:rStyle w:val="Hyperlink"/>
                <w:sz w:val="18"/>
                <w:szCs w:val="18"/>
              </w:rPr>
            </w:pPr>
            <w:hyperlink r:id="rId139" w:tooltip="TSAG-TD251-R1 (2023-05)" w:history="1">
              <w:r w:rsidR="00A756BE" w:rsidRPr="00124CC0">
                <w:rPr>
                  <w:rStyle w:val="Hyperlink"/>
                  <w:sz w:val="18"/>
                  <w:szCs w:val="18"/>
                </w:rPr>
                <w:t>TSAG-TD251-R1 (mai 2023)</w:t>
              </w:r>
            </w:hyperlink>
          </w:p>
        </w:tc>
        <w:tc>
          <w:tcPr>
            <w:tcW w:w="1418" w:type="dxa"/>
            <w:hideMark/>
          </w:tcPr>
          <w:p w14:paraId="682FFFD1" w14:textId="77777777" w:rsidR="00A756BE" w:rsidRPr="00124CC0" w:rsidRDefault="0067192B" w:rsidP="00B57C78">
            <w:pPr>
              <w:pStyle w:val="Tabletext"/>
              <w:rPr>
                <w:sz w:val="18"/>
                <w:szCs w:val="18"/>
              </w:rPr>
            </w:pPr>
            <w:hyperlink r:id="rId140" w:history="1">
              <w:r w:rsidR="00A756BE" w:rsidRPr="00124CC0">
                <w:rPr>
                  <w:rStyle w:val="Hyperlink"/>
                  <w:rFonts w:ascii="Times New Roman" w:hAnsi="Times New Roman"/>
                  <w:sz w:val="18"/>
                  <w:szCs w:val="18"/>
                </w:rPr>
                <w:t>Olivier Dubuisson (Orange, France)</w:t>
              </w:r>
            </w:hyperlink>
            <w:r w:rsidR="00A756BE" w:rsidRPr="00124CC0">
              <w:rPr>
                <w:sz w:val="18"/>
                <w:szCs w:val="18"/>
              </w:rPr>
              <w:t>,</w:t>
            </w:r>
          </w:p>
          <w:p w14:paraId="1475DCEE" w14:textId="77777777" w:rsidR="00A756BE" w:rsidRPr="00124CC0" w:rsidRDefault="0067192B" w:rsidP="00B57C78">
            <w:pPr>
              <w:pStyle w:val="Tabletext"/>
              <w:rPr>
                <w:sz w:val="18"/>
                <w:szCs w:val="18"/>
              </w:rPr>
            </w:pPr>
            <w:hyperlink r:id="rId141" w:history="1">
              <w:r w:rsidR="00A756BE" w:rsidRPr="00124CC0">
                <w:rPr>
                  <w:rStyle w:val="Hyperlink"/>
                  <w:rFonts w:ascii="Times New Roman" w:hAnsi="Times New Roman"/>
                  <w:sz w:val="18"/>
                  <w:szCs w:val="18"/>
                </w:rPr>
                <w:t>Philip Rushton (DSIT, Royaume</w:t>
              </w:r>
              <w:r w:rsidR="00A756BE" w:rsidRPr="00124CC0">
                <w:rPr>
                  <w:rStyle w:val="Hyperlink"/>
                  <w:rFonts w:ascii="Times New Roman" w:hAnsi="Times New Roman"/>
                  <w:sz w:val="18"/>
                  <w:szCs w:val="18"/>
                </w:rPr>
                <w:noBreakHyphen/>
                <w:t>Uni)</w:t>
              </w:r>
            </w:hyperlink>
          </w:p>
        </w:tc>
        <w:tc>
          <w:tcPr>
            <w:tcW w:w="3115" w:type="dxa"/>
            <w:hideMark/>
          </w:tcPr>
          <w:p w14:paraId="08A94E70" w14:textId="77777777" w:rsidR="00A756BE" w:rsidRPr="00124CC0" w:rsidRDefault="00A756BE" w:rsidP="00B57C78">
            <w:pPr>
              <w:pStyle w:val="Tabletext"/>
              <w:rPr>
                <w:sz w:val="18"/>
                <w:szCs w:val="18"/>
              </w:rPr>
            </w:pPr>
            <w:r w:rsidRPr="00124CC0">
              <w:rPr>
                <w:sz w:val="18"/>
                <w:szCs w:val="18"/>
              </w:rPr>
              <w:t>Cette Recommandation fournit des directives visant à aider les commissions d'études de l'UIT-T à élaborer des Recommandations avec une fonction d'enregistrement et à choisir une autorité d'enregistrement pour assurer cette fonction.</w:t>
            </w:r>
          </w:p>
        </w:tc>
      </w:tr>
      <w:tr w:rsidR="00A756BE" w:rsidRPr="00124CC0" w14:paraId="1514E5AA" w14:textId="77777777" w:rsidTr="00124CC0">
        <w:trPr>
          <w:jc w:val="center"/>
        </w:trPr>
        <w:tc>
          <w:tcPr>
            <w:tcW w:w="1119" w:type="dxa"/>
            <w:hideMark/>
          </w:tcPr>
          <w:p w14:paraId="50E69BC0" w14:textId="77777777" w:rsidR="00A756BE" w:rsidRPr="00124CC0" w:rsidRDefault="00A756BE" w:rsidP="00B57C78">
            <w:pPr>
              <w:pStyle w:val="Tabletext"/>
              <w:rPr>
                <w:sz w:val="18"/>
                <w:szCs w:val="18"/>
              </w:rPr>
            </w:pPr>
            <w:r w:rsidRPr="00124CC0">
              <w:rPr>
                <w:sz w:val="18"/>
                <w:szCs w:val="18"/>
              </w:rPr>
              <w:t>RG-WTSA</w:t>
            </w:r>
          </w:p>
        </w:tc>
        <w:tc>
          <w:tcPr>
            <w:tcW w:w="993" w:type="dxa"/>
            <w:hideMark/>
          </w:tcPr>
          <w:p w14:paraId="39F1F974" w14:textId="77777777" w:rsidR="00A756BE" w:rsidRPr="00124CC0" w:rsidRDefault="0067192B" w:rsidP="00B57C78">
            <w:pPr>
              <w:pStyle w:val="Tabletext"/>
              <w:rPr>
                <w:rStyle w:val="Hyperlink"/>
                <w:sz w:val="18"/>
                <w:szCs w:val="18"/>
              </w:rPr>
            </w:pPr>
            <w:hyperlink r:id="rId142" w:tooltip="See more details" w:history="1">
              <w:r w:rsidR="00A756BE" w:rsidRPr="00124CC0">
                <w:rPr>
                  <w:rStyle w:val="Hyperlink"/>
                  <w:sz w:val="18"/>
                  <w:szCs w:val="18"/>
                </w:rPr>
                <w:t>A.BN</w:t>
              </w:r>
            </w:hyperlink>
          </w:p>
        </w:tc>
        <w:tc>
          <w:tcPr>
            <w:tcW w:w="1417" w:type="dxa"/>
            <w:hideMark/>
          </w:tcPr>
          <w:p w14:paraId="12FBB5C7"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Autre</w:t>
            </w:r>
          </w:p>
        </w:tc>
        <w:tc>
          <w:tcPr>
            <w:tcW w:w="992" w:type="dxa"/>
            <w:hideMark/>
          </w:tcPr>
          <w:p w14:paraId="5D795694" w14:textId="77777777" w:rsidR="00A756BE" w:rsidRPr="00124CC0" w:rsidRDefault="00A756BE" w:rsidP="00B57C78">
            <w:pPr>
              <w:pStyle w:val="Tabletext"/>
              <w:jc w:val="center"/>
              <w:rPr>
                <w:sz w:val="18"/>
                <w:szCs w:val="18"/>
              </w:rPr>
            </w:pPr>
            <w:r w:rsidRPr="00124CC0">
              <w:rPr>
                <w:sz w:val="18"/>
                <w:szCs w:val="18"/>
              </w:rPr>
              <w:t>Nouvelle</w:t>
            </w:r>
          </w:p>
        </w:tc>
        <w:tc>
          <w:tcPr>
            <w:tcW w:w="993" w:type="dxa"/>
            <w:hideMark/>
          </w:tcPr>
          <w:p w14:paraId="12FB49F4" w14:textId="77777777" w:rsidR="00A756BE" w:rsidRPr="00124CC0" w:rsidRDefault="00A756BE" w:rsidP="00B57C78">
            <w:pPr>
              <w:pStyle w:val="Tabletext"/>
              <w:rPr>
                <w:sz w:val="18"/>
                <w:szCs w:val="18"/>
              </w:rPr>
            </w:pPr>
            <w:r w:rsidRPr="00124CC0">
              <w:rPr>
                <w:sz w:val="18"/>
                <w:szCs w:val="18"/>
              </w:rPr>
              <w:t>À l'étude</w:t>
            </w:r>
          </w:p>
        </w:tc>
        <w:tc>
          <w:tcPr>
            <w:tcW w:w="1134" w:type="dxa"/>
            <w:hideMark/>
          </w:tcPr>
          <w:p w14:paraId="4D50D57B" w14:textId="77777777" w:rsidR="00A756BE" w:rsidRPr="00124CC0" w:rsidRDefault="00A756BE" w:rsidP="00B57C78">
            <w:pPr>
              <w:pStyle w:val="Tabletext"/>
              <w:jc w:val="center"/>
              <w:rPr>
                <w:sz w:val="18"/>
                <w:szCs w:val="18"/>
              </w:rPr>
            </w:pPr>
            <w:r w:rsidRPr="00124CC0">
              <w:rPr>
                <w:sz w:val="18"/>
                <w:szCs w:val="18"/>
              </w:rPr>
              <w:t>Accord</w:t>
            </w:r>
          </w:p>
        </w:tc>
        <w:tc>
          <w:tcPr>
            <w:tcW w:w="992" w:type="dxa"/>
            <w:hideMark/>
          </w:tcPr>
          <w:p w14:paraId="311AA03C" w14:textId="77777777" w:rsidR="00A756BE" w:rsidRPr="00124CC0" w:rsidRDefault="00A756BE" w:rsidP="00B57C78">
            <w:pPr>
              <w:pStyle w:val="Tabletext"/>
              <w:jc w:val="center"/>
              <w:rPr>
                <w:sz w:val="18"/>
                <w:szCs w:val="18"/>
              </w:rPr>
            </w:pPr>
            <w:r w:rsidRPr="00124CC0">
              <w:rPr>
                <w:sz w:val="18"/>
                <w:szCs w:val="18"/>
              </w:rPr>
              <w:t>Juillet 2024</w:t>
            </w:r>
          </w:p>
        </w:tc>
        <w:tc>
          <w:tcPr>
            <w:tcW w:w="1276" w:type="dxa"/>
            <w:hideMark/>
          </w:tcPr>
          <w:p w14:paraId="6581DB63" w14:textId="77777777" w:rsidR="00A756BE" w:rsidRPr="00124CC0" w:rsidRDefault="00A756BE" w:rsidP="00B57C78">
            <w:pPr>
              <w:pStyle w:val="Tabletext"/>
              <w:rPr>
                <w:sz w:val="18"/>
                <w:szCs w:val="18"/>
              </w:rPr>
            </w:pPr>
            <w:r w:rsidRPr="00124CC0">
              <w:rPr>
                <w:sz w:val="18"/>
                <w:szCs w:val="18"/>
              </w:rPr>
              <w:t>Note d'information sur la présidence des séances des sous-groupes de commission/</w:t>
            </w:r>
            <w:r w:rsidRPr="00124CC0">
              <w:rPr>
                <w:sz w:val="18"/>
                <w:szCs w:val="18"/>
              </w:rPr>
              <w:br/>
              <w:t xml:space="preserve">groupes ad hoc de l'AMNT </w:t>
            </w:r>
          </w:p>
        </w:tc>
        <w:tc>
          <w:tcPr>
            <w:tcW w:w="1275" w:type="dxa"/>
            <w:hideMark/>
          </w:tcPr>
          <w:p w14:paraId="41CA4AA5" w14:textId="77777777" w:rsidR="00A756BE" w:rsidRPr="00124CC0" w:rsidRDefault="0067192B" w:rsidP="00B57C78">
            <w:pPr>
              <w:pStyle w:val="Tabletext"/>
              <w:jc w:val="center"/>
              <w:rPr>
                <w:rStyle w:val="Hyperlink"/>
                <w:sz w:val="18"/>
                <w:szCs w:val="18"/>
              </w:rPr>
            </w:pPr>
            <w:hyperlink r:id="rId143" w:tooltip="TSAG-TD473-R2 (2024-01)" w:history="1">
              <w:r w:rsidR="00A756BE" w:rsidRPr="00124CC0">
                <w:rPr>
                  <w:rStyle w:val="Hyperlink"/>
                  <w:sz w:val="18"/>
                  <w:szCs w:val="18"/>
                </w:rPr>
                <w:t>TSAG-TD473-R1 (janvier 2024)</w:t>
              </w:r>
            </w:hyperlink>
          </w:p>
        </w:tc>
        <w:tc>
          <w:tcPr>
            <w:tcW w:w="1418" w:type="dxa"/>
            <w:hideMark/>
          </w:tcPr>
          <w:p w14:paraId="089E6214" w14:textId="77777777" w:rsidR="00A756BE" w:rsidRPr="00124CC0" w:rsidRDefault="0067192B" w:rsidP="00B57C78">
            <w:pPr>
              <w:pStyle w:val="Tabletext"/>
              <w:rPr>
                <w:rStyle w:val="Hyperlink"/>
                <w:sz w:val="18"/>
                <w:szCs w:val="18"/>
              </w:rPr>
            </w:pPr>
            <w:hyperlink r:id="rId144" w:history="1">
              <w:r w:rsidR="00A756BE" w:rsidRPr="00124CC0">
                <w:rPr>
                  <w:rStyle w:val="Hyperlink"/>
                  <w:sz w:val="18"/>
                  <w:szCs w:val="18"/>
                </w:rPr>
                <w:t>Fang Li (CAICT, MIIT, Chine)</w:t>
              </w:r>
            </w:hyperlink>
          </w:p>
        </w:tc>
        <w:tc>
          <w:tcPr>
            <w:tcW w:w="3115" w:type="dxa"/>
            <w:hideMark/>
          </w:tcPr>
          <w:p w14:paraId="3F254D57" w14:textId="77777777" w:rsidR="00A756BE" w:rsidRPr="00124CC0" w:rsidRDefault="00A756BE" w:rsidP="00B57C78">
            <w:pPr>
              <w:pStyle w:val="Tabletext"/>
              <w:rPr>
                <w:sz w:val="18"/>
                <w:szCs w:val="18"/>
              </w:rPr>
            </w:pPr>
            <w:r w:rsidRPr="00124CC0">
              <w:rPr>
                <w:sz w:val="18"/>
                <w:szCs w:val="18"/>
              </w:rPr>
              <w:t>Ce document est fondé sur les Règles générales de l'UIT et regroupe les informations destinées à guider le président d'un sous-groupe d'une commission de l'AMNT (par exemple, un groupe de travail d'une commission de l'Assemblée ou des groupes ad hoc) sur la manière d'organiser les discussions et l'examen des Résolutions de l'AMNT en vue d'un accord consensuel et de mettre en évidence les pratiques communes.</w:t>
            </w:r>
          </w:p>
        </w:tc>
      </w:tr>
      <w:tr w:rsidR="00A756BE" w:rsidRPr="00124CC0" w14:paraId="116B568C" w14:textId="77777777" w:rsidTr="00124CC0">
        <w:trPr>
          <w:cantSplit/>
          <w:jc w:val="center"/>
        </w:trPr>
        <w:tc>
          <w:tcPr>
            <w:tcW w:w="1119" w:type="dxa"/>
            <w:tcBorders>
              <w:bottom w:val="single" w:sz="12" w:space="0" w:color="auto"/>
            </w:tcBorders>
            <w:hideMark/>
          </w:tcPr>
          <w:p w14:paraId="5DBB632D" w14:textId="77777777" w:rsidR="00A756BE" w:rsidRPr="00124CC0" w:rsidRDefault="00A756BE" w:rsidP="00B57C78">
            <w:pPr>
              <w:pStyle w:val="Tabletext"/>
              <w:rPr>
                <w:sz w:val="18"/>
                <w:szCs w:val="18"/>
              </w:rPr>
            </w:pPr>
            <w:r w:rsidRPr="00124CC0">
              <w:rPr>
                <w:sz w:val="18"/>
                <w:szCs w:val="18"/>
              </w:rPr>
              <w:lastRenderedPageBreak/>
              <w:t>RG-WTSA</w:t>
            </w:r>
          </w:p>
        </w:tc>
        <w:tc>
          <w:tcPr>
            <w:tcW w:w="993" w:type="dxa"/>
            <w:tcBorders>
              <w:bottom w:val="single" w:sz="12" w:space="0" w:color="auto"/>
            </w:tcBorders>
            <w:hideMark/>
          </w:tcPr>
          <w:p w14:paraId="78D8ACEE" w14:textId="77777777" w:rsidR="00A756BE" w:rsidRPr="00124CC0" w:rsidRDefault="0067192B" w:rsidP="00B57C78">
            <w:pPr>
              <w:pStyle w:val="Tabletext"/>
              <w:rPr>
                <w:rStyle w:val="Hyperlink"/>
                <w:sz w:val="18"/>
                <w:szCs w:val="18"/>
              </w:rPr>
            </w:pPr>
            <w:hyperlink r:id="rId145" w:tooltip="See more details" w:history="1">
              <w:r w:rsidR="00A756BE" w:rsidRPr="00124CC0">
                <w:rPr>
                  <w:rStyle w:val="Hyperlink"/>
                  <w:sz w:val="18"/>
                  <w:szCs w:val="18"/>
                </w:rPr>
                <w:t>A.Suppl-WTSAGL</w:t>
              </w:r>
            </w:hyperlink>
          </w:p>
        </w:tc>
        <w:tc>
          <w:tcPr>
            <w:tcW w:w="1417" w:type="dxa"/>
            <w:tcBorders>
              <w:bottom w:val="single" w:sz="12" w:space="0" w:color="auto"/>
            </w:tcBorders>
            <w:hideMark/>
          </w:tcPr>
          <w:p w14:paraId="2B6F22C5" w14:textId="77777777" w:rsidR="00A756BE" w:rsidRPr="00124CC0" w:rsidRDefault="00A756BE" w:rsidP="00124CC0">
            <w:pPr>
              <w:pStyle w:val="Tabletext"/>
              <w:tabs>
                <w:tab w:val="clear" w:pos="1134"/>
                <w:tab w:val="clear" w:pos="1418"/>
                <w:tab w:val="clear" w:pos="2268"/>
              </w:tabs>
              <w:ind w:left="-108" w:right="-108"/>
              <w:jc w:val="center"/>
              <w:rPr>
                <w:sz w:val="18"/>
                <w:szCs w:val="18"/>
              </w:rPr>
            </w:pPr>
            <w:r w:rsidRPr="00124CC0">
              <w:rPr>
                <w:sz w:val="18"/>
                <w:szCs w:val="18"/>
              </w:rPr>
              <w:t>Supplément</w:t>
            </w:r>
          </w:p>
        </w:tc>
        <w:tc>
          <w:tcPr>
            <w:tcW w:w="992" w:type="dxa"/>
            <w:tcBorders>
              <w:bottom w:val="single" w:sz="12" w:space="0" w:color="auto"/>
            </w:tcBorders>
            <w:hideMark/>
          </w:tcPr>
          <w:p w14:paraId="6195A03A" w14:textId="77777777" w:rsidR="00A756BE" w:rsidRPr="00124CC0" w:rsidRDefault="00A756BE" w:rsidP="00B57C78">
            <w:pPr>
              <w:pStyle w:val="Tabletext"/>
              <w:jc w:val="center"/>
              <w:rPr>
                <w:sz w:val="18"/>
                <w:szCs w:val="18"/>
              </w:rPr>
            </w:pPr>
            <w:r w:rsidRPr="00124CC0">
              <w:rPr>
                <w:sz w:val="18"/>
                <w:szCs w:val="18"/>
              </w:rPr>
              <w:t>Nouvelle</w:t>
            </w:r>
          </w:p>
        </w:tc>
        <w:tc>
          <w:tcPr>
            <w:tcW w:w="993" w:type="dxa"/>
            <w:tcBorders>
              <w:bottom w:val="single" w:sz="12" w:space="0" w:color="auto"/>
            </w:tcBorders>
            <w:hideMark/>
          </w:tcPr>
          <w:p w14:paraId="4430C7E8" w14:textId="77777777" w:rsidR="00A756BE" w:rsidRPr="00124CC0" w:rsidRDefault="00A756BE" w:rsidP="00B57C78">
            <w:pPr>
              <w:pStyle w:val="Tabletext"/>
              <w:rPr>
                <w:sz w:val="18"/>
                <w:szCs w:val="18"/>
              </w:rPr>
            </w:pPr>
            <w:r w:rsidRPr="00124CC0">
              <w:rPr>
                <w:sz w:val="18"/>
                <w:szCs w:val="18"/>
              </w:rPr>
              <w:t>À l'étude</w:t>
            </w:r>
          </w:p>
        </w:tc>
        <w:tc>
          <w:tcPr>
            <w:tcW w:w="1134" w:type="dxa"/>
            <w:tcBorders>
              <w:bottom w:val="single" w:sz="12" w:space="0" w:color="auto"/>
            </w:tcBorders>
            <w:hideMark/>
          </w:tcPr>
          <w:p w14:paraId="1E71EC45" w14:textId="77777777" w:rsidR="00A756BE" w:rsidRPr="00124CC0" w:rsidRDefault="00A756BE" w:rsidP="00B57C78">
            <w:pPr>
              <w:pStyle w:val="Tabletext"/>
              <w:jc w:val="center"/>
              <w:rPr>
                <w:sz w:val="18"/>
                <w:szCs w:val="18"/>
              </w:rPr>
            </w:pPr>
            <w:r w:rsidRPr="00124CC0">
              <w:rPr>
                <w:sz w:val="18"/>
                <w:szCs w:val="18"/>
              </w:rPr>
              <w:t>Accord</w:t>
            </w:r>
          </w:p>
        </w:tc>
        <w:tc>
          <w:tcPr>
            <w:tcW w:w="992" w:type="dxa"/>
            <w:tcBorders>
              <w:bottom w:val="single" w:sz="12" w:space="0" w:color="auto"/>
            </w:tcBorders>
            <w:hideMark/>
          </w:tcPr>
          <w:p w14:paraId="1381D681" w14:textId="77777777" w:rsidR="00A756BE" w:rsidRPr="00124CC0" w:rsidRDefault="00A756BE" w:rsidP="00B57C78">
            <w:pPr>
              <w:pStyle w:val="Tabletext"/>
              <w:jc w:val="center"/>
              <w:rPr>
                <w:sz w:val="18"/>
                <w:szCs w:val="18"/>
              </w:rPr>
            </w:pPr>
            <w:r w:rsidRPr="00124CC0">
              <w:rPr>
                <w:sz w:val="18"/>
                <w:szCs w:val="18"/>
              </w:rPr>
              <w:t>Juillet 2024</w:t>
            </w:r>
          </w:p>
        </w:tc>
        <w:tc>
          <w:tcPr>
            <w:tcW w:w="1276" w:type="dxa"/>
            <w:tcBorders>
              <w:bottom w:val="single" w:sz="12" w:space="0" w:color="auto"/>
            </w:tcBorders>
            <w:hideMark/>
          </w:tcPr>
          <w:p w14:paraId="770ED89E" w14:textId="77777777" w:rsidR="00A756BE" w:rsidRPr="00124CC0" w:rsidRDefault="00A756BE" w:rsidP="00B57C78">
            <w:pPr>
              <w:pStyle w:val="Tabletext"/>
              <w:rPr>
                <w:sz w:val="18"/>
                <w:szCs w:val="18"/>
              </w:rPr>
            </w:pPr>
            <w:r w:rsidRPr="00124CC0">
              <w:rPr>
                <w:sz w:val="18"/>
                <w:szCs w:val="18"/>
              </w:rPr>
              <w:t xml:space="preserve">Lignes directrices relatives aux travaux préparatoires de l'AMNT sur les Résolutions </w:t>
            </w:r>
          </w:p>
        </w:tc>
        <w:tc>
          <w:tcPr>
            <w:tcW w:w="1275" w:type="dxa"/>
            <w:tcBorders>
              <w:bottom w:val="single" w:sz="12" w:space="0" w:color="auto"/>
            </w:tcBorders>
            <w:hideMark/>
          </w:tcPr>
          <w:p w14:paraId="0F9929BA" w14:textId="77777777" w:rsidR="00A756BE" w:rsidRPr="00124CC0" w:rsidRDefault="0067192B" w:rsidP="00B57C78">
            <w:pPr>
              <w:pStyle w:val="Tabletext"/>
              <w:jc w:val="center"/>
              <w:rPr>
                <w:rStyle w:val="Hyperlink"/>
                <w:sz w:val="18"/>
                <w:szCs w:val="18"/>
              </w:rPr>
            </w:pPr>
            <w:hyperlink r:id="rId146" w:tooltip="TSAG-TD472-R3 (2024-01)" w:history="1">
              <w:r w:rsidR="00A756BE" w:rsidRPr="00124CC0">
                <w:rPr>
                  <w:rStyle w:val="Hyperlink"/>
                  <w:sz w:val="18"/>
                  <w:szCs w:val="18"/>
                </w:rPr>
                <w:t>TSAG-TD472-R3 (janvier 2024)</w:t>
              </w:r>
            </w:hyperlink>
          </w:p>
        </w:tc>
        <w:tc>
          <w:tcPr>
            <w:tcW w:w="1418" w:type="dxa"/>
            <w:tcBorders>
              <w:bottom w:val="single" w:sz="12" w:space="0" w:color="auto"/>
            </w:tcBorders>
            <w:hideMark/>
          </w:tcPr>
          <w:p w14:paraId="01E26FA8" w14:textId="77777777" w:rsidR="00A756BE" w:rsidRPr="00124CC0" w:rsidRDefault="0067192B" w:rsidP="00B57C78">
            <w:pPr>
              <w:pStyle w:val="Tabletext"/>
              <w:rPr>
                <w:rStyle w:val="Hyperlink"/>
                <w:sz w:val="18"/>
                <w:szCs w:val="18"/>
              </w:rPr>
            </w:pPr>
            <w:hyperlink r:id="rId147" w:history="1">
              <w:r w:rsidR="00A756BE" w:rsidRPr="00124CC0">
                <w:rPr>
                  <w:rStyle w:val="Hyperlink"/>
                  <w:sz w:val="18"/>
                  <w:szCs w:val="18"/>
                </w:rPr>
                <w:t>Evgeny Tonkikh (NIIR, Russie)</w:t>
              </w:r>
            </w:hyperlink>
          </w:p>
        </w:tc>
        <w:tc>
          <w:tcPr>
            <w:tcW w:w="3115" w:type="dxa"/>
            <w:tcBorders>
              <w:bottom w:val="single" w:sz="12" w:space="0" w:color="auto"/>
            </w:tcBorders>
            <w:hideMark/>
          </w:tcPr>
          <w:p w14:paraId="66E24483" w14:textId="77777777" w:rsidR="00A756BE" w:rsidRPr="00124CC0" w:rsidRDefault="00A756BE" w:rsidP="00B57C78">
            <w:pPr>
              <w:pStyle w:val="Tabletext"/>
              <w:rPr>
                <w:sz w:val="18"/>
                <w:szCs w:val="18"/>
              </w:rPr>
            </w:pPr>
            <w:r w:rsidRPr="00124CC0">
              <w:rPr>
                <w:sz w:val="18"/>
                <w:szCs w:val="18"/>
              </w:rPr>
              <w:t>Ce Supplément vise à fournir des lignes directrices à l'usage des membres de l'UIT-T sur les principes à appliquer pour la rationalisation des Résolutions et sur la manière de procéder pour proposer des projets de nouvelles Résolutions de l'AMNT ou des projets de révision des Résolutions en vigueur de l'AMNT dans le cadre des travaux préparatoires en vue de l'AMNT.</w:t>
            </w:r>
          </w:p>
        </w:tc>
      </w:tr>
    </w:tbl>
    <w:p w14:paraId="5DE3F420" w14:textId="77777777" w:rsidR="00A756BE" w:rsidRPr="00124CC0" w:rsidRDefault="00A756BE" w:rsidP="00A756BE">
      <w:pPr>
        <w:pStyle w:val="Note"/>
        <w:tabs>
          <w:tab w:val="clear" w:pos="794"/>
          <w:tab w:val="left" w:pos="426"/>
        </w:tabs>
      </w:pPr>
      <w:r w:rsidRPr="00124CC0">
        <w:t>*</w:t>
      </w:r>
      <w:r w:rsidRPr="00124CC0">
        <w:tab/>
        <w:t xml:space="preserve">NOTE – La procédure de suppression des Recommandations </w:t>
      </w:r>
      <w:r w:rsidRPr="00124CC0">
        <w:rPr>
          <w:b/>
          <w:bCs/>
        </w:rPr>
        <w:t>UIT-T A.4</w:t>
      </w:r>
      <w:r w:rsidRPr="00124CC0">
        <w:t xml:space="preserve"> et </w:t>
      </w:r>
      <w:r w:rsidRPr="00124CC0">
        <w:rPr>
          <w:b/>
          <w:bCs/>
        </w:rPr>
        <w:t>A.6</w:t>
      </w:r>
      <w:r w:rsidRPr="00124CC0">
        <w:t xml:space="preserve"> a été engagée, parallèlement à l'approbation du projet de nouvelle Recommandation </w:t>
      </w:r>
      <w:r w:rsidRPr="00124CC0">
        <w:rPr>
          <w:b/>
          <w:bCs/>
        </w:rPr>
        <w:t>A.24</w:t>
      </w:r>
      <w:r w:rsidRPr="00124CC0">
        <w:t xml:space="preserve"> indiqué ci-dessus. Voir le § 21.1.5 du présent rapport pour plus de détails.</w:t>
      </w:r>
    </w:p>
    <w:p w14:paraId="0D196378" w14:textId="77777777" w:rsidR="00A756BE" w:rsidRPr="00124CC0" w:rsidRDefault="00A756BE" w:rsidP="00A756BE"/>
    <w:p w14:paraId="22099F07" w14:textId="77777777" w:rsidR="00A756BE" w:rsidRPr="00124CC0" w:rsidRDefault="00A756BE" w:rsidP="00A756BE">
      <w:pPr>
        <w:sectPr w:rsidR="00A756BE" w:rsidRPr="00124CC0" w:rsidSect="009F529E">
          <w:pgSz w:w="16834" w:h="11907" w:orient="landscape"/>
          <w:pgMar w:top="1134" w:right="1417" w:bottom="1134" w:left="1417" w:header="720" w:footer="720" w:gutter="0"/>
          <w:cols w:space="720"/>
          <w:docGrid w:linePitch="326"/>
        </w:sectPr>
      </w:pPr>
    </w:p>
    <w:p w14:paraId="66269E5E" w14:textId="77777777" w:rsidR="00A756BE" w:rsidRPr="00124CC0" w:rsidRDefault="00A756BE" w:rsidP="00954C59">
      <w:pPr>
        <w:pStyle w:val="AnnexNotitle"/>
        <w:spacing w:after="480"/>
      </w:pPr>
      <w:bookmarkStart w:id="47" w:name="_Toc161662752"/>
      <w:bookmarkStart w:id="48" w:name="AnnexeE"/>
      <w:r w:rsidRPr="00124CC0">
        <w:lastRenderedPageBreak/>
        <w:t>Annexe E:</w:t>
      </w:r>
      <w:r w:rsidRPr="00124CC0">
        <w:br/>
        <w:t xml:space="preserve">Mandat du Groupe du Rapporteur sur la planification stratégique </w:t>
      </w:r>
      <w:r w:rsidRPr="00124CC0">
        <w:br/>
        <w:t>et la planification opérationnelle (RG-SOP)</w:t>
      </w:r>
      <w:bookmarkEnd w:id="47"/>
    </w:p>
    <w:bookmarkEnd w:id="48"/>
    <w:p w14:paraId="72965948" w14:textId="77777777" w:rsidR="00A756BE" w:rsidRPr="00124CC0" w:rsidRDefault="00A756BE" w:rsidP="00A756BE">
      <w:pPr>
        <w:pStyle w:val="enumlev1"/>
      </w:pPr>
      <w:r w:rsidRPr="00124CC0">
        <w:t>–</w:t>
      </w:r>
      <w:r w:rsidRPr="00124CC0">
        <w:tab/>
        <w:t>Jouer le rôle de coordonnateur du GCNT chargé de recueillir les contributions appropriées du GCNT et les transmettre pour examen au Groupe de travail du Conseil chargé d'élaborer le projet de plan stratégique.</w:t>
      </w:r>
    </w:p>
    <w:p w14:paraId="0CEC16E5" w14:textId="77777777" w:rsidR="00A756BE" w:rsidRPr="00124CC0" w:rsidRDefault="00A756BE" w:rsidP="00A756BE">
      <w:pPr>
        <w:pStyle w:val="enumlev1"/>
      </w:pPr>
      <w:r w:rsidRPr="00124CC0">
        <w:t>–</w:t>
      </w:r>
      <w:r w:rsidRPr="00124CC0">
        <w:tab/>
        <w:t>Identifier les priorités stratégiques essentielles de l'UIT-T qui sont propres au Secteur ou, du moins, complémentaires de celles qui sont définies par d'autres organisations de normalisation.</w:t>
      </w:r>
    </w:p>
    <w:p w14:paraId="58370CDB" w14:textId="77777777" w:rsidR="00A756BE" w:rsidRPr="00124CC0" w:rsidRDefault="00A756BE" w:rsidP="00A756BE">
      <w:pPr>
        <w:pStyle w:val="enumlev1"/>
      </w:pPr>
      <w:r w:rsidRPr="00124CC0">
        <w:t>–</w:t>
      </w:r>
      <w:r w:rsidRPr="00124CC0">
        <w:tab/>
        <w:t>Envisager divers mécanismes appropriés, y compris la page d'accueil de l'UIT-T, pour élaborer un texte décrivant les avantages d'une participation active aux travaux du Secteur.</w:t>
      </w:r>
    </w:p>
    <w:p w14:paraId="52F51A34" w14:textId="77777777" w:rsidR="00A756BE" w:rsidRPr="00124CC0" w:rsidRDefault="00A756BE" w:rsidP="00A756BE">
      <w:pPr>
        <w:pStyle w:val="enumlev1"/>
      </w:pPr>
      <w:r w:rsidRPr="00124CC0">
        <w:t>–</w:t>
      </w:r>
      <w:r w:rsidRPr="00124CC0">
        <w:tab/>
        <w:t>Examiner les plans opérationnels annuels de l'UIT-T en vue de leur approbation par le Conseil.</w:t>
      </w:r>
    </w:p>
    <w:p w14:paraId="1FFB2545" w14:textId="77777777" w:rsidR="00A756BE" w:rsidRPr="00124CC0" w:rsidRDefault="00A756BE" w:rsidP="00A756BE">
      <w:pPr>
        <w:pStyle w:val="enumlev1"/>
      </w:pPr>
      <w:r w:rsidRPr="00124CC0">
        <w:t>–</w:t>
      </w:r>
      <w:r w:rsidRPr="00124CC0">
        <w:tab/>
        <w:t>Examiner les contributions du Groupe du Rapporteur du GCNT (GR) – "Participation du secteur privé et paramètres de mesure" (y compris l'atelier sur la participation du secteur privé) et des autres Groupes du Rapporteur de manière général, d'un point de vue stratégique et opérationnel.</w:t>
      </w:r>
    </w:p>
    <w:p w14:paraId="00D17C85" w14:textId="77777777" w:rsidR="00A756BE" w:rsidRPr="00124CC0" w:rsidRDefault="00A756BE" w:rsidP="00A756BE">
      <w:pPr>
        <w:pStyle w:val="enumlev1"/>
      </w:pPr>
      <w:r w:rsidRPr="00124CC0">
        <w:t>–</w:t>
      </w:r>
      <w:r w:rsidRPr="00124CC0">
        <w:tab/>
        <w:t>Analyser les besoins du marché et les nouveautés technologiques afin d'identifier les domaines dans lesquels il est nécessaire d'élaborer de nouvelles normes ou de réviser des normes existantes.</w:t>
      </w:r>
    </w:p>
    <w:p w14:paraId="090463ED" w14:textId="6D8C039D" w:rsidR="00CF2805" w:rsidRPr="00124CC0" w:rsidRDefault="00A756BE" w:rsidP="004C0752">
      <w:pPr>
        <w:jc w:val="center"/>
      </w:pPr>
      <w:r w:rsidRPr="00124CC0">
        <w:t>______________</w:t>
      </w:r>
    </w:p>
    <w:sectPr w:rsidR="00CF2805" w:rsidRPr="00124CC0" w:rsidSect="001A2CAE">
      <w:headerReference w:type="default" r:id="rId148"/>
      <w:footerReference w:type="even" r:id="rId149"/>
      <w:footerReference w:type="default" r:id="rId150"/>
      <w:headerReference w:type="first" r:id="rId151"/>
      <w:footerReference w:type="first" r:id="rId152"/>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97AA" w14:textId="77777777" w:rsidR="00AC2B62" w:rsidRDefault="00AC2B62">
      <w:r>
        <w:separator/>
      </w:r>
    </w:p>
  </w:endnote>
  <w:endnote w:type="continuationSeparator" w:id="0">
    <w:p w14:paraId="134BA3FC" w14:textId="77777777" w:rsidR="00AC2B62" w:rsidRDefault="00AC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81A2" w14:textId="6812F4E6" w:rsidR="00A756BE" w:rsidRPr="0067192B" w:rsidRDefault="0067192B">
    <w:pPr>
      <w:pStyle w:val="Footer"/>
      <w:rPr>
        <w:lang w:val="de-DE"/>
      </w:rPr>
    </w:pPr>
    <w:r>
      <w:fldChar w:fldCharType="begin"/>
    </w:r>
    <w:r w:rsidRPr="0067192B">
      <w:rPr>
        <w:lang w:val="de-DE"/>
      </w:rPr>
      <w:instrText xml:space="preserve"> FILENAME \p \* MERGEFORMAT </w:instrText>
    </w:r>
    <w:r>
      <w:fldChar w:fldCharType="separate"/>
    </w:r>
    <w:r w:rsidR="00A756BE" w:rsidRPr="0067192B">
      <w:rPr>
        <w:lang w:val="de-DE"/>
      </w:rPr>
      <w:t>P:\FRA\ITU-T\TSAG\R\004F1.docx</w:t>
    </w:r>
    <w:r>
      <w:fldChar w:fldCharType="end"/>
    </w:r>
    <w:r w:rsidR="00A756BE" w:rsidRPr="0067192B">
      <w:rPr>
        <w:lang w:val="de-DE"/>
      </w:rPr>
      <w:tab/>
    </w:r>
    <w:r w:rsidR="00A756BE">
      <w:fldChar w:fldCharType="begin"/>
    </w:r>
    <w:r w:rsidR="00A756BE">
      <w:instrText xml:space="preserve"> savedate \@ dd.MM.yy </w:instrText>
    </w:r>
    <w:r w:rsidR="00A756BE">
      <w:fldChar w:fldCharType="separate"/>
    </w:r>
    <w:r>
      <w:t>18.03.24</w:t>
    </w:r>
    <w:r w:rsidR="00A756BE">
      <w:fldChar w:fldCharType="end"/>
    </w:r>
    <w:r w:rsidR="00A756BE" w:rsidRPr="0067192B">
      <w:rPr>
        <w:lang w:val="de-DE"/>
      </w:rPr>
      <w:tab/>
    </w:r>
    <w:r w:rsidR="00A756BE">
      <w:fldChar w:fldCharType="begin"/>
    </w:r>
    <w:r w:rsidR="00A756BE">
      <w:instrText xml:space="preserve"> printdate \@ dd.MM.yy </w:instrText>
    </w:r>
    <w:r w:rsidR="00A756BE">
      <w:fldChar w:fldCharType="separate"/>
    </w:r>
    <w:r w:rsidR="00A756BE">
      <w:t>26.01.17</w:t>
    </w:r>
    <w:r w:rsidR="00A756B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8BA2" w14:textId="702C225A" w:rsidR="00A756BE" w:rsidRDefault="00A756BE" w:rsidP="00671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2984" w14:textId="10EB481D" w:rsidR="00A756BE" w:rsidRPr="0067192B" w:rsidRDefault="00A756BE" w:rsidP="00671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E00A" w14:textId="46D1C388" w:rsidR="00AC2B62" w:rsidRPr="008C1EA9" w:rsidRDefault="00524283">
    <w:pPr>
      <w:pStyle w:val="Footer"/>
      <w:rPr>
        <w:lang w:val="fr-CH"/>
      </w:rPr>
    </w:pPr>
    <w:fldSimple w:instr=" FILENAME \p \* MERGEFORMAT ">
      <w:r w:rsidR="00B93A04" w:rsidRPr="00B93A04">
        <w:rPr>
          <w:lang w:val="fr-CH"/>
        </w:rPr>
        <w:t>P</w:t>
      </w:r>
      <w:r w:rsidR="00B93A04">
        <w:t>:\FRA\ITU-T\TSAG\R\004F.docx</w:t>
      </w:r>
    </w:fldSimple>
    <w:r w:rsidR="00AC2B62" w:rsidRPr="008C1EA9">
      <w:rPr>
        <w:lang w:val="fr-CH"/>
      </w:rPr>
      <w:tab/>
    </w:r>
    <w:r w:rsidR="00AC2B62">
      <w:fldChar w:fldCharType="begin"/>
    </w:r>
    <w:r w:rsidR="00AC2B62">
      <w:instrText xml:space="preserve"> savedate \@ dd.MM.yy </w:instrText>
    </w:r>
    <w:r w:rsidR="00AC2B62">
      <w:fldChar w:fldCharType="separate"/>
    </w:r>
    <w:r w:rsidR="0067192B">
      <w:t>18.03.24</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B93A04">
      <w:t>26.01.17</w:t>
    </w:r>
    <w:r w:rsidR="00AC2B6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008C" w14:textId="33C51C27" w:rsidR="003F649C" w:rsidRDefault="00524283" w:rsidP="003F649C">
    <w:pPr>
      <w:pStyle w:val="Footer"/>
    </w:pPr>
    <w:fldSimple w:instr=" FILENAME \p  \* MERGEFORMAT ">
      <w:r w:rsidR="00B93A04">
        <w:t>P:\FRA\ITU-T\TSAG\R\004F.docx</w:t>
      </w:r>
    </w:fldSimple>
    <w:r w:rsidR="003F649C">
      <w:t xml:space="preserve"> (535201)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F875" w14:textId="682EC091" w:rsidR="003F649C" w:rsidRPr="0067192B" w:rsidRDefault="003F649C" w:rsidP="00671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DA72" w14:textId="77777777" w:rsidR="00AC2B62" w:rsidRDefault="00AC2B62">
      <w:r>
        <w:t>____________________</w:t>
      </w:r>
    </w:p>
  </w:footnote>
  <w:footnote w:type="continuationSeparator" w:id="0">
    <w:p w14:paraId="17988109" w14:textId="77777777" w:rsidR="00AC2B62" w:rsidRDefault="00AC2B62">
      <w:r>
        <w:continuationSeparator/>
      </w:r>
    </w:p>
  </w:footnote>
  <w:footnote w:id="1">
    <w:p w14:paraId="21F6E5CE" w14:textId="7E20FC77" w:rsidR="003F649C" w:rsidRPr="003F649C" w:rsidRDefault="003F649C">
      <w:pPr>
        <w:pStyle w:val="FootnoteText"/>
      </w:pPr>
      <w:r>
        <w:rPr>
          <w:rStyle w:val="FootnoteReference"/>
        </w:rPr>
        <w:footnoteRef/>
      </w:r>
      <w:r>
        <w:tab/>
      </w:r>
      <w:hyperlink r:id="rId1" w:history="1">
        <w:r w:rsidRPr="003F649C">
          <w:rPr>
            <w:rStyle w:val="Hyperlink"/>
          </w:rPr>
          <w:t>https://extranet.itu.int/sites/itu-t/studygroups/2022-2024/tsag/Captioning</w:t>
        </w:r>
      </w:hyperlink>
    </w:p>
  </w:footnote>
  <w:footnote w:id="2">
    <w:p w14:paraId="035F20A7" w14:textId="6DED2FCE" w:rsidR="003F649C" w:rsidRPr="003F649C" w:rsidRDefault="003F649C">
      <w:pPr>
        <w:pStyle w:val="FootnoteText"/>
      </w:pPr>
      <w:r>
        <w:rPr>
          <w:rStyle w:val="FootnoteReference"/>
        </w:rPr>
        <w:footnoteRef/>
      </w:r>
      <w:r>
        <w:tab/>
      </w:r>
      <w:hyperlink r:id="rId2" w:history="1">
        <w:r w:rsidRPr="003F649C">
          <w:rPr>
            <w:rStyle w:val="Hyperlink"/>
          </w:rPr>
          <w:t>https://www.itu.int/webcast/archive2/t2022-24tsag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4817" w14:textId="77777777" w:rsidR="0067192B" w:rsidRDefault="00671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8C98" w14:textId="77777777" w:rsidR="00A756BE" w:rsidRPr="001A2CAE" w:rsidRDefault="00A756BE"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053A5B7E" w14:textId="77777777" w:rsidR="00A756BE" w:rsidRPr="001A2CAE" w:rsidRDefault="00A756BE" w:rsidP="001A2CAE">
    <w:pPr>
      <w:pStyle w:val="Header"/>
      <w:spacing w:after="240"/>
    </w:pPr>
    <w:r>
      <w:t>TSAG-R4-F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52BB" w14:textId="77777777" w:rsidR="0067192B" w:rsidRDefault="00671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09D8" w14:textId="77777777" w:rsidR="00AC2B62" w:rsidRPr="001A2CAE" w:rsidRDefault="00AC2B62"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740E5B">
      <w:rPr>
        <w:noProof/>
      </w:rPr>
      <w:t>2</w:t>
    </w:r>
    <w:r w:rsidRPr="001A2CAE">
      <w:fldChar w:fldCharType="end"/>
    </w:r>
    <w:r w:rsidRPr="001A2CAE">
      <w:t xml:space="preserve"> -</w:t>
    </w:r>
  </w:p>
  <w:p w14:paraId="09267033" w14:textId="5DBAED06" w:rsidR="00AC2B62" w:rsidRPr="001A2CAE" w:rsidRDefault="003F649C" w:rsidP="001A2CAE">
    <w:pPr>
      <w:pStyle w:val="Header"/>
      <w:spacing w:after="240"/>
    </w:pPr>
    <w:r>
      <w:t>TSAG</w:t>
    </w:r>
    <w:r w:rsidR="00AC2B62">
      <w:t>-</w:t>
    </w:r>
    <w:r>
      <w:t>R4</w:t>
    </w:r>
    <w:r w:rsidR="00AC2B62">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0A51" w14:textId="77777777" w:rsidR="00CD414A" w:rsidRPr="001A2CAE" w:rsidRDefault="00CD414A" w:rsidP="00CD414A">
    <w:pPr>
      <w:pStyle w:val="Header"/>
    </w:pPr>
    <w:r w:rsidRPr="001A2CAE">
      <w:t xml:space="preserve">- </w:t>
    </w:r>
    <w:r w:rsidRPr="001A2CAE">
      <w:fldChar w:fldCharType="begin"/>
    </w:r>
    <w:r w:rsidRPr="001A2CAE">
      <w:instrText xml:space="preserve"> PAGE  \* MERGEFORMAT </w:instrText>
    </w:r>
    <w:r w:rsidRPr="001A2CAE">
      <w:fldChar w:fldCharType="separate"/>
    </w:r>
    <w:r>
      <w:t>1</w:t>
    </w:r>
    <w:r w:rsidRPr="001A2CAE">
      <w:fldChar w:fldCharType="end"/>
    </w:r>
    <w:r w:rsidRPr="001A2CAE">
      <w:t xml:space="preserve"> -</w:t>
    </w:r>
  </w:p>
  <w:p w14:paraId="330EB811" w14:textId="77777777" w:rsidR="00CD414A" w:rsidRDefault="00CD414A" w:rsidP="00CD414A">
    <w:pPr>
      <w:pStyle w:val="Header"/>
    </w:pPr>
    <w:r>
      <w:t>TSAG-R4-F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92B36"/>
    <w:multiLevelType w:val="hybridMultilevel"/>
    <w:tmpl w:val="FFFFFFFF"/>
    <w:lvl w:ilvl="0" w:tplc="790884BC">
      <w:start w:val="1"/>
      <w:numFmt w:val="bullet"/>
      <w:lvlRestart w:val="0"/>
      <w:lvlText w:val="–"/>
      <w:lvlJc w:val="left"/>
      <w:pPr>
        <w:ind w:left="720" w:hanging="363"/>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8672321">
    <w:abstractNumId w:val="4"/>
  </w:num>
  <w:num w:numId="2" w16cid:durableId="1536382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050594">
    <w:abstractNumId w:val="0"/>
  </w:num>
  <w:num w:numId="4" w16cid:durableId="2003239844">
    <w:abstractNumId w:val="1"/>
  </w:num>
  <w:num w:numId="5" w16cid:durableId="583800200">
    <w:abstractNumId w:val="2"/>
  </w:num>
  <w:num w:numId="6" w16cid:durableId="1677030806">
    <w:abstractNumId w:val="5"/>
  </w:num>
  <w:num w:numId="7" w16cid:durableId="133287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2234A"/>
    <w:rsid w:val="000236FA"/>
    <w:rsid w:val="000E7BB1"/>
    <w:rsid w:val="00124CC0"/>
    <w:rsid w:val="0014207F"/>
    <w:rsid w:val="00167192"/>
    <w:rsid w:val="00191220"/>
    <w:rsid w:val="00196B41"/>
    <w:rsid w:val="001A2CAE"/>
    <w:rsid w:val="001A61C1"/>
    <w:rsid w:val="001B1EA0"/>
    <w:rsid w:val="001B4265"/>
    <w:rsid w:val="001B5F60"/>
    <w:rsid w:val="001C15F5"/>
    <w:rsid w:val="001C7FA9"/>
    <w:rsid w:val="001D35B6"/>
    <w:rsid w:val="002005AB"/>
    <w:rsid w:val="00221EF5"/>
    <w:rsid w:val="0022394B"/>
    <w:rsid w:val="002272B2"/>
    <w:rsid w:val="0024705C"/>
    <w:rsid w:val="00260B8F"/>
    <w:rsid w:val="00264644"/>
    <w:rsid w:val="002712F7"/>
    <w:rsid w:val="00275B8F"/>
    <w:rsid w:val="00277D10"/>
    <w:rsid w:val="002946C5"/>
    <w:rsid w:val="002E0C4F"/>
    <w:rsid w:val="00311E3F"/>
    <w:rsid w:val="00321A27"/>
    <w:rsid w:val="00372185"/>
    <w:rsid w:val="00390287"/>
    <w:rsid w:val="00397752"/>
    <w:rsid w:val="003B1AFE"/>
    <w:rsid w:val="003E5CE0"/>
    <w:rsid w:val="003F649C"/>
    <w:rsid w:val="004179C7"/>
    <w:rsid w:val="004331DC"/>
    <w:rsid w:val="0044193C"/>
    <w:rsid w:val="004609CA"/>
    <w:rsid w:val="0046230C"/>
    <w:rsid w:val="00485EA2"/>
    <w:rsid w:val="00492B58"/>
    <w:rsid w:val="004A711D"/>
    <w:rsid w:val="004C0752"/>
    <w:rsid w:val="004C2DA2"/>
    <w:rsid w:val="004C319C"/>
    <w:rsid w:val="004C3534"/>
    <w:rsid w:val="004C41D8"/>
    <w:rsid w:val="00506097"/>
    <w:rsid w:val="005232FD"/>
    <w:rsid w:val="00524283"/>
    <w:rsid w:val="00576BE3"/>
    <w:rsid w:val="005954E5"/>
    <w:rsid w:val="005F3EFF"/>
    <w:rsid w:val="006308E4"/>
    <w:rsid w:val="00661931"/>
    <w:rsid w:val="00663564"/>
    <w:rsid w:val="006703BA"/>
    <w:rsid w:val="0067192B"/>
    <w:rsid w:val="006A1CF0"/>
    <w:rsid w:val="006C10C6"/>
    <w:rsid w:val="006D033A"/>
    <w:rsid w:val="006E6EC4"/>
    <w:rsid w:val="006F1322"/>
    <w:rsid w:val="006F30D2"/>
    <w:rsid w:val="007025B7"/>
    <w:rsid w:val="00740E5B"/>
    <w:rsid w:val="00751FF4"/>
    <w:rsid w:val="00756796"/>
    <w:rsid w:val="00785423"/>
    <w:rsid w:val="0079412C"/>
    <w:rsid w:val="007C6AE1"/>
    <w:rsid w:val="007D6E86"/>
    <w:rsid w:val="007F470E"/>
    <w:rsid w:val="00814054"/>
    <w:rsid w:val="0082711E"/>
    <w:rsid w:val="008345B8"/>
    <w:rsid w:val="00873CDD"/>
    <w:rsid w:val="008804EE"/>
    <w:rsid w:val="00894DA2"/>
    <w:rsid w:val="008C04EA"/>
    <w:rsid w:val="008C1EA9"/>
    <w:rsid w:val="008D7392"/>
    <w:rsid w:val="008F38A5"/>
    <w:rsid w:val="008F4E69"/>
    <w:rsid w:val="008F5698"/>
    <w:rsid w:val="00901B12"/>
    <w:rsid w:val="00907563"/>
    <w:rsid w:val="009212A2"/>
    <w:rsid w:val="00923748"/>
    <w:rsid w:val="00954C59"/>
    <w:rsid w:val="00980BC3"/>
    <w:rsid w:val="009A546D"/>
    <w:rsid w:val="009A5CE0"/>
    <w:rsid w:val="009F2DCD"/>
    <w:rsid w:val="00A10A8A"/>
    <w:rsid w:val="00A25636"/>
    <w:rsid w:val="00A46659"/>
    <w:rsid w:val="00A50C75"/>
    <w:rsid w:val="00A569F5"/>
    <w:rsid w:val="00A756BE"/>
    <w:rsid w:val="00A86565"/>
    <w:rsid w:val="00A87110"/>
    <w:rsid w:val="00A926D3"/>
    <w:rsid w:val="00A969B2"/>
    <w:rsid w:val="00AA2C77"/>
    <w:rsid w:val="00AB0CF1"/>
    <w:rsid w:val="00AC2B62"/>
    <w:rsid w:val="00AC4E4E"/>
    <w:rsid w:val="00AE494E"/>
    <w:rsid w:val="00AF2D55"/>
    <w:rsid w:val="00AF3CF1"/>
    <w:rsid w:val="00B10435"/>
    <w:rsid w:val="00B17D64"/>
    <w:rsid w:val="00B210F4"/>
    <w:rsid w:val="00B42129"/>
    <w:rsid w:val="00B676F4"/>
    <w:rsid w:val="00B70DAD"/>
    <w:rsid w:val="00B7351B"/>
    <w:rsid w:val="00B87A10"/>
    <w:rsid w:val="00B93A04"/>
    <w:rsid w:val="00BB13DC"/>
    <w:rsid w:val="00BB1D05"/>
    <w:rsid w:val="00BD0EE6"/>
    <w:rsid w:val="00BF152A"/>
    <w:rsid w:val="00C02C3C"/>
    <w:rsid w:val="00C14D7E"/>
    <w:rsid w:val="00C315D6"/>
    <w:rsid w:val="00C47BA9"/>
    <w:rsid w:val="00CA45DB"/>
    <w:rsid w:val="00CB22B0"/>
    <w:rsid w:val="00CB3521"/>
    <w:rsid w:val="00CC14C4"/>
    <w:rsid w:val="00CD414A"/>
    <w:rsid w:val="00CE6C75"/>
    <w:rsid w:val="00CF2805"/>
    <w:rsid w:val="00D01BB2"/>
    <w:rsid w:val="00D200BE"/>
    <w:rsid w:val="00D27983"/>
    <w:rsid w:val="00D805C5"/>
    <w:rsid w:val="00DF0365"/>
    <w:rsid w:val="00E072F7"/>
    <w:rsid w:val="00E353AF"/>
    <w:rsid w:val="00E801CB"/>
    <w:rsid w:val="00E81757"/>
    <w:rsid w:val="00E8412C"/>
    <w:rsid w:val="00F10474"/>
    <w:rsid w:val="00F30C0F"/>
    <w:rsid w:val="00F3704D"/>
    <w:rsid w:val="00F528A6"/>
    <w:rsid w:val="00F67291"/>
    <w:rsid w:val="00FA76C3"/>
    <w:rsid w:val="00FC02D5"/>
    <w:rsid w:val="00FD5CD2"/>
    <w:rsid w:val="00FE5ADA"/>
    <w:rsid w:val="00FF71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3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AC4E4E"/>
    <w:rPr>
      <w:color w:val="605E5C"/>
      <w:shd w:val="clear" w:color="auto" w:fill="E1DFDD"/>
    </w:rPr>
  </w:style>
  <w:style w:type="table" w:styleId="TableGridLight">
    <w:name w:val="Grid Table Light"/>
    <w:basedOn w:val="TableNormal"/>
    <w:uiPriority w:val="40"/>
    <w:rsid w:val="003F649C"/>
    <w:pPr>
      <w:spacing w:before="120"/>
      <w:jc w:val="both"/>
    </w:pPr>
    <w:rPr>
      <w:rFonts w:ascii="Times New Roman"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A50C75"/>
  </w:style>
  <w:style w:type="character" w:customStyle="1" w:styleId="DateChar">
    <w:name w:val="Date Char"/>
    <w:basedOn w:val="DefaultParagraphFont"/>
    <w:link w:val="Date"/>
    <w:rsid w:val="00A50C75"/>
    <w:rPr>
      <w:rFonts w:ascii="Times New Roman" w:hAnsi="Times New Roman"/>
      <w:sz w:val="24"/>
      <w:lang w:val="fr-FR" w:eastAsia="en-US"/>
    </w:rPr>
  </w:style>
  <w:style w:type="paragraph" w:styleId="CommentSubject">
    <w:name w:val="annotation subject"/>
    <w:basedOn w:val="CommentText"/>
    <w:next w:val="CommentText"/>
    <w:link w:val="CommentSubjectChar"/>
    <w:semiHidden/>
    <w:unhideWhenUsed/>
    <w:rsid w:val="00B93A04"/>
    <w:rPr>
      <w:b/>
      <w:bCs/>
    </w:rPr>
  </w:style>
  <w:style w:type="character" w:customStyle="1" w:styleId="CommentSubjectChar">
    <w:name w:val="Comment Subject Char"/>
    <w:basedOn w:val="CommentTextChar"/>
    <w:link w:val="CommentSubject"/>
    <w:semiHidden/>
    <w:rsid w:val="00B93A04"/>
    <w:rPr>
      <w:rFonts w:ascii="Times New Roman" w:hAnsi="Times New Roman"/>
      <w:b/>
      <w:bCs/>
      <w:lang w:val="fr-FR" w:eastAsia="en-US"/>
    </w:rPr>
  </w:style>
  <w:style w:type="character" w:customStyle="1" w:styleId="NoteChar">
    <w:name w:val="Note Char"/>
    <w:basedOn w:val="DefaultParagraphFont"/>
    <w:link w:val="Note"/>
    <w:locked/>
    <w:rsid w:val="00A756B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xml"/><Relationship Id="rId21" Type="http://schemas.openxmlformats.org/officeDocument/2006/relationships/hyperlink" Target="https://www.itu.int/md/meetingdoc.asp?lang=en&amp;parent=T22-TSAG-240122-TD-GEN-0305" TargetMode="External"/><Relationship Id="rId42" Type="http://schemas.openxmlformats.org/officeDocument/2006/relationships/hyperlink" Target="http://www.itu.int/md/meetingdoc.asp?lang=en&amp;parent=T22-TSAG-240122-TD-GEN-0422" TargetMode="External"/><Relationship Id="rId63" Type="http://schemas.openxmlformats.org/officeDocument/2006/relationships/hyperlink" Target="http://www.itu.int/md/meetingdoc.asp?lang=en&amp;parent=T22-TSAG-240122-TD-GEN-0406" TargetMode="External"/><Relationship Id="rId84" Type="http://schemas.openxmlformats.org/officeDocument/2006/relationships/hyperlink" Target="https://www.itu.int/en/ITU-T/tsag/2022-2024/Pages/Rapporteur-Groups.aspx" TargetMode="External"/><Relationship Id="rId138" Type="http://schemas.openxmlformats.org/officeDocument/2006/relationships/hyperlink" Target="http://www.itu.int/itu-t/workprog/wp_item.aspx?isn=18704" TargetMode="External"/><Relationship Id="rId107" Type="http://schemas.openxmlformats.org/officeDocument/2006/relationships/hyperlink" Target="https://www.itu.int/md/T22-TSAG-240122-TD-GEN-0396/en" TargetMode="External"/><Relationship Id="rId11" Type="http://schemas.openxmlformats.org/officeDocument/2006/relationships/hyperlink" Target="https://www.itu.int/md/meetingdoc.asp?lang=en&amp;parent=T22-TSAG-240122-TD-GEN-0387" TargetMode="External"/><Relationship Id="rId32" Type="http://schemas.openxmlformats.org/officeDocument/2006/relationships/hyperlink" Target="http://www.itu.int/md/meetingdoc.asp?lang=en&amp;parent=T22-TSAG-240122-TD-GEN-0463" TargetMode="External"/><Relationship Id="rId53" Type="http://schemas.openxmlformats.org/officeDocument/2006/relationships/hyperlink" Target="http://www.itu.int/md/meetingdoc.asp?lang=en&amp;parent=T22-TSAG-240122-TD-GEN-0434" TargetMode="External"/><Relationship Id="rId74" Type="http://schemas.openxmlformats.org/officeDocument/2006/relationships/hyperlink" Target="https://www.itu.int/md/meetingdoc.asp?lang=en&amp;parent=T22-TSAG-240122-TD-GEN-0470" TargetMode="External"/><Relationship Id="rId128" Type="http://schemas.openxmlformats.org/officeDocument/2006/relationships/hyperlink" Target="http://www.itu.int/itu-t/workprog/wp_item.aspx?isn=19291" TargetMode="External"/><Relationship Id="rId149" Type="http://schemas.openxmlformats.org/officeDocument/2006/relationships/footer" Target="footer4.xml"/><Relationship Id="rId5" Type="http://schemas.openxmlformats.org/officeDocument/2006/relationships/webSettings" Target="webSettings.xml"/><Relationship Id="rId95" Type="http://schemas.openxmlformats.org/officeDocument/2006/relationships/hyperlink" Target="http://www.itu.int/md/meetingdoc.asp?lang=en&amp;parent=T22-TSAG-240122-TD-GEN-0315" TargetMode="External"/><Relationship Id="rId22" Type="http://schemas.openxmlformats.org/officeDocument/2006/relationships/hyperlink" Target="https://www.itu.int/md/meetingdoc.asp?lang=en&amp;parent=T22-TSAG-240122-TD-GEN-0309" TargetMode="External"/><Relationship Id="rId27" Type="http://schemas.openxmlformats.org/officeDocument/2006/relationships/hyperlink" Target="http://www.itu.int/md/meetingdoc.asp?lang=en&amp;parent=T22-TSAG-240122-TD-GEN-0315" TargetMode="External"/><Relationship Id="rId43" Type="http://schemas.openxmlformats.org/officeDocument/2006/relationships/hyperlink" Target="http://www.itu.int/md/meetingdoc.asp?lang=en&amp;parent=T22-TSAG-240122-TD-GEN-0423" TargetMode="External"/><Relationship Id="rId48" Type="http://schemas.openxmlformats.org/officeDocument/2006/relationships/hyperlink" Target="http://www.itu.int/md/meetingdoc.asp?lang=en&amp;parent=T22-TSAG-240122-TD-GEN-0415" TargetMode="External"/><Relationship Id="rId64" Type="http://schemas.openxmlformats.org/officeDocument/2006/relationships/hyperlink" Target="http://www.itu.int/md/meetingdoc.asp?lang=en&amp;parent=T22-TSAG-240122-TD-GEN-0390" TargetMode="External"/><Relationship Id="rId69" Type="http://schemas.openxmlformats.org/officeDocument/2006/relationships/hyperlink" Target="http://www.itu.int/md/meetingdoc.asp?lang=en&amp;parent=T22-TSAG-240122-TD-GEN-0312" TargetMode="External"/><Relationship Id="rId113" Type="http://schemas.openxmlformats.org/officeDocument/2006/relationships/hyperlink" Target="https://www.itu.int/ifa/t/2022/ls/tsag/sp17-tsag-oLS-00035.docx" TargetMode="External"/><Relationship Id="rId118" Type="http://schemas.openxmlformats.org/officeDocument/2006/relationships/footer" Target="footer2.xml"/><Relationship Id="rId134" Type="http://schemas.openxmlformats.org/officeDocument/2006/relationships/hyperlink" Target="mailto:olivier.dubuisson(AT)orange.com" TargetMode="External"/><Relationship Id="rId139" Type="http://schemas.openxmlformats.org/officeDocument/2006/relationships/hyperlink" Target="http://www.itu.int/md/T22-TSAG-230530-TD-GEN-0251" TargetMode="External"/><Relationship Id="rId80" Type="http://schemas.openxmlformats.org/officeDocument/2006/relationships/hyperlink" Target="https://www.itu.int/md/meetingdoc.asp?lang=en&amp;parent=T22-TSAG-240122-TD-GEN-0477" TargetMode="External"/><Relationship Id="rId85" Type="http://schemas.openxmlformats.org/officeDocument/2006/relationships/hyperlink" Target="http://www.itu.int/md/meetingdoc.asp?lang=en&amp;parent=T22-TSAG-240122-TD-GEN-0312" TargetMode="External"/><Relationship Id="rId150" Type="http://schemas.openxmlformats.org/officeDocument/2006/relationships/footer" Target="footer5.xml"/><Relationship Id="rId12" Type="http://schemas.openxmlformats.org/officeDocument/2006/relationships/hyperlink" Target="https://www.itu.int/md/meetingdoc.asp?lang=en&amp;parent=T22-TSAG-240122-TD-GEN-0419" TargetMode="External"/><Relationship Id="rId17" Type="http://schemas.openxmlformats.org/officeDocument/2006/relationships/hyperlink" Target="https://www.itu.int/md/meetingdoc.asp?lang=en&amp;parent=T22-TSAG-240122-TD-GEN-0420" TargetMode="External"/><Relationship Id="rId33" Type="http://schemas.openxmlformats.org/officeDocument/2006/relationships/hyperlink" Target="http://www.itu.int/md/meetingdoc.asp?lang=en&amp;parent=T22-TSAG-240122-TD-GEN-0460" TargetMode="External"/><Relationship Id="rId38" Type="http://schemas.openxmlformats.org/officeDocument/2006/relationships/hyperlink" Target="http://www.itu.int/md/meetingdoc.asp?lang=en&amp;parent=T22-TSAG-240122-TD-GEN-0389" TargetMode="External"/><Relationship Id="rId59" Type="http://schemas.openxmlformats.org/officeDocument/2006/relationships/hyperlink" Target="http://www.itu.int/md/meetingdoc.asp?lang=en&amp;parent=T22-TSAG-240122-TD-GEN-0377" TargetMode="External"/><Relationship Id="rId103" Type="http://schemas.openxmlformats.org/officeDocument/2006/relationships/hyperlink" Target="https://www.itu.int/net/ITU-T/lists/rgm.aspx?Group=0" TargetMode="External"/><Relationship Id="rId108" Type="http://schemas.openxmlformats.org/officeDocument/2006/relationships/hyperlink" Target="https://www.itu.int/ifa/t/2022/ls/tsag/sp17-tsag-oLS-00030.docx" TargetMode="External"/><Relationship Id="rId124" Type="http://schemas.openxmlformats.org/officeDocument/2006/relationships/hyperlink" Target="mailto:olivier.dubuisson(AT)orange.com" TargetMode="External"/><Relationship Id="rId129" Type="http://schemas.openxmlformats.org/officeDocument/2006/relationships/hyperlink" Target="http://www.itu.int/md/T22-TSAG-240122-TD-GEN-0385" TargetMode="External"/><Relationship Id="rId54" Type="http://schemas.openxmlformats.org/officeDocument/2006/relationships/hyperlink" Target="http://www.itu.int/md/meetingdoc.asp?lang=en&amp;parent=T22-TSAG-240122-TD-GEN-0356" TargetMode="External"/><Relationship Id="rId70" Type="http://schemas.openxmlformats.org/officeDocument/2006/relationships/hyperlink" Target="https://www.itu.int/md/T22-TSAG-240122-TD-GEN-0450/en" TargetMode="External"/><Relationship Id="rId75" Type="http://schemas.openxmlformats.org/officeDocument/2006/relationships/hyperlink" Target="https://www.itu.int/md/meetingdoc.asp?lang=en&amp;parent=T22-TSAG-240122-TD-GEN-0453" TargetMode="External"/><Relationship Id="rId91" Type="http://schemas.openxmlformats.org/officeDocument/2006/relationships/hyperlink" Target="https://www.itu.int/md/T22-TSAG-240122-TD-GEN-0485/en" TargetMode="External"/><Relationship Id="rId96" Type="http://schemas.openxmlformats.org/officeDocument/2006/relationships/hyperlink" Target="http://www.itu.int/md/meetingdoc.asp?lang=en&amp;parent=T22-TSAG-240122-TD-GEN-0413" TargetMode="External"/><Relationship Id="rId140" Type="http://schemas.openxmlformats.org/officeDocument/2006/relationships/hyperlink" Target="mailto:olivier.dubuisson(AT)orange.com" TargetMode="External"/><Relationship Id="rId145" Type="http://schemas.openxmlformats.org/officeDocument/2006/relationships/hyperlink" Target="http://www.itu.int/itu-t/workprog/wp_item.aspx?isn=1870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22-TSAG-240122-TD-GEN-0416" TargetMode="External"/><Relationship Id="rId28" Type="http://schemas.openxmlformats.org/officeDocument/2006/relationships/hyperlink" Target="http://www.itu.int/md/meetingdoc.asp?lang=en&amp;parent=T22-TSAG-240122-TD-GEN-0315" TargetMode="External"/><Relationship Id="rId49" Type="http://schemas.openxmlformats.org/officeDocument/2006/relationships/hyperlink" Target="http://www.itu.int/md/meetingdoc.asp?lang=en&amp;parent=T22-TSAG-240122-TD-GEN-0391" TargetMode="External"/><Relationship Id="rId114" Type="http://schemas.openxmlformats.org/officeDocument/2006/relationships/hyperlink" Target="https://www.itu.int/ifa/t/2022/ls/tsag/sp17-tsag-oLS-00036.docx" TargetMode="External"/><Relationship Id="rId119" Type="http://schemas.openxmlformats.org/officeDocument/2006/relationships/header" Target="header3.xml"/><Relationship Id="rId44" Type="http://schemas.openxmlformats.org/officeDocument/2006/relationships/hyperlink" Target="http://www.itu.int/md/meetingdoc.asp?lang=en&amp;parent=T22-TSAG-240122-TD-GEN-0441" TargetMode="External"/><Relationship Id="rId60" Type="http://schemas.openxmlformats.org/officeDocument/2006/relationships/hyperlink" Target="http://www.itu.int/md/meetingdoc.asp?lang=en&amp;parent=T22-TSAG-240122-TD-GEN-0408" TargetMode="External"/><Relationship Id="rId65" Type="http://schemas.openxmlformats.org/officeDocument/2006/relationships/hyperlink" Target="http://www.itu.int/md/meetingdoc.asp?lang=en&amp;parent=T22-TSAG-240122-TD-GEN-0431" TargetMode="External"/><Relationship Id="rId81" Type="http://schemas.openxmlformats.org/officeDocument/2006/relationships/hyperlink" Target="https://www.itu.int/md/T22-TSAG-240122-TD-GEN-0462/en" TargetMode="External"/><Relationship Id="rId86" Type="http://schemas.openxmlformats.org/officeDocument/2006/relationships/hyperlink" Target="http://www.itu.int/md/meetingdoc.asp?lang=en&amp;parent=T22-TSAG-240122-TD-GEN-0312" TargetMode="External"/><Relationship Id="rId130" Type="http://schemas.openxmlformats.org/officeDocument/2006/relationships/hyperlink" Target="mailto:olivier.dubuisson(AT)orange.com" TargetMode="External"/><Relationship Id="rId135" Type="http://schemas.openxmlformats.org/officeDocument/2006/relationships/hyperlink" Target="http://www.itu.int/itu-t/workprog/wp_item.aspx?isn=19289" TargetMode="External"/><Relationship Id="rId151" Type="http://schemas.openxmlformats.org/officeDocument/2006/relationships/header" Target="header5.xml"/><Relationship Id="rId13" Type="http://schemas.openxmlformats.org/officeDocument/2006/relationships/hyperlink" Target="https://www.itu.int/md/meetingdoc.asp?lang=en&amp;parent=T22-TSAG-240122-TD-GEN-0418" TargetMode="External"/><Relationship Id="rId18" Type="http://schemas.openxmlformats.org/officeDocument/2006/relationships/hyperlink" Target="https://www.itu.int/md/meetingdoc.asp?lang=en&amp;parent=T22-TSAG-240122-TD-GEN-0304" TargetMode="External"/><Relationship Id="rId39" Type="http://schemas.openxmlformats.org/officeDocument/2006/relationships/hyperlink" Target="http://www.itu.int/md/meetingdoc.asp?lang=en&amp;parent=T22-TSAG-240122-TD-GEN-0388" TargetMode="External"/><Relationship Id="rId109" Type="http://schemas.openxmlformats.org/officeDocument/2006/relationships/hyperlink" Target="https://www.itu.int/ifa/t/2022/ls/tsag/sp17-tsag-oLS-00031.zip" TargetMode="External"/><Relationship Id="rId34" Type="http://schemas.openxmlformats.org/officeDocument/2006/relationships/hyperlink" Target="http://www.itu.int/md/meetingdoc.asp?lang=en&amp;parent=T22-TSAG-240122-TD-GEN-0404" TargetMode="External"/><Relationship Id="rId50" Type="http://schemas.openxmlformats.org/officeDocument/2006/relationships/hyperlink" Target="http://www.itu.int/md/meetingdoc.asp?lang=en&amp;parent=T22-TSAG-C-0063" TargetMode="External"/><Relationship Id="rId55" Type="http://schemas.openxmlformats.org/officeDocument/2006/relationships/hyperlink" Target="http://www.itu.int/md/meetingdoc.asp?lang=en&amp;parent=T22-TSAG-240122-TD-GEN-0449" TargetMode="External"/><Relationship Id="rId76" Type="http://schemas.openxmlformats.org/officeDocument/2006/relationships/hyperlink" Target="https://www.itu.int/md/meetingdoc.asp?lang=en&amp;parent=T22-TSAG-240122-TD-GEN-0467" TargetMode="External"/><Relationship Id="rId97" Type="http://schemas.openxmlformats.org/officeDocument/2006/relationships/hyperlink" Target="http://www.itu.int/md/meetingdoc.asp?lang=en&amp;parent=T22-TSAG-240122-TD-GEN-0481" TargetMode="External"/><Relationship Id="rId104" Type="http://schemas.openxmlformats.org/officeDocument/2006/relationships/hyperlink" Target="https://www.itu.int/md/T22-TSAG-240122-TD-GEN-0396/en" TargetMode="External"/><Relationship Id="rId120" Type="http://schemas.openxmlformats.org/officeDocument/2006/relationships/footer" Target="footer3.xml"/><Relationship Id="rId125" Type="http://schemas.openxmlformats.org/officeDocument/2006/relationships/hyperlink" Target="http://www.itu.int/itu-t/workprog/wp_item.aspx?isn=19290" TargetMode="External"/><Relationship Id="rId141" Type="http://schemas.openxmlformats.org/officeDocument/2006/relationships/hyperlink" Target="mailto:philrushton(AT)rcc-uk.uk" TargetMode="External"/><Relationship Id="rId146" Type="http://schemas.openxmlformats.org/officeDocument/2006/relationships/hyperlink" Target="http://www.itu.int/md/T22-TSAG-240122-TD-GEN-0472" TargetMode="External"/><Relationship Id="rId7" Type="http://schemas.openxmlformats.org/officeDocument/2006/relationships/endnotes" Target="endnotes.xml"/><Relationship Id="rId71" Type="http://schemas.openxmlformats.org/officeDocument/2006/relationships/hyperlink" Target="https://www.itu.int/md/T22-TSAG-240122-TD-GEN-0450/en" TargetMode="External"/><Relationship Id="rId92" Type="http://schemas.openxmlformats.org/officeDocument/2006/relationships/hyperlink" Target="https://www.itu.int/md/T22-TSAG-240122-TD-GEN-0475/en" TargetMode="External"/><Relationship Id="rId2" Type="http://schemas.openxmlformats.org/officeDocument/2006/relationships/numbering" Target="numbering.xml"/><Relationship Id="rId29" Type="http://schemas.openxmlformats.org/officeDocument/2006/relationships/hyperlink" Target="http://www.itu.int/md/meetingdoc.asp?lang=en&amp;parent=T22-TSAG-240122-TD-GEN-0409" TargetMode="External"/><Relationship Id="rId24" Type="http://schemas.openxmlformats.org/officeDocument/2006/relationships/hyperlink" Target="https://www.itu.int/md/meetingdoc.asp?lang=en&amp;parent=T22-TSAG-240122-TD-GEN-0439" TargetMode="External"/><Relationship Id="rId40" Type="http://schemas.openxmlformats.org/officeDocument/2006/relationships/hyperlink" Target="http://www.itu.int/md/meetingdoc.asp?lang=en&amp;parent=T22-TSAG-240122-TD-GEN-0482" TargetMode="External"/><Relationship Id="rId45" Type="http://schemas.openxmlformats.org/officeDocument/2006/relationships/hyperlink" Target="http://www.itu.int/md/meetingdoc.asp?lang=en&amp;parent=T22-TSAG-C-0080" TargetMode="External"/><Relationship Id="rId66" Type="http://schemas.openxmlformats.org/officeDocument/2006/relationships/hyperlink" Target="http://www.itu.int/md/meetingdoc.asp?lang=en&amp;parent=T22-TSAG-240122-TD-GEN-0359" TargetMode="External"/><Relationship Id="rId87" Type="http://schemas.openxmlformats.org/officeDocument/2006/relationships/hyperlink" Target="http://www.itu.int/md/meetingdoc.asp?lang=en&amp;parent=T22-TSAG-240122-TD-GEN-0315" TargetMode="External"/><Relationship Id="rId110" Type="http://schemas.openxmlformats.org/officeDocument/2006/relationships/hyperlink" Target="https://www.itu.int/ifa/t/2022/ls/tsag/sp17-tsag-oLS-00032.zip" TargetMode="External"/><Relationship Id="rId115" Type="http://schemas.openxmlformats.org/officeDocument/2006/relationships/header" Target="header1.xml"/><Relationship Id="rId131" Type="http://schemas.openxmlformats.org/officeDocument/2006/relationships/hyperlink" Target="http://www.itu.int/itu-t/workprog/wp_item.aspx?isn=18922" TargetMode="External"/><Relationship Id="rId136" Type="http://schemas.openxmlformats.org/officeDocument/2006/relationships/hyperlink" Target="http://www.itu.int/md/T22-TSAG-240122-TD-GEN-0470" TargetMode="External"/><Relationship Id="rId61" Type="http://schemas.openxmlformats.org/officeDocument/2006/relationships/hyperlink" Target="http://www.itu.int/md/meetingdoc.asp?lang=en&amp;parent=T22-TSAG-240122-TD-GEN-0421" TargetMode="External"/><Relationship Id="rId82" Type="http://schemas.openxmlformats.org/officeDocument/2006/relationships/hyperlink" Target="http://www.itu.int/md/meetingdoc.asp?lang=en&amp;parent=T22-TSAG-240122-TD-GEN-0397" TargetMode="External"/><Relationship Id="rId152" Type="http://schemas.openxmlformats.org/officeDocument/2006/relationships/footer" Target="footer6.xml"/><Relationship Id="rId19" Type="http://schemas.openxmlformats.org/officeDocument/2006/relationships/hyperlink" Target="https://www.itu.int/md/meetingdoc.asp?lang=en&amp;parent=T22-TSAG-240122-TD-GEN-0303" TargetMode="External"/><Relationship Id="rId14" Type="http://schemas.openxmlformats.org/officeDocument/2006/relationships/hyperlink" Target="https://www.itu.int/md/meetingdoc.asp?lang=en&amp;parent=T22-TSAG-240122-TD-GEN-0324" TargetMode="External"/><Relationship Id="rId30" Type="http://schemas.openxmlformats.org/officeDocument/2006/relationships/hyperlink" Target="http://www.itu.int/md/meetingdoc.asp?lang=en&amp;parent=T22-TSAG-240122-TD-GEN-0410" TargetMode="External"/><Relationship Id="rId35" Type="http://schemas.openxmlformats.org/officeDocument/2006/relationships/hyperlink" Target="http://www.itu.int/md/meetingdoc.asp?lang=en&amp;parent=T22-TSAG-240122-TD-GEN-0457" TargetMode="External"/><Relationship Id="rId56" Type="http://schemas.openxmlformats.org/officeDocument/2006/relationships/hyperlink" Target="http://www.itu.int/md/meetingdoc.asp?lang=en&amp;parent=T22-TSAG-240122-TD-GEN-0356" TargetMode="External"/><Relationship Id="rId77" Type="http://schemas.openxmlformats.org/officeDocument/2006/relationships/hyperlink" Target="https://www.itu.int/md/meetingdoc.asp?lang=en&amp;parent=T22-TSAG-240122-TD-GEN-0468" TargetMode="External"/><Relationship Id="rId100" Type="http://schemas.openxmlformats.org/officeDocument/2006/relationships/hyperlink" Target="https://www.itu.int/md/T22-TSAG-R-0005" TargetMode="External"/><Relationship Id="rId105" Type="http://schemas.openxmlformats.org/officeDocument/2006/relationships/hyperlink" Target="https://www.itu.int/md/T22-TSAG-240122-TD-GEN-0385/en" TargetMode="External"/><Relationship Id="rId126" Type="http://schemas.openxmlformats.org/officeDocument/2006/relationships/hyperlink" Target="http://www.itu.int/md/T22-TSAG-240122-TD-GEN-0467" TargetMode="External"/><Relationship Id="rId147" Type="http://schemas.openxmlformats.org/officeDocument/2006/relationships/hyperlink" Target="mailto:et(AT)niir.ru" TargetMode="External"/><Relationship Id="rId8" Type="http://schemas.openxmlformats.org/officeDocument/2006/relationships/image" Target="media/image1.png"/><Relationship Id="rId51" Type="http://schemas.openxmlformats.org/officeDocument/2006/relationships/hyperlink" Target="https://extranet.itu.int/sites/itu-t/jca/dcc/meetingdocs/JCA-DCC-054.docx" TargetMode="External"/><Relationship Id="rId72" Type="http://schemas.openxmlformats.org/officeDocument/2006/relationships/hyperlink" Target="https://www.itu.int/md/T22-TSAG-240122-TD-GEN-0450/en" TargetMode="External"/><Relationship Id="rId93" Type="http://schemas.openxmlformats.org/officeDocument/2006/relationships/hyperlink" Target="https://www.itu.int/md/T22-TSAG-240122-TD-GEN-0480/en" TargetMode="External"/><Relationship Id="rId98" Type="http://schemas.openxmlformats.org/officeDocument/2006/relationships/hyperlink" Target="http://www.itu.int/md/meetingdoc.asp?lang=en&amp;parent=T22-TSAG-240122-TD-GEN-0306" TargetMode="External"/><Relationship Id="rId121" Type="http://schemas.openxmlformats.org/officeDocument/2006/relationships/hyperlink" Target="https://www.itu.int/en/ITU-T/tsag/2022-2024/Pages/Rapporteur-Groups.aspx" TargetMode="External"/><Relationship Id="rId142" Type="http://schemas.openxmlformats.org/officeDocument/2006/relationships/hyperlink" Target="http://www.itu.int/itu-t/workprog/wp_item.aspx?isn=18702" TargetMode="External"/><Relationship Id="rId3" Type="http://schemas.openxmlformats.org/officeDocument/2006/relationships/styles" Target="styles.xml"/><Relationship Id="rId25" Type="http://schemas.openxmlformats.org/officeDocument/2006/relationships/hyperlink" Target="http://www.itu.int/md/meetingdoc.asp?lang=en&amp;parent=T22-TSAG-240122-TD-GEN-0464" TargetMode="External"/><Relationship Id="rId46" Type="http://schemas.openxmlformats.org/officeDocument/2006/relationships/hyperlink" Target="http://www.itu.int/md/meetingdoc.asp?lang=en&amp;parent=T22-TSAG-C-0054" TargetMode="External"/><Relationship Id="rId67" Type="http://schemas.openxmlformats.org/officeDocument/2006/relationships/hyperlink" Target="https://www.itu.int/md/meetingdoc.asp?lang=en&amp;parent=T22-TSAG-240122-TD-GEN-0303" TargetMode="External"/><Relationship Id="rId116" Type="http://schemas.openxmlformats.org/officeDocument/2006/relationships/header" Target="header2.xml"/><Relationship Id="rId137" Type="http://schemas.openxmlformats.org/officeDocument/2006/relationships/hyperlink" Target="mailto:olivier.dubuisson(AT)orange.com" TargetMode="External"/><Relationship Id="rId20" Type="http://schemas.openxmlformats.org/officeDocument/2006/relationships/hyperlink" Target="https://www.itu.int/md/meetingdoc.asp?lang=en&amp;parent=T22-TSAG-240122-TD-GEN-0307" TargetMode="External"/><Relationship Id="rId41" Type="http://schemas.openxmlformats.org/officeDocument/2006/relationships/hyperlink" Target="http://www.itu.int/md/meetingdoc.asp?lang=en&amp;parent=T22-TSAG-240122-TD-GEN-0483" TargetMode="External"/><Relationship Id="rId62" Type="http://schemas.openxmlformats.org/officeDocument/2006/relationships/hyperlink" Target="http://www.itu.int/md/meetingdoc.asp?lang=en&amp;parent=T22-TSAG-240122-TD-GEN-0405" TargetMode="External"/><Relationship Id="rId83" Type="http://schemas.openxmlformats.org/officeDocument/2006/relationships/hyperlink" Target="https://www.itu.int/md/meetingdoc.asp?lang=en&amp;parent=T22-TSAG-240122-TD-GEN-0463" TargetMode="External"/><Relationship Id="rId88" Type="http://schemas.openxmlformats.org/officeDocument/2006/relationships/hyperlink" Target="http://www.itu.int/md/meetingdoc.asp?lang=en&amp;parent=T22-TSAG-240122-TD-GEN-0315" TargetMode="External"/><Relationship Id="rId111" Type="http://schemas.openxmlformats.org/officeDocument/2006/relationships/hyperlink" Target="https://www.itu.int/ifa/t/2022/ls/tsag/sp17-tsag-oLS-00033.docx" TargetMode="External"/><Relationship Id="rId132" Type="http://schemas.openxmlformats.org/officeDocument/2006/relationships/hyperlink" Target="http://www.itu.int/md/T22-TSAG-240122-TD-GEN-0453" TargetMode="External"/><Relationship Id="rId153" Type="http://schemas.openxmlformats.org/officeDocument/2006/relationships/fontTable" Target="fontTable.xml"/><Relationship Id="rId15" Type="http://schemas.openxmlformats.org/officeDocument/2006/relationships/hyperlink" Target="https://www.itu.int/md/meetingdoc.asp?lang=en&amp;parent=T22-TSAG-240122-TD-GEN-0325" TargetMode="External"/><Relationship Id="rId36" Type="http://schemas.openxmlformats.org/officeDocument/2006/relationships/hyperlink" Target="http://www.itu.int/md/meetingdoc.asp?lang=en&amp;parent=T22-TSAG-240122-TD-GEN-0438" TargetMode="External"/><Relationship Id="rId57" Type="http://schemas.openxmlformats.org/officeDocument/2006/relationships/hyperlink" Target="http://www.itu.int/md/meetingdoc.asp?lang=en&amp;parent=T22-TSAG-240122-TD-GEN-0435" TargetMode="External"/><Relationship Id="rId106" Type="http://schemas.openxmlformats.org/officeDocument/2006/relationships/hyperlink" Target="https://www.itu.int/md/T22-TSAG-240122-TD-GEN-0478/en" TargetMode="External"/><Relationship Id="rId127" Type="http://schemas.openxmlformats.org/officeDocument/2006/relationships/hyperlink" Target="http://broken-link/" TargetMode="External"/><Relationship Id="rId10" Type="http://schemas.openxmlformats.org/officeDocument/2006/relationships/hyperlink" Target="https://www.itu.int/md/meetingdoc.asp?lang=en&amp;parent=T22-TSAG-240122-TD-GEN-0308" TargetMode="External"/><Relationship Id="rId31" Type="http://schemas.openxmlformats.org/officeDocument/2006/relationships/hyperlink" Target="http://www.itu.int/md/meetingdoc.asp?lang=en&amp;parent=T22-TSAG-240122-TD-GEN-0463" TargetMode="External"/><Relationship Id="rId52" Type="http://schemas.openxmlformats.org/officeDocument/2006/relationships/hyperlink" Target="http://www.itu.int/md/meetingdoc.asp?lang=en&amp;parent=T22-TSAG-240122-TD-GEN-0391" TargetMode="External"/><Relationship Id="rId73" Type="http://schemas.openxmlformats.org/officeDocument/2006/relationships/hyperlink" Target="https://www.itu.int/md/meetingdoc.asp?lang=en&amp;parent=T22-TSAG-240122-TD-GEN-0394" TargetMode="External"/><Relationship Id="rId78" Type="http://schemas.openxmlformats.org/officeDocument/2006/relationships/hyperlink" Target="https://www.itu.int/md/T22-TSAG-240122-TD-GEN-0454/en" TargetMode="External"/><Relationship Id="rId94" Type="http://schemas.openxmlformats.org/officeDocument/2006/relationships/hyperlink" Target="https://www.itu.int/md/T22-TSAG-240122-TD-GEN-0474/en" TargetMode="External"/><Relationship Id="rId99" Type="http://schemas.openxmlformats.org/officeDocument/2006/relationships/hyperlink" Target="https://www.itu.int/md/meetingdoc.asp?lang=en&amp;parent=T22-TSAG-240122-TD-GEN-0450" TargetMode="External"/><Relationship Id="rId101" Type="http://schemas.openxmlformats.org/officeDocument/2006/relationships/hyperlink" Target="https://www.itu.int/md/T22-TSAG-R-0006" TargetMode="External"/><Relationship Id="rId122" Type="http://schemas.openxmlformats.org/officeDocument/2006/relationships/hyperlink" Target="http://www.itu.int/itu-t/workprog/wp_item.aspx?isn=18921" TargetMode="External"/><Relationship Id="rId143" Type="http://schemas.openxmlformats.org/officeDocument/2006/relationships/hyperlink" Target="http://www.itu.int/md/T22-TSAG-240122-TD-GEN-0473" TargetMode="External"/><Relationship Id="rId148"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agchair@nca.gov.sa" TargetMode="External"/><Relationship Id="rId26" Type="http://schemas.openxmlformats.org/officeDocument/2006/relationships/hyperlink" Target="http://www.itu.int/md/meetingdoc.asp?lang=en&amp;parent=T22-TSAG-240122-TD-GEN-0315" TargetMode="External"/><Relationship Id="rId47" Type="http://schemas.openxmlformats.org/officeDocument/2006/relationships/hyperlink" Target="http://www.itu.int/md/meetingdoc.asp?lang=en&amp;parent=T22-TSAG-C-0056" TargetMode="External"/><Relationship Id="rId68" Type="http://schemas.openxmlformats.org/officeDocument/2006/relationships/hyperlink" Target="http://www.itu.int/md/meetingdoc.asp?lang=en&amp;parent=T22-TSAG-240122-TD-GEN-0312" TargetMode="External"/><Relationship Id="rId89" Type="http://schemas.openxmlformats.org/officeDocument/2006/relationships/hyperlink" Target="https://www.itu.int/md/T22-TSAG-240122-TD-GEN-0480/en" TargetMode="External"/><Relationship Id="rId112" Type="http://schemas.openxmlformats.org/officeDocument/2006/relationships/hyperlink" Target="https://www.itu.int/ifa/t/2022/ls/tsag/sp17-tsag-oLS-00034.docx" TargetMode="External"/><Relationship Id="rId133" Type="http://schemas.openxmlformats.org/officeDocument/2006/relationships/hyperlink" Target="mailto:Ena.Dekanic(AT)fcc.gov" TargetMode="External"/><Relationship Id="rId154" Type="http://schemas.openxmlformats.org/officeDocument/2006/relationships/theme" Target="theme/theme1.xml"/><Relationship Id="rId16" Type="http://schemas.openxmlformats.org/officeDocument/2006/relationships/hyperlink" Target="https://www.itu.int/md/meetingdoc.asp?lang=en&amp;parent=T22-TSAG-240122-TD-GEN-0412" TargetMode="External"/><Relationship Id="rId37" Type="http://schemas.openxmlformats.org/officeDocument/2006/relationships/hyperlink" Target="http://www.itu.int/md/meetingdoc.asp?lang=en&amp;parent=T22-TSAG-240122-TD-GEN-0446" TargetMode="External"/><Relationship Id="rId58" Type="http://schemas.openxmlformats.org/officeDocument/2006/relationships/hyperlink" Target="http://www.itu.int/md/meetingdoc.asp?lang=en&amp;parent=T22-TSAG-240122-TD-GEN-0383" TargetMode="External"/><Relationship Id="rId79" Type="http://schemas.openxmlformats.org/officeDocument/2006/relationships/hyperlink" Target="http://www.itu.int/md/meetingdoc.asp?lang=en&amp;parent=T22-TSAG-240122-TD-GEN-0479" TargetMode="External"/><Relationship Id="rId102" Type="http://schemas.openxmlformats.org/officeDocument/2006/relationships/hyperlink" Target="https://www.itu.int/md/T22-TSAG-R-0007" TargetMode="External"/><Relationship Id="rId123" Type="http://schemas.openxmlformats.org/officeDocument/2006/relationships/hyperlink" Target="http://www.itu.int/md/T22-TSAG-240122-TD-GEN-0456" TargetMode="External"/><Relationship Id="rId144" Type="http://schemas.openxmlformats.org/officeDocument/2006/relationships/hyperlink" Target="mailto:lifang(AT)caict.ac.cn" TargetMode="External"/><Relationship Id="rId90" Type="http://schemas.openxmlformats.org/officeDocument/2006/relationships/hyperlink" Target="https://www.itu.int/md/T22-TSAG-240122-TD-GEN-0484/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EF0-61EE-4D72-8AF5-B995C4D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199</TotalTime>
  <Pages>26</Pages>
  <Words>8617</Words>
  <Characters>60204</Characters>
  <Application>Microsoft Office Word</Application>
  <DocSecurity>0</DocSecurity>
  <Lines>501</Lines>
  <Paragraphs>137</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68684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29</cp:revision>
  <cp:lastPrinted>2017-01-26T10:12:00Z</cp:lastPrinted>
  <dcterms:created xsi:type="dcterms:W3CDTF">2024-03-18T06:36:00Z</dcterms:created>
  <dcterms:modified xsi:type="dcterms:W3CDTF">2024-03-27T09:28:00Z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