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eastAsia="es-ES_tradnl"/>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5426A274" w14:textId="77777777" w:rsidR="00F4623E" w:rsidRPr="00A90CFC" w:rsidRDefault="00F4623E" w:rsidP="00F4623E">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F4623E" w:rsidRPr="00A90CFC" w14:paraId="2B4D3965" w14:textId="77777777" w:rsidTr="00F0395A">
        <w:trPr>
          <w:cantSplit/>
          <w:trHeight w:val="649"/>
        </w:trPr>
        <w:tc>
          <w:tcPr>
            <w:tcW w:w="1084" w:type="dxa"/>
            <w:gridSpan w:val="2"/>
          </w:tcPr>
          <w:p w14:paraId="693312FB" w14:textId="77777777" w:rsidR="00F4623E" w:rsidRPr="00A90CFC" w:rsidRDefault="00F4623E" w:rsidP="00F0395A">
            <w:pPr>
              <w:tabs>
                <w:tab w:val="left" w:pos="4111"/>
              </w:tabs>
              <w:spacing w:before="10"/>
              <w:ind w:left="57"/>
              <w:rPr>
                <w:szCs w:val="24"/>
              </w:rPr>
            </w:pPr>
          </w:p>
        </w:tc>
        <w:tc>
          <w:tcPr>
            <w:tcW w:w="3793" w:type="dxa"/>
          </w:tcPr>
          <w:p w14:paraId="676C1507" w14:textId="77777777" w:rsidR="00F4623E" w:rsidRPr="00A90CFC" w:rsidRDefault="00F4623E" w:rsidP="00F0395A">
            <w:pPr>
              <w:tabs>
                <w:tab w:val="left" w:pos="4111"/>
              </w:tabs>
              <w:spacing w:before="10"/>
              <w:ind w:left="57"/>
              <w:rPr>
                <w:b/>
              </w:rPr>
            </w:pPr>
          </w:p>
        </w:tc>
        <w:tc>
          <w:tcPr>
            <w:tcW w:w="4762" w:type="dxa"/>
          </w:tcPr>
          <w:p w14:paraId="386F9253" w14:textId="2F043B15" w:rsidR="00F4623E" w:rsidRPr="00A90CFC" w:rsidRDefault="00F4623E" w:rsidP="00F0395A">
            <w:pPr>
              <w:pStyle w:val="Tabletext0"/>
              <w:tabs>
                <w:tab w:val="clear" w:pos="1134"/>
                <w:tab w:val="clear" w:pos="2268"/>
                <w:tab w:val="left" w:pos="794"/>
                <w:tab w:val="left" w:pos="1191"/>
                <w:tab w:val="left" w:pos="1588"/>
              </w:tabs>
              <w:spacing w:before="240" w:after="120"/>
              <w:rPr>
                <w:bCs/>
              </w:rPr>
            </w:pPr>
            <w:r w:rsidRPr="00A90CFC">
              <w:t xml:space="preserve">Ginebra, 15 de </w:t>
            </w:r>
            <w:r w:rsidR="001E2532">
              <w:t>marso</w:t>
            </w:r>
            <w:r w:rsidRPr="00A90CFC">
              <w:t xml:space="preserve"> de 202</w:t>
            </w:r>
            <w:r w:rsidR="00EA3154" w:rsidRPr="00A90CFC">
              <w:t>2</w:t>
            </w:r>
          </w:p>
        </w:tc>
      </w:tr>
      <w:tr w:rsidR="00F4623E" w:rsidRPr="00A90CFC" w14:paraId="07E96EB7" w14:textId="77777777" w:rsidTr="00F0395A">
        <w:trPr>
          <w:cantSplit/>
          <w:trHeight w:val="649"/>
        </w:trPr>
        <w:tc>
          <w:tcPr>
            <w:tcW w:w="1084" w:type="dxa"/>
            <w:gridSpan w:val="2"/>
          </w:tcPr>
          <w:p w14:paraId="4C9F96DB" w14:textId="77777777" w:rsidR="00F4623E" w:rsidRPr="00A90CFC" w:rsidRDefault="00F4623E" w:rsidP="00F0395A">
            <w:pPr>
              <w:tabs>
                <w:tab w:val="left" w:pos="4111"/>
              </w:tabs>
              <w:spacing w:before="40" w:after="40"/>
              <w:ind w:left="57"/>
              <w:rPr>
                <w:szCs w:val="24"/>
              </w:rPr>
            </w:pPr>
            <w:r w:rsidRPr="00A90CFC">
              <w:rPr>
                <w:szCs w:val="24"/>
              </w:rPr>
              <w:t>Ref.:</w:t>
            </w:r>
          </w:p>
        </w:tc>
        <w:tc>
          <w:tcPr>
            <w:tcW w:w="3793" w:type="dxa"/>
          </w:tcPr>
          <w:p w14:paraId="216B2E1F" w14:textId="505B6E64" w:rsidR="00F4623E" w:rsidRPr="00A90CFC" w:rsidRDefault="00F4623E" w:rsidP="00F0395A">
            <w:pPr>
              <w:tabs>
                <w:tab w:val="left" w:pos="4111"/>
              </w:tabs>
              <w:spacing w:before="40" w:after="40"/>
              <w:ind w:left="57"/>
              <w:rPr>
                <w:b/>
                <w:szCs w:val="24"/>
              </w:rPr>
            </w:pPr>
            <w:r w:rsidRPr="00A90CFC">
              <w:rPr>
                <w:b/>
              </w:rPr>
              <w:t xml:space="preserve">Carta Colectiva TSB </w:t>
            </w:r>
            <w:r w:rsidRPr="00A90CFC">
              <w:rPr>
                <w:b/>
                <w:szCs w:val="24"/>
              </w:rPr>
              <w:t>1/17</w:t>
            </w:r>
          </w:p>
          <w:p w14:paraId="27D51795" w14:textId="77777777" w:rsidR="00F4623E" w:rsidRPr="00A90CFC" w:rsidRDefault="00F4623E" w:rsidP="00F0395A">
            <w:pPr>
              <w:tabs>
                <w:tab w:val="left" w:pos="4111"/>
              </w:tabs>
              <w:spacing w:before="0" w:after="40"/>
              <w:ind w:left="57"/>
              <w:rPr>
                <w:u w:val="single"/>
              </w:rPr>
            </w:pPr>
            <w:bookmarkStart w:id="0" w:name="lt_pId018"/>
            <w:r w:rsidRPr="00A90CFC">
              <w:t>CE 17/</w:t>
            </w:r>
            <w:bookmarkEnd w:id="0"/>
            <w:r w:rsidRPr="00A90CFC">
              <w:t>XY</w:t>
            </w:r>
          </w:p>
        </w:tc>
        <w:tc>
          <w:tcPr>
            <w:tcW w:w="4762" w:type="dxa"/>
            <w:vMerge w:val="restart"/>
          </w:tcPr>
          <w:p w14:paraId="34F66B13" w14:textId="77777777" w:rsidR="00F4623E" w:rsidRPr="00A90CFC" w:rsidRDefault="00F4623E" w:rsidP="00F0395A">
            <w:pPr>
              <w:tabs>
                <w:tab w:val="left" w:pos="4111"/>
              </w:tabs>
              <w:spacing w:before="40" w:after="40"/>
              <w:ind w:left="57"/>
              <w:rPr>
                <w:bCs/>
              </w:rPr>
            </w:pPr>
            <w:r w:rsidRPr="00A90CFC">
              <w:rPr>
                <w:bCs/>
              </w:rPr>
              <w:t>A:</w:t>
            </w:r>
          </w:p>
          <w:p w14:paraId="6C76775D" w14:textId="0A394B94" w:rsidR="00F4623E" w:rsidRPr="00A90CFC" w:rsidRDefault="008F4610" w:rsidP="00F0395A">
            <w:pPr>
              <w:tabs>
                <w:tab w:val="clear" w:pos="794"/>
                <w:tab w:val="left" w:pos="218"/>
              </w:tabs>
              <w:spacing w:before="0" w:after="40"/>
              <w:ind w:left="218" w:hanging="161"/>
            </w:pPr>
            <w:r w:rsidRPr="00A90CFC">
              <w:t>–</w:t>
            </w:r>
            <w:r w:rsidR="00F4623E" w:rsidRPr="00A90CFC">
              <w:tab/>
              <w:t>Las Administr</w:t>
            </w:r>
            <w:r w:rsidRPr="00A90CFC">
              <w:t>aciones de los Estados Miembros</w:t>
            </w:r>
            <w:r w:rsidRPr="00A90CFC">
              <w:br/>
            </w:r>
            <w:r w:rsidR="00F4623E" w:rsidRPr="00A90CFC">
              <w:t>de la Unión;</w:t>
            </w:r>
          </w:p>
          <w:p w14:paraId="17CE2539" w14:textId="48BB6383" w:rsidR="00F4623E" w:rsidRPr="00A90CFC" w:rsidRDefault="008F4610" w:rsidP="00F0395A">
            <w:pPr>
              <w:tabs>
                <w:tab w:val="clear" w:pos="794"/>
                <w:tab w:val="left" w:pos="218"/>
              </w:tabs>
              <w:spacing w:before="0" w:after="40"/>
              <w:ind w:left="57"/>
            </w:pPr>
            <w:r w:rsidRPr="00A90CFC">
              <w:t>–</w:t>
            </w:r>
            <w:r w:rsidR="00F4623E" w:rsidRPr="00A90CFC">
              <w:tab/>
              <w:t>Los Miembros de Sector UIT</w:t>
            </w:r>
            <w:r w:rsidR="00F4623E" w:rsidRPr="00A90CFC">
              <w:noBreakHyphen/>
              <w:t>T;</w:t>
            </w:r>
          </w:p>
          <w:p w14:paraId="5A76A7B0" w14:textId="5E88D466" w:rsidR="00F4623E" w:rsidRPr="00A90CFC" w:rsidRDefault="008F4610" w:rsidP="00F0395A">
            <w:pPr>
              <w:tabs>
                <w:tab w:val="clear" w:pos="794"/>
                <w:tab w:val="left" w:pos="218"/>
              </w:tabs>
              <w:spacing w:before="0" w:after="40"/>
              <w:ind w:left="218" w:hanging="161"/>
            </w:pPr>
            <w:r w:rsidRPr="00A90CFC">
              <w:t>–</w:t>
            </w:r>
            <w:r w:rsidR="00F4623E" w:rsidRPr="00A90CFC">
              <w:tab/>
              <w:t>Los Aso</w:t>
            </w:r>
            <w:r w:rsidRPr="00A90CFC">
              <w:t>ciados del UIT-T que participan</w:t>
            </w:r>
            <w:r w:rsidRPr="00A90CFC">
              <w:br/>
            </w:r>
            <w:r w:rsidR="00F4623E" w:rsidRPr="00A90CFC">
              <w:t xml:space="preserve">en los trabajos de la Comisión de Estudio 17; </w:t>
            </w:r>
          </w:p>
          <w:p w14:paraId="150BFCAE" w14:textId="78B3BDED" w:rsidR="00F4623E" w:rsidRPr="00A90CFC" w:rsidRDefault="008F4610" w:rsidP="00F0395A">
            <w:pPr>
              <w:tabs>
                <w:tab w:val="clear" w:pos="794"/>
                <w:tab w:val="left" w:pos="218"/>
              </w:tabs>
              <w:spacing w:before="0" w:after="40"/>
              <w:ind w:left="57"/>
              <w:rPr>
                <w:bCs/>
              </w:rPr>
            </w:pPr>
            <w:r w:rsidRPr="00A90CFC">
              <w:t>–</w:t>
            </w:r>
            <w:r w:rsidR="00F4623E" w:rsidRPr="00A90CFC">
              <w:tab/>
              <w:t>Las Instituciones Académicas de la UIT</w:t>
            </w:r>
          </w:p>
        </w:tc>
      </w:tr>
      <w:tr w:rsidR="00F4623E" w:rsidRPr="00A90CFC" w14:paraId="53104464" w14:textId="77777777" w:rsidTr="00F0395A">
        <w:trPr>
          <w:cantSplit/>
          <w:trHeight w:val="390"/>
        </w:trPr>
        <w:tc>
          <w:tcPr>
            <w:tcW w:w="1084" w:type="dxa"/>
            <w:gridSpan w:val="2"/>
          </w:tcPr>
          <w:p w14:paraId="21490B3E" w14:textId="77777777" w:rsidR="00F4623E" w:rsidRPr="00A90CFC" w:rsidRDefault="00F4623E" w:rsidP="00F0395A">
            <w:pPr>
              <w:tabs>
                <w:tab w:val="left" w:pos="4111"/>
              </w:tabs>
              <w:spacing w:before="40" w:after="40"/>
              <w:ind w:left="57"/>
              <w:rPr>
                <w:szCs w:val="24"/>
              </w:rPr>
            </w:pPr>
            <w:r w:rsidRPr="00A90CFC">
              <w:rPr>
                <w:szCs w:val="24"/>
              </w:rPr>
              <w:t>Tel.:</w:t>
            </w:r>
          </w:p>
        </w:tc>
        <w:tc>
          <w:tcPr>
            <w:tcW w:w="3793" w:type="dxa"/>
          </w:tcPr>
          <w:p w14:paraId="0A411C2C" w14:textId="77777777" w:rsidR="00F4623E" w:rsidRPr="00A90CFC" w:rsidRDefault="00F4623E" w:rsidP="00F0395A">
            <w:pPr>
              <w:tabs>
                <w:tab w:val="left" w:pos="4111"/>
              </w:tabs>
              <w:spacing w:before="40" w:after="40"/>
              <w:ind w:left="57"/>
            </w:pPr>
            <w:r w:rsidRPr="00A90CFC">
              <w:t>+41 22 730 6206</w:t>
            </w:r>
          </w:p>
        </w:tc>
        <w:tc>
          <w:tcPr>
            <w:tcW w:w="4762" w:type="dxa"/>
            <w:vMerge/>
          </w:tcPr>
          <w:p w14:paraId="7EE284DE" w14:textId="77777777" w:rsidR="00F4623E" w:rsidRPr="00A90CFC" w:rsidRDefault="00F4623E" w:rsidP="00F0395A">
            <w:pPr>
              <w:tabs>
                <w:tab w:val="left" w:pos="4111"/>
              </w:tabs>
              <w:spacing w:beforeLines="40" w:before="96" w:after="40"/>
              <w:ind w:left="57"/>
              <w:rPr>
                <w:bCs/>
              </w:rPr>
            </w:pPr>
          </w:p>
        </w:tc>
      </w:tr>
      <w:tr w:rsidR="00F4623E" w:rsidRPr="00A90CFC" w14:paraId="6FC04DB3" w14:textId="77777777" w:rsidTr="00F0395A">
        <w:trPr>
          <w:cantSplit/>
          <w:trHeight w:val="431"/>
        </w:trPr>
        <w:tc>
          <w:tcPr>
            <w:tcW w:w="1084" w:type="dxa"/>
            <w:gridSpan w:val="2"/>
          </w:tcPr>
          <w:p w14:paraId="321C8107" w14:textId="77777777" w:rsidR="00F4623E" w:rsidRPr="00A90CFC" w:rsidRDefault="00F4623E" w:rsidP="00F0395A">
            <w:pPr>
              <w:tabs>
                <w:tab w:val="left" w:pos="4111"/>
              </w:tabs>
              <w:spacing w:before="40" w:after="40"/>
              <w:ind w:left="57"/>
              <w:rPr>
                <w:szCs w:val="24"/>
              </w:rPr>
            </w:pPr>
            <w:r w:rsidRPr="00A90CFC">
              <w:rPr>
                <w:szCs w:val="24"/>
              </w:rPr>
              <w:t>Fax:</w:t>
            </w:r>
          </w:p>
        </w:tc>
        <w:tc>
          <w:tcPr>
            <w:tcW w:w="3793" w:type="dxa"/>
          </w:tcPr>
          <w:p w14:paraId="0A8EB513" w14:textId="77777777" w:rsidR="00F4623E" w:rsidRPr="00A90CFC" w:rsidRDefault="00F4623E" w:rsidP="00F0395A">
            <w:pPr>
              <w:tabs>
                <w:tab w:val="left" w:pos="4111"/>
              </w:tabs>
              <w:spacing w:before="40" w:after="40"/>
              <w:ind w:left="57"/>
            </w:pPr>
            <w:r w:rsidRPr="00A90CFC">
              <w:t>+41 22 730 5853</w:t>
            </w:r>
          </w:p>
        </w:tc>
        <w:tc>
          <w:tcPr>
            <w:tcW w:w="4762" w:type="dxa"/>
            <w:vMerge/>
          </w:tcPr>
          <w:p w14:paraId="1FC550FA" w14:textId="77777777" w:rsidR="00F4623E" w:rsidRPr="00A90CFC" w:rsidRDefault="00F4623E" w:rsidP="00F0395A">
            <w:pPr>
              <w:tabs>
                <w:tab w:val="left" w:pos="4111"/>
              </w:tabs>
              <w:spacing w:beforeLines="40" w:before="96" w:after="40"/>
              <w:ind w:left="57"/>
              <w:rPr>
                <w:bCs/>
              </w:rPr>
            </w:pPr>
          </w:p>
        </w:tc>
      </w:tr>
      <w:tr w:rsidR="00F4623E" w:rsidRPr="00A90CFC" w14:paraId="6638C934" w14:textId="77777777" w:rsidTr="00F0395A">
        <w:trPr>
          <w:cantSplit/>
        </w:trPr>
        <w:tc>
          <w:tcPr>
            <w:tcW w:w="1084" w:type="dxa"/>
            <w:gridSpan w:val="2"/>
          </w:tcPr>
          <w:p w14:paraId="3F71C5C9" w14:textId="77777777" w:rsidR="00F4623E" w:rsidRPr="00A90CFC" w:rsidRDefault="00F4623E" w:rsidP="00F0395A">
            <w:pPr>
              <w:tabs>
                <w:tab w:val="left" w:pos="4111"/>
              </w:tabs>
              <w:spacing w:before="40" w:after="40"/>
              <w:ind w:left="57"/>
              <w:rPr>
                <w:szCs w:val="24"/>
              </w:rPr>
            </w:pPr>
            <w:r w:rsidRPr="00A90CFC">
              <w:rPr>
                <w:szCs w:val="24"/>
              </w:rPr>
              <w:t>Correo-e:</w:t>
            </w:r>
          </w:p>
        </w:tc>
        <w:tc>
          <w:tcPr>
            <w:tcW w:w="3793" w:type="dxa"/>
          </w:tcPr>
          <w:p w14:paraId="0ABD904E" w14:textId="77777777" w:rsidR="00F4623E" w:rsidRPr="00A90CFC" w:rsidRDefault="00A02BC0" w:rsidP="00F0395A">
            <w:pPr>
              <w:tabs>
                <w:tab w:val="left" w:pos="4111"/>
              </w:tabs>
              <w:spacing w:before="40" w:after="40"/>
              <w:ind w:left="57"/>
            </w:pPr>
            <w:hyperlink r:id="rId9" w:history="1">
              <w:r w:rsidR="00F4623E" w:rsidRPr="00A90CFC">
                <w:rPr>
                  <w:rStyle w:val="Hyperlink"/>
                  <w:szCs w:val="24"/>
                </w:rPr>
                <w:t>tsbsg17@itu.int</w:t>
              </w:r>
            </w:hyperlink>
          </w:p>
        </w:tc>
        <w:tc>
          <w:tcPr>
            <w:tcW w:w="4762" w:type="dxa"/>
            <w:vMerge/>
          </w:tcPr>
          <w:p w14:paraId="2555C379" w14:textId="77777777" w:rsidR="00F4623E" w:rsidRPr="00A90CFC" w:rsidRDefault="00F4623E" w:rsidP="00F0395A">
            <w:pPr>
              <w:tabs>
                <w:tab w:val="left" w:pos="4111"/>
              </w:tabs>
              <w:spacing w:beforeLines="40" w:before="96" w:after="40"/>
              <w:ind w:left="57"/>
            </w:pPr>
          </w:p>
        </w:tc>
      </w:tr>
      <w:tr w:rsidR="00F4623E" w:rsidRPr="00A90CFC" w14:paraId="009CCC04" w14:textId="77777777" w:rsidTr="00F0395A">
        <w:trPr>
          <w:cantSplit/>
        </w:trPr>
        <w:tc>
          <w:tcPr>
            <w:tcW w:w="1084" w:type="dxa"/>
            <w:gridSpan w:val="2"/>
          </w:tcPr>
          <w:p w14:paraId="2B8BBE56" w14:textId="77777777" w:rsidR="00F4623E" w:rsidRPr="00A90CFC" w:rsidRDefault="00F4623E" w:rsidP="00F0395A">
            <w:pPr>
              <w:tabs>
                <w:tab w:val="left" w:pos="4111"/>
              </w:tabs>
              <w:spacing w:before="40" w:after="40"/>
              <w:ind w:left="57"/>
              <w:rPr>
                <w:szCs w:val="24"/>
              </w:rPr>
            </w:pPr>
            <w:r w:rsidRPr="00A90CFC">
              <w:rPr>
                <w:szCs w:val="24"/>
              </w:rPr>
              <w:t>Web:</w:t>
            </w:r>
          </w:p>
        </w:tc>
        <w:tc>
          <w:tcPr>
            <w:tcW w:w="3793" w:type="dxa"/>
          </w:tcPr>
          <w:p w14:paraId="2B11B90B" w14:textId="2F3991EB" w:rsidR="00F4623E" w:rsidRPr="00A90CFC" w:rsidRDefault="00A02BC0" w:rsidP="00F0395A">
            <w:pPr>
              <w:tabs>
                <w:tab w:val="left" w:pos="4111"/>
              </w:tabs>
              <w:spacing w:before="40" w:after="40"/>
              <w:ind w:left="57"/>
            </w:pPr>
            <w:hyperlink r:id="rId10" w:history="1">
              <w:r w:rsidR="00F4623E" w:rsidRPr="00A90CFC">
                <w:rPr>
                  <w:rStyle w:val="Hyperlink"/>
                </w:rPr>
                <w:t>http://itu.int/go/tsg17</w:t>
              </w:r>
            </w:hyperlink>
          </w:p>
        </w:tc>
        <w:tc>
          <w:tcPr>
            <w:tcW w:w="4762" w:type="dxa"/>
            <w:vMerge/>
          </w:tcPr>
          <w:p w14:paraId="61F49FA1" w14:textId="77777777" w:rsidR="00F4623E" w:rsidRPr="00A90CFC" w:rsidRDefault="00F4623E" w:rsidP="00F0395A">
            <w:pPr>
              <w:tabs>
                <w:tab w:val="left" w:pos="4111"/>
              </w:tabs>
              <w:spacing w:beforeLines="40" w:before="96" w:after="40"/>
              <w:ind w:left="57"/>
            </w:pPr>
          </w:p>
        </w:tc>
      </w:tr>
      <w:tr w:rsidR="00F4623E" w:rsidRPr="00A90CFC" w14:paraId="4FD0017C" w14:textId="77777777" w:rsidTr="00F0395A">
        <w:trPr>
          <w:cantSplit/>
          <w:trHeight w:val="680"/>
        </w:trPr>
        <w:tc>
          <w:tcPr>
            <w:tcW w:w="1070" w:type="dxa"/>
          </w:tcPr>
          <w:p w14:paraId="1A4B77D8" w14:textId="77777777" w:rsidR="00F4623E" w:rsidRPr="00A90CFC" w:rsidRDefault="00F4623E" w:rsidP="00F0395A">
            <w:pPr>
              <w:tabs>
                <w:tab w:val="left" w:pos="4111"/>
              </w:tabs>
              <w:spacing w:before="240" w:after="40"/>
              <w:ind w:left="57"/>
              <w:rPr>
                <w:b/>
                <w:bCs/>
                <w:szCs w:val="24"/>
              </w:rPr>
            </w:pPr>
            <w:r w:rsidRPr="00A90CFC">
              <w:rPr>
                <w:b/>
                <w:bCs/>
                <w:szCs w:val="24"/>
              </w:rPr>
              <w:t>Asunto:</w:t>
            </w:r>
          </w:p>
        </w:tc>
        <w:tc>
          <w:tcPr>
            <w:tcW w:w="8569" w:type="dxa"/>
            <w:gridSpan w:val="3"/>
          </w:tcPr>
          <w:p w14:paraId="5C414A66" w14:textId="77777777" w:rsidR="00F4623E" w:rsidRPr="00A90CFC" w:rsidRDefault="00F4623E" w:rsidP="00F0395A">
            <w:pPr>
              <w:tabs>
                <w:tab w:val="left" w:pos="4111"/>
              </w:tabs>
              <w:spacing w:before="240" w:after="40"/>
              <w:ind w:left="57"/>
              <w:rPr>
                <w:b/>
                <w:bCs/>
              </w:rPr>
            </w:pPr>
            <w:r w:rsidRPr="00A90CFC">
              <w:rPr>
                <w:b/>
                <w:bCs/>
                <w:szCs w:val="24"/>
              </w:rPr>
              <w:t>Reunión virtual de la Comisión de Estudio 17, 10-20 de mayo de 2022</w:t>
            </w:r>
          </w:p>
        </w:tc>
      </w:tr>
    </w:tbl>
    <w:p w14:paraId="79D5CCB5" w14:textId="77777777" w:rsidR="00F4623E" w:rsidRPr="00A90CFC" w:rsidRDefault="00F4623E" w:rsidP="008F4610">
      <w:pPr>
        <w:pStyle w:val="Normalaftertitle0"/>
      </w:pPr>
      <w:bookmarkStart w:id="1" w:name="ditulogo"/>
      <w:bookmarkEnd w:id="1"/>
      <w:r w:rsidRPr="00A90CFC">
        <w:t>Muy Señora mía/Muy Señor mío,</w:t>
      </w:r>
    </w:p>
    <w:p w14:paraId="1A1B33B7" w14:textId="77777777" w:rsidR="00F4623E" w:rsidRPr="00A90CFC" w:rsidRDefault="00F4623E" w:rsidP="00F4623E">
      <w:pPr>
        <w:rPr>
          <w:bCs/>
        </w:rPr>
      </w:pPr>
      <w:r w:rsidRPr="00A90CFC">
        <w:rPr>
          <w:bCs/>
        </w:rPr>
        <w:t>Me complace invitarle a participar en la reunión de la Comisión de Estudio 17 (Seguridad), que se celebrará de manera virtual del 10 al 20 de mayo de 2022, ambos inclusive.</w:t>
      </w:r>
    </w:p>
    <w:p w14:paraId="209BC5FB" w14:textId="77777777" w:rsidR="00F4623E" w:rsidRPr="00A90CFC" w:rsidRDefault="00F4623E" w:rsidP="00F4623E">
      <w:pPr>
        <w:rPr>
          <w:bCs/>
        </w:rPr>
      </w:pPr>
      <w:r w:rsidRPr="00A90CFC">
        <w:rPr>
          <w:bCs/>
        </w:rPr>
        <w:t>Toda la reunión se llevará a cabo en inglés, sin interpretación, pero con subtitulado para la sesión plenaria de clausura de la CE 17 el 20 de mayo de 2021, y se concederán becas electrónicas.</w:t>
      </w:r>
    </w:p>
    <w:p w14:paraId="1306E123" w14:textId="50A1F921" w:rsidR="00F4623E" w:rsidRPr="00A90CFC" w:rsidRDefault="00F4623E" w:rsidP="00F4623E">
      <w:pPr>
        <w:rPr>
          <w:bCs/>
        </w:rPr>
      </w:pPr>
      <w:r w:rsidRPr="00A90CFC">
        <w:rPr>
          <w:bCs/>
        </w:rPr>
        <w:t xml:space="preserve">La reunión se celebrará cada día de las 10:00 a las 16:00 horas, hora de Ginebra, utilizando la </w:t>
      </w:r>
      <w:hyperlink r:id="rId11" w:history="1">
        <w:r w:rsidRPr="00A90CFC">
          <w:rPr>
            <w:rStyle w:val="Hyperlink"/>
            <w:bCs/>
          </w:rPr>
          <w:t xml:space="preserve">herramienta de participación a distancia </w:t>
        </w:r>
        <w:proofErr w:type="spellStart"/>
        <w:r w:rsidRPr="00A90CFC">
          <w:rPr>
            <w:rStyle w:val="Hyperlink"/>
            <w:bCs/>
          </w:rPr>
          <w:t>MyMeetings</w:t>
        </w:r>
        <w:proofErr w:type="spellEnd"/>
      </w:hyperlink>
      <w:r w:rsidRPr="00A90CFC">
        <w:rPr>
          <w:bCs/>
        </w:rPr>
        <w:t>. El viernes 6 de mayo de 2022</w:t>
      </w:r>
      <w:r w:rsidR="008F4610" w:rsidRPr="00A90CFC">
        <w:rPr>
          <w:bCs/>
        </w:rPr>
        <w:t>, de las 10.00 a las 11.</w:t>
      </w:r>
      <w:r w:rsidRPr="00A90CFC">
        <w:rPr>
          <w:bCs/>
        </w:rPr>
        <w:t>00 horas, hora de Ginebra, se ofrecerá un curso de introducción a la CE 17 para los nuevos participantes y el viernes 6 de mayo de 2022, de las 12</w:t>
      </w:r>
      <w:r w:rsidR="008F4610" w:rsidRPr="00A90CFC">
        <w:rPr>
          <w:bCs/>
        </w:rPr>
        <w:t>.00 a las 15.</w:t>
      </w:r>
      <w:r w:rsidRPr="00A90CFC">
        <w:rPr>
          <w:bCs/>
        </w:rPr>
        <w:t xml:space="preserve">00 horas, hora de Ginebra, se celebrará una reunión abierta ampliada del equipo directivo de la CE 17, como parte integrante de esta reunión. </w:t>
      </w:r>
    </w:p>
    <w:p w14:paraId="09F7C2FA" w14:textId="77777777" w:rsidR="00F4623E" w:rsidRPr="00A90CFC" w:rsidRDefault="00F4623E" w:rsidP="008F4610">
      <w:pPr>
        <w:pStyle w:val="Headingb0"/>
        <w:spacing w:after="120"/>
      </w:pPr>
      <w:r w:rsidRPr="00A90CFC">
        <w:t>Plazos clave:</w:t>
      </w:r>
    </w:p>
    <w:tbl>
      <w:tblPr>
        <w:tblW w:w="96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6"/>
        <w:gridCol w:w="6803"/>
      </w:tblGrid>
      <w:tr w:rsidR="00F4623E" w:rsidRPr="00A90CFC" w14:paraId="20F7A517" w14:textId="77777777" w:rsidTr="00F0395A">
        <w:trPr>
          <w:jc w:val="center"/>
        </w:trPr>
        <w:tc>
          <w:tcPr>
            <w:tcW w:w="2835" w:type="dxa"/>
          </w:tcPr>
          <w:p w14:paraId="00FF9A56" w14:textId="77777777" w:rsidR="00F4623E" w:rsidRPr="00A90CFC" w:rsidRDefault="00F4623E" w:rsidP="00F0395A">
            <w:pPr>
              <w:pStyle w:val="Tabletext0"/>
              <w:keepNext/>
              <w:keepLines/>
              <w:tabs>
                <w:tab w:val="left" w:pos="8222"/>
              </w:tabs>
              <w:rPr>
                <w:bCs/>
                <w:szCs w:val="22"/>
              </w:rPr>
            </w:pPr>
            <w:r w:rsidRPr="00A90CFC">
              <w:rPr>
                <w:bCs/>
                <w:szCs w:val="22"/>
              </w:rPr>
              <w:t>10 de marzo de 2022</w:t>
            </w:r>
          </w:p>
        </w:tc>
        <w:tc>
          <w:tcPr>
            <w:tcW w:w="6799" w:type="dxa"/>
          </w:tcPr>
          <w:p w14:paraId="68D07A7B" w14:textId="77777777" w:rsidR="00F4623E" w:rsidRPr="00A90CFC" w:rsidRDefault="00F4623E" w:rsidP="00F0395A">
            <w:pPr>
              <w:pStyle w:val="Tabletext0"/>
              <w:keepNext/>
              <w:keepLines/>
              <w:tabs>
                <w:tab w:val="left" w:pos="8222"/>
              </w:tabs>
              <w:ind w:left="284" w:hanging="284"/>
              <w:rPr>
                <w:b/>
                <w:bCs/>
                <w:szCs w:val="22"/>
              </w:rPr>
            </w:pPr>
            <w:r w:rsidRPr="00A90CFC">
              <w:rPr>
                <w:szCs w:val="22"/>
              </w:rPr>
              <w:t>–</w:t>
            </w:r>
            <w:r w:rsidRPr="00A90CFC">
              <w:rPr>
                <w:szCs w:val="22"/>
              </w:rPr>
              <w:tab/>
            </w:r>
            <w:hyperlink r:id="rId12" w:history="1">
              <w:r w:rsidRPr="00A90CFC">
                <w:rPr>
                  <w:rStyle w:val="Hyperlink"/>
                  <w:szCs w:val="22"/>
                </w:rPr>
                <w:t>Presentación de las contribuciones de los Miembros del UIT-T</w:t>
              </w:r>
            </w:hyperlink>
            <w:r w:rsidRPr="00A90CFC">
              <w:rPr>
                <w:szCs w:val="22"/>
              </w:rPr>
              <w:t xml:space="preserve"> para las que se requiera traducción.</w:t>
            </w:r>
          </w:p>
        </w:tc>
      </w:tr>
      <w:tr w:rsidR="00F4623E" w:rsidRPr="00A90CFC" w14:paraId="494B6614" w14:textId="77777777" w:rsidTr="00F0395A">
        <w:trPr>
          <w:jc w:val="center"/>
        </w:trPr>
        <w:tc>
          <w:tcPr>
            <w:tcW w:w="2835" w:type="dxa"/>
          </w:tcPr>
          <w:p w14:paraId="57853194" w14:textId="77777777" w:rsidR="00F4623E" w:rsidRPr="00A90CFC" w:rsidDel="00FC35E7" w:rsidRDefault="00F4623E" w:rsidP="00F0395A">
            <w:pPr>
              <w:pStyle w:val="Tabletext0"/>
              <w:keepNext/>
              <w:keepLines/>
              <w:tabs>
                <w:tab w:val="left" w:pos="8222"/>
              </w:tabs>
              <w:rPr>
                <w:bCs/>
                <w:szCs w:val="22"/>
              </w:rPr>
            </w:pPr>
            <w:r w:rsidRPr="00A90CFC">
              <w:rPr>
                <w:bCs/>
                <w:szCs w:val="22"/>
              </w:rPr>
              <w:t>29 de marzo de 2022</w:t>
            </w:r>
          </w:p>
        </w:tc>
        <w:tc>
          <w:tcPr>
            <w:tcW w:w="6799" w:type="dxa"/>
          </w:tcPr>
          <w:p w14:paraId="2BCBECE2" w14:textId="77777777" w:rsidR="00F4623E" w:rsidRPr="00A90CFC" w:rsidRDefault="00F4623E" w:rsidP="00F0395A">
            <w:pPr>
              <w:pStyle w:val="Tabletext0"/>
              <w:keepNext/>
              <w:keepLines/>
              <w:tabs>
                <w:tab w:val="left" w:pos="8222"/>
              </w:tabs>
              <w:ind w:left="284" w:hanging="284"/>
              <w:rPr>
                <w:szCs w:val="22"/>
              </w:rPr>
            </w:pPr>
            <w:r w:rsidRPr="00A90CFC">
              <w:rPr>
                <w:szCs w:val="22"/>
              </w:rPr>
              <w:t>–</w:t>
            </w:r>
            <w:r w:rsidRPr="00A90CFC">
              <w:rPr>
                <w:szCs w:val="22"/>
              </w:rPr>
              <w:tab/>
              <w:t>Presentación de solicitudes de becas electrónicas (</w:t>
            </w:r>
            <w:r w:rsidRPr="00A90CFC">
              <w:t xml:space="preserve">mediante el formulario de inscripción en línea; véanse los detalles en el </w:t>
            </w:r>
            <w:r w:rsidRPr="00A90CFC">
              <w:rPr>
                <w:bCs/>
              </w:rPr>
              <w:t>Anexo A)</w:t>
            </w:r>
          </w:p>
        </w:tc>
      </w:tr>
      <w:tr w:rsidR="00F4623E" w:rsidRPr="00A90CFC" w14:paraId="30B7D1CC" w14:textId="77777777" w:rsidTr="00F0395A">
        <w:trPr>
          <w:jc w:val="center"/>
        </w:trPr>
        <w:tc>
          <w:tcPr>
            <w:tcW w:w="2835" w:type="dxa"/>
          </w:tcPr>
          <w:p w14:paraId="6C97EE25" w14:textId="77777777" w:rsidR="00F4623E" w:rsidRPr="00A90CFC" w:rsidRDefault="00F4623E" w:rsidP="00F0395A">
            <w:pPr>
              <w:pStyle w:val="Tabletext0"/>
              <w:keepNext/>
              <w:keepLines/>
              <w:tabs>
                <w:tab w:val="left" w:pos="8222"/>
              </w:tabs>
              <w:rPr>
                <w:bCs/>
                <w:szCs w:val="22"/>
              </w:rPr>
            </w:pPr>
            <w:r w:rsidRPr="00A90CFC">
              <w:rPr>
                <w:bCs/>
                <w:szCs w:val="22"/>
              </w:rPr>
              <w:t>10 de abril de 2022</w:t>
            </w:r>
          </w:p>
        </w:tc>
        <w:tc>
          <w:tcPr>
            <w:tcW w:w="6799" w:type="dxa"/>
          </w:tcPr>
          <w:p w14:paraId="1B97FC54" w14:textId="4094B6A4" w:rsidR="00F4623E" w:rsidRPr="00A90CFC" w:rsidRDefault="00F4623E" w:rsidP="00F0395A">
            <w:pPr>
              <w:pStyle w:val="Tabletext0"/>
              <w:keepNext/>
              <w:keepLines/>
              <w:tabs>
                <w:tab w:val="left" w:pos="8222"/>
              </w:tabs>
              <w:ind w:left="284" w:hanging="284"/>
              <w:rPr>
                <w:szCs w:val="22"/>
              </w:rPr>
            </w:pPr>
            <w:r w:rsidRPr="00A90CFC">
              <w:rPr>
                <w:szCs w:val="22"/>
              </w:rPr>
              <w:t>–</w:t>
            </w:r>
            <w:r w:rsidRPr="00A90CFC">
              <w:rPr>
                <w:szCs w:val="22"/>
              </w:rPr>
              <w:tab/>
              <w:t xml:space="preserve">Inscripción (mediante el formulario de inscripción en línea de la </w:t>
            </w:r>
            <w:hyperlink r:id="rId13" w:history="1">
              <w:r w:rsidRPr="00A90CFC">
                <w:rPr>
                  <w:rStyle w:val="Hyperlink"/>
                  <w:szCs w:val="22"/>
                </w:rPr>
                <w:t>página principal de la CE 17</w:t>
              </w:r>
            </w:hyperlink>
            <w:r w:rsidRPr="00A90CFC">
              <w:rPr>
                <w:szCs w:val="22"/>
              </w:rPr>
              <w:t>).</w:t>
            </w:r>
          </w:p>
        </w:tc>
      </w:tr>
      <w:tr w:rsidR="00F4623E" w:rsidRPr="00A90CFC" w14:paraId="789B4E34" w14:textId="77777777" w:rsidTr="00F0395A">
        <w:trPr>
          <w:jc w:val="center"/>
        </w:trPr>
        <w:tc>
          <w:tcPr>
            <w:tcW w:w="2835" w:type="dxa"/>
          </w:tcPr>
          <w:p w14:paraId="16F84A31" w14:textId="77777777" w:rsidR="00F4623E" w:rsidRPr="00A90CFC" w:rsidRDefault="00F4623E" w:rsidP="00F0395A">
            <w:pPr>
              <w:pStyle w:val="Tabletext0"/>
              <w:keepNext/>
              <w:keepLines/>
              <w:tabs>
                <w:tab w:val="left" w:pos="8222"/>
              </w:tabs>
              <w:rPr>
                <w:bCs/>
                <w:szCs w:val="22"/>
              </w:rPr>
            </w:pPr>
            <w:r w:rsidRPr="00A90CFC">
              <w:rPr>
                <w:rFonts w:cstheme="minorHAnsi"/>
                <w:bCs/>
                <w:szCs w:val="22"/>
              </w:rPr>
              <w:t>27 de abril de 2022</w:t>
            </w:r>
          </w:p>
        </w:tc>
        <w:tc>
          <w:tcPr>
            <w:tcW w:w="6799" w:type="dxa"/>
          </w:tcPr>
          <w:p w14:paraId="4E42ED6D" w14:textId="77777777" w:rsidR="00F4623E" w:rsidRPr="00A90CFC" w:rsidRDefault="00F4623E" w:rsidP="00F0395A">
            <w:pPr>
              <w:pStyle w:val="Tabletext0"/>
              <w:keepNext/>
              <w:keepLines/>
              <w:tabs>
                <w:tab w:val="left" w:pos="8222"/>
              </w:tabs>
              <w:ind w:left="284" w:hanging="284"/>
              <w:rPr>
                <w:szCs w:val="22"/>
              </w:rPr>
            </w:pPr>
            <w:r w:rsidRPr="00A90CFC">
              <w:rPr>
                <w:szCs w:val="22"/>
              </w:rPr>
              <w:t>–</w:t>
            </w:r>
            <w:r w:rsidRPr="00A90CFC">
              <w:rPr>
                <w:szCs w:val="22"/>
              </w:rPr>
              <w:tab/>
            </w:r>
            <w:hyperlink r:id="rId14" w:history="1">
              <w:r w:rsidRPr="00A90CFC">
                <w:rPr>
                  <w:rStyle w:val="Hyperlink"/>
                  <w:szCs w:val="22"/>
                </w:rPr>
                <w:t>Presentación de las contribuciones de los Miembros del UIT-T (mediante la Publicación Directa de Documentos)</w:t>
              </w:r>
            </w:hyperlink>
          </w:p>
        </w:tc>
      </w:tr>
    </w:tbl>
    <w:p w14:paraId="79141866" w14:textId="57FE622E" w:rsidR="00F4623E" w:rsidRPr="00A90CFC" w:rsidRDefault="00F4623E" w:rsidP="00F4623E">
      <w:pPr>
        <w:rPr>
          <w:bCs/>
        </w:rPr>
      </w:pPr>
      <w:r w:rsidRPr="00A90CFC">
        <w:rPr>
          <w:bCs/>
        </w:rPr>
        <w:t xml:space="preserve">En el </w:t>
      </w:r>
      <w:r w:rsidRPr="00A90CFC">
        <w:rPr>
          <w:b/>
        </w:rPr>
        <w:t>Anexo A</w:t>
      </w:r>
      <w:r w:rsidRPr="00A90CFC">
        <w:rPr>
          <w:bCs/>
        </w:rPr>
        <w:t xml:space="preserve"> se facilita información práctica para la reunión. En el </w:t>
      </w:r>
      <w:r w:rsidRPr="00A90CFC">
        <w:rPr>
          <w:b/>
        </w:rPr>
        <w:t>Anexo B</w:t>
      </w:r>
      <w:r w:rsidRPr="00A90CFC">
        <w:rPr>
          <w:bCs/>
        </w:rPr>
        <w:t xml:space="preserve"> figura el proyecto de </w:t>
      </w:r>
      <w:r w:rsidRPr="00A90CFC">
        <w:rPr>
          <w:b/>
        </w:rPr>
        <w:t xml:space="preserve">orden del día </w:t>
      </w:r>
      <w:r w:rsidRPr="00A90CFC">
        <w:rPr>
          <w:bCs/>
        </w:rPr>
        <w:t xml:space="preserve">de la reunión, preparado por el </w:t>
      </w:r>
      <w:proofErr w:type="gramStart"/>
      <w:r w:rsidRPr="00A90CFC">
        <w:rPr>
          <w:bCs/>
        </w:rPr>
        <w:t>Presidente</w:t>
      </w:r>
      <w:proofErr w:type="gramEnd"/>
      <w:r w:rsidRPr="00A90CFC">
        <w:rPr>
          <w:bCs/>
        </w:rPr>
        <w:t xml:space="preserve"> de la Comisión de Estudio, Sr. Heung Youl Youm (República de Corea). En la </w:t>
      </w:r>
      <w:hyperlink r:id="rId15" w:history="1">
        <w:r w:rsidRPr="00A90CFC">
          <w:rPr>
            <w:rStyle w:val="Hyperlink"/>
            <w:bCs/>
          </w:rPr>
          <w:t>página principal de la CE 17</w:t>
        </w:r>
      </w:hyperlink>
      <w:r w:rsidRPr="00A90CFC">
        <w:rPr>
          <w:bCs/>
        </w:rPr>
        <w:t xml:space="preserve"> se podrá consultar un proyecto de programa, que se actualizará con frecuencia antes de la reunión y durante la misma.</w:t>
      </w:r>
    </w:p>
    <w:p w14:paraId="12F8F678" w14:textId="77777777" w:rsidR="00F4623E" w:rsidRPr="00A90CFC" w:rsidRDefault="00F4623E" w:rsidP="00F4623E">
      <w:pPr>
        <w:rPr>
          <w:bCs/>
        </w:rPr>
      </w:pPr>
      <w:r w:rsidRPr="00A90CFC">
        <w:rPr>
          <w:bCs/>
        </w:rPr>
        <w:t xml:space="preserve">Rogamos tenga asimismo en cuenta que: </w:t>
      </w:r>
    </w:p>
    <w:p w14:paraId="74142558" w14:textId="3AFDABB9" w:rsidR="00F4623E" w:rsidRPr="00A90CFC" w:rsidRDefault="002D3D74" w:rsidP="002D3D74">
      <w:pPr>
        <w:pStyle w:val="enumlev1"/>
      </w:pPr>
      <w:r w:rsidRPr="00A90CFC">
        <w:t>–</w:t>
      </w:r>
      <w:r w:rsidR="00F4623E" w:rsidRPr="00A90CFC">
        <w:tab/>
        <w:t xml:space="preserve">La 29ª reunión de la </w:t>
      </w:r>
      <w:proofErr w:type="spellStart"/>
      <w:r w:rsidR="00F4623E" w:rsidRPr="00A90CFC">
        <w:t>JCA-IdM</w:t>
      </w:r>
      <w:proofErr w:type="spellEnd"/>
      <w:r w:rsidR="00F4623E" w:rsidRPr="00A90CFC">
        <w:t xml:space="preserve"> tendrá lugar el viernes 13 de mayo de 2022</w:t>
      </w:r>
      <w:r w:rsidRPr="00A90CFC">
        <w:t>, de las 14.</w:t>
      </w:r>
      <w:r w:rsidR="00F4623E" w:rsidRPr="00A90CFC">
        <w:t>30 a las </w:t>
      </w:r>
      <w:r w:rsidRPr="00A90CFC">
        <w:t>16.</w:t>
      </w:r>
      <w:r w:rsidR="00F4623E" w:rsidRPr="00A90CFC">
        <w:t xml:space="preserve">00 horas, hora de Ginebra. Si así lo desea, puede inscribirse por separado en esta reunión en la </w:t>
      </w:r>
      <w:hyperlink r:id="rId16" w:history="1">
        <w:r w:rsidR="00F4623E" w:rsidRPr="00A90CFC">
          <w:rPr>
            <w:rStyle w:val="Hyperlink"/>
            <w:rFonts w:cstheme="minorHAnsi"/>
          </w:rPr>
          <w:t>página principal de la JCA</w:t>
        </w:r>
      </w:hyperlink>
      <w:r w:rsidR="00F4623E" w:rsidRPr="00A90CFC">
        <w:t xml:space="preserve">. </w:t>
      </w:r>
    </w:p>
    <w:p w14:paraId="43E9934F" w14:textId="77777777" w:rsidR="00F4623E" w:rsidRPr="00A90CFC" w:rsidRDefault="00F4623E" w:rsidP="00F4623E">
      <w:pPr>
        <w:keepNext/>
        <w:keepLines/>
        <w:spacing w:after="360"/>
        <w:rPr>
          <w:bCs/>
        </w:rPr>
      </w:pPr>
      <w:r w:rsidRPr="00A90CFC">
        <w:rPr>
          <w:bCs/>
        </w:rPr>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4623E" w:rsidRPr="00A90CFC" w14:paraId="1ED2A392" w14:textId="77777777" w:rsidTr="00F0395A">
        <w:tc>
          <w:tcPr>
            <w:tcW w:w="4814" w:type="dxa"/>
            <w:shd w:val="clear" w:color="auto" w:fill="auto"/>
          </w:tcPr>
          <w:p w14:paraId="72C51EBB" w14:textId="6C4CE689" w:rsidR="00F4623E" w:rsidRPr="00A90CFC" w:rsidRDefault="00F4623E" w:rsidP="00F0395A">
            <w:pPr>
              <w:ind w:left="-110"/>
              <w:rPr>
                <w:bCs/>
              </w:rPr>
            </w:pPr>
            <w:r w:rsidRPr="00A90CFC">
              <w:rPr>
                <w:bCs/>
              </w:rPr>
              <w:t>Atentamente,</w:t>
            </w:r>
          </w:p>
          <w:p w14:paraId="0F38CE65" w14:textId="5D34FEE4" w:rsidR="00F4623E" w:rsidRPr="00A90CFC" w:rsidRDefault="00380847" w:rsidP="00F0395A">
            <w:pPr>
              <w:spacing w:before="960"/>
              <w:ind w:left="-108" w:right="91"/>
            </w:pPr>
            <w:r>
              <w:rPr>
                <w:bCs/>
                <w:noProof/>
              </w:rPr>
              <w:drawing>
                <wp:anchor distT="0" distB="0" distL="114300" distR="114300" simplePos="0" relativeHeight="251658240" behindDoc="1" locked="0" layoutInCell="1" allowOverlap="1" wp14:anchorId="05FCB8BF" wp14:editId="2AFEA999">
                  <wp:simplePos x="0" y="0"/>
                  <wp:positionH relativeFrom="column">
                    <wp:posOffset>-69173</wp:posOffset>
                  </wp:positionH>
                  <wp:positionV relativeFrom="paragraph">
                    <wp:posOffset>166370</wp:posOffset>
                  </wp:positionV>
                  <wp:extent cx="717550" cy="323171"/>
                  <wp:effectExtent l="0" t="0" r="6350" b="127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17550" cy="323171"/>
                          </a:xfrm>
                          <a:prstGeom prst="rect">
                            <a:avLst/>
                          </a:prstGeom>
                        </pic:spPr>
                      </pic:pic>
                    </a:graphicData>
                  </a:graphic>
                  <wp14:sizeRelH relativeFrom="margin">
                    <wp14:pctWidth>0</wp14:pctWidth>
                  </wp14:sizeRelH>
                  <wp14:sizeRelV relativeFrom="margin">
                    <wp14:pctHeight>0</wp14:pctHeight>
                  </wp14:sizeRelV>
                </wp:anchor>
              </w:drawing>
            </w:r>
            <w:r w:rsidR="00F4623E" w:rsidRPr="00A90CFC">
              <w:t>Chaesub Lee</w:t>
            </w:r>
            <w:r w:rsidR="00F4623E" w:rsidRPr="00A90CFC">
              <w:br/>
            </w:r>
            <w:proofErr w:type="gramStart"/>
            <w:r w:rsidR="00F4623E" w:rsidRPr="00A90CFC">
              <w:t>Director</w:t>
            </w:r>
            <w:proofErr w:type="gramEnd"/>
            <w:r w:rsidR="00F4623E" w:rsidRPr="00A90CFC">
              <w:t xml:space="preserve"> de la Oficina de Normalización</w:t>
            </w:r>
            <w:r w:rsidR="00F4623E" w:rsidRPr="00A90CFC">
              <w:br/>
              <w:t>de las Telecomunicaciones</w:t>
            </w:r>
          </w:p>
        </w:tc>
        <w:tc>
          <w:tcPr>
            <w:tcW w:w="4815" w:type="dxa"/>
            <w:shd w:val="clear" w:color="auto" w:fill="auto"/>
          </w:tcPr>
          <w:p w14:paraId="11529FE2" w14:textId="77777777" w:rsidR="00F4623E" w:rsidRPr="00A90CFC" w:rsidRDefault="00F4623E" w:rsidP="00F0395A">
            <w:pPr>
              <w:jc w:val="center"/>
              <w:rPr>
                <w:bCs/>
              </w:rPr>
            </w:pPr>
            <w:r w:rsidRPr="00A90CFC">
              <w:rPr>
                <w:noProof/>
                <w:lang w:eastAsia="es-ES_tradnl"/>
              </w:rPr>
              <w:drawing>
                <wp:inline distT="0" distB="0" distL="0" distR="0" wp14:anchorId="2BCF0CBF" wp14:editId="4128BE13">
                  <wp:extent cx="1164431" cy="1051614"/>
                  <wp:effectExtent l="0" t="0" r="0" b="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p>
          <w:p w14:paraId="29CC5481" w14:textId="77777777" w:rsidR="00F4623E" w:rsidRPr="00A90CFC" w:rsidRDefault="00F4623E" w:rsidP="00F0395A">
            <w:pPr>
              <w:jc w:val="center"/>
              <w:rPr>
                <w:bCs/>
              </w:rPr>
            </w:pPr>
            <w:r w:rsidRPr="00A90CFC">
              <w:rPr>
                <w:bCs/>
              </w:rPr>
              <w:t>Última información sobre la reunión</w:t>
            </w:r>
          </w:p>
        </w:tc>
      </w:tr>
    </w:tbl>
    <w:p w14:paraId="11D9CF30" w14:textId="77777777" w:rsidR="00F4623E" w:rsidRPr="00A90CFC" w:rsidRDefault="00F4623E" w:rsidP="00F4623E">
      <w:pPr>
        <w:rPr>
          <w:bCs/>
        </w:rPr>
      </w:pPr>
    </w:p>
    <w:p w14:paraId="6BEE3249" w14:textId="77777777" w:rsidR="00F4623E" w:rsidRPr="00A90CFC" w:rsidRDefault="00F4623E" w:rsidP="00F4623E">
      <w:pPr>
        <w:ind w:right="91"/>
        <w:rPr>
          <w:bCs/>
        </w:rPr>
      </w:pPr>
      <w:r w:rsidRPr="00A90CFC">
        <w:rPr>
          <w:b/>
        </w:rPr>
        <w:t>Anexos:</w:t>
      </w:r>
      <w:r w:rsidRPr="00A90CFC">
        <w:rPr>
          <w:bCs/>
        </w:rPr>
        <w:t xml:space="preserve"> 2</w:t>
      </w:r>
    </w:p>
    <w:p w14:paraId="2C0C1029" w14:textId="77777777" w:rsidR="00F4623E" w:rsidRPr="00A90CFC" w:rsidRDefault="00F4623E" w:rsidP="00F4623E">
      <w:pPr>
        <w:pStyle w:val="AnnexNotitle"/>
        <w:tabs>
          <w:tab w:val="left" w:pos="8222"/>
        </w:tabs>
        <w:rPr>
          <w:rFonts w:ascii="Calibri" w:hAnsi="Calibri"/>
        </w:rPr>
      </w:pPr>
      <w:r w:rsidRPr="00A90CFC">
        <w:rPr>
          <w:bCs/>
        </w:rPr>
        <w:br w:type="page"/>
      </w:r>
      <w:r w:rsidRPr="00A90CFC">
        <w:lastRenderedPageBreak/>
        <w:t>ANEXO A</w:t>
      </w:r>
      <w:r w:rsidRPr="00A90CFC">
        <w:br/>
      </w:r>
      <w:r w:rsidRPr="00A90CFC">
        <w:br/>
      </w:r>
      <w:r w:rsidRPr="00A90CFC">
        <w:rPr>
          <w:rFonts w:ascii="Calibri" w:hAnsi="Calibri"/>
        </w:rPr>
        <w:t>Información práctica sobre la reunión</w:t>
      </w:r>
    </w:p>
    <w:p w14:paraId="65D4AF43" w14:textId="77777777" w:rsidR="00F4623E" w:rsidRPr="00A90CFC" w:rsidRDefault="00F4623E" w:rsidP="00F4623E">
      <w:pPr>
        <w:tabs>
          <w:tab w:val="left" w:pos="8222"/>
        </w:tabs>
        <w:spacing w:before="240" w:after="280"/>
        <w:jc w:val="center"/>
        <w:rPr>
          <w:b/>
          <w:bCs/>
        </w:rPr>
      </w:pPr>
      <w:r w:rsidRPr="00A90CFC">
        <w:rPr>
          <w:b/>
          <w:bCs/>
        </w:rPr>
        <w:t>MÉTODOS DE TRABAJO E INSTALACIONES</w:t>
      </w:r>
    </w:p>
    <w:p w14:paraId="2B548A4A" w14:textId="77777777" w:rsidR="00F4623E" w:rsidRPr="00A90CFC" w:rsidRDefault="00F4623E" w:rsidP="00F4623E">
      <w:pPr>
        <w:pStyle w:val="Normalaftertitle0"/>
        <w:tabs>
          <w:tab w:val="left" w:pos="8222"/>
        </w:tabs>
      </w:pPr>
      <w:bookmarkStart w:id="2" w:name="lt_pId081"/>
      <w:r w:rsidRPr="00A90CFC">
        <w:rPr>
          <w:b/>
          <w:bCs/>
        </w:rPr>
        <w:t>PRESENTACIÓN DE DOCUMENTOS Y ACCESO A LOS MISMOS</w:t>
      </w:r>
      <w:r w:rsidRPr="00A90CFC">
        <w:t xml:space="preserve">: Las contribuciones deben presentarse utilizando la </w:t>
      </w:r>
      <w:hyperlink r:id="rId20" w:history="1">
        <w:r w:rsidRPr="00A90CFC">
          <w:rPr>
            <w:rStyle w:val="Hyperlink"/>
          </w:rPr>
          <w:t>Publicación Directa de Documentos</w:t>
        </w:r>
      </w:hyperlink>
      <w:r w:rsidRPr="00A90CFC">
        <w:t xml:space="preserve">; los proyectos de DT deben remitirse por correo-e a la secretaría de la Comisión de Estudio utilizando la </w:t>
      </w:r>
      <w:hyperlink r:id="rId21" w:history="1">
        <w:r w:rsidRPr="00A90CFC">
          <w:rPr>
            <w:rStyle w:val="Hyperlink"/>
          </w:rPr>
          <w:t>plantilla correspondiente</w:t>
        </w:r>
      </w:hyperlink>
      <w:r w:rsidRPr="00A90CFC">
        <w:t>. El acceso a los documentos de la reunión se facilita a partir de la página principal de la Comisión de Estudio, y está restringido a los Miembros del UIT</w:t>
      </w:r>
      <w:r w:rsidRPr="00A90CFC">
        <w:noBreakHyphen/>
        <w:t>T/</w:t>
      </w:r>
      <w:hyperlink r:id="rId22" w:history="1">
        <w:r w:rsidRPr="00A90CFC">
          <w:rPr>
            <w:rStyle w:val="Hyperlink"/>
          </w:rPr>
          <w:t>titulares de cuenta TIES</w:t>
        </w:r>
      </w:hyperlink>
      <w:r w:rsidRPr="00A90CFC">
        <w:t>.</w:t>
      </w:r>
    </w:p>
    <w:p w14:paraId="6549F067" w14:textId="77777777" w:rsidR="00F4623E" w:rsidRPr="00A90CFC" w:rsidRDefault="00F4623E" w:rsidP="00F4623E">
      <w:pPr>
        <w:tabs>
          <w:tab w:val="left" w:pos="8222"/>
        </w:tabs>
        <w:rPr>
          <w:szCs w:val="22"/>
        </w:rPr>
      </w:pPr>
      <w:r w:rsidRPr="00A90CFC">
        <w:rPr>
          <w:rFonts w:cstheme="majorBidi"/>
          <w:b/>
          <w:bCs/>
          <w:szCs w:val="22"/>
        </w:rPr>
        <w:t>IDIOMA DE TRABAJO</w:t>
      </w:r>
      <w:r w:rsidRPr="00A90CFC">
        <w:rPr>
          <w:rFonts w:cstheme="majorBidi"/>
          <w:szCs w:val="22"/>
        </w:rPr>
        <w:t>: La reunión se celebrará únicamente en inglés.</w:t>
      </w:r>
      <w:bookmarkEnd w:id="2"/>
    </w:p>
    <w:p w14:paraId="6098901C" w14:textId="77777777" w:rsidR="00F4623E" w:rsidRPr="00A90CFC" w:rsidRDefault="00F4623E" w:rsidP="00F4623E">
      <w:pPr>
        <w:tabs>
          <w:tab w:val="left" w:pos="8222"/>
        </w:tabs>
      </w:pPr>
      <w:bookmarkStart w:id="3" w:name="lt_pId082"/>
      <w:r w:rsidRPr="00A90CFC">
        <w:rPr>
          <w:b/>
          <w:bCs/>
          <w:szCs w:val="22"/>
        </w:rPr>
        <w:t>PARTICIPACIÓN A DISTANCIA INTERACTIVA</w:t>
      </w:r>
      <w:r w:rsidRPr="00A90CFC">
        <w:rPr>
          <w:szCs w:val="22"/>
        </w:rPr>
        <w:t xml:space="preserve">: Se utilizará la herramienta </w:t>
      </w:r>
      <w:hyperlink r:id="rId23" w:history="1">
        <w:proofErr w:type="spellStart"/>
        <w:r w:rsidRPr="00A90CFC">
          <w:rPr>
            <w:rStyle w:val="Hyperlink"/>
            <w:szCs w:val="22"/>
          </w:rPr>
          <w:t>MyMeetings</w:t>
        </w:r>
        <w:proofErr w:type="spellEnd"/>
      </w:hyperlink>
      <w:r w:rsidRPr="00A90CFC">
        <w:rPr>
          <w:szCs w:val="22"/>
        </w:rPr>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w:t>
      </w:r>
      <w:proofErr w:type="gramStart"/>
      <w:r w:rsidRPr="00A90CFC">
        <w:rPr>
          <w:szCs w:val="22"/>
        </w:rPr>
        <w:t>Presidente</w:t>
      </w:r>
      <w:proofErr w:type="gramEnd"/>
      <w:r w:rsidRPr="00A90CFC">
        <w:rPr>
          <w:szCs w:val="22"/>
        </w:rPr>
        <w:t xml:space="preserve">. Si se considera que la calidad de la voz de un participante a distancia es insuficiente, el </w:t>
      </w:r>
      <w:proofErr w:type="gramStart"/>
      <w:r w:rsidRPr="00A90CFC">
        <w:rPr>
          <w:szCs w:val="22"/>
        </w:rPr>
        <w:t>Presidente</w:t>
      </w:r>
      <w:proofErr w:type="gramEnd"/>
      <w:r w:rsidRPr="00A90CFC">
        <w:rPr>
          <w:szCs w:val="22"/>
        </w:rPr>
        <w:t xml:space="preserve"> podrá interrumpirlo y abstenerse de concederle la palabra hasta que se indique que el problema se ha resuelto. </w:t>
      </w:r>
      <w:bookmarkEnd w:id="3"/>
      <w:r w:rsidRPr="00A90CFC">
        <w:rPr>
          <w:szCs w:val="22"/>
        </w:rPr>
        <w:t>El chat de la reunión forma parte de la reunión, y se alienta a utilizarlo para la gestión eficaz del tiempo durante las sesiones.</w:t>
      </w:r>
    </w:p>
    <w:p w14:paraId="57DD6334" w14:textId="77777777" w:rsidR="00F4623E" w:rsidRPr="00A90CFC" w:rsidRDefault="00F4623E" w:rsidP="00F4623E">
      <w:pPr>
        <w:tabs>
          <w:tab w:val="left" w:pos="8222"/>
        </w:tabs>
        <w:spacing w:before="240" w:after="280"/>
        <w:jc w:val="center"/>
        <w:rPr>
          <w:b/>
          <w:bCs/>
        </w:rPr>
      </w:pPr>
      <w:r w:rsidRPr="00A90CFC">
        <w:rPr>
          <w:b/>
          <w:bCs/>
        </w:rPr>
        <w:t>INSCRIPCIÓN, NUEVOS DELEGADOS, BECAS Y APOYO PARA LA OBTENCIÓN DEL VISADO</w:t>
      </w:r>
    </w:p>
    <w:p w14:paraId="6333A458" w14:textId="09C898FE" w:rsidR="00F4623E" w:rsidRPr="00A90CFC" w:rsidRDefault="00F4623E" w:rsidP="00F4623E">
      <w:pPr>
        <w:pStyle w:val="Normalaftertitle"/>
        <w:tabs>
          <w:tab w:val="left" w:pos="8222"/>
        </w:tabs>
      </w:pPr>
      <w:r w:rsidRPr="00A90CFC">
        <w:rPr>
          <w:b/>
          <w:bCs/>
        </w:rPr>
        <w:t>INSCRIPCIÓN:</w:t>
      </w:r>
      <w:r w:rsidRPr="00A90CFC">
        <w:t xml:space="preserve"> La inscripción es obligatoria y ha de hacerse en línea a través de la página principal de la Comisión de Estudio </w:t>
      </w:r>
      <w:r w:rsidRPr="00A90CFC">
        <w:rPr>
          <w:b/>
        </w:rPr>
        <w:t>a más tardar un mes antes de la reunión</w:t>
      </w:r>
      <w:r w:rsidRPr="00A90CFC">
        <w:rPr>
          <w:bCs/>
        </w:rPr>
        <w:t xml:space="preserve">. Según lo indicado en la </w:t>
      </w:r>
      <w:hyperlink r:id="rId24" w:history="1">
        <w:r w:rsidRPr="00A90CFC">
          <w:rPr>
            <w:rStyle w:val="Hyperlink"/>
            <w:bCs/>
          </w:rPr>
          <w:t>Circular TSB 68</w:t>
        </w:r>
      </w:hyperlink>
      <w:r w:rsidRPr="00A90CFC">
        <w:rPr>
          <w:bCs/>
        </w:rPr>
        <w:t xml:space="preserve">, el sistema de inscripción requiere la aprobación del Coordinador para las solicitudes de inscripción; en la </w:t>
      </w:r>
      <w:hyperlink r:id="rId25" w:history="1">
        <w:r w:rsidRPr="00A90CFC">
          <w:rPr>
            <w:rStyle w:val="Hyperlink"/>
            <w:bCs/>
          </w:rPr>
          <w:t>Circular TSB 118</w:t>
        </w:r>
      </w:hyperlink>
      <w:r w:rsidRPr="00A90CFC">
        <w:rPr>
          <w:bCs/>
        </w:rPr>
        <w:t xml:space="preserve"> se detalla cómo configurar la aprobación automática de esas solicitudes. Algunas de las opciones en el formulario de registro se aplican únicamente a los Estados Miembros. </w:t>
      </w:r>
      <w:r w:rsidRPr="00A90CFC">
        <w:t>Se invita a los miembros a incluir mujeres en sus delegaciones siempre que sea posible.</w:t>
      </w:r>
    </w:p>
    <w:p w14:paraId="4F34B7BB" w14:textId="02FFF5AA" w:rsidR="00F4623E" w:rsidRPr="00A90CFC" w:rsidRDefault="00F4623E" w:rsidP="00F4623E">
      <w:pPr>
        <w:tabs>
          <w:tab w:val="left" w:pos="8222"/>
        </w:tabs>
      </w:pPr>
      <w:r w:rsidRPr="00A90CFC">
        <w:t xml:space="preserve">La inscripción es obligatoria y se efectúa en línea a través de la </w:t>
      </w:r>
      <w:hyperlink r:id="rId26" w:history="1">
        <w:r w:rsidRPr="00A90CFC">
          <w:rPr>
            <w:rStyle w:val="Hyperlink"/>
          </w:rPr>
          <w:t>página principal de la Comisión de Estudio</w:t>
        </w:r>
      </w:hyperlink>
      <w:r w:rsidRPr="00A90CFC">
        <w:t xml:space="preserve">. Sin </w:t>
      </w:r>
      <w:r w:rsidRPr="00A90CFC">
        <w:rPr>
          <w:b/>
        </w:rPr>
        <w:t>inscripción confirmada</w:t>
      </w:r>
      <w:r w:rsidRPr="00A90CFC">
        <w:t xml:space="preserve">, los delegados no podrán acceder a la </w:t>
      </w:r>
      <w:hyperlink r:id="rId27" w:history="1">
        <w:r w:rsidRPr="00A90CFC">
          <w:rPr>
            <w:rStyle w:val="Hyperlink"/>
          </w:rPr>
          <w:t xml:space="preserve">herramienta de participación a distancia </w:t>
        </w:r>
        <w:proofErr w:type="spellStart"/>
        <w:r w:rsidRPr="00A90CFC">
          <w:rPr>
            <w:rStyle w:val="Hyperlink"/>
          </w:rPr>
          <w:t>MyMeetings</w:t>
        </w:r>
        <w:proofErr w:type="spellEnd"/>
      </w:hyperlink>
      <w:r w:rsidRPr="00A90CFC">
        <w:t>.</w:t>
      </w:r>
    </w:p>
    <w:p w14:paraId="34797320" w14:textId="77777777" w:rsidR="00F4623E" w:rsidRPr="00A90CFC" w:rsidRDefault="00F4623E" w:rsidP="00F4623E">
      <w:pPr>
        <w:tabs>
          <w:tab w:val="left" w:pos="8222"/>
        </w:tabs>
      </w:pPr>
      <w:r w:rsidRPr="00A90CFC">
        <w:rPr>
          <w:b/>
          <w:bCs/>
        </w:rPr>
        <w:t>NUEVOS DELEGADOS, BECAS Y APOYO PARA LA OBTENCIÓN DEL VISADO</w:t>
      </w:r>
      <w:r w:rsidRPr="00A90CFC">
        <w:t xml:space="preserve">: Dado que, para las reuniones virtuales, no hay desplazamiento implicado, no se conceden becas ni apoyo para la obtención del visado. Se organizarán sesiones de orientación para nuevos delegados cuando el </w:t>
      </w:r>
      <w:proofErr w:type="gramStart"/>
      <w:r w:rsidRPr="00A90CFC">
        <w:t>Presidente</w:t>
      </w:r>
      <w:proofErr w:type="gramEnd"/>
      <w:r w:rsidRPr="00A90CFC">
        <w:t xml:space="preserve"> de la Comisión de Estudio lo considere apropiado.</w:t>
      </w:r>
    </w:p>
    <w:p w14:paraId="32426592" w14:textId="28EB45C7" w:rsidR="00F4623E" w:rsidRDefault="00F4623E" w:rsidP="00F4623E">
      <w:pPr>
        <w:tabs>
          <w:tab w:val="left" w:pos="8222"/>
        </w:tabs>
        <w:rPr>
          <w:lang w:val="es-ES"/>
        </w:rPr>
      </w:pPr>
      <w:r w:rsidRPr="00A90CFC">
        <w:rPr>
          <w:b/>
        </w:rPr>
        <w:t>BECAS ELECTRÓNICAS</w:t>
      </w:r>
      <w:r w:rsidRPr="00A90CFC">
        <w:t xml:space="preserve">: El reembolso de las becas electrónicas corresponde al coste de la conexión mientras dure el acto. El formulario de solicitud de becas electrónicas está disponible en la página principal de la Comisión de Estudio. </w:t>
      </w:r>
      <w:r w:rsidRPr="00A90CFC">
        <w:rPr>
          <w:b/>
        </w:rPr>
        <w:t xml:space="preserve">Las solicitudes deberán enviarse </w:t>
      </w:r>
      <w:r w:rsidRPr="00A90CFC">
        <w:t xml:space="preserve">por correo electrónico a la dirección </w:t>
      </w:r>
      <w:hyperlink r:id="rId28" w:history="1">
        <w:r w:rsidR="00EA3154" w:rsidRPr="00A90CFC">
          <w:rPr>
            <w:rStyle w:val="Hyperlink"/>
            <w:bCs/>
          </w:rPr>
          <w:t>fellowships@itu.int</w:t>
        </w:r>
      </w:hyperlink>
      <w:r w:rsidRPr="00A90CFC">
        <w:t xml:space="preserve"> o por fax al +41 22 730 57 78 </w:t>
      </w:r>
      <w:r w:rsidRPr="00A90CFC">
        <w:rPr>
          <w:b/>
          <w:bCs/>
        </w:rPr>
        <w:t>no más tarde del 29 de marzo de 2022. Para enviar una solicitud de beca electrónica, es necesario haber recibido la aprobación del registro por el Coordinador</w:t>
      </w:r>
      <w:r w:rsidRPr="00A90CFC">
        <w:rPr>
          <w:bCs/>
        </w:rPr>
        <w:t xml:space="preserve">, y se recomienda encarecidamente inscribirse para el evento e iniciar el proceso de solicitud al menos siete semanas antes de la reunión. </w:t>
      </w:r>
      <w:r w:rsidRPr="00A90CFC">
        <w:t xml:space="preserve">Como criterios aplicables a la decisión sobre conceder una beca electrónica, cabe destacar los siguientes: el presupuesto disponible de la UIT, la </w:t>
      </w:r>
      <w:proofErr w:type="gramStart"/>
      <w:r w:rsidRPr="00A90CFC">
        <w:t>participación activa</w:t>
      </w:r>
      <w:proofErr w:type="gramEnd"/>
      <w:r w:rsidRPr="00A90CFC">
        <w:t>, en particular la presentación de contribuciones pertinentes por escrito, la distribución equitativa entre países y regiones, la candidatura de personas con discapacidad y necesidades específicas, y el equilibrio en materia de género</w:t>
      </w:r>
      <w:r w:rsidR="00A90CFC" w:rsidRPr="00A90CFC">
        <w:t>.</w:t>
      </w:r>
    </w:p>
    <w:p w14:paraId="7B959B4C" w14:textId="3573BF07" w:rsidR="00CB4F47" w:rsidRDefault="00CB4F47">
      <w:pPr>
        <w:tabs>
          <w:tab w:val="clear" w:pos="794"/>
          <w:tab w:val="clear" w:pos="1191"/>
          <w:tab w:val="clear" w:pos="1588"/>
          <w:tab w:val="clear" w:pos="1985"/>
        </w:tabs>
        <w:overflowPunct/>
        <w:autoSpaceDE/>
        <w:autoSpaceDN/>
        <w:adjustRightInd/>
        <w:spacing w:before="0"/>
        <w:textAlignment w:val="auto"/>
      </w:pPr>
      <w:r>
        <w:br w:type="page"/>
      </w:r>
    </w:p>
    <w:p w14:paraId="722EFD0E" w14:textId="77777777" w:rsidR="003B361E" w:rsidRPr="003B361E" w:rsidRDefault="003B361E" w:rsidP="003B361E">
      <w:pPr>
        <w:spacing w:before="240"/>
        <w:ind w:right="-194"/>
        <w:jc w:val="center"/>
        <w:rPr>
          <w:rFonts w:eastAsia="Batang"/>
          <w:b/>
          <w:bCs/>
          <w:sz w:val="28"/>
          <w:szCs w:val="28"/>
          <w:lang w:val="en-US"/>
        </w:rPr>
      </w:pPr>
      <w:r w:rsidRPr="003B361E">
        <w:rPr>
          <w:rFonts w:eastAsia="Batang"/>
          <w:b/>
          <w:bCs/>
          <w:sz w:val="28"/>
          <w:szCs w:val="24"/>
          <w:lang w:val="en-GB"/>
        </w:rPr>
        <w:lastRenderedPageBreak/>
        <w:t>ANNEX B</w:t>
      </w:r>
      <w:r w:rsidRPr="003B361E">
        <w:rPr>
          <w:rFonts w:eastAsia="Batang"/>
          <w:lang w:val="en-GB"/>
        </w:rPr>
        <w:br/>
      </w:r>
      <w:r w:rsidRPr="003B361E">
        <w:rPr>
          <w:rFonts w:eastAsia="Batang"/>
          <w:b/>
          <w:bCs/>
          <w:sz w:val="28"/>
          <w:szCs w:val="28"/>
          <w:lang w:val="en-GB"/>
        </w:rPr>
        <w:t>Agenda for Plenary Meeting of ITU-T SG17</w:t>
      </w:r>
      <w:r w:rsidRPr="003B361E">
        <w:rPr>
          <w:rFonts w:eastAsia="Batang"/>
          <w:b/>
          <w:bCs/>
          <w:sz w:val="28"/>
          <w:szCs w:val="28"/>
          <w:lang w:val="en-GB"/>
        </w:rPr>
        <w:br/>
        <w:t>Virtual, 10-20 May 2022</w:t>
      </w:r>
    </w:p>
    <w:p w14:paraId="0FAF05E3" w14:textId="77777777" w:rsidR="003B361E" w:rsidRPr="003B361E" w:rsidRDefault="003B361E" w:rsidP="003B361E">
      <w:pPr>
        <w:spacing w:before="240"/>
        <w:rPr>
          <w:rFonts w:eastAsia="Batang" w:cstheme="minorHAnsi"/>
          <w:b/>
          <w:szCs w:val="22"/>
          <w:lang w:val="en-GB"/>
        </w:rPr>
      </w:pPr>
      <w:r w:rsidRPr="003B361E">
        <w:rPr>
          <w:rFonts w:eastAsia="Batang" w:cstheme="minorHAnsi"/>
          <w:szCs w:val="22"/>
          <w:lang w:val="en-GB"/>
        </w:rPr>
        <w:t>NOTE - Updates to the agenda can be found in</w:t>
      </w:r>
      <w:r w:rsidRPr="003B361E">
        <w:rPr>
          <w:rFonts w:eastAsia="Batang"/>
          <w:lang w:val="en-GB"/>
        </w:rPr>
        <w:t xml:space="preserve"> </w:t>
      </w:r>
      <w:hyperlink r:id="rId29" w:history="1">
        <w:r w:rsidRPr="003B361E">
          <w:rPr>
            <w:rFonts w:eastAsia="Batang"/>
            <w:lang w:val="en-GB"/>
          </w:rPr>
          <w:t>TD001</w:t>
        </w:r>
      </w:hyperlink>
    </w:p>
    <w:p w14:paraId="48819C6C"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Opening of the meeting and welcome</w:t>
      </w:r>
    </w:p>
    <w:p w14:paraId="2F5AB599" w14:textId="77777777" w:rsidR="003B361E" w:rsidRPr="003B361E" w:rsidRDefault="003B361E" w:rsidP="003B361E">
      <w:pPr>
        <w:numPr>
          <w:ilvl w:val="0"/>
          <w:numId w:val="8"/>
        </w:numPr>
        <w:overflowPunct/>
        <w:autoSpaceDE/>
        <w:autoSpaceDN/>
        <w:adjustRightInd/>
        <w:spacing w:before="240"/>
        <w:contextualSpacing/>
        <w:textAlignment w:val="auto"/>
        <w:rPr>
          <w:rFonts w:eastAsia="Batang" w:cstheme="minorHAnsi"/>
          <w:lang w:val="en-GB"/>
        </w:rPr>
      </w:pPr>
      <w:r w:rsidRPr="003B361E">
        <w:rPr>
          <w:rFonts w:eastAsia="Batang" w:cstheme="minorHAnsi"/>
          <w:lang w:val="en-GB"/>
        </w:rPr>
        <w:t>Results of GSS and WTSA-20 pertaining to Study Group 17:</w:t>
      </w:r>
    </w:p>
    <w:p w14:paraId="45F58AAB" w14:textId="77777777" w:rsidR="003B361E" w:rsidRPr="003B361E" w:rsidRDefault="003B361E" w:rsidP="003B361E">
      <w:pPr>
        <w:numPr>
          <w:ilvl w:val="0"/>
          <w:numId w:val="29"/>
        </w:numPr>
        <w:overflowPunct/>
        <w:autoSpaceDE/>
        <w:autoSpaceDN/>
        <w:adjustRightInd/>
        <w:spacing w:before="60"/>
        <w:textAlignment w:val="auto"/>
        <w:rPr>
          <w:rFonts w:eastAsia="Batang" w:cstheme="minorHAnsi"/>
          <w:lang w:val="en-GB"/>
        </w:rPr>
      </w:pPr>
      <w:r w:rsidRPr="003B361E">
        <w:rPr>
          <w:rFonts w:eastAsia="Batang" w:cstheme="minorHAnsi"/>
          <w:lang w:val="en-GB"/>
        </w:rPr>
        <w:t>Study group leadership</w:t>
      </w:r>
    </w:p>
    <w:p w14:paraId="77D5A506" w14:textId="77777777" w:rsidR="003B361E" w:rsidRPr="003B361E" w:rsidRDefault="003B361E" w:rsidP="003B361E">
      <w:pPr>
        <w:numPr>
          <w:ilvl w:val="0"/>
          <w:numId w:val="29"/>
        </w:numPr>
        <w:overflowPunct/>
        <w:autoSpaceDE/>
        <w:autoSpaceDN/>
        <w:adjustRightInd/>
        <w:spacing w:before="60"/>
        <w:textAlignment w:val="auto"/>
        <w:rPr>
          <w:rFonts w:eastAsia="Batang" w:cstheme="minorHAnsi"/>
          <w:lang w:val="en-GB"/>
        </w:rPr>
      </w:pPr>
      <w:r w:rsidRPr="003B361E">
        <w:rPr>
          <w:rFonts w:eastAsia="Batang" w:cstheme="minorHAnsi"/>
          <w:lang w:val="en-GB"/>
        </w:rPr>
        <w:t>Study group responsibility and mandate</w:t>
      </w:r>
    </w:p>
    <w:p w14:paraId="5A28CE64" w14:textId="77777777" w:rsidR="003B361E" w:rsidRPr="003B361E" w:rsidRDefault="003B361E" w:rsidP="003B361E">
      <w:pPr>
        <w:numPr>
          <w:ilvl w:val="0"/>
          <w:numId w:val="29"/>
        </w:numPr>
        <w:overflowPunct/>
        <w:autoSpaceDE/>
        <w:autoSpaceDN/>
        <w:adjustRightInd/>
        <w:spacing w:before="60"/>
        <w:textAlignment w:val="auto"/>
        <w:rPr>
          <w:rFonts w:eastAsia="Batang" w:cstheme="minorHAnsi"/>
          <w:lang w:val="en-GB"/>
        </w:rPr>
      </w:pPr>
      <w:r w:rsidRPr="003B361E">
        <w:rPr>
          <w:rFonts w:eastAsia="Batang" w:cstheme="minorHAnsi"/>
          <w:lang w:val="en-GB"/>
        </w:rPr>
        <w:t>Lead study group responsibilities</w:t>
      </w:r>
    </w:p>
    <w:p w14:paraId="6A82ABDD" w14:textId="77777777" w:rsidR="003B361E" w:rsidRPr="003B361E" w:rsidRDefault="003B361E" w:rsidP="003B361E">
      <w:pPr>
        <w:numPr>
          <w:ilvl w:val="0"/>
          <w:numId w:val="29"/>
        </w:numPr>
        <w:overflowPunct/>
        <w:autoSpaceDE/>
        <w:autoSpaceDN/>
        <w:adjustRightInd/>
        <w:spacing w:before="60"/>
        <w:textAlignment w:val="auto"/>
        <w:rPr>
          <w:rFonts w:eastAsia="Batang" w:cstheme="minorHAnsi"/>
          <w:lang w:val="en-GB"/>
        </w:rPr>
      </w:pPr>
      <w:r w:rsidRPr="003B361E">
        <w:rPr>
          <w:rFonts w:eastAsia="Batang" w:cstheme="minorHAnsi"/>
          <w:lang w:val="en-GB"/>
        </w:rPr>
        <w:t>Questions</w:t>
      </w:r>
    </w:p>
    <w:p w14:paraId="32083FD0" w14:textId="77777777" w:rsidR="003B361E" w:rsidRPr="003B361E" w:rsidRDefault="003B361E" w:rsidP="003B361E">
      <w:pPr>
        <w:numPr>
          <w:ilvl w:val="0"/>
          <w:numId w:val="29"/>
        </w:numPr>
        <w:overflowPunct/>
        <w:autoSpaceDE/>
        <w:autoSpaceDN/>
        <w:adjustRightInd/>
        <w:spacing w:before="60"/>
        <w:textAlignment w:val="auto"/>
        <w:rPr>
          <w:rFonts w:eastAsia="Batang" w:cstheme="minorHAnsi"/>
          <w:lang w:val="en-GB"/>
        </w:rPr>
      </w:pPr>
      <w:r w:rsidRPr="003B361E">
        <w:rPr>
          <w:rFonts w:eastAsia="Batang"/>
          <w:lang w:val="en-GB"/>
        </w:rPr>
        <w:t>Other GSS and WTSA-20 results</w:t>
      </w:r>
    </w:p>
    <w:p w14:paraId="0184D214"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lang w:val="en-GB"/>
        </w:rPr>
        <w:t>Organization of Study Group 17</w:t>
      </w:r>
    </w:p>
    <w:p w14:paraId="5F7BEFA1" w14:textId="77777777" w:rsidR="003B361E" w:rsidRPr="003B361E" w:rsidRDefault="003B361E" w:rsidP="003B361E">
      <w:pPr>
        <w:numPr>
          <w:ilvl w:val="1"/>
          <w:numId w:val="8"/>
        </w:numPr>
        <w:spacing w:before="90"/>
        <w:ind w:left="1080" w:hanging="360"/>
        <w:rPr>
          <w:rFonts w:eastAsia="Batang" w:cstheme="minorHAnsi"/>
          <w:szCs w:val="22"/>
          <w:lang w:val="en-GB"/>
        </w:rPr>
      </w:pPr>
      <w:r w:rsidRPr="003B361E">
        <w:rPr>
          <w:rFonts w:eastAsia="Batang" w:cstheme="minorHAnsi"/>
          <w:szCs w:val="22"/>
          <w:lang w:val="en-GB"/>
        </w:rPr>
        <w:t>Report of SG17 Task force on preparation for the next study period (2022 –2024)</w:t>
      </w:r>
    </w:p>
    <w:p w14:paraId="30A4CD54" w14:textId="77777777" w:rsidR="003B361E" w:rsidRPr="003B361E" w:rsidRDefault="003B361E" w:rsidP="003B361E">
      <w:pPr>
        <w:numPr>
          <w:ilvl w:val="1"/>
          <w:numId w:val="8"/>
        </w:numPr>
        <w:spacing w:before="90"/>
        <w:ind w:left="1080" w:hanging="360"/>
        <w:rPr>
          <w:rFonts w:eastAsia="Batang" w:cstheme="minorHAnsi"/>
          <w:szCs w:val="22"/>
          <w:lang w:val="en-GB"/>
        </w:rPr>
      </w:pPr>
      <w:r w:rsidRPr="003B361E">
        <w:rPr>
          <w:rFonts w:eastAsia="Batang"/>
          <w:lang w:val="en-GB"/>
        </w:rPr>
        <w:t>Working Party structure</w:t>
      </w:r>
    </w:p>
    <w:p w14:paraId="3D65ECA7" w14:textId="77777777" w:rsidR="003B361E" w:rsidRPr="003B361E" w:rsidRDefault="003B361E" w:rsidP="003B361E">
      <w:pPr>
        <w:numPr>
          <w:ilvl w:val="1"/>
          <w:numId w:val="8"/>
        </w:numPr>
        <w:spacing w:before="90"/>
        <w:ind w:left="1080" w:hanging="360"/>
        <w:rPr>
          <w:rFonts w:eastAsia="Batang" w:cstheme="minorHAnsi"/>
          <w:szCs w:val="22"/>
          <w:lang w:val="en-GB"/>
        </w:rPr>
      </w:pPr>
      <w:r w:rsidRPr="003B361E">
        <w:rPr>
          <w:rFonts w:eastAsia="Batang"/>
          <w:lang w:val="en-GB"/>
        </w:rPr>
        <w:t>Appointment of Working Party Chairmen and Vice chairmen</w:t>
      </w:r>
    </w:p>
    <w:p w14:paraId="0A34940B" w14:textId="77777777" w:rsidR="003B361E" w:rsidRPr="003B361E" w:rsidRDefault="003B361E" w:rsidP="003B361E">
      <w:pPr>
        <w:numPr>
          <w:ilvl w:val="1"/>
          <w:numId w:val="8"/>
        </w:numPr>
        <w:spacing w:before="90"/>
        <w:ind w:left="1080" w:hanging="360"/>
        <w:rPr>
          <w:rFonts w:eastAsia="Batang" w:cstheme="minorHAnsi"/>
          <w:szCs w:val="22"/>
          <w:lang w:val="en-GB"/>
        </w:rPr>
      </w:pPr>
      <w:r w:rsidRPr="003B361E">
        <w:rPr>
          <w:rFonts w:eastAsia="Batang"/>
          <w:lang w:val="en-GB"/>
        </w:rPr>
        <w:t>Appointment of Rapporteurs and Associate Rapporteurs</w:t>
      </w:r>
    </w:p>
    <w:p w14:paraId="1E202784" w14:textId="77777777" w:rsidR="003B361E" w:rsidRPr="003B361E" w:rsidRDefault="003B361E" w:rsidP="003B361E">
      <w:pPr>
        <w:numPr>
          <w:ilvl w:val="1"/>
          <w:numId w:val="8"/>
        </w:numPr>
        <w:spacing w:before="90"/>
        <w:ind w:left="1080" w:hanging="360"/>
        <w:rPr>
          <w:rFonts w:eastAsia="Batang" w:cstheme="minorHAnsi"/>
          <w:szCs w:val="22"/>
          <w:lang w:val="en-GB"/>
        </w:rPr>
      </w:pPr>
      <w:r w:rsidRPr="003B361E">
        <w:rPr>
          <w:rFonts w:eastAsia="Batang"/>
          <w:lang w:val="en-GB"/>
        </w:rPr>
        <w:t>Other appointments</w:t>
      </w:r>
    </w:p>
    <w:p w14:paraId="5298AB4C"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Results from the last SG17 meeting</w:t>
      </w:r>
    </w:p>
    <w:p w14:paraId="45F0733A"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szCs w:val="22"/>
          <w:lang w:val="en-GB"/>
        </w:rPr>
        <w:t>Report of the 7 January 2022 SG17 e-plenary</w:t>
      </w:r>
    </w:p>
    <w:p w14:paraId="34815223"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szCs w:val="22"/>
          <w:lang w:val="en-GB"/>
        </w:rPr>
        <w:t>Situation regarding Recommendations consented under AAP</w:t>
      </w:r>
    </w:p>
    <w:p w14:paraId="6038C8ED"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szCs w:val="22"/>
          <w:lang w:val="en-GB"/>
        </w:rPr>
        <w:t>Situation regarding Recommendations determined under TAP</w:t>
      </w:r>
    </w:p>
    <w:p w14:paraId="7D811F7C"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szCs w:val="22"/>
          <w:lang w:val="en-GB"/>
        </w:rPr>
        <w:t>Reports of the interim Rapporteur group meetings</w:t>
      </w:r>
    </w:p>
    <w:p w14:paraId="5DA1CDC2"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szCs w:val="22"/>
          <w:lang w:val="en-GB"/>
        </w:rPr>
        <w:t>Report of SG17 correspondence group on efficient meeting management in SG17</w:t>
      </w:r>
    </w:p>
    <w:p w14:paraId="235F731B" w14:textId="77777777" w:rsidR="003B361E" w:rsidRPr="003B361E" w:rsidRDefault="003B361E" w:rsidP="003B361E">
      <w:pPr>
        <w:numPr>
          <w:ilvl w:val="1"/>
          <w:numId w:val="6"/>
        </w:numPr>
        <w:tabs>
          <w:tab w:val="clear" w:pos="794"/>
          <w:tab w:val="clear" w:pos="1191"/>
          <w:tab w:val="left" w:pos="1418"/>
        </w:tabs>
        <w:spacing w:before="100"/>
        <w:ind w:left="1418" w:hanging="709"/>
        <w:rPr>
          <w:rFonts w:eastAsia="Batang" w:cstheme="minorHAnsi"/>
          <w:szCs w:val="22"/>
          <w:lang w:val="en-GB"/>
        </w:rPr>
      </w:pPr>
      <w:r w:rsidRPr="003B361E">
        <w:rPr>
          <w:rFonts w:eastAsia="Batang" w:cstheme="minorHAnsi" w:hint="eastAsia"/>
          <w:szCs w:val="22"/>
          <w:lang w:val="en-GB" w:eastAsia="ko-KR"/>
        </w:rPr>
        <w:t>R</w:t>
      </w:r>
      <w:r w:rsidRPr="003B361E">
        <w:rPr>
          <w:rFonts w:eastAsia="Batang" w:cstheme="minorHAnsi"/>
          <w:szCs w:val="22"/>
          <w:lang w:val="en-GB" w:eastAsia="ko-KR"/>
        </w:rPr>
        <w:t>eport of “ITU-T X.509 Day” event</w:t>
      </w:r>
    </w:p>
    <w:p w14:paraId="1FCF8E4E"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 xml:space="preserve">Coordination, </w:t>
      </w:r>
      <w:proofErr w:type="gramStart"/>
      <w:r w:rsidRPr="003B361E">
        <w:rPr>
          <w:rFonts w:eastAsia="Batang" w:cstheme="minorHAnsi"/>
          <w:szCs w:val="22"/>
          <w:lang w:val="en-GB"/>
        </w:rPr>
        <w:t>collaboration</w:t>
      </w:r>
      <w:proofErr w:type="gramEnd"/>
      <w:r w:rsidRPr="003B361E">
        <w:rPr>
          <w:rFonts w:eastAsia="Batang" w:cstheme="minorHAnsi"/>
          <w:szCs w:val="22"/>
          <w:lang w:val="en-GB"/>
        </w:rPr>
        <w:t xml:space="preserve"> and cooperation</w:t>
      </w:r>
    </w:p>
    <w:p w14:paraId="7893025A"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Joint coordination activities (JCAs) and Focus groups (FGs)</w:t>
      </w:r>
    </w:p>
    <w:p w14:paraId="3ACE237E"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 xml:space="preserve">Relations with other lead study groups </w:t>
      </w:r>
    </w:p>
    <w:p w14:paraId="113468BA"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Collaboration with ITU-D</w:t>
      </w:r>
    </w:p>
    <w:p w14:paraId="22A253C8"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Collaboration with ITU-R</w:t>
      </w:r>
    </w:p>
    <w:p w14:paraId="4874D993"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CTO meeting</w:t>
      </w:r>
    </w:p>
    <w:p w14:paraId="45CBC5E7"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Memorandum of Understanding on e-business (IEC, ISO, ITU-T, UN/ECE)</w:t>
      </w:r>
    </w:p>
    <w:p w14:paraId="3573FF2B"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 xml:space="preserve">Collaboration with IEC, </w:t>
      </w:r>
      <w:proofErr w:type="gramStart"/>
      <w:r w:rsidRPr="003B361E">
        <w:rPr>
          <w:rFonts w:eastAsia="Batang" w:cstheme="minorHAnsi"/>
          <w:szCs w:val="22"/>
          <w:lang w:val="en-GB"/>
        </w:rPr>
        <w:t>ISO</w:t>
      </w:r>
      <w:proofErr w:type="gramEnd"/>
      <w:r w:rsidRPr="003B361E">
        <w:rPr>
          <w:rFonts w:eastAsia="Batang" w:cstheme="minorHAnsi"/>
          <w:szCs w:val="22"/>
          <w:lang w:val="en-GB"/>
        </w:rPr>
        <w:t xml:space="preserve"> and ISO/IEC JTC 1</w:t>
      </w:r>
    </w:p>
    <w:p w14:paraId="3E10DCB4"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Collaboration with IETF</w:t>
      </w:r>
    </w:p>
    <w:p w14:paraId="27EFB531"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Collaboration with ETSI</w:t>
      </w:r>
    </w:p>
    <w:p w14:paraId="3206DD70"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Collaboration with the SDL Forum Society</w:t>
      </w:r>
    </w:p>
    <w:p w14:paraId="4C69D3D9" w14:textId="77777777" w:rsidR="003B361E" w:rsidRPr="003B361E" w:rsidRDefault="003B361E" w:rsidP="003B361E">
      <w:pPr>
        <w:numPr>
          <w:ilvl w:val="1"/>
          <w:numId w:val="11"/>
        </w:numPr>
        <w:spacing w:before="100"/>
        <w:ind w:left="1418" w:hanging="709"/>
        <w:rPr>
          <w:rFonts w:eastAsia="Batang" w:cstheme="minorHAnsi"/>
          <w:szCs w:val="22"/>
          <w:lang w:val="en-GB"/>
        </w:rPr>
      </w:pPr>
      <w:r w:rsidRPr="003B361E">
        <w:rPr>
          <w:rFonts w:eastAsia="Batang" w:cstheme="minorHAnsi"/>
          <w:szCs w:val="22"/>
          <w:lang w:val="en-GB"/>
        </w:rPr>
        <w:t>Interaction with other industry consortia and forums</w:t>
      </w:r>
    </w:p>
    <w:p w14:paraId="12F11496" w14:textId="77777777" w:rsidR="003B361E" w:rsidRPr="003B361E" w:rsidRDefault="003B361E" w:rsidP="003B361E">
      <w:pPr>
        <w:numPr>
          <w:ilvl w:val="1"/>
          <w:numId w:val="11"/>
        </w:numPr>
        <w:spacing w:before="100"/>
        <w:ind w:left="1416"/>
        <w:rPr>
          <w:rFonts w:eastAsia="Batang" w:cstheme="minorHAnsi"/>
          <w:szCs w:val="22"/>
          <w:lang w:val="en-GB"/>
        </w:rPr>
      </w:pPr>
      <w:r w:rsidRPr="003B361E">
        <w:rPr>
          <w:rFonts w:eastAsia="Batang" w:cstheme="minorHAnsi"/>
          <w:szCs w:val="22"/>
          <w:lang w:val="en-GB"/>
        </w:rPr>
        <w:t>Reports on other liaison and collaboration activities</w:t>
      </w:r>
    </w:p>
    <w:p w14:paraId="45AF6F6C" w14:textId="77777777" w:rsidR="003B361E" w:rsidRPr="003B361E" w:rsidRDefault="003B361E" w:rsidP="003B361E">
      <w:pPr>
        <w:keepNext/>
        <w:keepLines/>
        <w:numPr>
          <w:ilvl w:val="0"/>
          <w:numId w:val="8"/>
        </w:numPr>
        <w:spacing w:before="200"/>
        <w:rPr>
          <w:rFonts w:eastAsia="Batang" w:cstheme="minorHAnsi"/>
          <w:szCs w:val="22"/>
          <w:lang w:val="en-GB"/>
        </w:rPr>
      </w:pPr>
      <w:r w:rsidRPr="003B361E">
        <w:rPr>
          <w:rFonts w:eastAsia="Batang" w:cstheme="minorHAnsi"/>
          <w:szCs w:val="22"/>
          <w:lang w:val="en-GB"/>
        </w:rPr>
        <w:lastRenderedPageBreak/>
        <w:t>Working arrangements for this meeting</w:t>
      </w:r>
    </w:p>
    <w:p w14:paraId="76524D29" w14:textId="77777777" w:rsidR="003B361E" w:rsidRPr="003B361E" w:rsidRDefault="003B361E" w:rsidP="003B361E">
      <w:pPr>
        <w:keepNext/>
        <w:keepLines/>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cstheme="minorHAnsi"/>
          <w:szCs w:val="22"/>
          <w:lang w:val="en-GB"/>
        </w:rPr>
        <w:t>SG17 organization for this meeting</w:t>
      </w:r>
    </w:p>
    <w:p w14:paraId="4E67104F" w14:textId="77777777" w:rsidR="003B361E" w:rsidRPr="003B361E" w:rsidRDefault="003B361E" w:rsidP="003B361E">
      <w:pPr>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lang w:val="en-GB"/>
        </w:rPr>
        <w:t>Special plenary sessions on</w:t>
      </w:r>
    </w:p>
    <w:p w14:paraId="62E98E9F" w14:textId="77777777" w:rsidR="003B361E" w:rsidRPr="003B361E" w:rsidRDefault="003B361E" w:rsidP="003B361E">
      <w:pPr>
        <w:numPr>
          <w:ilvl w:val="2"/>
          <w:numId w:val="9"/>
        </w:numPr>
        <w:tabs>
          <w:tab w:val="clear" w:pos="794"/>
          <w:tab w:val="clear" w:pos="1191"/>
          <w:tab w:val="left" w:pos="1418"/>
        </w:tabs>
        <w:spacing w:before="100"/>
        <w:rPr>
          <w:rFonts w:eastAsia="Batang" w:cstheme="minorHAnsi"/>
          <w:szCs w:val="22"/>
          <w:lang w:val="en-GB"/>
        </w:rPr>
      </w:pPr>
      <w:r w:rsidRPr="003B361E">
        <w:rPr>
          <w:rFonts w:eastAsia="Batang"/>
          <w:i/>
          <w:iCs/>
          <w:lang w:val="en-GB"/>
        </w:rPr>
        <w:t>WTSA-20 results</w:t>
      </w:r>
    </w:p>
    <w:p w14:paraId="3511677E" w14:textId="77777777" w:rsidR="003B361E" w:rsidRPr="003B361E" w:rsidRDefault="003B361E" w:rsidP="003B361E">
      <w:pPr>
        <w:numPr>
          <w:ilvl w:val="2"/>
          <w:numId w:val="9"/>
        </w:numPr>
        <w:tabs>
          <w:tab w:val="clear" w:pos="794"/>
          <w:tab w:val="clear" w:pos="1191"/>
          <w:tab w:val="left" w:pos="1418"/>
        </w:tabs>
        <w:spacing w:before="100"/>
        <w:rPr>
          <w:rFonts w:eastAsia="Batang" w:cstheme="minorHAnsi"/>
          <w:szCs w:val="22"/>
          <w:lang w:val="en-GB"/>
        </w:rPr>
      </w:pPr>
      <w:r w:rsidRPr="003B361E">
        <w:rPr>
          <w:rFonts w:eastAsia="Batang" w:cstheme="minorHAnsi"/>
          <w:i/>
          <w:iCs/>
          <w:szCs w:val="22"/>
          <w:lang w:val="en-GB"/>
        </w:rPr>
        <w:t xml:space="preserve"> Default approval process for SG17 Recommendations</w:t>
      </w:r>
    </w:p>
    <w:p w14:paraId="77BC1EAB" w14:textId="77777777" w:rsidR="003B361E" w:rsidRPr="003B361E" w:rsidRDefault="003B361E" w:rsidP="003B361E">
      <w:pPr>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cstheme="minorHAnsi"/>
          <w:szCs w:val="22"/>
          <w:lang w:val="en-GB"/>
        </w:rPr>
        <w:t>Handling of input documents</w:t>
      </w:r>
    </w:p>
    <w:p w14:paraId="06F1746B" w14:textId="77777777" w:rsidR="003B361E" w:rsidRPr="003B361E" w:rsidRDefault="003B361E" w:rsidP="003B361E">
      <w:pPr>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cstheme="minorHAnsi"/>
          <w:szCs w:val="22"/>
          <w:lang w:val="en-GB"/>
        </w:rPr>
        <w:t>Texts proposed for action and proposed new work items</w:t>
      </w:r>
    </w:p>
    <w:p w14:paraId="780BEEBB" w14:textId="77777777" w:rsidR="003B361E" w:rsidRPr="003B361E" w:rsidRDefault="003B361E" w:rsidP="003B361E">
      <w:pPr>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cstheme="minorHAnsi"/>
          <w:szCs w:val="22"/>
          <w:lang w:val="en-GB"/>
        </w:rPr>
        <w:t>SG17 Lead Study Group activities</w:t>
      </w:r>
    </w:p>
    <w:p w14:paraId="7CD26F2C" w14:textId="77777777" w:rsidR="003B361E" w:rsidRPr="003B361E" w:rsidRDefault="003B361E" w:rsidP="003B361E">
      <w:pPr>
        <w:numPr>
          <w:ilvl w:val="1"/>
          <w:numId w:val="9"/>
        </w:numPr>
        <w:tabs>
          <w:tab w:val="clear" w:pos="794"/>
          <w:tab w:val="clear" w:pos="1191"/>
          <w:tab w:val="left" w:pos="1418"/>
        </w:tabs>
        <w:spacing w:before="100"/>
        <w:ind w:left="1560" w:hanging="852"/>
        <w:rPr>
          <w:rFonts w:eastAsia="Batang" w:cstheme="minorHAnsi"/>
          <w:szCs w:val="22"/>
          <w:lang w:val="en-GB"/>
        </w:rPr>
      </w:pPr>
      <w:r w:rsidRPr="003B361E">
        <w:rPr>
          <w:rFonts w:eastAsia="Batang" w:cstheme="minorHAnsi"/>
          <w:szCs w:val="22"/>
          <w:lang w:val="en-GB"/>
        </w:rPr>
        <w:t>SG17 JCAs</w:t>
      </w:r>
    </w:p>
    <w:p w14:paraId="2FFFD2E9" w14:textId="77777777" w:rsidR="003B361E" w:rsidRPr="003B361E" w:rsidRDefault="003B361E" w:rsidP="003B361E">
      <w:pPr>
        <w:numPr>
          <w:ilvl w:val="0"/>
          <w:numId w:val="13"/>
        </w:numPr>
        <w:tabs>
          <w:tab w:val="clear" w:pos="794"/>
          <w:tab w:val="clear" w:pos="1191"/>
          <w:tab w:val="clear" w:pos="1588"/>
          <w:tab w:val="left" w:pos="1418"/>
          <w:tab w:val="left" w:pos="1800"/>
        </w:tabs>
        <w:overflowPunct/>
        <w:autoSpaceDE/>
        <w:autoSpaceDN/>
        <w:adjustRightInd/>
        <w:spacing w:before="100"/>
        <w:ind w:left="2131" w:hanging="691"/>
        <w:textAlignment w:val="auto"/>
        <w:rPr>
          <w:rFonts w:eastAsia="Batang" w:cstheme="minorHAnsi"/>
          <w:szCs w:val="22"/>
          <w:lang w:val="en-GB"/>
        </w:rPr>
      </w:pPr>
      <w:proofErr w:type="spellStart"/>
      <w:r w:rsidRPr="003B361E">
        <w:rPr>
          <w:rFonts w:eastAsia="Batang" w:cstheme="minorHAnsi"/>
          <w:szCs w:val="22"/>
          <w:lang w:val="en-GB"/>
        </w:rPr>
        <w:t>JCA-IdM</w:t>
      </w:r>
      <w:proofErr w:type="spellEnd"/>
    </w:p>
    <w:p w14:paraId="044B0C17" w14:textId="77777777" w:rsidR="003B361E" w:rsidRPr="003B361E" w:rsidRDefault="003B361E" w:rsidP="003B361E">
      <w:pPr>
        <w:numPr>
          <w:ilvl w:val="0"/>
          <w:numId w:val="13"/>
        </w:numPr>
        <w:tabs>
          <w:tab w:val="clear" w:pos="794"/>
          <w:tab w:val="clear" w:pos="1191"/>
          <w:tab w:val="clear" w:pos="1588"/>
          <w:tab w:val="left" w:pos="1418"/>
          <w:tab w:val="left" w:pos="1800"/>
        </w:tabs>
        <w:overflowPunct/>
        <w:autoSpaceDE/>
        <w:autoSpaceDN/>
        <w:adjustRightInd/>
        <w:spacing w:before="100"/>
        <w:ind w:left="2131" w:hanging="691"/>
        <w:textAlignment w:val="auto"/>
        <w:rPr>
          <w:rFonts w:eastAsia="Batang" w:cstheme="minorHAnsi"/>
          <w:szCs w:val="22"/>
          <w:lang w:val="en-GB"/>
        </w:rPr>
      </w:pPr>
      <w:r w:rsidRPr="003B361E">
        <w:rPr>
          <w:rFonts w:eastAsia="Batang" w:cstheme="minorHAnsi"/>
          <w:szCs w:val="22"/>
          <w:lang w:val="en-GB"/>
        </w:rPr>
        <w:t>JCA-CoP</w:t>
      </w:r>
    </w:p>
    <w:p w14:paraId="4E1B80DB" w14:textId="77777777" w:rsidR="003B361E" w:rsidRPr="003B361E" w:rsidRDefault="003B361E" w:rsidP="003B361E">
      <w:pPr>
        <w:numPr>
          <w:ilvl w:val="0"/>
          <w:numId w:val="14"/>
        </w:numPr>
        <w:tabs>
          <w:tab w:val="clear" w:pos="794"/>
          <w:tab w:val="clear" w:pos="1191"/>
          <w:tab w:val="left" w:pos="1418"/>
        </w:tabs>
        <w:overflowPunct/>
        <w:autoSpaceDE/>
        <w:autoSpaceDN/>
        <w:adjustRightInd/>
        <w:spacing w:before="100"/>
        <w:ind w:left="1426" w:hanging="706"/>
        <w:textAlignment w:val="auto"/>
        <w:rPr>
          <w:rFonts w:eastAsia="Batang" w:cstheme="minorHAnsi"/>
          <w:szCs w:val="22"/>
          <w:lang w:val="en-GB"/>
        </w:rPr>
      </w:pPr>
      <w:r w:rsidRPr="003B361E">
        <w:rPr>
          <w:rFonts w:eastAsia="Batang" w:cstheme="minorHAnsi"/>
          <w:szCs w:val="22"/>
          <w:lang w:val="en-GB"/>
        </w:rPr>
        <w:t>SG17 Regional Groups</w:t>
      </w:r>
    </w:p>
    <w:p w14:paraId="102B3BBC" w14:textId="77777777" w:rsidR="003B361E" w:rsidRPr="003B361E" w:rsidRDefault="003B361E" w:rsidP="003B361E">
      <w:pPr>
        <w:numPr>
          <w:ilvl w:val="0"/>
          <w:numId w:val="15"/>
        </w:numPr>
        <w:tabs>
          <w:tab w:val="clear" w:pos="794"/>
          <w:tab w:val="clear" w:pos="1191"/>
          <w:tab w:val="left" w:pos="1418"/>
        </w:tabs>
        <w:overflowPunct/>
        <w:autoSpaceDE/>
        <w:autoSpaceDN/>
        <w:adjustRightInd/>
        <w:spacing w:before="100"/>
        <w:ind w:left="1800" w:hanging="270"/>
        <w:textAlignment w:val="auto"/>
        <w:rPr>
          <w:rFonts w:eastAsia="Batang" w:cstheme="minorHAnsi"/>
          <w:szCs w:val="22"/>
          <w:lang w:val="en-GB"/>
        </w:rPr>
      </w:pPr>
      <w:r w:rsidRPr="003B361E">
        <w:rPr>
          <w:rFonts w:eastAsia="Batang" w:cstheme="minorHAnsi"/>
          <w:szCs w:val="22"/>
          <w:lang w:val="en-GB"/>
        </w:rPr>
        <w:t>SG17RG-AFR</w:t>
      </w:r>
    </w:p>
    <w:p w14:paraId="659F5D88" w14:textId="77777777" w:rsidR="003B361E" w:rsidRPr="003B361E" w:rsidRDefault="003B361E" w:rsidP="003B361E">
      <w:pPr>
        <w:numPr>
          <w:ilvl w:val="0"/>
          <w:numId w:val="15"/>
        </w:numPr>
        <w:tabs>
          <w:tab w:val="clear" w:pos="794"/>
          <w:tab w:val="clear" w:pos="1191"/>
          <w:tab w:val="left" w:pos="1418"/>
        </w:tabs>
        <w:overflowPunct/>
        <w:autoSpaceDE/>
        <w:autoSpaceDN/>
        <w:adjustRightInd/>
        <w:spacing w:before="100"/>
        <w:ind w:left="1800" w:hanging="270"/>
        <w:textAlignment w:val="auto"/>
        <w:rPr>
          <w:rFonts w:eastAsia="Batang" w:cstheme="minorHAnsi"/>
          <w:szCs w:val="22"/>
          <w:lang w:val="en-GB"/>
        </w:rPr>
      </w:pPr>
      <w:r w:rsidRPr="003B361E">
        <w:rPr>
          <w:rFonts w:eastAsia="Batang" w:cstheme="minorHAnsi"/>
          <w:szCs w:val="22"/>
          <w:lang w:val="en-GB"/>
        </w:rPr>
        <w:t>SG17RG-ARB</w:t>
      </w:r>
    </w:p>
    <w:p w14:paraId="2DD41A20" w14:textId="77777777" w:rsidR="003B361E" w:rsidRPr="003B361E" w:rsidRDefault="003B361E" w:rsidP="003B361E">
      <w:pPr>
        <w:numPr>
          <w:ilvl w:val="0"/>
          <w:numId w:val="16"/>
        </w:numPr>
        <w:tabs>
          <w:tab w:val="clear" w:pos="794"/>
          <w:tab w:val="clear" w:pos="1191"/>
          <w:tab w:val="left" w:pos="1418"/>
        </w:tabs>
        <w:spacing w:before="100"/>
        <w:rPr>
          <w:rFonts w:eastAsia="Batang" w:cstheme="minorHAnsi"/>
          <w:szCs w:val="22"/>
          <w:lang w:val="en-GB"/>
        </w:rPr>
      </w:pPr>
      <w:r w:rsidRPr="003B361E">
        <w:rPr>
          <w:rFonts w:eastAsia="Batang" w:cstheme="minorHAnsi"/>
          <w:szCs w:val="22"/>
          <w:lang w:val="en-GB"/>
        </w:rPr>
        <w:t>SG17 Projects</w:t>
      </w:r>
    </w:p>
    <w:p w14:paraId="3CFB10CC" w14:textId="77777777" w:rsidR="003B361E" w:rsidRPr="003B361E" w:rsidRDefault="003B361E" w:rsidP="003B361E">
      <w:pPr>
        <w:numPr>
          <w:ilvl w:val="1"/>
          <w:numId w:val="17"/>
        </w:numPr>
        <w:tabs>
          <w:tab w:val="clear" w:pos="794"/>
          <w:tab w:val="clear" w:pos="1191"/>
          <w:tab w:val="left" w:pos="1418"/>
        </w:tabs>
        <w:spacing w:before="100"/>
        <w:ind w:hanging="1831"/>
        <w:rPr>
          <w:rFonts w:eastAsia="Batang" w:cstheme="minorHAnsi"/>
          <w:szCs w:val="22"/>
          <w:lang w:val="en-GB"/>
        </w:rPr>
      </w:pPr>
      <w:r w:rsidRPr="003B361E">
        <w:rPr>
          <w:rFonts w:eastAsia="Batang" w:cstheme="minorHAnsi"/>
          <w:szCs w:val="22"/>
          <w:lang w:val="en-GB"/>
        </w:rPr>
        <w:t>Tutorials for this meeting</w:t>
      </w:r>
    </w:p>
    <w:p w14:paraId="06C02D6B"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General matters</w:t>
      </w:r>
    </w:p>
    <w:p w14:paraId="159B040B"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 xml:space="preserve">TDs to facilitate our work </w:t>
      </w:r>
    </w:p>
    <w:p w14:paraId="76F6C6E0"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IPR information</w:t>
      </w:r>
    </w:p>
    <w:p w14:paraId="74387802"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Project leaders, liaison officers, representatives, contact points and other Leadership positions</w:t>
      </w:r>
    </w:p>
    <w:p w14:paraId="3560CFA6"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SG17 activities in support of WTSA-20 Resolutions, WTDC-17 Resolutions and PP-18 Resolutions</w:t>
      </w:r>
    </w:p>
    <w:p w14:paraId="5E0AF4EF"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SG17 webpages</w:t>
      </w:r>
    </w:p>
    <w:p w14:paraId="656368A9"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Kaleidoscope</w:t>
      </w:r>
    </w:p>
    <w:p w14:paraId="31B3148E" w14:textId="77777777" w:rsidR="003B361E" w:rsidRPr="003B361E" w:rsidRDefault="003B361E" w:rsidP="003B361E">
      <w:pPr>
        <w:numPr>
          <w:ilvl w:val="1"/>
          <w:numId w:val="10"/>
        </w:numPr>
        <w:tabs>
          <w:tab w:val="clear" w:pos="794"/>
          <w:tab w:val="clear" w:pos="1191"/>
        </w:tabs>
        <w:spacing w:before="100"/>
        <w:ind w:left="1418" w:hanging="709"/>
        <w:rPr>
          <w:rFonts w:eastAsia="Batang" w:cstheme="minorHAnsi"/>
          <w:szCs w:val="22"/>
          <w:lang w:val="en-GB"/>
        </w:rPr>
      </w:pPr>
      <w:r w:rsidRPr="003B361E">
        <w:rPr>
          <w:rFonts w:eastAsia="Batang" w:cstheme="minorHAnsi"/>
          <w:szCs w:val="22"/>
          <w:lang w:val="en-GB"/>
        </w:rPr>
        <w:t>Future SG17 organized outreach events (workshops, summits, seminars)</w:t>
      </w:r>
    </w:p>
    <w:p w14:paraId="3E285A69"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Programme for this meeting (working party meetings and meetings on Questions)</w:t>
      </w:r>
    </w:p>
    <w:p w14:paraId="2D214B48"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Meeting reports</w:t>
      </w:r>
    </w:p>
    <w:p w14:paraId="7151DA87"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Recommendations and other texts for approval or agreement at this SG17 meeting</w:t>
      </w:r>
    </w:p>
    <w:p w14:paraId="6C3950EC"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Recommendations for consent or determination at this SG17 meeting</w:t>
      </w:r>
    </w:p>
    <w:p w14:paraId="6DE24C84"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A.5 justification for normative references other than ITU, ISO, IEC in Recommendations</w:t>
      </w:r>
    </w:p>
    <w:p w14:paraId="1D9E5B9E"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A.25 justification for incorporation of text in Recommendations</w:t>
      </w:r>
    </w:p>
    <w:p w14:paraId="5F2D7305"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New work items to be added and work items to be deleted from the work programme</w:t>
      </w:r>
    </w:p>
    <w:p w14:paraId="6DA2709D"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 xml:space="preserve">Recommendations and other texts planned for action at the next SG17 meeting </w:t>
      </w:r>
    </w:p>
    <w:p w14:paraId="0BC72329"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Recommendations and other texts planned for action later in the study period</w:t>
      </w:r>
    </w:p>
    <w:p w14:paraId="719C9390"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 xml:space="preserve">Updated Question Work Programme including Editors, Summaries and other updates for Recommendations and other texts under development </w:t>
      </w:r>
    </w:p>
    <w:p w14:paraId="1ED5F9F2"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 xml:space="preserve">Manuals, </w:t>
      </w:r>
      <w:proofErr w:type="gramStart"/>
      <w:r w:rsidRPr="003B361E">
        <w:rPr>
          <w:rFonts w:eastAsia="Batang" w:cstheme="minorHAnsi"/>
          <w:szCs w:val="22"/>
          <w:lang w:val="en-GB"/>
        </w:rPr>
        <w:t>roadmaps</w:t>
      </w:r>
      <w:proofErr w:type="gramEnd"/>
      <w:r w:rsidRPr="003B361E">
        <w:rPr>
          <w:rFonts w:eastAsia="Batang" w:cstheme="minorHAnsi"/>
          <w:szCs w:val="22"/>
          <w:lang w:val="en-GB"/>
        </w:rPr>
        <w:t xml:space="preserve"> and wikis</w:t>
      </w:r>
    </w:p>
    <w:p w14:paraId="11E26B7E"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Liaison statements</w:t>
      </w:r>
    </w:p>
    <w:p w14:paraId="36428B8E"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lastRenderedPageBreak/>
        <w:t>Requests to TSB to initiate A.4 (consortia/forums), A.5 (referenced organizations) or A.6 (SDOs) qualifications</w:t>
      </w:r>
    </w:p>
    <w:p w14:paraId="31F084B4"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Appointments/dismissals of SG17 positions</w:t>
      </w:r>
    </w:p>
    <w:p w14:paraId="731FB71E"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Planned Rapporteur group (e-)meetings (alone, joint or collocated), and other activities</w:t>
      </w:r>
    </w:p>
    <w:p w14:paraId="22C0EFEA"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Establishment, continuation, or termination of correspondence groups</w:t>
      </w:r>
    </w:p>
    <w:p w14:paraId="5EC09AC7"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Other items for SG17 agreement</w:t>
      </w:r>
    </w:p>
    <w:p w14:paraId="1DFEBC08" w14:textId="77777777" w:rsidR="003B361E" w:rsidRPr="003B361E" w:rsidRDefault="003B361E" w:rsidP="003B361E">
      <w:pPr>
        <w:numPr>
          <w:ilvl w:val="1"/>
          <w:numId w:val="12"/>
        </w:numPr>
        <w:tabs>
          <w:tab w:val="clear" w:pos="794"/>
          <w:tab w:val="clear" w:pos="1191"/>
          <w:tab w:val="left" w:pos="1260"/>
          <w:tab w:val="left" w:pos="1418"/>
        </w:tabs>
        <w:overflowPunct/>
        <w:autoSpaceDE/>
        <w:autoSpaceDN/>
        <w:adjustRightInd/>
        <w:spacing w:before="100"/>
        <w:ind w:left="1418" w:hanging="709"/>
        <w:contextualSpacing/>
        <w:textAlignment w:val="auto"/>
        <w:rPr>
          <w:rFonts w:eastAsia="Batang" w:cstheme="minorHAnsi"/>
          <w:szCs w:val="22"/>
          <w:lang w:val="en-GB"/>
        </w:rPr>
      </w:pPr>
      <w:r w:rsidRPr="003B361E">
        <w:rPr>
          <w:rFonts w:eastAsia="Batang" w:cstheme="minorHAnsi"/>
          <w:szCs w:val="22"/>
          <w:lang w:val="en-GB"/>
        </w:rPr>
        <w:t>Updated Action plan for the next SG17 meeting and further future</w:t>
      </w:r>
    </w:p>
    <w:p w14:paraId="50803C6C" w14:textId="77777777" w:rsidR="003B361E" w:rsidRPr="003B361E" w:rsidRDefault="003B361E" w:rsidP="003B361E">
      <w:pPr>
        <w:numPr>
          <w:ilvl w:val="1"/>
          <w:numId w:val="12"/>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3B361E">
        <w:rPr>
          <w:rFonts w:eastAsia="Batang" w:cstheme="minorHAnsi"/>
          <w:szCs w:val="22"/>
          <w:lang w:val="en-GB"/>
        </w:rPr>
        <w:t>Highlights of achievements</w:t>
      </w:r>
    </w:p>
    <w:p w14:paraId="629AD9F1" w14:textId="77777777" w:rsidR="003B361E" w:rsidRPr="003B361E" w:rsidRDefault="003B361E" w:rsidP="003B361E">
      <w:pPr>
        <w:numPr>
          <w:ilvl w:val="0"/>
          <w:numId w:val="8"/>
        </w:numPr>
        <w:spacing w:before="200"/>
        <w:rPr>
          <w:rFonts w:eastAsia="Batang" w:cstheme="minorHAnsi"/>
          <w:szCs w:val="22"/>
          <w:lang w:val="en-GB"/>
        </w:rPr>
      </w:pPr>
      <w:r w:rsidRPr="003B361E">
        <w:rPr>
          <w:rFonts w:eastAsia="Batang" w:cstheme="minorHAnsi"/>
          <w:szCs w:val="22"/>
          <w:lang w:val="en-GB"/>
        </w:rPr>
        <w:t>Future meetings of SG17</w:t>
      </w:r>
    </w:p>
    <w:p w14:paraId="69A7E32A" w14:textId="77777777" w:rsidR="003B361E" w:rsidRPr="003B361E" w:rsidRDefault="003B361E" w:rsidP="003B361E">
      <w:pPr>
        <w:numPr>
          <w:ilvl w:val="0"/>
          <w:numId w:val="8"/>
        </w:numPr>
        <w:ind w:left="709" w:hanging="709"/>
        <w:rPr>
          <w:rFonts w:eastAsia="Batang" w:cstheme="minorHAnsi"/>
          <w:szCs w:val="22"/>
          <w:lang w:val="en-GB"/>
        </w:rPr>
      </w:pPr>
      <w:r w:rsidRPr="003B361E">
        <w:rPr>
          <w:rFonts w:eastAsia="Batang" w:cstheme="minorHAnsi"/>
          <w:szCs w:val="22"/>
          <w:lang w:val="en-GB"/>
        </w:rPr>
        <w:t>Information from Vice Chairmen and Working Party Chairmen</w:t>
      </w:r>
    </w:p>
    <w:p w14:paraId="68C2C2AF" w14:textId="77777777" w:rsidR="003B361E" w:rsidRPr="003B361E" w:rsidRDefault="003B361E" w:rsidP="003B361E">
      <w:pPr>
        <w:numPr>
          <w:ilvl w:val="0"/>
          <w:numId w:val="8"/>
        </w:numPr>
        <w:ind w:left="709" w:hanging="709"/>
        <w:rPr>
          <w:rFonts w:eastAsia="Batang" w:cstheme="minorHAnsi"/>
          <w:szCs w:val="22"/>
          <w:lang w:val="en-GB"/>
        </w:rPr>
      </w:pPr>
      <w:r w:rsidRPr="003B361E">
        <w:rPr>
          <w:rFonts w:eastAsia="Batang" w:cstheme="minorHAnsi"/>
          <w:szCs w:val="22"/>
          <w:lang w:val="en-GB"/>
        </w:rPr>
        <w:t>Any other business</w:t>
      </w:r>
    </w:p>
    <w:p w14:paraId="12B39A27" w14:textId="77777777" w:rsidR="003B361E" w:rsidRPr="003B361E" w:rsidRDefault="003B361E" w:rsidP="003B361E">
      <w:pPr>
        <w:numPr>
          <w:ilvl w:val="0"/>
          <w:numId w:val="8"/>
        </w:numPr>
        <w:ind w:left="709" w:hanging="709"/>
        <w:rPr>
          <w:rFonts w:eastAsia="Batang" w:cstheme="minorHAnsi"/>
          <w:szCs w:val="22"/>
          <w:lang w:val="en-GB"/>
        </w:rPr>
      </w:pPr>
      <w:r w:rsidRPr="003B361E">
        <w:rPr>
          <w:rFonts w:eastAsia="Batang" w:cstheme="minorHAnsi"/>
          <w:szCs w:val="22"/>
          <w:lang w:val="en-GB"/>
        </w:rPr>
        <w:t>Closing</w:t>
      </w:r>
    </w:p>
    <w:p w14:paraId="1DC4CD84" w14:textId="77777777" w:rsidR="00930C58" w:rsidRDefault="00930C58">
      <w:pPr>
        <w:jc w:val="center"/>
      </w:pPr>
      <w:r>
        <w:t>______________</w:t>
      </w:r>
    </w:p>
    <w:sectPr w:rsidR="00930C58" w:rsidSect="002545AA">
      <w:headerReference w:type="even" r:id="rId30"/>
      <w:headerReference w:type="default" r:id="rId31"/>
      <w:footerReference w:type="first" r:id="rId3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328AFB5F"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2D3D74">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2E046C1C"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A2FAC">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D322D">
          <w:rPr>
            <w:bCs/>
            <w:sz w:val="18"/>
            <w:szCs w:val="18"/>
          </w:rPr>
          <w:t>1</w:t>
        </w:r>
        <w:r w:rsidRPr="001A50AB">
          <w:rPr>
            <w:bCs/>
            <w:sz w:val="18"/>
            <w:szCs w:val="18"/>
          </w:rPr>
          <w:t>/</w:t>
        </w:r>
        <w:r w:rsidR="009D322D">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67BC01A1"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A2FAC">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D322D">
          <w:rPr>
            <w:bCs/>
            <w:sz w:val="18"/>
            <w:szCs w:val="18"/>
          </w:rPr>
          <w:t>1</w:t>
        </w:r>
        <w:r w:rsidRPr="001A50AB">
          <w:rPr>
            <w:bCs/>
            <w:sz w:val="18"/>
            <w:szCs w:val="18"/>
          </w:rPr>
          <w:t>/</w:t>
        </w:r>
        <w:r w:rsidR="009D322D">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749F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FA86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924E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DC1B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7659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EA4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491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2CD1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B24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F49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4"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2"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5" w15:restartNumberingAfterBreak="0">
    <w:nsid w:val="77BC3FDB"/>
    <w:multiLevelType w:val="multilevel"/>
    <w:tmpl w:val="ED88034C"/>
    <w:lvl w:ilvl="0">
      <w:start w:val="1"/>
      <w:numFmt w:val="lowerLetter"/>
      <w:lvlText w:val="%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26"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27" w15:restartNumberingAfterBreak="0">
    <w:nsid w:val="7C145A13"/>
    <w:multiLevelType w:val="multilevel"/>
    <w:tmpl w:val="EB62D06A"/>
    <w:lvl w:ilvl="0">
      <w:start w:val="7"/>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2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28"/>
  </w:num>
  <w:num w:numId="3">
    <w:abstractNumId w:val="23"/>
  </w:num>
  <w:num w:numId="4">
    <w:abstractNumId w:val="18"/>
  </w:num>
  <w:num w:numId="5">
    <w:abstractNumId w:val="20"/>
  </w:num>
  <w:num w:numId="6">
    <w:abstractNumId w:val="21"/>
  </w:num>
  <w:num w:numId="7">
    <w:abstractNumId w:val="17"/>
  </w:num>
  <w:num w:numId="8">
    <w:abstractNumId w:val="15"/>
  </w:num>
  <w:num w:numId="9">
    <w:abstractNumId w:val="19"/>
  </w:num>
  <w:num w:numId="10">
    <w:abstractNumId w:val="22"/>
  </w:num>
  <w:num w:numId="11">
    <w:abstractNumId w:val="12"/>
  </w:num>
  <w:num w:numId="12">
    <w:abstractNumId w:val="10"/>
  </w:num>
  <w:num w:numId="13">
    <w:abstractNumId w:val="24"/>
  </w:num>
  <w:num w:numId="14">
    <w:abstractNumId w:val="14"/>
  </w:num>
  <w:num w:numId="15">
    <w:abstractNumId w:val="11"/>
  </w:num>
  <w:num w:numId="16">
    <w:abstractNumId w:val="26"/>
  </w:num>
  <w:num w:numId="17">
    <w:abstractNumId w:val="13"/>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s-ES_tradnl"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D73CD"/>
    <w:rsid w:val="000F67AE"/>
    <w:rsid w:val="00114963"/>
    <w:rsid w:val="001173CC"/>
    <w:rsid w:val="00126D02"/>
    <w:rsid w:val="001344C2"/>
    <w:rsid w:val="00136FC2"/>
    <w:rsid w:val="00141CB4"/>
    <w:rsid w:val="001671BC"/>
    <w:rsid w:val="001A2905"/>
    <w:rsid w:val="001A54CC"/>
    <w:rsid w:val="001C2FAD"/>
    <w:rsid w:val="001D1BA9"/>
    <w:rsid w:val="001E2532"/>
    <w:rsid w:val="001F0D48"/>
    <w:rsid w:val="002021BB"/>
    <w:rsid w:val="00212668"/>
    <w:rsid w:val="00221C83"/>
    <w:rsid w:val="002545AA"/>
    <w:rsid w:val="00257FB4"/>
    <w:rsid w:val="00271D3E"/>
    <w:rsid w:val="0027571F"/>
    <w:rsid w:val="002C1570"/>
    <w:rsid w:val="002D3D74"/>
    <w:rsid w:val="00303D62"/>
    <w:rsid w:val="00313DBB"/>
    <w:rsid w:val="00324783"/>
    <w:rsid w:val="00327BC9"/>
    <w:rsid w:val="00335367"/>
    <w:rsid w:val="0033768F"/>
    <w:rsid w:val="00370C2D"/>
    <w:rsid w:val="00380847"/>
    <w:rsid w:val="003B361E"/>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415D"/>
    <w:rsid w:val="006760CF"/>
    <w:rsid w:val="006969B4"/>
    <w:rsid w:val="006A0C05"/>
    <w:rsid w:val="006A335A"/>
    <w:rsid w:val="006B5061"/>
    <w:rsid w:val="006E24F0"/>
    <w:rsid w:val="006F6581"/>
    <w:rsid w:val="007128A1"/>
    <w:rsid w:val="00715D93"/>
    <w:rsid w:val="00720BA2"/>
    <w:rsid w:val="00781E2A"/>
    <w:rsid w:val="007A2FAC"/>
    <w:rsid w:val="007A6373"/>
    <w:rsid w:val="007B34FB"/>
    <w:rsid w:val="008134A7"/>
    <w:rsid w:val="00823E22"/>
    <w:rsid w:val="008258C2"/>
    <w:rsid w:val="00833CCA"/>
    <w:rsid w:val="00846D89"/>
    <w:rsid w:val="008505BD"/>
    <w:rsid w:val="00850C78"/>
    <w:rsid w:val="00855B98"/>
    <w:rsid w:val="008C17AD"/>
    <w:rsid w:val="008D02CD"/>
    <w:rsid w:val="008F29BD"/>
    <w:rsid w:val="008F4610"/>
    <w:rsid w:val="0091255A"/>
    <w:rsid w:val="00930C58"/>
    <w:rsid w:val="00934054"/>
    <w:rsid w:val="0095172A"/>
    <w:rsid w:val="00963CD8"/>
    <w:rsid w:val="00975A06"/>
    <w:rsid w:val="009900B7"/>
    <w:rsid w:val="009D322D"/>
    <w:rsid w:val="009D38DD"/>
    <w:rsid w:val="009D3E5C"/>
    <w:rsid w:val="009D4C42"/>
    <w:rsid w:val="009F0942"/>
    <w:rsid w:val="00A02BC0"/>
    <w:rsid w:val="00A119A2"/>
    <w:rsid w:val="00A41330"/>
    <w:rsid w:val="00A42718"/>
    <w:rsid w:val="00A54E47"/>
    <w:rsid w:val="00A6120F"/>
    <w:rsid w:val="00A85283"/>
    <w:rsid w:val="00A90CFC"/>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B4F47"/>
    <w:rsid w:val="00CC1DE4"/>
    <w:rsid w:val="00CD4AE3"/>
    <w:rsid w:val="00D027A3"/>
    <w:rsid w:val="00D119EC"/>
    <w:rsid w:val="00D434BD"/>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154"/>
    <w:rsid w:val="00EA3374"/>
    <w:rsid w:val="00EB4E19"/>
    <w:rsid w:val="00EF4FA4"/>
    <w:rsid w:val="00F40F4E"/>
    <w:rsid w:val="00F453C5"/>
    <w:rsid w:val="00F4623E"/>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TabletextChar">
    <w:name w:val="Table_text Char"/>
    <w:link w:val="Tabletext0"/>
    <w:locked/>
    <w:rsid w:val="00F4623E"/>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7/Pages/default.aspx" TargetMode="External"/><Relationship Id="rId18" Type="http://schemas.openxmlformats.org/officeDocument/2006/relationships/image" Target="media/image3.png"/><Relationship Id="rId26" Type="http://schemas.openxmlformats.org/officeDocument/2006/relationships/hyperlink" Target="http://itu.int/go/tsg17"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s://www.itu.int/md/T17-TSB-CIR-0118/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jca/idm/Pages/default.aspx" TargetMode="External"/><Relationship Id="rId20" Type="http://schemas.openxmlformats.org/officeDocument/2006/relationships/hyperlink" Target="http://itu.int/net/ITU-T/ddp/" TargetMode="External"/><Relationship Id="rId29" Type="http://schemas.openxmlformats.org/officeDocument/2006/relationships/hyperlink" Target="https://www.itu.int/md/T17-SG17-210824-TD-PLEN-377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068/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net/ITU-T/ddp/Default.aspx?groupid=T17-SG17" TargetMode="External"/><Relationship Id="rId23" Type="http://schemas.openxmlformats.org/officeDocument/2006/relationships/hyperlink" Target="https://remote.itu.int/" TargetMode="External"/><Relationship Id="rId28" Type="http://schemas.openxmlformats.org/officeDocument/2006/relationships/hyperlink" Target="mailto:fellowships@itu.int" TargetMode="Externa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078D-8F06-464F-8C7A-2106B421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1680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11294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TSB (JB)</cp:lastModifiedBy>
  <cp:revision>2</cp:revision>
  <cp:lastPrinted>2022-02-21T12:51:00Z</cp:lastPrinted>
  <dcterms:created xsi:type="dcterms:W3CDTF">2022-03-15T17:21:00Z</dcterms:created>
  <dcterms:modified xsi:type="dcterms:W3CDTF">2022-03-15T17:21:00Z</dcterms:modified>
</cp:coreProperties>
</file>