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75426FE3" w14:textId="77777777" w:rsidTr="00427EA6">
        <w:trPr>
          <w:cantSplit/>
        </w:trPr>
        <w:tc>
          <w:tcPr>
            <w:tcW w:w="1418" w:type="dxa"/>
            <w:vAlign w:val="center"/>
          </w:tcPr>
          <w:p w14:paraId="47B62D70"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3CC779E3" wp14:editId="4B9BC2D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32FA026C"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3C3BAFD1"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8D4C2CF" w14:textId="77777777" w:rsidR="00427EA6" w:rsidRPr="00697BC1" w:rsidRDefault="00427EA6" w:rsidP="00427EA6">
            <w:pPr>
              <w:spacing w:before="0"/>
              <w:jc w:val="right"/>
              <w:rPr>
                <w:color w:val="FFFFFF"/>
                <w:sz w:val="26"/>
                <w:szCs w:val="26"/>
              </w:rPr>
            </w:pPr>
          </w:p>
        </w:tc>
      </w:tr>
    </w:tbl>
    <w:p w14:paraId="10CB5EDD"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7919C1ED" w14:textId="77777777" w:rsidTr="002C58A4">
        <w:trPr>
          <w:cantSplit/>
          <w:trHeight w:val="649"/>
        </w:trPr>
        <w:tc>
          <w:tcPr>
            <w:tcW w:w="1084" w:type="dxa"/>
            <w:gridSpan w:val="2"/>
          </w:tcPr>
          <w:p w14:paraId="65030073" w14:textId="77777777" w:rsidR="002545AA" w:rsidRPr="00E35001" w:rsidRDefault="002545AA" w:rsidP="002C58A4">
            <w:pPr>
              <w:tabs>
                <w:tab w:val="left" w:pos="4111"/>
              </w:tabs>
              <w:spacing w:before="10"/>
              <w:ind w:left="57"/>
              <w:rPr>
                <w:szCs w:val="24"/>
              </w:rPr>
            </w:pPr>
          </w:p>
        </w:tc>
        <w:tc>
          <w:tcPr>
            <w:tcW w:w="3793" w:type="dxa"/>
          </w:tcPr>
          <w:p w14:paraId="3F353683" w14:textId="77777777" w:rsidR="002545AA" w:rsidRPr="00E35001" w:rsidRDefault="002545AA" w:rsidP="002C58A4">
            <w:pPr>
              <w:tabs>
                <w:tab w:val="left" w:pos="4111"/>
              </w:tabs>
              <w:spacing w:before="10"/>
              <w:ind w:left="57"/>
              <w:rPr>
                <w:b/>
              </w:rPr>
            </w:pPr>
          </w:p>
        </w:tc>
        <w:tc>
          <w:tcPr>
            <w:tcW w:w="4762" w:type="dxa"/>
          </w:tcPr>
          <w:p w14:paraId="7779074B" w14:textId="526117BB"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325419" w:rsidRPr="0015554A">
              <w:rPr>
                <w:rFonts w:cstheme="minorHAnsi"/>
                <w:szCs w:val="22"/>
              </w:rPr>
              <w:t>18 de mayo de 2023</w:t>
            </w:r>
          </w:p>
        </w:tc>
      </w:tr>
      <w:tr w:rsidR="002545AA" w:rsidRPr="00E35001" w14:paraId="435F4C6A" w14:textId="77777777" w:rsidTr="002C58A4">
        <w:trPr>
          <w:cantSplit/>
          <w:trHeight w:val="649"/>
        </w:trPr>
        <w:tc>
          <w:tcPr>
            <w:tcW w:w="1084" w:type="dxa"/>
            <w:gridSpan w:val="2"/>
          </w:tcPr>
          <w:p w14:paraId="6C31A0B3"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46EED9C1" w14:textId="63F597E5" w:rsidR="002545AA" w:rsidRPr="00E35001" w:rsidRDefault="002545AA" w:rsidP="002C58A4">
            <w:pPr>
              <w:tabs>
                <w:tab w:val="left" w:pos="4111"/>
              </w:tabs>
              <w:spacing w:before="40" w:after="40"/>
              <w:ind w:left="57"/>
              <w:rPr>
                <w:b/>
                <w:szCs w:val="24"/>
              </w:rPr>
            </w:pPr>
            <w:r w:rsidRPr="00E35001">
              <w:rPr>
                <w:b/>
              </w:rPr>
              <w:t xml:space="preserve">Carta Colectiva TSB </w:t>
            </w:r>
            <w:r w:rsidR="00325419" w:rsidRPr="0015554A">
              <w:rPr>
                <w:rFonts w:cstheme="minorHAnsi"/>
                <w:b/>
                <w:szCs w:val="22"/>
              </w:rPr>
              <w:t>5/13</w:t>
            </w:r>
          </w:p>
          <w:p w14:paraId="54249C26" w14:textId="270CC4ED" w:rsidR="002545AA" w:rsidRPr="00E35001" w:rsidRDefault="002545AA" w:rsidP="002C58A4">
            <w:pPr>
              <w:tabs>
                <w:tab w:val="left" w:pos="4111"/>
              </w:tabs>
              <w:spacing w:before="0" w:after="40"/>
              <w:ind w:left="57"/>
              <w:rPr>
                <w:u w:val="single"/>
              </w:rPr>
            </w:pPr>
            <w:bookmarkStart w:id="0" w:name="lt_pId018"/>
            <w:r w:rsidRPr="00E35001">
              <w:t>CE </w:t>
            </w:r>
            <w:r w:rsidR="00325419" w:rsidRPr="0015554A">
              <w:rPr>
                <w:rFonts w:cstheme="minorHAnsi"/>
                <w:szCs w:val="22"/>
              </w:rPr>
              <w:t>13/TK</w:t>
            </w:r>
            <w:bookmarkEnd w:id="0"/>
          </w:p>
        </w:tc>
        <w:tc>
          <w:tcPr>
            <w:tcW w:w="4762" w:type="dxa"/>
            <w:vMerge w:val="restart"/>
          </w:tcPr>
          <w:p w14:paraId="1B87523F" w14:textId="77777777" w:rsidR="002545AA" w:rsidRPr="00E35001" w:rsidRDefault="002545AA" w:rsidP="002C58A4">
            <w:pPr>
              <w:tabs>
                <w:tab w:val="left" w:pos="4111"/>
              </w:tabs>
              <w:spacing w:before="40" w:after="40"/>
              <w:ind w:left="57"/>
              <w:rPr>
                <w:bCs/>
              </w:rPr>
            </w:pPr>
            <w:r w:rsidRPr="00E35001">
              <w:rPr>
                <w:bCs/>
              </w:rPr>
              <w:t>A:</w:t>
            </w:r>
          </w:p>
          <w:p w14:paraId="316AF8B4"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6FD3E59C" w14:textId="77777777" w:rsidR="002545AA" w:rsidRPr="00E35001" w:rsidRDefault="002545AA" w:rsidP="002C58A4">
            <w:pPr>
              <w:tabs>
                <w:tab w:val="clear" w:pos="794"/>
                <w:tab w:val="left" w:pos="218"/>
              </w:tabs>
              <w:spacing w:before="0" w:after="40"/>
              <w:ind w:left="57"/>
            </w:pPr>
            <w:r w:rsidRPr="00E35001">
              <w:t>-</w:t>
            </w:r>
            <w:r w:rsidRPr="00E35001">
              <w:tab/>
              <w:t>Los Miembros del Sector UIT</w:t>
            </w:r>
            <w:r w:rsidRPr="00E35001">
              <w:noBreakHyphen/>
              <w:t>T;</w:t>
            </w:r>
          </w:p>
          <w:p w14:paraId="2F1C71CE" w14:textId="4395F3E8" w:rsidR="002545AA" w:rsidRPr="00E35001" w:rsidRDefault="002545AA" w:rsidP="002C58A4">
            <w:pPr>
              <w:tabs>
                <w:tab w:val="clear" w:pos="794"/>
                <w:tab w:val="left" w:pos="218"/>
              </w:tabs>
              <w:spacing w:before="0" w:after="40"/>
              <w:ind w:left="218" w:hanging="161"/>
            </w:pPr>
            <w:r w:rsidRPr="00E35001">
              <w:t>-</w:t>
            </w:r>
            <w:r w:rsidRPr="00E35001">
              <w:tab/>
              <w:t>Los Asociados que participan en los trabajos de la Comisión de Estudio 1</w:t>
            </w:r>
            <w:r w:rsidR="00325419">
              <w:t>3</w:t>
            </w:r>
            <w:r w:rsidRPr="00E35001">
              <w:t>; y a</w:t>
            </w:r>
          </w:p>
          <w:p w14:paraId="7146C778"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4DD0E853" w14:textId="77777777" w:rsidTr="002C58A4">
        <w:trPr>
          <w:cantSplit/>
          <w:trHeight w:val="390"/>
        </w:trPr>
        <w:tc>
          <w:tcPr>
            <w:tcW w:w="1084" w:type="dxa"/>
            <w:gridSpan w:val="2"/>
          </w:tcPr>
          <w:p w14:paraId="3A03683B"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2FC28497" w14:textId="3268A491" w:rsidR="002545AA" w:rsidRPr="00E35001" w:rsidRDefault="002545AA" w:rsidP="002C58A4">
            <w:pPr>
              <w:tabs>
                <w:tab w:val="left" w:pos="4111"/>
              </w:tabs>
              <w:spacing w:before="40" w:after="40"/>
              <w:ind w:left="57"/>
            </w:pPr>
            <w:r w:rsidRPr="00E35001">
              <w:t xml:space="preserve">+41 22 730 </w:t>
            </w:r>
            <w:r w:rsidR="00325419">
              <w:t>5126</w:t>
            </w:r>
          </w:p>
        </w:tc>
        <w:tc>
          <w:tcPr>
            <w:tcW w:w="4762" w:type="dxa"/>
            <w:vMerge/>
          </w:tcPr>
          <w:p w14:paraId="54655093" w14:textId="77777777" w:rsidR="002545AA" w:rsidRPr="00E35001" w:rsidRDefault="002545AA" w:rsidP="002C58A4">
            <w:pPr>
              <w:tabs>
                <w:tab w:val="left" w:pos="4111"/>
              </w:tabs>
              <w:spacing w:beforeLines="40" w:before="96" w:after="40"/>
              <w:ind w:left="57"/>
              <w:rPr>
                <w:bCs/>
              </w:rPr>
            </w:pPr>
          </w:p>
        </w:tc>
      </w:tr>
      <w:tr w:rsidR="002545AA" w:rsidRPr="00E35001" w14:paraId="3AF51768" w14:textId="77777777" w:rsidTr="002C58A4">
        <w:trPr>
          <w:cantSplit/>
          <w:trHeight w:val="431"/>
        </w:trPr>
        <w:tc>
          <w:tcPr>
            <w:tcW w:w="1084" w:type="dxa"/>
            <w:gridSpan w:val="2"/>
          </w:tcPr>
          <w:p w14:paraId="626D9895"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21838391"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4D5B19AE" w14:textId="77777777" w:rsidR="002545AA" w:rsidRPr="00E35001" w:rsidRDefault="002545AA" w:rsidP="002C58A4">
            <w:pPr>
              <w:tabs>
                <w:tab w:val="left" w:pos="4111"/>
              </w:tabs>
              <w:spacing w:beforeLines="40" w:before="96" w:after="40"/>
              <w:ind w:left="57"/>
              <w:rPr>
                <w:bCs/>
              </w:rPr>
            </w:pPr>
          </w:p>
        </w:tc>
      </w:tr>
      <w:tr w:rsidR="002545AA" w:rsidRPr="00E35001" w14:paraId="375DFA7A" w14:textId="77777777" w:rsidTr="002C58A4">
        <w:trPr>
          <w:cantSplit/>
        </w:trPr>
        <w:tc>
          <w:tcPr>
            <w:tcW w:w="1084" w:type="dxa"/>
            <w:gridSpan w:val="2"/>
          </w:tcPr>
          <w:p w14:paraId="678FB989"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0FCDA4EC" w14:textId="36805FE2" w:rsidR="002545AA" w:rsidRPr="00E35001" w:rsidRDefault="00C731C8" w:rsidP="002C58A4">
            <w:pPr>
              <w:tabs>
                <w:tab w:val="left" w:pos="4111"/>
              </w:tabs>
              <w:spacing w:before="40" w:after="40"/>
              <w:ind w:left="57"/>
            </w:pPr>
            <w:hyperlink r:id="rId9" w:history="1">
              <w:r w:rsidR="00325419" w:rsidRPr="000A6577">
                <w:rPr>
                  <w:rStyle w:val="Hyperlink"/>
                  <w:szCs w:val="24"/>
                </w:rPr>
                <w:t>tsbsg13@itu.int</w:t>
              </w:r>
            </w:hyperlink>
          </w:p>
        </w:tc>
        <w:tc>
          <w:tcPr>
            <w:tcW w:w="4762" w:type="dxa"/>
            <w:vMerge/>
          </w:tcPr>
          <w:p w14:paraId="5F3CB7A4" w14:textId="77777777" w:rsidR="002545AA" w:rsidRPr="00E35001" w:rsidRDefault="002545AA" w:rsidP="002C58A4">
            <w:pPr>
              <w:tabs>
                <w:tab w:val="left" w:pos="4111"/>
              </w:tabs>
              <w:spacing w:beforeLines="40" w:before="96" w:after="40"/>
              <w:ind w:left="57"/>
            </w:pPr>
          </w:p>
        </w:tc>
      </w:tr>
      <w:tr w:rsidR="002545AA" w:rsidRPr="00E35001" w14:paraId="24CCDB0F" w14:textId="77777777" w:rsidTr="00B55EBC">
        <w:trPr>
          <w:cantSplit/>
          <w:trHeight w:val="549"/>
        </w:trPr>
        <w:tc>
          <w:tcPr>
            <w:tcW w:w="1084" w:type="dxa"/>
            <w:gridSpan w:val="2"/>
          </w:tcPr>
          <w:p w14:paraId="2B5EE361" w14:textId="77777777" w:rsidR="002545AA" w:rsidRPr="00E35001" w:rsidRDefault="002545AA" w:rsidP="002C58A4">
            <w:pPr>
              <w:tabs>
                <w:tab w:val="left" w:pos="4111"/>
              </w:tabs>
              <w:spacing w:before="40" w:after="40"/>
              <w:ind w:left="57"/>
              <w:rPr>
                <w:szCs w:val="24"/>
              </w:rPr>
            </w:pPr>
            <w:r w:rsidRPr="00E35001">
              <w:rPr>
                <w:szCs w:val="24"/>
              </w:rPr>
              <w:t>Web:</w:t>
            </w:r>
          </w:p>
        </w:tc>
        <w:tc>
          <w:tcPr>
            <w:tcW w:w="3793" w:type="dxa"/>
          </w:tcPr>
          <w:p w14:paraId="7245B788" w14:textId="7E65DAFC" w:rsidR="002545AA" w:rsidRPr="00E35001" w:rsidRDefault="00C731C8" w:rsidP="002C58A4">
            <w:pPr>
              <w:tabs>
                <w:tab w:val="left" w:pos="4111"/>
              </w:tabs>
              <w:spacing w:before="40" w:after="40"/>
              <w:ind w:left="57"/>
            </w:pPr>
            <w:hyperlink r:id="rId10" w:history="1">
              <w:r w:rsidR="00325419" w:rsidRPr="0015554A">
                <w:rPr>
                  <w:rStyle w:val="Hyperlink"/>
                  <w:rFonts w:cstheme="minorHAnsi"/>
                  <w:szCs w:val="22"/>
                </w:rPr>
                <w:t>https://itu.int/go/tsg13</w:t>
              </w:r>
            </w:hyperlink>
          </w:p>
        </w:tc>
        <w:tc>
          <w:tcPr>
            <w:tcW w:w="4762" w:type="dxa"/>
            <w:vMerge/>
          </w:tcPr>
          <w:p w14:paraId="779EDE8E" w14:textId="77777777" w:rsidR="002545AA" w:rsidRPr="00E35001" w:rsidRDefault="002545AA" w:rsidP="002C58A4">
            <w:pPr>
              <w:tabs>
                <w:tab w:val="left" w:pos="4111"/>
              </w:tabs>
              <w:spacing w:beforeLines="40" w:before="96" w:after="40"/>
              <w:ind w:left="57"/>
            </w:pPr>
          </w:p>
        </w:tc>
      </w:tr>
      <w:tr w:rsidR="002545AA" w:rsidRPr="00E35001" w14:paraId="5331C7BE" w14:textId="77777777" w:rsidTr="00B55EBC">
        <w:trPr>
          <w:cantSplit/>
          <w:trHeight w:val="273"/>
        </w:trPr>
        <w:tc>
          <w:tcPr>
            <w:tcW w:w="1070" w:type="dxa"/>
          </w:tcPr>
          <w:p w14:paraId="61FC9076" w14:textId="77777777" w:rsidR="002545AA" w:rsidRPr="00E35001" w:rsidRDefault="002545AA" w:rsidP="002C58A4">
            <w:pPr>
              <w:tabs>
                <w:tab w:val="left" w:pos="4111"/>
              </w:tabs>
              <w:spacing w:before="40" w:after="40"/>
              <w:ind w:left="57"/>
              <w:rPr>
                <w:szCs w:val="24"/>
              </w:rPr>
            </w:pPr>
            <w:r w:rsidRPr="00B55EBC">
              <w:rPr>
                <w:b/>
                <w:bCs/>
                <w:szCs w:val="24"/>
              </w:rPr>
              <w:t>Asunto</w:t>
            </w:r>
            <w:r w:rsidRPr="00E35001">
              <w:rPr>
                <w:szCs w:val="24"/>
              </w:rPr>
              <w:t>:</w:t>
            </w:r>
          </w:p>
        </w:tc>
        <w:tc>
          <w:tcPr>
            <w:tcW w:w="8569" w:type="dxa"/>
            <w:gridSpan w:val="3"/>
          </w:tcPr>
          <w:p w14:paraId="313ED9AE" w14:textId="2F7EF6A4" w:rsidR="002545AA" w:rsidRPr="00E35001" w:rsidRDefault="00325419" w:rsidP="002C58A4">
            <w:pPr>
              <w:tabs>
                <w:tab w:val="left" w:pos="4111"/>
              </w:tabs>
              <w:spacing w:before="40" w:after="40"/>
              <w:ind w:left="57"/>
              <w:rPr>
                <w:b/>
                <w:bCs/>
              </w:rPr>
            </w:pPr>
            <w:r w:rsidRPr="0015554A">
              <w:rPr>
                <w:rFonts w:cstheme="minorHAnsi"/>
                <w:b/>
                <w:bCs/>
                <w:szCs w:val="22"/>
              </w:rPr>
              <w:t>Reuniones de los Grupos de Trabajo 1, 2 y 3/13, Ginebra, 26 de julio de 2023</w:t>
            </w:r>
          </w:p>
        </w:tc>
      </w:tr>
    </w:tbl>
    <w:p w14:paraId="37C8B491" w14:textId="2587A4CA" w:rsidR="002545AA" w:rsidRPr="00B55EBC" w:rsidRDefault="002545AA" w:rsidP="002545AA">
      <w:pPr>
        <w:pStyle w:val="ITUintr"/>
        <w:tabs>
          <w:tab w:val="clear" w:pos="737"/>
          <w:tab w:val="clear" w:pos="1134"/>
          <w:tab w:val="left" w:pos="794"/>
        </w:tabs>
        <w:spacing w:before="240" w:after="0"/>
        <w:ind w:right="91"/>
        <w:rPr>
          <w:rFonts w:asciiTheme="minorHAnsi" w:hAnsiTheme="minorHAnsi"/>
          <w:sz w:val="22"/>
          <w:szCs w:val="18"/>
        </w:rPr>
      </w:pPr>
      <w:bookmarkStart w:id="1" w:name="ditulogo"/>
      <w:bookmarkEnd w:id="1"/>
      <w:r w:rsidRPr="00B55EBC">
        <w:rPr>
          <w:rFonts w:asciiTheme="minorHAnsi" w:hAnsiTheme="minorHAnsi"/>
          <w:sz w:val="22"/>
          <w:szCs w:val="18"/>
        </w:rPr>
        <w:t>Muy Señora mía/Muy Señor mío</w:t>
      </w:r>
      <w:r w:rsidR="00B55EBC" w:rsidRPr="00B55EBC">
        <w:rPr>
          <w:rFonts w:asciiTheme="minorHAnsi" w:hAnsiTheme="minorHAnsi"/>
          <w:sz w:val="22"/>
          <w:szCs w:val="18"/>
        </w:rPr>
        <w:t>,</w:t>
      </w:r>
    </w:p>
    <w:p w14:paraId="443B2846" w14:textId="23B5A114" w:rsidR="00325419" w:rsidRPr="0015554A" w:rsidRDefault="00325419" w:rsidP="00325419">
      <w:pPr>
        <w:rPr>
          <w:rFonts w:cstheme="minorHAnsi"/>
        </w:rPr>
      </w:pPr>
      <w:r w:rsidRPr="0015554A">
        <w:t>Me complace invitarle a asistir a las próximas reuniones del GT 1/13 (Redes y sistemas IMT-2020 y posteriores), el GT2/13 (Computación en la nube y procesamiento de datos) y el GT3/13 (Evolución de redes, fiabilidad y creación de redes cuánticas mejoradas), previstas en la sede de la UIT, en Ginebra, el 26</w:t>
      </w:r>
      <w:r>
        <w:t> </w:t>
      </w:r>
      <w:r w:rsidRPr="0015554A">
        <w:t>de julio de 2023.</w:t>
      </w:r>
    </w:p>
    <w:p w14:paraId="2C84E09E" w14:textId="0861D3ED" w:rsidR="00325419" w:rsidRPr="0015554A" w:rsidRDefault="00325419" w:rsidP="00325419">
      <w:r w:rsidRPr="0015554A">
        <w:t>La</w:t>
      </w:r>
      <w:r>
        <w:t>s</w:t>
      </w:r>
      <w:r w:rsidRPr="0015554A">
        <w:t xml:space="preserve"> reuni</w:t>
      </w:r>
      <w:r>
        <w:t xml:space="preserve">ones de los Grupos de Trabajo </w:t>
      </w:r>
      <w:r w:rsidRPr="0015554A">
        <w:t>1/13</w:t>
      </w:r>
      <w:r>
        <w:t>, 2/13 y 3/13</w:t>
      </w:r>
      <w:r w:rsidRPr="0015554A">
        <w:t xml:space="preserve"> comenzará</w:t>
      </w:r>
      <w:r>
        <w:t>n</w:t>
      </w:r>
      <w:r w:rsidRPr="0015554A">
        <w:t xml:space="preserve"> a las 09.30, las 11.15 </w:t>
      </w:r>
      <w:r>
        <w:t>y</w:t>
      </w:r>
      <w:r w:rsidRPr="0015554A">
        <w:t xml:space="preserve"> las 14.30</w:t>
      </w:r>
      <w:r>
        <w:t> </w:t>
      </w:r>
      <w:r w:rsidRPr="0015554A">
        <w:t>horas</w:t>
      </w:r>
      <w:r>
        <w:t>, respectivamente</w:t>
      </w:r>
      <w:r w:rsidRPr="0015554A">
        <w:t xml:space="preserve">. Los participantes podrán inscribirse a partir de las 8.30 horas en la </w:t>
      </w:r>
      <w:hyperlink r:id="rId11" w:history="1">
        <w:r w:rsidRPr="0015554A">
          <w:rPr>
            <w:rStyle w:val="Hyperlink"/>
            <w:szCs w:val="22"/>
          </w:rPr>
          <w:t>entrada del edificio Montbrillant</w:t>
        </w:r>
      </w:hyperlink>
      <w:r w:rsidRPr="0015554A">
        <w:t xml:space="preserve">. La distribución de las salas de reunión se mostrará en las pantallas de la sede de la UIT y se publicará en línea </w:t>
      </w:r>
      <w:hyperlink r:id="rId12" w:history="1">
        <w:r w:rsidRPr="0015554A">
          <w:rPr>
            <w:rStyle w:val="Hyperlink"/>
            <w:szCs w:val="22"/>
          </w:rPr>
          <w:t>aquí</w:t>
        </w:r>
      </w:hyperlink>
      <w:r w:rsidRPr="0015554A">
        <w:t xml:space="preserve">. </w:t>
      </w:r>
    </w:p>
    <w:p w14:paraId="00A9E96A" w14:textId="77777777" w:rsidR="00325419" w:rsidRPr="0015554A" w:rsidRDefault="00325419" w:rsidP="00325419">
      <w:pPr>
        <w:rPr>
          <w:highlight w:val="yellow"/>
        </w:rPr>
      </w:pPr>
      <w:r w:rsidRPr="0015554A">
        <w:t xml:space="preserve">La documentación y los pormenores del proceso de inscripción y la participación a distancia, entre otra información conexa, pueden consultarse en la página de inicio de la </w:t>
      </w:r>
      <w:hyperlink r:id="rId13" w:history="1">
        <w:r w:rsidRPr="0015554A">
          <w:rPr>
            <w:rStyle w:val="Hyperlink"/>
            <w:szCs w:val="22"/>
          </w:rPr>
          <w:t>Comisión de Estudio</w:t>
        </w:r>
      </w:hyperlink>
      <w:r w:rsidRPr="0015554A">
        <w:t>. La reunión se celebrará únicamente en inglés, sin interpretación.</w:t>
      </w:r>
    </w:p>
    <w:p w14:paraId="116C3D16" w14:textId="1A3BE828" w:rsidR="00325419" w:rsidRPr="0015554A" w:rsidRDefault="00325419" w:rsidP="00325419">
      <w:r w:rsidRPr="0015554A">
        <w:t xml:space="preserve">Además, las reuniones de los Grupos de Trabajo irán precedidas de un taller sobre </w:t>
      </w:r>
      <w:r>
        <w:t>"</w:t>
      </w:r>
      <w:r w:rsidRPr="0015554A">
        <w:t>Futuras tendencias tecnológicas de cara a 2030</w:t>
      </w:r>
      <w:r>
        <w:t>"</w:t>
      </w:r>
      <w:r w:rsidRPr="0015554A">
        <w:t>, que tendrá lugar en la sede de la UIT, en Ginebra, los días 24 y 25 de julio de</w:t>
      </w:r>
      <w:r>
        <w:t> </w:t>
      </w:r>
      <w:r w:rsidRPr="0015554A">
        <w:t xml:space="preserve">2023. </w:t>
      </w:r>
    </w:p>
    <w:p w14:paraId="0070239A" w14:textId="77777777" w:rsidR="00325419" w:rsidRPr="0015554A" w:rsidRDefault="00325419" w:rsidP="00325419">
      <w:r w:rsidRPr="0015554A">
        <w:t>El objetivo principal de las reuniones de los Grupos de Trabajo es considerar la posibilidad de iniciar el proceso de aprobación (consentimiento) de los siguientes proyectos de Recomendaciones UIT-T, según proceda, en función de los resultados de las reuniones de</w:t>
      </w:r>
      <w:r>
        <w:t xml:space="preserve"> </w:t>
      </w:r>
      <w:r w:rsidRPr="0015554A">
        <w:t>l</w:t>
      </w:r>
      <w:r>
        <w:t>os</w:t>
      </w:r>
      <w:r w:rsidRPr="0015554A">
        <w:t xml:space="preserve"> Grupo</w:t>
      </w:r>
      <w:r>
        <w:t>s</w:t>
      </w:r>
      <w:r w:rsidRPr="0015554A">
        <w:t xml:space="preserve"> de Relator que se celebrarán entre mayo y julio de 2023:</w:t>
      </w:r>
    </w:p>
    <w:p w14:paraId="6912892C" w14:textId="77777777" w:rsidR="00325419" w:rsidRPr="0015554A" w:rsidRDefault="00325419" w:rsidP="00325419">
      <w:pPr>
        <w:rPr>
          <w:rFonts w:cstheme="minorHAnsi"/>
          <w:b/>
          <w:bCs/>
        </w:rPr>
      </w:pPr>
      <w:r w:rsidRPr="0015554A">
        <w:rPr>
          <w:rFonts w:cstheme="minorHAnsi"/>
          <w:b/>
          <w:bCs/>
        </w:rPr>
        <w:t>GT1/13:</w:t>
      </w:r>
    </w:p>
    <w:p w14:paraId="0725445A" w14:textId="76CCAFE4" w:rsidR="00325419" w:rsidRPr="0015554A" w:rsidRDefault="00325419" w:rsidP="00325419">
      <w:pPr>
        <w:pStyle w:val="enumlev1"/>
      </w:pPr>
      <w:r>
        <w:t>•</w:t>
      </w:r>
      <w:r>
        <w:tab/>
      </w:r>
      <w:r w:rsidRPr="0015554A">
        <w:t xml:space="preserve">Y.IMT2020-qos-cg </w:t>
      </w:r>
      <w:r>
        <w:t>"</w:t>
      </w:r>
      <w:r w:rsidRPr="0015554A">
        <w:t>Requisitos en materia de garantía de QoS para juegos en la nube soportados por tecnologías IMT-2020</w:t>
      </w:r>
      <w:r>
        <w:t>"</w:t>
      </w:r>
      <w:r w:rsidRPr="0015554A">
        <w:t xml:space="preserve"> (C6/13)</w:t>
      </w:r>
    </w:p>
    <w:p w14:paraId="3BBBF27C" w14:textId="65114565" w:rsidR="00325419" w:rsidRPr="0015554A" w:rsidRDefault="00325419" w:rsidP="00325419">
      <w:pPr>
        <w:pStyle w:val="enumlev1"/>
      </w:pPr>
      <w:r>
        <w:t>•</w:t>
      </w:r>
      <w:r>
        <w:tab/>
      </w:r>
      <w:r w:rsidRPr="0015554A">
        <w:t xml:space="preserve">Y.IMT2020-qos-mon </w:t>
      </w:r>
      <w:r>
        <w:t>"</w:t>
      </w:r>
      <w:r w:rsidRPr="0015554A">
        <w:t>Requisitos y marco de supervisión de la calidad de servicio para las IMT</w:t>
      </w:r>
      <w:r>
        <w:noBreakHyphen/>
      </w:r>
      <w:r w:rsidRPr="0015554A">
        <w:t>2020 y otras tecnologías posteriores</w:t>
      </w:r>
      <w:r>
        <w:t>"</w:t>
      </w:r>
      <w:r w:rsidRPr="0015554A">
        <w:t xml:space="preserve"> (C6/13)</w:t>
      </w:r>
    </w:p>
    <w:p w14:paraId="345244F5" w14:textId="33AF2F80" w:rsidR="00325419" w:rsidRPr="0015554A" w:rsidRDefault="00325419" w:rsidP="00325419">
      <w:pPr>
        <w:pStyle w:val="enumlev1"/>
      </w:pPr>
      <w:r>
        <w:t>•</w:t>
      </w:r>
      <w:r>
        <w:tab/>
      </w:r>
      <w:r w:rsidRPr="0015554A">
        <w:t xml:space="preserve">Y.QKDN-qos-iw-req </w:t>
      </w:r>
      <w:r>
        <w:t>"</w:t>
      </w:r>
      <w:r w:rsidRPr="0015554A">
        <w:t>Requisitos en materia de garantía de QoS para el interfuncionamiento de redes</w:t>
      </w:r>
      <w:r>
        <w:t> </w:t>
      </w:r>
      <w:r w:rsidRPr="0015554A">
        <w:t>QKDN</w:t>
      </w:r>
      <w:r>
        <w:t>"</w:t>
      </w:r>
      <w:r w:rsidRPr="0015554A">
        <w:t xml:space="preserve"> (C6/13)</w:t>
      </w:r>
    </w:p>
    <w:p w14:paraId="532C3089" w14:textId="70301E3B" w:rsidR="00325419" w:rsidRPr="0015554A" w:rsidRDefault="00325419" w:rsidP="00325419">
      <w:pPr>
        <w:pStyle w:val="enumlev1"/>
      </w:pPr>
      <w:r>
        <w:t>•</w:t>
      </w:r>
      <w:r>
        <w:tab/>
      </w:r>
      <w:r w:rsidRPr="0015554A">
        <w:t xml:space="preserve">Y.QKDN-qos-ml-fa </w:t>
      </w:r>
      <w:r>
        <w:t>"</w:t>
      </w:r>
      <w:r w:rsidRPr="0015554A">
        <w:t>Redes de distribución de claves cuánticas: Mejora de la arquitectura funcional de la garantía de calidad de servicio basada en el aprendizaje automático</w:t>
      </w:r>
      <w:r>
        <w:t>"</w:t>
      </w:r>
      <w:r w:rsidRPr="0015554A">
        <w:t xml:space="preserve"> (C6/13)</w:t>
      </w:r>
    </w:p>
    <w:p w14:paraId="614EE730" w14:textId="2DC96984" w:rsidR="00325419" w:rsidRPr="0015554A" w:rsidRDefault="00325419" w:rsidP="00325419">
      <w:pPr>
        <w:pStyle w:val="enumlev1"/>
      </w:pPr>
      <w:r>
        <w:t>•</w:t>
      </w:r>
      <w:r>
        <w:tab/>
      </w:r>
      <w:r w:rsidRPr="0015554A">
        <w:t xml:space="preserve">Y.ICN-SEAN </w:t>
      </w:r>
      <w:r>
        <w:t>"</w:t>
      </w:r>
      <w:r w:rsidRPr="0015554A">
        <w:t xml:space="preserve">Arquitectura y marco funcional para una red ICN in situ, elástica y autónoma" (C22/13) </w:t>
      </w:r>
    </w:p>
    <w:p w14:paraId="2B07FA19" w14:textId="52DB6B94" w:rsidR="00325419" w:rsidRPr="0015554A" w:rsidRDefault="00325419" w:rsidP="00325419">
      <w:pPr>
        <w:pStyle w:val="enumlev1"/>
      </w:pPr>
      <w:r>
        <w:lastRenderedPageBreak/>
        <w:t>•</w:t>
      </w:r>
      <w:r>
        <w:tab/>
      </w:r>
      <w:r w:rsidRPr="0015554A">
        <w:t xml:space="preserve">Y.FMSC-SC </w:t>
      </w:r>
      <w:r>
        <w:t>"</w:t>
      </w:r>
      <w:r w:rsidRPr="0015554A">
        <w:t>Continuidad de servicio para la convergencia de los servicios fijo, móvil y por satélite en red</w:t>
      </w:r>
      <w:r>
        <w:t>es</w:t>
      </w:r>
      <w:r w:rsidRPr="0015554A">
        <w:t xml:space="preserve"> IMT-2020 y posteriores</w:t>
      </w:r>
      <w:r>
        <w:t>"</w:t>
      </w:r>
      <w:r w:rsidRPr="0015554A">
        <w:t xml:space="preserve"> (C23/23)</w:t>
      </w:r>
    </w:p>
    <w:p w14:paraId="6C126CDE" w14:textId="77777777" w:rsidR="00325419" w:rsidRPr="0015554A" w:rsidRDefault="00325419" w:rsidP="00325419">
      <w:pPr>
        <w:rPr>
          <w:rFonts w:cstheme="minorHAnsi"/>
          <w:b/>
          <w:bCs/>
        </w:rPr>
      </w:pPr>
      <w:r w:rsidRPr="0015554A">
        <w:rPr>
          <w:rFonts w:cstheme="minorHAnsi"/>
          <w:b/>
          <w:bCs/>
        </w:rPr>
        <w:t>GT2/13:</w:t>
      </w:r>
    </w:p>
    <w:p w14:paraId="19E76E0C" w14:textId="5A01F7A3" w:rsidR="00325419" w:rsidRPr="0015554A" w:rsidRDefault="00325419" w:rsidP="00325419">
      <w:pPr>
        <w:pStyle w:val="enumlev1"/>
      </w:pPr>
      <w:r>
        <w:t>•</w:t>
      </w:r>
      <w:r>
        <w:tab/>
      </w:r>
      <w:r w:rsidRPr="0015554A">
        <w:t xml:space="preserve">Y.bDDN-NVReqCap </w:t>
      </w:r>
      <w:r>
        <w:t>"</w:t>
      </w:r>
      <w:r w:rsidRPr="0015554A">
        <w:t xml:space="preserve">Redes basadas en macrodatos </w:t>
      </w:r>
      <w:r>
        <w:t>–</w:t>
      </w:r>
      <w:r w:rsidRPr="0015554A">
        <w:t xml:space="preserve"> Arquitectura y requisitos funcionales de la programabilidad de la red</w:t>
      </w:r>
      <w:r>
        <w:t>"</w:t>
      </w:r>
      <w:r w:rsidRPr="0015554A">
        <w:t xml:space="preserve"> (C7/13)</w:t>
      </w:r>
    </w:p>
    <w:p w14:paraId="5E757D54" w14:textId="2A2F5816" w:rsidR="00325419" w:rsidRPr="0015554A" w:rsidRDefault="00325419" w:rsidP="00325419">
      <w:pPr>
        <w:pStyle w:val="enumlev1"/>
      </w:pPr>
      <w:r>
        <w:t>•</w:t>
      </w:r>
      <w:r>
        <w:tab/>
      </w:r>
      <w:r w:rsidRPr="0015554A">
        <w:t xml:space="preserve">Y.Arch-INRA </w:t>
      </w:r>
      <w:r>
        <w:t>"</w:t>
      </w:r>
      <w:r w:rsidRPr="0015554A">
        <w:t>Arquitectura funcional para la detección inteligente de los requisitos de la red</w:t>
      </w:r>
      <w:r>
        <w:t>"</w:t>
      </w:r>
      <w:r w:rsidRPr="0015554A">
        <w:t xml:space="preserve"> (C7/13)</w:t>
      </w:r>
    </w:p>
    <w:p w14:paraId="5C55D77B" w14:textId="51D49C7E" w:rsidR="00325419" w:rsidRPr="0015554A" w:rsidRDefault="00325419" w:rsidP="00325419">
      <w:pPr>
        <w:pStyle w:val="enumlev1"/>
        <w:rPr>
          <w:rFonts w:eastAsiaTheme="minorHAnsi" w:cstheme="minorHAnsi"/>
          <w:b/>
          <w:bCs/>
        </w:rPr>
      </w:pPr>
      <w:r>
        <w:t>•</w:t>
      </w:r>
      <w:r>
        <w:tab/>
      </w:r>
      <w:r w:rsidRPr="0015554A">
        <w:t xml:space="preserve">Y.RaaS-reqts </w:t>
      </w:r>
      <w:r>
        <w:t>"</w:t>
      </w:r>
      <w:r w:rsidRPr="0015554A">
        <w:t xml:space="preserve">Computación en nube </w:t>
      </w:r>
      <w:r>
        <w:t>–</w:t>
      </w:r>
      <w:r w:rsidRPr="0015554A">
        <w:t xml:space="preserve"> Requisitos funcionales para la robótica como servicio</w:t>
      </w:r>
      <w:r>
        <w:t>"</w:t>
      </w:r>
      <w:r w:rsidRPr="0015554A">
        <w:t xml:space="preserve"> (C17/13)</w:t>
      </w:r>
    </w:p>
    <w:p w14:paraId="64386CF6" w14:textId="77777777" w:rsidR="00325419" w:rsidRPr="0015554A" w:rsidRDefault="00325419" w:rsidP="00325419">
      <w:pPr>
        <w:rPr>
          <w:rFonts w:cstheme="minorHAnsi"/>
          <w:b/>
          <w:bCs/>
        </w:rPr>
      </w:pPr>
      <w:r w:rsidRPr="0015554A">
        <w:rPr>
          <w:rFonts w:cstheme="minorHAnsi"/>
          <w:b/>
          <w:bCs/>
        </w:rPr>
        <w:t>GT3/13:</w:t>
      </w:r>
    </w:p>
    <w:p w14:paraId="63B90D0E" w14:textId="0E0F90C5" w:rsidR="00325419" w:rsidRPr="0015554A" w:rsidRDefault="00325419" w:rsidP="00325419">
      <w:pPr>
        <w:pStyle w:val="enumlev1"/>
      </w:pPr>
      <w:r>
        <w:t>•</w:t>
      </w:r>
      <w:r>
        <w:tab/>
      </w:r>
      <w:r w:rsidRPr="0015554A">
        <w:t xml:space="preserve">Y.ous </w:t>
      </w:r>
      <w:r>
        <w:t>"</w:t>
      </w:r>
      <w:r w:rsidRPr="0015554A">
        <w:t>Descripción general de una explotación agrícola inteligente sin personal basada en redes" (C1/13)</w:t>
      </w:r>
    </w:p>
    <w:p w14:paraId="4D36BD4F" w14:textId="0DE876A6" w:rsidR="00325419" w:rsidRPr="0015554A" w:rsidRDefault="00325419" w:rsidP="00325419">
      <w:pPr>
        <w:pStyle w:val="enumlev1"/>
      </w:pPr>
      <w:r>
        <w:t>•</w:t>
      </w:r>
      <w:r>
        <w:tab/>
      </w:r>
      <w:r w:rsidRPr="0015554A">
        <w:t>Y.arsm</w:t>
      </w:r>
      <w:r w:rsidRPr="0015554A">
        <w:tab/>
      </w:r>
      <w:r w:rsidR="00D65849">
        <w:t>"</w:t>
      </w:r>
      <w:r w:rsidRPr="0015554A">
        <w:t xml:space="preserve">Modelo de servicio para una guía turística centrada en las personas con </w:t>
      </w:r>
      <w:r>
        <w:t>realidad aumentada</w:t>
      </w:r>
      <w:r w:rsidR="00D65849">
        <w:t>"</w:t>
      </w:r>
      <w:r w:rsidRPr="0015554A">
        <w:t xml:space="preserve"> (C1/13)</w:t>
      </w:r>
    </w:p>
    <w:p w14:paraId="480956C4" w14:textId="3E5AF93F" w:rsidR="00325419" w:rsidRPr="0015554A" w:rsidRDefault="00325419" w:rsidP="00325419">
      <w:pPr>
        <w:pStyle w:val="enumlev1"/>
      </w:pPr>
      <w:r>
        <w:t>•</w:t>
      </w:r>
      <w:r>
        <w:tab/>
      </w:r>
      <w:r w:rsidRPr="0015554A">
        <w:t xml:space="preserve">Y.QKDN-iwac </w:t>
      </w:r>
      <w:r w:rsidR="00D65849">
        <w:t>"</w:t>
      </w:r>
      <w:r w:rsidRPr="0015554A">
        <w:t>Interfuncionamiento de redes de distribución de claves cuánticas – arquitectura</w:t>
      </w:r>
      <w:r w:rsidR="00D65849">
        <w:t>"</w:t>
      </w:r>
      <w:r w:rsidRPr="0015554A">
        <w:t xml:space="preserve"> (C16/13)</w:t>
      </w:r>
    </w:p>
    <w:p w14:paraId="29527997" w14:textId="0732600B" w:rsidR="00325419" w:rsidRPr="0015554A" w:rsidRDefault="00325419" w:rsidP="00325419">
      <w:pPr>
        <w:pStyle w:val="enumlev1"/>
      </w:pPr>
      <w:r>
        <w:t>•</w:t>
      </w:r>
      <w:r>
        <w:tab/>
      </w:r>
      <w:r w:rsidRPr="0015554A">
        <w:t xml:space="preserve">Y.trust-arch </w:t>
      </w:r>
      <w:r w:rsidR="00D65849">
        <w:t>"</w:t>
      </w:r>
      <w:r w:rsidRPr="0015554A">
        <w:t xml:space="preserve">Arquitectura funcional para la prestación de servicios </w:t>
      </w:r>
      <w:r>
        <w:t>basados en la</w:t>
      </w:r>
      <w:r w:rsidRPr="0015554A">
        <w:t xml:space="preserve"> confianza</w:t>
      </w:r>
      <w:r w:rsidR="00D65849">
        <w:t>"</w:t>
      </w:r>
      <w:r w:rsidRPr="0015554A">
        <w:t xml:space="preserve"> (C16/13)</w:t>
      </w:r>
    </w:p>
    <w:p w14:paraId="5C0F6E45" w14:textId="7E8F70BB" w:rsidR="00325419" w:rsidRPr="0015554A" w:rsidRDefault="00325419" w:rsidP="00325419">
      <w:pPr>
        <w:pStyle w:val="enumlev1"/>
      </w:pPr>
      <w:r>
        <w:t>•</w:t>
      </w:r>
      <w:r>
        <w:tab/>
      </w:r>
      <w:r w:rsidRPr="0015554A">
        <w:t xml:space="preserve">Y.trust-an </w:t>
      </w:r>
      <w:r w:rsidR="00D65849">
        <w:t>"</w:t>
      </w:r>
      <w:r w:rsidRPr="0015554A">
        <w:t>Visión general de la confianza en las redes autónomas</w:t>
      </w:r>
      <w:r w:rsidR="00D65849">
        <w:t>"</w:t>
      </w:r>
      <w:r w:rsidRPr="0015554A">
        <w:t xml:space="preserve"> (C16/13)</w:t>
      </w:r>
    </w:p>
    <w:p w14:paraId="570633CB" w14:textId="793CDE0A" w:rsidR="00325419" w:rsidRPr="0015554A" w:rsidRDefault="00325419" w:rsidP="00325419">
      <w:pPr>
        <w:pStyle w:val="enumlev1"/>
        <w:rPr>
          <w:rFonts w:ascii="Calibri" w:eastAsia="Calibri" w:hAnsi="Calibri" w:cs="Calibri"/>
        </w:rPr>
      </w:pPr>
      <w:r>
        <w:t>•</w:t>
      </w:r>
      <w:r>
        <w:tab/>
      </w:r>
      <w:r w:rsidRPr="0015554A">
        <w:t xml:space="preserve">Y.QKDN-rsfr (Y.3815) </w:t>
      </w:r>
      <w:r w:rsidR="00D65849">
        <w:t>"</w:t>
      </w:r>
      <w:r w:rsidRPr="0015554A">
        <w:t xml:space="preserve">Redes de distribución de claves cuánticas </w:t>
      </w:r>
      <w:r w:rsidR="00D65849">
        <w:t>–</w:t>
      </w:r>
      <w:r w:rsidRPr="0015554A">
        <w:t xml:space="preserve"> </w:t>
      </w:r>
      <w:r w:rsidR="00D65849">
        <w:t>vi</w:t>
      </w:r>
      <w:r w:rsidRPr="0015554A">
        <w:t>sión general de la resiliencia</w:t>
      </w:r>
      <w:r w:rsidR="00D65849">
        <w:t>"</w:t>
      </w:r>
      <w:r w:rsidRPr="0015554A">
        <w:t xml:space="preserve"> (C16/13)</w:t>
      </w:r>
    </w:p>
    <w:p w14:paraId="23FDCDB6" w14:textId="59DB8A66" w:rsidR="00325419" w:rsidRPr="0015554A" w:rsidRDefault="00325419" w:rsidP="00325419">
      <w:r w:rsidRPr="0015554A">
        <w:t xml:space="preserve">El examen de las declaraciones de coordinación salientes y </w:t>
      </w:r>
      <w:r>
        <w:t>las actividades futuras</w:t>
      </w:r>
      <w:r w:rsidRPr="0015554A">
        <w:t xml:space="preserve"> forma asimismo parte del orden del día de las reuniones de los Grupos de Trabajo 1/13, 2/13 y 3/13. Tal y como se acordó en la reunión de marzo de 2023 de la CE</w:t>
      </w:r>
      <w:r w:rsidR="00D65849">
        <w:t xml:space="preserve"> </w:t>
      </w:r>
      <w:r w:rsidRPr="0015554A">
        <w:t>13, si el tiempo lo permite, los participantes en estas reuniones también sopesarán la posibilidad de iniciar nuevo</w:t>
      </w:r>
      <w:r>
        <w:t>s</w:t>
      </w:r>
      <w:r w:rsidRPr="0015554A">
        <w:t xml:space="preserve"> tema</w:t>
      </w:r>
      <w:r w:rsidR="00D65849">
        <w:t>s</w:t>
      </w:r>
      <w:r w:rsidRPr="0015554A">
        <w:t xml:space="preserve"> de trabajo.</w:t>
      </w:r>
    </w:p>
    <w:p w14:paraId="08E6E65C" w14:textId="5AC98639" w:rsidR="002545AA" w:rsidRPr="00E35001" w:rsidRDefault="00325419" w:rsidP="00325419">
      <w:r w:rsidRPr="0015554A">
        <w:t xml:space="preserve">El </w:t>
      </w:r>
      <w:r w:rsidRPr="0015554A">
        <w:rPr>
          <w:b/>
          <w:bCs/>
        </w:rPr>
        <w:t>Anexo A</w:t>
      </w:r>
      <w:r w:rsidRPr="0015554A">
        <w:t xml:space="preserve"> contiene información práctica sobre las reuniones. En el </w:t>
      </w:r>
      <w:r w:rsidRPr="0015554A">
        <w:rPr>
          <w:b/>
          <w:bCs/>
        </w:rPr>
        <w:t>Anexo B</w:t>
      </w:r>
      <w:r w:rsidRPr="0015554A">
        <w:t xml:space="preserve"> figura un proyecto de </w:t>
      </w:r>
      <w:r w:rsidRPr="0015554A">
        <w:rPr>
          <w:b/>
          <w:bCs/>
        </w:rPr>
        <w:t>orden del día</w:t>
      </w:r>
      <w:r w:rsidRPr="0015554A">
        <w:t xml:space="preserve"> preparado por los Presidentes de los Grupos de Trabajo 1/13, 2/13 y 3/13.</w:t>
      </w:r>
    </w:p>
    <w:p w14:paraId="1D2003EF" w14:textId="77777777" w:rsidR="002545AA" w:rsidRPr="00E35001" w:rsidRDefault="002545AA" w:rsidP="002545AA">
      <w:pPr>
        <w:keepNext/>
        <w:keepLines/>
        <w:spacing w:after="120"/>
        <w:rPr>
          <w:b/>
          <w:bCs/>
        </w:rPr>
      </w:pPr>
      <w:r w:rsidRPr="00E35001">
        <w:rPr>
          <w:b/>
          <w:bC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55"/>
      </w:tblGrid>
      <w:tr w:rsidR="00325419" w:rsidRPr="0015554A" w14:paraId="1F5B96BD" w14:textId="77777777" w:rsidTr="00D65849">
        <w:trPr>
          <w:trHeight w:val="604"/>
        </w:trPr>
        <w:tc>
          <w:tcPr>
            <w:tcW w:w="2093" w:type="dxa"/>
            <w:shd w:val="clear" w:color="auto" w:fill="auto"/>
          </w:tcPr>
          <w:p w14:paraId="2E32A1B3" w14:textId="77777777" w:rsidR="00325419" w:rsidRPr="0015554A" w:rsidRDefault="00325419" w:rsidP="00325419">
            <w:pPr>
              <w:pStyle w:val="TableText"/>
              <w:rPr>
                <w:rFonts w:cstheme="minorHAnsi"/>
                <w:szCs w:val="22"/>
                <w:highlight w:val="yellow"/>
              </w:rPr>
            </w:pPr>
            <w:r w:rsidRPr="0015554A">
              <w:rPr>
                <w:rFonts w:cstheme="minorHAnsi"/>
                <w:szCs w:val="22"/>
              </w:rPr>
              <w:t>26 de mayo de 2023</w:t>
            </w:r>
          </w:p>
        </w:tc>
        <w:tc>
          <w:tcPr>
            <w:tcW w:w="7555" w:type="dxa"/>
            <w:shd w:val="clear" w:color="auto" w:fill="auto"/>
          </w:tcPr>
          <w:p w14:paraId="677219FB" w14:textId="20418B99" w:rsidR="00325419" w:rsidRPr="0015554A" w:rsidRDefault="00D65849" w:rsidP="00325419">
            <w:pPr>
              <w:pStyle w:val="TableText"/>
              <w:ind w:left="172" w:hanging="207"/>
              <w:rPr>
                <w:rFonts w:cstheme="minorHAnsi"/>
                <w:szCs w:val="22"/>
              </w:rPr>
            </w:pPr>
            <w:r w:rsidRPr="00D65849">
              <w:rPr>
                <w:rFonts w:cstheme="minorHAnsi"/>
                <w:szCs w:val="22"/>
              </w:rPr>
              <w:t>–</w:t>
            </w:r>
            <w:r w:rsidR="00325419" w:rsidRPr="0015554A">
              <w:rPr>
                <w:rFonts w:cstheme="minorHAnsi"/>
                <w:szCs w:val="22"/>
              </w:rPr>
              <w:tab/>
            </w:r>
            <w:hyperlink r:id="rId14" w:history="1">
              <w:r w:rsidR="00325419" w:rsidRPr="0015554A">
                <w:rPr>
                  <w:rStyle w:val="Hyperlink"/>
                  <w:rFonts w:cstheme="minorHAnsi"/>
                  <w:szCs w:val="22"/>
                </w:rPr>
                <w:t xml:space="preserve">Presentación de las contribuciones de los </w:t>
              </w:r>
              <w:r w:rsidR="00325419">
                <w:rPr>
                  <w:rStyle w:val="Hyperlink"/>
                  <w:rFonts w:cstheme="minorHAnsi"/>
                  <w:szCs w:val="22"/>
                </w:rPr>
                <w:t>m</w:t>
              </w:r>
              <w:r w:rsidR="00325419" w:rsidRPr="0015554A">
                <w:rPr>
                  <w:rStyle w:val="Hyperlink"/>
                  <w:rFonts w:cstheme="minorHAnsi"/>
                  <w:szCs w:val="22"/>
                </w:rPr>
                <w:t>iembros del UIT-T</w:t>
              </w:r>
            </w:hyperlink>
            <w:r w:rsidR="00325419" w:rsidRPr="0015554A">
              <w:rPr>
                <w:rFonts w:cstheme="minorHAnsi"/>
                <w:szCs w:val="22"/>
              </w:rPr>
              <w:t xml:space="preserve"> para las que se requiera traducción</w:t>
            </w:r>
          </w:p>
        </w:tc>
      </w:tr>
      <w:tr w:rsidR="00325419" w:rsidRPr="0015554A" w14:paraId="00EE74B8" w14:textId="77777777" w:rsidTr="00D65849">
        <w:tc>
          <w:tcPr>
            <w:tcW w:w="2093" w:type="dxa"/>
            <w:shd w:val="clear" w:color="auto" w:fill="auto"/>
          </w:tcPr>
          <w:p w14:paraId="17B2A15C" w14:textId="77777777" w:rsidR="00325419" w:rsidRPr="0015554A" w:rsidRDefault="00325419" w:rsidP="00325419">
            <w:pPr>
              <w:pStyle w:val="TableText"/>
              <w:rPr>
                <w:rFonts w:cstheme="minorHAnsi"/>
                <w:szCs w:val="22"/>
                <w:highlight w:val="yellow"/>
              </w:rPr>
            </w:pPr>
            <w:r w:rsidRPr="0015554A">
              <w:rPr>
                <w:rFonts w:cstheme="minorHAnsi"/>
                <w:szCs w:val="22"/>
              </w:rPr>
              <w:t>14 de junio de 2023</w:t>
            </w:r>
          </w:p>
        </w:tc>
        <w:tc>
          <w:tcPr>
            <w:tcW w:w="7555" w:type="dxa"/>
            <w:shd w:val="clear" w:color="auto" w:fill="auto"/>
          </w:tcPr>
          <w:p w14:paraId="3AE511F3" w14:textId="30B60630" w:rsidR="00325419" w:rsidRPr="0015554A" w:rsidRDefault="00D65849" w:rsidP="003254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D65849">
              <w:rPr>
                <w:rFonts w:cstheme="minorHAnsi"/>
                <w:szCs w:val="22"/>
              </w:rPr>
              <w:t>–</w:t>
            </w:r>
            <w:r w:rsidR="00325419" w:rsidRPr="0015554A">
              <w:rPr>
                <w:rFonts w:cstheme="minorHAnsi"/>
                <w:szCs w:val="22"/>
              </w:rPr>
              <w:tab/>
              <w:t xml:space="preserve">Presentación (electrónica) de solicitudes de beca (a través de los formularios disponibles en la </w:t>
            </w:r>
            <w:hyperlink r:id="rId15" w:history="1">
              <w:r w:rsidR="00325419" w:rsidRPr="0015554A">
                <w:rPr>
                  <w:rStyle w:val="Hyperlink"/>
                  <w:rFonts w:cstheme="minorHAnsi"/>
                  <w:szCs w:val="22"/>
                </w:rPr>
                <w:t xml:space="preserve">página </w:t>
              </w:r>
              <w:r w:rsidR="00325419">
                <w:rPr>
                  <w:rStyle w:val="Hyperlink"/>
                  <w:rFonts w:cstheme="minorHAnsi"/>
                  <w:szCs w:val="22"/>
                </w:rPr>
                <w:t>de inicio</w:t>
              </w:r>
              <w:r w:rsidR="00325419" w:rsidRPr="0015554A">
                <w:rPr>
                  <w:rStyle w:val="Hyperlink"/>
                  <w:rFonts w:cstheme="minorHAnsi"/>
                  <w:szCs w:val="22"/>
                </w:rPr>
                <w:t xml:space="preserve"> de la Comisión de Estudio</w:t>
              </w:r>
            </w:hyperlink>
            <w:r w:rsidR="00325419" w:rsidRPr="0015554A">
              <w:rPr>
                <w:rFonts w:cstheme="minorHAnsi"/>
                <w:szCs w:val="22"/>
              </w:rPr>
              <w:t>; véase la información detallada del Anexo A)</w:t>
            </w:r>
          </w:p>
        </w:tc>
      </w:tr>
      <w:tr w:rsidR="00325419" w:rsidRPr="0015554A" w14:paraId="1521E81E" w14:textId="77777777" w:rsidTr="00D65849">
        <w:tc>
          <w:tcPr>
            <w:tcW w:w="2093" w:type="dxa"/>
            <w:shd w:val="clear" w:color="auto" w:fill="auto"/>
          </w:tcPr>
          <w:p w14:paraId="5700575D" w14:textId="77777777" w:rsidR="00325419" w:rsidRPr="0015554A" w:rsidRDefault="00325419" w:rsidP="00325419">
            <w:pPr>
              <w:pStyle w:val="TableText"/>
              <w:rPr>
                <w:rFonts w:cstheme="minorHAnsi"/>
                <w:szCs w:val="22"/>
                <w:highlight w:val="yellow"/>
              </w:rPr>
            </w:pPr>
            <w:r w:rsidRPr="0015554A">
              <w:rPr>
                <w:rFonts w:cstheme="minorHAnsi"/>
                <w:szCs w:val="22"/>
              </w:rPr>
              <w:t>26 de junio de 2023</w:t>
            </w:r>
          </w:p>
        </w:tc>
        <w:tc>
          <w:tcPr>
            <w:tcW w:w="7555" w:type="dxa"/>
            <w:shd w:val="clear" w:color="auto" w:fill="auto"/>
          </w:tcPr>
          <w:p w14:paraId="43245E2F" w14:textId="02779737" w:rsidR="00325419" w:rsidRPr="0015554A" w:rsidRDefault="00D65849" w:rsidP="003254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D65849">
              <w:rPr>
                <w:rFonts w:cstheme="minorHAnsi"/>
                <w:szCs w:val="22"/>
              </w:rPr>
              <w:t>–</w:t>
            </w:r>
            <w:r w:rsidR="00325419" w:rsidRPr="0015554A">
              <w:rPr>
                <w:rFonts w:cstheme="minorHAnsi"/>
                <w:szCs w:val="22"/>
              </w:rPr>
              <w:tab/>
              <w:t xml:space="preserve">Preinscripción (a través del formulario de inscripción en línea disponible en la </w:t>
            </w:r>
            <w:hyperlink r:id="rId16" w:history="1">
              <w:r w:rsidR="00325419" w:rsidRPr="0015554A">
                <w:rPr>
                  <w:rStyle w:val="Hyperlink"/>
                  <w:rFonts w:cstheme="minorHAnsi"/>
                  <w:szCs w:val="22"/>
                </w:rPr>
                <w:t xml:space="preserve">página </w:t>
              </w:r>
              <w:r w:rsidR="00325419">
                <w:rPr>
                  <w:rStyle w:val="Hyperlink"/>
                  <w:rFonts w:cstheme="minorHAnsi"/>
                  <w:szCs w:val="22"/>
                </w:rPr>
                <w:t>de inicio</w:t>
              </w:r>
              <w:r w:rsidR="00325419" w:rsidRPr="0015554A">
                <w:rPr>
                  <w:rStyle w:val="Hyperlink"/>
                  <w:rFonts w:cstheme="minorHAnsi"/>
                  <w:szCs w:val="22"/>
                </w:rPr>
                <w:t xml:space="preserve"> de la Comisión de Estudio</w:t>
              </w:r>
            </w:hyperlink>
            <w:r w:rsidR="00325419" w:rsidRPr="0015554A">
              <w:rPr>
                <w:rFonts w:cstheme="minorHAnsi"/>
                <w:szCs w:val="22"/>
              </w:rPr>
              <w:t>)</w:t>
            </w:r>
          </w:p>
          <w:p w14:paraId="653DF662" w14:textId="11659A41" w:rsidR="00325419" w:rsidRPr="0015554A" w:rsidRDefault="00D65849" w:rsidP="003254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D65849">
              <w:rPr>
                <w:rFonts w:cstheme="minorHAnsi"/>
                <w:szCs w:val="22"/>
              </w:rPr>
              <w:t>–</w:t>
            </w:r>
            <w:r w:rsidR="00325419" w:rsidRPr="0015554A">
              <w:rPr>
                <w:rFonts w:cstheme="minorHAnsi"/>
                <w:szCs w:val="22"/>
              </w:rPr>
              <w:tab/>
              <w:t>Presentación de solicitudes de cartas para la obtención de visados (mediante el formulario de inscripción en línea; véase la información detallada del Anexo</w:t>
            </w:r>
            <w:r>
              <w:rPr>
                <w:rFonts w:cstheme="minorHAnsi"/>
                <w:szCs w:val="22"/>
              </w:rPr>
              <w:t> </w:t>
            </w:r>
            <w:r w:rsidR="00325419" w:rsidRPr="0015554A">
              <w:rPr>
                <w:rFonts w:cstheme="minorHAnsi"/>
                <w:szCs w:val="22"/>
              </w:rPr>
              <w:t>A)</w:t>
            </w:r>
          </w:p>
        </w:tc>
      </w:tr>
      <w:tr w:rsidR="00325419" w:rsidRPr="0015554A" w14:paraId="6878DAA1" w14:textId="77777777" w:rsidTr="00D65849">
        <w:tc>
          <w:tcPr>
            <w:tcW w:w="2093" w:type="dxa"/>
            <w:shd w:val="clear" w:color="auto" w:fill="auto"/>
          </w:tcPr>
          <w:p w14:paraId="50D28A8F" w14:textId="77777777" w:rsidR="00325419" w:rsidRPr="0015554A" w:rsidRDefault="00325419" w:rsidP="00325419">
            <w:pPr>
              <w:pStyle w:val="TableText"/>
              <w:rPr>
                <w:rFonts w:cstheme="minorHAnsi"/>
                <w:szCs w:val="22"/>
                <w:highlight w:val="yellow"/>
              </w:rPr>
            </w:pPr>
            <w:r w:rsidRPr="0015554A">
              <w:rPr>
                <w:rFonts w:cstheme="minorHAnsi"/>
                <w:szCs w:val="22"/>
              </w:rPr>
              <w:t>13 de julio de 2023</w:t>
            </w:r>
          </w:p>
        </w:tc>
        <w:tc>
          <w:tcPr>
            <w:tcW w:w="7555" w:type="dxa"/>
            <w:shd w:val="clear" w:color="auto" w:fill="auto"/>
          </w:tcPr>
          <w:p w14:paraId="381A6A9D" w14:textId="1902972C" w:rsidR="00325419" w:rsidRPr="0015554A" w:rsidRDefault="00D65849" w:rsidP="003254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D65849">
              <w:rPr>
                <w:rFonts w:cstheme="minorHAnsi"/>
                <w:szCs w:val="22"/>
              </w:rPr>
              <w:t>–</w:t>
            </w:r>
            <w:r w:rsidR="00325419" w:rsidRPr="0015554A">
              <w:rPr>
                <w:rFonts w:cstheme="minorHAnsi"/>
                <w:szCs w:val="22"/>
              </w:rPr>
              <w:tab/>
            </w:r>
            <w:hyperlink r:id="rId17" w:history="1">
              <w:r w:rsidR="00325419" w:rsidRPr="0015554A">
                <w:rPr>
                  <w:rStyle w:val="Hyperlink"/>
                  <w:rFonts w:cstheme="minorHAnsi"/>
                  <w:szCs w:val="22"/>
                </w:rPr>
                <w:t xml:space="preserve">Presentación de las contribuciones de los </w:t>
              </w:r>
              <w:r w:rsidR="00325419">
                <w:rPr>
                  <w:rStyle w:val="Hyperlink"/>
                  <w:rFonts w:cstheme="minorHAnsi"/>
                  <w:szCs w:val="22"/>
                </w:rPr>
                <w:t>m</w:t>
              </w:r>
              <w:r w:rsidR="00325419" w:rsidRPr="0015554A">
                <w:rPr>
                  <w:rStyle w:val="Hyperlink"/>
                  <w:rFonts w:cstheme="minorHAnsi"/>
                  <w:szCs w:val="22"/>
                </w:rPr>
                <w:t>iembros del UIT-T (a través del sistema de publicación directa de documentos)</w:t>
              </w:r>
            </w:hyperlink>
          </w:p>
        </w:tc>
      </w:tr>
    </w:tbl>
    <w:p w14:paraId="3E41027D" w14:textId="77777777" w:rsidR="00D65849" w:rsidRDefault="00D65849" w:rsidP="002545AA">
      <w:pPr>
        <w:rPr>
          <w:rFonts w:cstheme="minorHAnsi"/>
          <w:szCs w:val="22"/>
        </w:rPr>
      </w:pPr>
    </w:p>
    <w:p w14:paraId="00385E33" w14:textId="0D82691A" w:rsidR="00D65849" w:rsidRDefault="00D65849">
      <w:pPr>
        <w:tabs>
          <w:tab w:val="clear" w:pos="794"/>
          <w:tab w:val="clear" w:pos="1191"/>
          <w:tab w:val="clear" w:pos="1588"/>
          <w:tab w:val="clear" w:pos="1985"/>
        </w:tabs>
        <w:overflowPunct/>
        <w:autoSpaceDE/>
        <w:autoSpaceDN/>
        <w:adjustRightInd/>
        <w:spacing w:before="0"/>
        <w:textAlignment w:val="auto"/>
        <w:rPr>
          <w:rFonts w:cstheme="minorHAnsi"/>
          <w:szCs w:val="22"/>
        </w:rPr>
      </w:pPr>
    </w:p>
    <w:p w14:paraId="2151DF89" w14:textId="77777777" w:rsidR="00D65849" w:rsidRDefault="00D65849">
      <w:pPr>
        <w:tabs>
          <w:tab w:val="clear" w:pos="794"/>
          <w:tab w:val="clear" w:pos="1191"/>
          <w:tab w:val="clear" w:pos="1588"/>
          <w:tab w:val="clear" w:pos="1985"/>
        </w:tabs>
        <w:overflowPunct/>
        <w:autoSpaceDE/>
        <w:autoSpaceDN/>
        <w:adjustRightInd/>
        <w:spacing w:before="0"/>
        <w:textAlignment w:val="auto"/>
        <w:rPr>
          <w:rFonts w:cstheme="minorHAnsi"/>
          <w:szCs w:val="22"/>
        </w:rPr>
      </w:pPr>
      <w:r>
        <w:rPr>
          <w:rFonts w:cstheme="minorHAnsi"/>
          <w:szCs w:val="22"/>
        </w:rPr>
        <w:br w:type="page"/>
      </w:r>
    </w:p>
    <w:p w14:paraId="317DF49B" w14:textId="5F06C21E" w:rsidR="002545AA" w:rsidRPr="00E35001" w:rsidRDefault="00325419" w:rsidP="002545AA">
      <w:pPr>
        <w:rPr>
          <w:bCs/>
        </w:rPr>
      </w:pPr>
      <w:r w:rsidRPr="0015554A">
        <w:rPr>
          <w:rFonts w:cstheme="minorHAnsi"/>
          <w:szCs w:val="22"/>
        </w:rPr>
        <w:lastRenderedPageBreak/>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325419" w:rsidRPr="0015554A" w14:paraId="40880108" w14:textId="77777777" w:rsidTr="00325419">
        <w:trPr>
          <w:cantSplit/>
          <w:trHeight w:val="1955"/>
        </w:trPr>
        <w:tc>
          <w:tcPr>
            <w:tcW w:w="6663" w:type="dxa"/>
            <w:vMerge w:val="restart"/>
            <w:tcBorders>
              <w:right w:val="single" w:sz="4" w:space="0" w:color="auto"/>
            </w:tcBorders>
          </w:tcPr>
          <w:p w14:paraId="297A8AE1" w14:textId="77777777" w:rsidR="00325419" w:rsidRPr="0015554A" w:rsidRDefault="00325419" w:rsidP="00D65849">
            <w:pPr>
              <w:keepNext/>
              <w:keepLines/>
              <w:ind w:left="-108"/>
              <w:rPr>
                <w:rFonts w:cstheme="minorHAnsi"/>
                <w:szCs w:val="22"/>
              </w:rPr>
            </w:pPr>
            <w:r w:rsidRPr="0015554A">
              <w:rPr>
                <w:rFonts w:cstheme="minorHAnsi"/>
                <w:szCs w:val="22"/>
              </w:rPr>
              <w:t>Atentamente,</w:t>
            </w:r>
          </w:p>
          <w:p w14:paraId="5D2E9A40" w14:textId="2A45818C" w:rsidR="00325419" w:rsidRPr="0015554A" w:rsidRDefault="00C731C8" w:rsidP="00325419">
            <w:pPr>
              <w:keepNext/>
              <w:keepLines/>
              <w:spacing w:before="960"/>
              <w:ind w:left="-110"/>
              <w:rPr>
                <w:rFonts w:cstheme="minorHAnsi"/>
                <w:szCs w:val="22"/>
              </w:rPr>
            </w:pPr>
            <w:r>
              <w:rPr>
                <w:rFonts w:cstheme="minorHAnsi"/>
                <w:noProof/>
                <w:szCs w:val="22"/>
              </w:rPr>
              <w:drawing>
                <wp:anchor distT="0" distB="0" distL="114300" distR="114300" simplePos="0" relativeHeight="251658240" behindDoc="1" locked="0" layoutInCell="1" allowOverlap="1" wp14:anchorId="4787A33D" wp14:editId="40CAA69A">
                  <wp:simplePos x="0" y="0"/>
                  <wp:positionH relativeFrom="column">
                    <wp:posOffset>-73508</wp:posOffset>
                  </wp:positionH>
                  <wp:positionV relativeFrom="paragraph">
                    <wp:posOffset>184785</wp:posOffset>
                  </wp:positionV>
                  <wp:extent cx="760730" cy="342619"/>
                  <wp:effectExtent l="0" t="0" r="1270" b="635"/>
                  <wp:wrapNone/>
                  <wp:docPr id="4" name="Picture 4" descr="A picture containing font,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logo, graphics, whit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60730" cy="342619"/>
                          </a:xfrm>
                          <a:prstGeom prst="rect">
                            <a:avLst/>
                          </a:prstGeom>
                        </pic:spPr>
                      </pic:pic>
                    </a:graphicData>
                  </a:graphic>
                  <wp14:sizeRelH relativeFrom="margin">
                    <wp14:pctWidth>0</wp14:pctWidth>
                  </wp14:sizeRelH>
                  <wp14:sizeRelV relativeFrom="margin">
                    <wp14:pctHeight>0</wp14:pctHeight>
                  </wp14:sizeRelV>
                </wp:anchor>
              </w:drawing>
            </w:r>
            <w:r w:rsidR="00325419" w:rsidRPr="0015554A">
              <w:rPr>
                <w:rFonts w:cstheme="minorHAnsi"/>
                <w:szCs w:val="22"/>
              </w:rPr>
              <w:t xml:space="preserve">Seizo Onoe </w:t>
            </w:r>
            <w:r w:rsidR="00325419" w:rsidRPr="0015554A">
              <w:rPr>
                <w:rFonts w:cstheme="minorHAnsi"/>
                <w:szCs w:val="22"/>
              </w:rPr>
              <w:br/>
            </w:r>
            <w:proofErr w:type="gramStart"/>
            <w:r w:rsidR="00325419" w:rsidRPr="0015554A">
              <w:rPr>
                <w:rFonts w:cstheme="minorHAnsi"/>
                <w:bCs/>
                <w:szCs w:val="22"/>
              </w:rPr>
              <w:t>Director</w:t>
            </w:r>
            <w:proofErr w:type="gramEnd"/>
            <w:r w:rsidR="00325419" w:rsidRPr="0015554A">
              <w:rPr>
                <w:rFonts w:cstheme="minorHAnsi"/>
                <w:bCs/>
                <w:szCs w:val="22"/>
              </w:rPr>
              <w:t xml:space="preserve"> de la Oficina de Normalización</w:t>
            </w:r>
            <w:r w:rsidR="00325419" w:rsidRPr="0015554A">
              <w:rPr>
                <w:rFonts w:cstheme="minorHAnsi"/>
                <w:bCs/>
                <w:szCs w:val="22"/>
              </w:rPr>
              <w:br/>
              <w:t>de las Telecomunicaciones</w:t>
            </w:r>
          </w:p>
        </w:tc>
        <w:tc>
          <w:tcPr>
            <w:tcW w:w="3118" w:type="dxa"/>
            <w:tcBorders>
              <w:top w:val="single" w:sz="4" w:space="0" w:color="auto"/>
              <w:left w:val="single" w:sz="4" w:space="0" w:color="auto"/>
              <w:right w:val="single" w:sz="4" w:space="0" w:color="auto"/>
            </w:tcBorders>
            <w:textDirection w:val="btLr"/>
            <w:vAlign w:val="center"/>
          </w:tcPr>
          <w:p w14:paraId="5FE07226" w14:textId="0350AD7C" w:rsidR="00325419" w:rsidRPr="0015554A" w:rsidRDefault="00325419" w:rsidP="00325419">
            <w:pPr>
              <w:keepNext/>
              <w:keepLines/>
              <w:spacing w:before="0"/>
              <w:ind w:left="113" w:right="113"/>
              <w:jc w:val="center"/>
              <w:rPr>
                <w:rFonts w:cstheme="minorBidi"/>
              </w:rPr>
            </w:pPr>
            <w:r w:rsidRPr="0015554A">
              <w:rPr>
                <w:noProof/>
              </w:rPr>
              <w:drawing>
                <wp:inline distT="0" distB="0" distL="0" distR="0" wp14:anchorId="1FBE0CC9" wp14:editId="58FD3503">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Pr>
                <w:rFonts w:eastAsia="SimSun" w:cstheme="minorBidi"/>
                <w:lang w:eastAsia="zh-CN"/>
              </w:rPr>
              <w:t>CE</w:t>
            </w:r>
            <w:r w:rsidRPr="0015554A">
              <w:rPr>
                <w:rFonts w:eastAsia="SimSun" w:cstheme="minorBidi"/>
                <w:lang w:eastAsia="zh-CN"/>
              </w:rPr>
              <w:t>13</w:t>
            </w:r>
            <w:r>
              <w:rPr>
                <w:rFonts w:eastAsia="SimSun" w:cstheme="minorBidi"/>
                <w:lang w:eastAsia="zh-CN"/>
              </w:rPr>
              <w:t xml:space="preserve"> DEL UIT-T</w:t>
            </w:r>
          </w:p>
        </w:tc>
      </w:tr>
      <w:tr w:rsidR="00325419" w:rsidRPr="0015554A" w14:paraId="790C8EA4" w14:textId="77777777" w:rsidTr="00325419">
        <w:trPr>
          <w:cantSplit/>
          <w:trHeight w:val="227"/>
        </w:trPr>
        <w:tc>
          <w:tcPr>
            <w:tcW w:w="6663" w:type="dxa"/>
            <w:vMerge/>
          </w:tcPr>
          <w:p w14:paraId="3C9C78F5" w14:textId="77777777" w:rsidR="00325419" w:rsidRPr="0015554A" w:rsidRDefault="00325419" w:rsidP="00325419">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59D91BCE" w14:textId="77777777" w:rsidR="00325419" w:rsidRPr="0015554A" w:rsidRDefault="00325419" w:rsidP="00325419">
            <w:pPr>
              <w:spacing w:before="0"/>
              <w:jc w:val="center"/>
              <w:rPr>
                <w:rFonts w:eastAsia="SimSun" w:cstheme="minorHAnsi"/>
                <w:noProof/>
                <w:szCs w:val="22"/>
                <w:lang w:eastAsia="zh-CN"/>
              </w:rPr>
            </w:pPr>
            <w:r w:rsidRPr="0015554A">
              <w:rPr>
                <w:rFonts w:cstheme="minorHAnsi"/>
                <w:szCs w:val="22"/>
              </w:rPr>
              <w:t>Novedades de la reunión</w:t>
            </w:r>
          </w:p>
        </w:tc>
      </w:tr>
    </w:tbl>
    <w:p w14:paraId="398700E0" w14:textId="4915D176" w:rsidR="002545AA" w:rsidRPr="00E35001" w:rsidRDefault="00325419" w:rsidP="002545AA">
      <w:pPr>
        <w:rPr>
          <w:bCs/>
        </w:rPr>
      </w:pPr>
      <w:r w:rsidRPr="00D65849">
        <w:rPr>
          <w:b/>
        </w:rPr>
        <w:t>Anexos</w:t>
      </w:r>
      <w:r>
        <w:rPr>
          <w:bCs/>
        </w:rPr>
        <w:t>: 2</w:t>
      </w:r>
    </w:p>
    <w:p w14:paraId="0B39661F" w14:textId="77777777" w:rsidR="002545AA" w:rsidRPr="00E35001" w:rsidRDefault="002545AA" w:rsidP="002545AA">
      <w:pPr>
        <w:ind w:right="91"/>
        <w:rPr>
          <w:bCs/>
        </w:rPr>
      </w:pPr>
      <w:r w:rsidRPr="00E35001">
        <w:rPr>
          <w:bCs/>
        </w:rPr>
        <w:br w:type="page"/>
      </w:r>
    </w:p>
    <w:p w14:paraId="4E69B3B3" w14:textId="77777777" w:rsidR="00325419" w:rsidRPr="0015554A" w:rsidRDefault="00325419" w:rsidP="00325419">
      <w:pPr>
        <w:pStyle w:val="AnnexNotitle"/>
      </w:pPr>
      <w:r w:rsidRPr="0015554A">
        <w:lastRenderedPageBreak/>
        <w:t>ANEXO A</w:t>
      </w:r>
      <w:r w:rsidRPr="0015554A">
        <w:br/>
        <w:t>Información práctica sobre la reunión</w:t>
      </w:r>
    </w:p>
    <w:p w14:paraId="481FC480" w14:textId="77777777" w:rsidR="00325419" w:rsidRPr="0015554A" w:rsidRDefault="00325419" w:rsidP="00325419">
      <w:pPr>
        <w:spacing w:before="360"/>
        <w:jc w:val="center"/>
        <w:rPr>
          <w:b/>
          <w:bCs/>
        </w:rPr>
      </w:pPr>
      <w:r w:rsidRPr="0015554A">
        <w:rPr>
          <w:b/>
          <w:bCs/>
        </w:rPr>
        <w:t>MÉTODOS DE TRABAJO E INSTALACIONES</w:t>
      </w:r>
    </w:p>
    <w:p w14:paraId="05C2409D" w14:textId="23CD1DCE" w:rsidR="00325419" w:rsidRPr="0015554A" w:rsidRDefault="00325419" w:rsidP="00325419">
      <w:pPr>
        <w:pStyle w:val="Normalaftertitle"/>
        <w:spacing w:before="240"/>
      </w:pPr>
      <w:r w:rsidRPr="0015554A">
        <w:rPr>
          <w:b/>
          <w:bCs/>
        </w:rPr>
        <w:t>PRESENTACIÓN DE DOCUMENTOS Y ACCESO A LOS MISMOS</w:t>
      </w:r>
      <w:r w:rsidRPr="0015554A">
        <w:t xml:space="preserve">: A fin de presentar una contribución, los miembros deben utilizar el sistema de </w:t>
      </w:r>
      <w:hyperlink r:id="rId20" w:history="1">
        <w:r w:rsidRPr="0015554A">
          <w:rPr>
            <w:rStyle w:val="Hyperlink"/>
          </w:rPr>
          <w:t>Publicación Directa de Documentos</w:t>
        </w:r>
      </w:hyperlink>
      <w:r w:rsidRPr="0015554A">
        <w:t xml:space="preserve">; los proyectos de DT deben </w:t>
      </w:r>
      <w:r>
        <w:t>enviarse</w:t>
      </w:r>
      <w:r w:rsidRPr="0015554A">
        <w:t xml:space="preserve"> por correo</w:t>
      </w:r>
      <w:r>
        <w:t xml:space="preserve"> </w:t>
      </w:r>
      <w:r w:rsidRPr="0015554A">
        <w:t>e</w:t>
      </w:r>
      <w:r>
        <w:t>lectrónico</w:t>
      </w:r>
      <w:r w:rsidRPr="0015554A">
        <w:t xml:space="preserve"> a la secretaría de la Comisión de Estudio utilizando la </w:t>
      </w:r>
      <w:hyperlink r:id="rId21" w:history="1">
        <w:r w:rsidRPr="0015554A">
          <w:rPr>
            <w:rStyle w:val="Hyperlink"/>
          </w:rPr>
          <w:t>plantilla adecuada</w:t>
        </w:r>
      </w:hyperlink>
      <w:r w:rsidRPr="0015554A">
        <w:t>. El</w:t>
      </w:r>
      <w:r w:rsidR="00D65849">
        <w:t> </w:t>
      </w:r>
      <w:r w:rsidRPr="0015554A">
        <w:t xml:space="preserve">acceso a los documentos de la reunión se facilita a partir de la página </w:t>
      </w:r>
      <w:r>
        <w:t>de inicio</w:t>
      </w:r>
      <w:r w:rsidRPr="0015554A">
        <w:t xml:space="preserve"> de la Comisión de Estudio y está restringido a los miembros del UIT-T que dispongan de una </w:t>
      </w:r>
      <w:hyperlink r:id="rId22" w:history="1">
        <w:r w:rsidRPr="00D65849">
          <w:rPr>
            <w:rStyle w:val="Hyperlink"/>
          </w:rPr>
          <w:t>cuenta de usuario</w:t>
        </w:r>
      </w:hyperlink>
      <w:r w:rsidRPr="0015554A">
        <w:t xml:space="preserve"> de la UIT con acceso</w:t>
      </w:r>
      <w:r w:rsidR="00D65849">
        <w:t> </w:t>
      </w:r>
      <w:r w:rsidRPr="0015554A">
        <w:t>TIES.</w:t>
      </w:r>
    </w:p>
    <w:p w14:paraId="08357FE9" w14:textId="77777777" w:rsidR="00325419" w:rsidRPr="0015554A" w:rsidRDefault="00325419" w:rsidP="00325419">
      <w:r w:rsidRPr="0015554A">
        <w:rPr>
          <w:b/>
          <w:bCs/>
        </w:rPr>
        <w:t>IDIOMA DE TRABAJO</w:t>
      </w:r>
      <w:r w:rsidRPr="0015554A">
        <w:t>: Las reuniones de los Grupos de Trabajo se celebrarán íntegramente en inglés, sin interpretación.</w:t>
      </w:r>
    </w:p>
    <w:p w14:paraId="0778BBF4" w14:textId="77777777" w:rsidR="00325419" w:rsidRPr="0015554A" w:rsidRDefault="00325419" w:rsidP="00325419">
      <w:r w:rsidRPr="0015554A">
        <w:rPr>
          <w:b/>
          <w:bCs/>
        </w:rPr>
        <w:t>LAN INALÁMBRICA</w:t>
      </w:r>
      <w:r w:rsidRPr="0015554A">
        <w:t>: Los delegados disponen de instalaciones de red de área local inalámbrica en todas las salas de conferencias de la UIT. En el sitio web del UIT-T (</w:t>
      </w:r>
      <w:hyperlink r:id="rId23" w:history="1">
        <w:r w:rsidRPr="0015554A">
          <w:rPr>
            <w:rStyle w:val="Hyperlink"/>
          </w:rPr>
          <w:t>https://www.itu.int/en/general-secretariat/ICT-Services/Pages/default.aspx</w:t>
        </w:r>
      </w:hyperlink>
      <w:r w:rsidRPr="0015554A">
        <w:t>) e in situ encontrará más información al respecto.</w:t>
      </w:r>
    </w:p>
    <w:p w14:paraId="3DCF3CDC" w14:textId="77777777" w:rsidR="00325419" w:rsidRPr="0015554A" w:rsidRDefault="00325419" w:rsidP="00325419">
      <w:r w:rsidRPr="0015554A">
        <w:rPr>
          <w:b/>
          <w:bCs/>
        </w:rPr>
        <w:t>TAQUILLAS ELECTRÓNICAS</w:t>
      </w:r>
      <w:r w:rsidRPr="0015554A">
        <w:t>: Durante toda la reunión se pondrán a disposición taquillas electrónicas que podrán utilizarse con la tarjeta de identificación RFID del UIT-T. Las taquillas electrónicas están situadas en la planta baja y el primer subsuelo de la Torre de la UIT, así como en la planta baja del edificio Montbrillant.</w:t>
      </w:r>
    </w:p>
    <w:p w14:paraId="525E86C2" w14:textId="77777777" w:rsidR="00325419" w:rsidRPr="0015554A" w:rsidRDefault="00325419" w:rsidP="00325419">
      <w:r w:rsidRPr="0015554A">
        <w:rPr>
          <w:b/>
          <w:bCs/>
        </w:rPr>
        <w:t>IMPRESORAS</w:t>
      </w:r>
      <w:r w:rsidRPr="0015554A">
        <w:t xml:space="preserve">: </w:t>
      </w:r>
      <w:r>
        <w:t>Se han puesto a disposición impresoras</w:t>
      </w:r>
      <w:r w:rsidRPr="0015554A">
        <w:t xml:space="preserve"> en los salones de los delegados y en las proximidades de las </w:t>
      </w:r>
      <w:hyperlink r:id="rId24" w:history="1">
        <w:r w:rsidRPr="0015554A">
          <w:rPr>
            <w:rStyle w:val="Hyperlink"/>
          </w:rPr>
          <w:t>principales salas de reunión</w:t>
        </w:r>
      </w:hyperlink>
      <w:r w:rsidRPr="0015554A">
        <w:t xml:space="preserve">. Para no tener que instalar controladores en sus computadoras, los delegados podrán imprimir directamente los documentos enviándolos por correo electrónico a la impresora deseada. Más información en </w:t>
      </w:r>
      <w:hyperlink r:id="rId25" w:history="1">
        <w:r w:rsidRPr="0015554A">
          <w:rPr>
            <w:rStyle w:val="Hyperlink"/>
          </w:rPr>
          <w:t>https://itu.int/go/e-print</w:t>
        </w:r>
      </w:hyperlink>
      <w:r w:rsidRPr="0015554A">
        <w:t>.</w:t>
      </w:r>
    </w:p>
    <w:p w14:paraId="0F649B38" w14:textId="77777777" w:rsidR="00325419" w:rsidRPr="0015554A" w:rsidRDefault="00325419" w:rsidP="00325419">
      <w:r w:rsidRPr="0015554A">
        <w:rPr>
          <w:b/>
          <w:bCs/>
        </w:rPr>
        <w:t>PRÉSTAMO DE COMPUTADORAS PORTÁTILES</w:t>
      </w:r>
      <w:r w:rsidRPr="0015554A">
        <w:t>: El Servicio de Asistencia de la UIT (</w:t>
      </w:r>
      <w:hyperlink r:id="rId26" w:history="1">
        <w:r w:rsidRPr="0015554A">
          <w:rPr>
            <w:rStyle w:val="Hyperlink"/>
          </w:rPr>
          <w:t>servicedesk@itu.int</w:t>
        </w:r>
      </w:hyperlink>
      <w:r w:rsidRPr="0015554A">
        <w:t>) dispone de un número limitado de computadoras portátiles para los delegados y atiende a las solicitudes por orden de presentación.</w:t>
      </w:r>
    </w:p>
    <w:p w14:paraId="21A3658C" w14:textId="7635BF8F" w:rsidR="00325419" w:rsidRPr="0015554A" w:rsidRDefault="00325419" w:rsidP="00325419">
      <w:pPr>
        <w:rPr>
          <w:szCs w:val="22"/>
        </w:rPr>
      </w:pPr>
      <w:bookmarkStart w:id="2" w:name="lt_pId082"/>
      <w:r w:rsidRPr="0015554A">
        <w:rPr>
          <w:b/>
        </w:rPr>
        <w:t>PARTICIPACIÓN A DISTANCIA INTERACTIVA:</w:t>
      </w:r>
      <w:r w:rsidRPr="0015554A">
        <w:t xml:space="preserve"> Se utilizará la herramienta </w:t>
      </w:r>
      <w:hyperlink r:id="rId27" w:history="1">
        <w:r w:rsidRPr="0015554A">
          <w:rPr>
            <w:rStyle w:val="Hyperlink"/>
          </w:rPr>
          <w:t>MyMeetings</w:t>
        </w:r>
      </w:hyperlink>
      <w:r w:rsidRPr="0015554A">
        <w:t xml:space="preserve"> para facilitar la participación </w:t>
      </w:r>
      <w:r>
        <w:t>a distancia</w:t>
      </w:r>
      <w:r w:rsidRPr="0015554A">
        <w:t xml:space="preserve"> en todas las reuniones de los Grupos de Trabajo. Para poder acceder a distancia, los delegados habrán de inscribirse en la reunión que corresponda. Los participantes deben tener presente que, como es habitual en estos casos, la reunión no se retrasará ni se interrumpirá porque un participante a distancia no sea capaz de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15554A">
        <w:t>Se alienta a los participantes a utilizar el chat de la reunión para asegurar la gestión eficaz del tiempo durante las sesiones, a discreción del Presidente.</w:t>
      </w:r>
    </w:p>
    <w:p w14:paraId="147B7A2A" w14:textId="77777777" w:rsidR="00325419" w:rsidRPr="0015554A" w:rsidRDefault="00325419" w:rsidP="00325419">
      <w:pPr>
        <w:tabs>
          <w:tab w:val="clear" w:pos="794"/>
          <w:tab w:val="clear" w:pos="1191"/>
          <w:tab w:val="clear" w:pos="1588"/>
          <w:tab w:val="clear" w:pos="1985"/>
        </w:tabs>
        <w:spacing w:before="200" w:after="120"/>
        <w:ind w:right="91"/>
        <w:jc w:val="center"/>
        <w:rPr>
          <w:b/>
          <w:szCs w:val="22"/>
        </w:rPr>
      </w:pPr>
      <w:r w:rsidRPr="0015554A">
        <w:rPr>
          <w:b/>
          <w:bCs/>
        </w:rPr>
        <w:t>PREINSCRIPCIÓN, BECAS Y APOYO PARA LA OBTENCIÓN DEL VISADO</w:t>
      </w:r>
    </w:p>
    <w:p w14:paraId="600A499D" w14:textId="77777777" w:rsidR="00325419" w:rsidRPr="0015554A" w:rsidRDefault="00325419" w:rsidP="00325419">
      <w:pPr>
        <w:keepNext/>
        <w:keepLines/>
        <w:rPr>
          <w:szCs w:val="22"/>
        </w:rPr>
      </w:pPr>
      <w:r w:rsidRPr="0015554A">
        <w:rPr>
          <w:b/>
          <w:bCs/>
          <w:szCs w:val="22"/>
        </w:rPr>
        <w:t>PREINSCRIPCIÓN</w:t>
      </w:r>
      <w:r w:rsidRPr="0015554A">
        <w:rPr>
          <w:szCs w:val="22"/>
        </w:rPr>
        <w:t xml:space="preserve">: La preinscripción es obligatoria y ha de hacerse en línea a través de la página </w:t>
      </w:r>
      <w:r>
        <w:rPr>
          <w:szCs w:val="22"/>
        </w:rPr>
        <w:t>de inicio</w:t>
      </w:r>
      <w:r w:rsidRPr="0015554A">
        <w:rPr>
          <w:szCs w:val="22"/>
        </w:rPr>
        <w:t xml:space="preserve"> de la Comisión de Estudio </w:t>
      </w:r>
      <w:r w:rsidRPr="0015554A">
        <w:rPr>
          <w:b/>
          <w:szCs w:val="22"/>
        </w:rPr>
        <w:t>a más tardar un mes antes de la reunión</w:t>
      </w:r>
      <w:r w:rsidRPr="0015554A">
        <w:rPr>
          <w:bCs/>
          <w:szCs w:val="22"/>
        </w:rPr>
        <w:t xml:space="preserve">. Según lo indicado en la </w:t>
      </w:r>
      <w:hyperlink r:id="rId28" w:history="1">
        <w:r w:rsidRPr="0015554A">
          <w:rPr>
            <w:rStyle w:val="Hyperlink"/>
            <w:szCs w:val="22"/>
          </w:rPr>
          <w:t>Circular TSB 68</w:t>
        </w:r>
      </w:hyperlink>
      <w:r w:rsidRPr="0015554A">
        <w:rPr>
          <w:bCs/>
          <w:szCs w:val="22"/>
        </w:rPr>
        <w:t xml:space="preserve">, el sistema de inscripción del UIT-T requiere la aprobación del Coordinador para las solicitudes de inscripción; en la </w:t>
      </w:r>
      <w:hyperlink r:id="rId29" w:history="1">
        <w:r w:rsidRPr="0015554A">
          <w:rPr>
            <w:rStyle w:val="Hyperlink"/>
            <w:szCs w:val="22"/>
          </w:rPr>
          <w:t>Circular TSB 118</w:t>
        </w:r>
      </w:hyperlink>
      <w:r w:rsidRPr="0015554A">
        <w:rPr>
          <w:bCs/>
          <w:szCs w:val="22"/>
        </w:rPr>
        <w:t xml:space="preserve"> se detalla cómo configurar la aprobación automática de esas solicitudes. Algunas de las opciones </w:t>
      </w:r>
      <w:r>
        <w:rPr>
          <w:bCs/>
          <w:szCs w:val="22"/>
        </w:rPr>
        <w:t xml:space="preserve">que figuran </w:t>
      </w:r>
      <w:r w:rsidRPr="0015554A">
        <w:rPr>
          <w:bCs/>
          <w:szCs w:val="22"/>
        </w:rPr>
        <w:t>en el formulario de inscripción se aplican únicamente a los Estados Miembros, incluidas las funciones y las solicitudes de becas (electrónicas). S</w:t>
      </w:r>
      <w:r w:rsidRPr="0015554A">
        <w:rPr>
          <w:szCs w:val="22"/>
        </w:rPr>
        <w:t>e invita a los miembros a incluir mujeres en sus delegaciones siempre que sea posible.</w:t>
      </w:r>
    </w:p>
    <w:p w14:paraId="05B6FA42" w14:textId="77777777" w:rsidR="00325419" w:rsidRPr="0015554A" w:rsidRDefault="00325419" w:rsidP="00325419">
      <w:pPr>
        <w:rPr>
          <w:rFonts w:cstheme="minorHAnsi"/>
          <w:szCs w:val="22"/>
          <w:lang w:eastAsia="en-GB"/>
        </w:rPr>
      </w:pPr>
      <w:r w:rsidRPr="0015554A">
        <w:rPr>
          <w:b/>
          <w:szCs w:val="22"/>
        </w:rPr>
        <w:t>BECAS:</w:t>
      </w:r>
      <w:r w:rsidRPr="0015554A">
        <w:rPr>
          <w:szCs w:val="22"/>
        </w:rPr>
        <w:t xml:space="preserve"> Para facilitar la participación de los </w:t>
      </w:r>
      <w:hyperlink r:id="rId30" w:history="1">
        <w:r w:rsidRPr="0015554A">
          <w:rPr>
            <w:rStyle w:val="Hyperlink"/>
            <w:szCs w:val="22"/>
          </w:rPr>
          <w:t>países que cumplen los requisitos pertinentes</w:t>
        </w:r>
      </w:hyperlink>
      <w:r w:rsidRPr="0015554A">
        <w:rPr>
          <w:szCs w:val="22"/>
        </w:rPr>
        <w:t xml:space="preserve">, se ofrecen </w:t>
      </w:r>
      <w:r w:rsidRPr="0015554A">
        <w:rPr>
          <w:b/>
          <w:bCs/>
          <w:szCs w:val="22"/>
        </w:rPr>
        <w:t>dos tipos</w:t>
      </w:r>
      <w:r w:rsidRPr="0015554A">
        <w:rPr>
          <w:szCs w:val="22"/>
        </w:rPr>
        <w:t xml:space="preserve"> de becas para esta reunión, </w:t>
      </w:r>
      <w:r>
        <w:rPr>
          <w:szCs w:val="22"/>
        </w:rPr>
        <w:t xml:space="preserve">con arreglo a </w:t>
      </w:r>
      <w:r w:rsidRPr="0015554A">
        <w:rPr>
          <w:szCs w:val="22"/>
        </w:rPr>
        <w:t>los fondos disponibles:</w:t>
      </w:r>
    </w:p>
    <w:p w14:paraId="57AB70DE" w14:textId="7BDF2641" w:rsidR="00325419" w:rsidRPr="0015554A" w:rsidRDefault="00D65849" w:rsidP="00D65849">
      <w:pPr>
        <w:pStyle w:val="enumlev1"/>
      </w:pPr>
      <w:r>
        <w:t>•</w:t>
      </w:r>
      <w:r>
        <w:tab/>
      </w:r>
      <w:r w:rsidR="00325419" w:rsidRPr="00D65849">
        <w:rPr>
          <w:b/>
          <w:bCs/>
        </w:rPr>
        <w:t>becas presenciales parciales</w:t>
      </w:r>
      <w:r w:rsidR="00325419" w:rsidRPr="0015554A">
        <w:t>; y</w:t>
      </w:r>
    </w:p>
    <w:p w14:paraId="6715EC02" w14:textId="2A7288B2" w:rsidR="00325419" w:rsidRPr="0015554A" w:rsidRDefault="00D65849" w:rsidP="00D65849">
      <w:pPr>
        <w:pStyle w:val="enumlev1"/>
      </w:pPr>
      <w:r>
        <w:t>•</w:t>
      </w:r>
      <w:r>
        <w:tab/>
      </w:r>
      <w:r w:rsidR="00325419" w:rsidRPr="00D65849">
        <w:rPr>
          <w:b/>
          <w:bCs/>
        </w:rPr>
        <w:t>becas electrónicas</w:t>
      </w:r>
      <w:r w:rsidR="00325419" w:rsidRPr="0015554A">
        <w:t>.</w:t>
      </w:r>
    </w:p>
    <w:p w14:paraId="4F0BF021" w14:textId="77777777" w:rsidR="00325419" w:rsidRPr="0015554A" w:rsidRDefault="00325419" w:rsidP="00325419">
      <w:pPr>
        <w:rPr>
          <w:szCs w:val="22"/>
        </w:rPr>
      </w:pPr>
      <w:r w:rsidRPr="0015554A">
        <w:rPr>
          <w:szCs w:val="22"/>
        </w:rPr>
        <w:lastRenderedPageBreak/>
        <w:t>En el caso de las becas electrónicas, el reembolso corresponde al costo de la conexión mientras dure el evento. En el caso de las becas presenciales, podrán concederse hasta dos becas parciales por país, que cubr</w:t>
      </w:r>
      <w:r>
        <w:rPr>
          <w:szCs w:val="22"/>
        </w:rPr>
        <w:t>irá</w:t>
      </w:r>
      <w:r w:rsidRPr="0015554A">
        <w:rPr>
          <w:szCs w:val="22"/>
        </w:rPr>
        <w:t>n únicamente las dietas correspondientes (destinadas a</w:t>
      </w:r>
      <w:r>
        <w:rPr>
          <w:szCs w:val="22"/>
        </w:rPr>
        <w:t>l</w:t>
      </w:r>
      <w:r w:rsidRPr="0015554A">
        <w:rPr>
          <w:szCs w:val="22"/>
        </w:rPr>
        <w:t xml:space="preserve"> alojamiento, las comidas y los gastos imprevistos). La organización del solicitante deberá hacerse cargo de los gastos de participación restantes. </w:t>
      </w:r>
    </w:p>
    <w:p w14:paraId="1807EEF1" w14:textId="77777777" w:rsidR="00325419" w:rsidRPr="0015554A" w:rsidRDefault="00325419" w:rsidP="00325419">
      <w:pPr>
        <w:rPr>
          <w:szCs w:val="22"/>
        </w:rPr>
      </w:pPr>
      <w:r w:rsidRPr="0015554A">
        <w:rPr>
          <w:szCs w:val="22"/>
        </w:rPr>
        <w:t>En consonancia con la Resolución 213 (Dubái, 2018) de la Conferencia de Plenipotenciarios, se alienta a los miembros a que tengan en cuenta el equilibrio de género y la inclusión de personas con discapacidad y necesidades específicas en sus nominaciones. Los criterios aplicados para la concesión de becas son: el presupuesto disponible de la UIT; la participación activa, en particular la presentación de contribuciones pertinentes por escrito; la distribución equitativa entre países y regiones; las solicitudes de personas con discapacidad o con necesidades especiales; y el equilibrio de género.</w:t>
      </w:r>
    </w:p>
    <w:p w14:paraId="03665BEF" w14:textId="77777777" w:rsidR="00325419" w:rsidRPr="0015554A" w:rsidRDefault="00325419" w:rsidP="00325419">
      <w:pPr>
        <w:rPr>
          <w:b/>
          <w:bCs/>
          <w:szCs w:val="22"/>
        </w:rPr>
      </w:pPr>
      <w:r w:rsidRPr="0015554A">
        <w:rPr>
          <w:szCs w:val="22"/>
        </w:rPr>
        <w:t xml:space="preserve">Podrá encontrar los formularios de solicitud de ambos tipos de beca en la </w:t>
      </w:r>
      <w:hyperlink r:id="rId31" w:history="1">
        <w:r w:rsidRPr="0015554A">
          <w:rPr>
            <w:rStyle w:val="Hyperlink"/>
            <w:szCs w:val="22"/>
          </w:rPr>
          <w:t xml:space="preserve">página </w:t>
        </w:r>
        <w:r>
          <w:rPr>
            <w:rStyle w:val="Hyperlink"/>
            <w:szCs w:val="22"/>
          </w:rPr>
          <w:t>de inicio</w:t>
        </w:r>
        <w:r w:rsidRPr="0015554A">
          <w:rPr>
            <w:rStyle w:val="Hyperlink"/>
            <w:szCs w:val="22"/>
          </w:rPr>
          <w:t xml:space="preserve"> de la Comisión de Estudio</w:t>
        </w:r>
      </w:hyperlink>
      <w:r w:rsidRPr="0015554A">
        <w:rPr>
          <w:szCs w:val="22"/>
        </w:rPr>
        <w:t xml:space="preserve">. </w:t>
      </w:r>
      <w:r w:rsidRPr="0015554A">
        <w:rPr>
          <w:b/>
          <w:bCs/>
          <w:szCs w:val="22"/>
        </w:rPr>
        <w:t xml:space="preserve">Las solicitudes de beca deberán enviarse a más tardar el 14 de junio de 2023, </w:t>
      </w:r>
      <w:r w:rsidRPr="0015554A">
        <w:rPr>
          <w:szCs w:val="22"/>
        </w:rPr>
        <w:t xml:space="preserve">ya sea por correo electrónico </w:t>
      </w:r>
      <w:r>
        <w:rPr>
          <w:szCs w:val="22"/>
        </w:rPr>
        <w:t>(</w:t>
      </w:r>
      <w:hyperlink r:id="rId32" w:history="1">
        <w:r w:rsidRPr="0015554A">
          <w:rPr>
            <w:rStyle w:val="Hyperlink"/>
            <w:szCs w:val="22"/>
          </w:rPr>
          <w:t>fellowships@itu.int</w:t>
        </w:r>
      </w:hyperlink>
      <w:r>
        <w:rPr>
          <w:szCs w:val="22"/>
        </w:rPr>
        <w:t xml:space="preserve">) </w:t>
      </w:r>
      <w:r w:rsidRPr="0015554A">
        <w:rPr>
          <w:szCs w:val="22"/>
        </w:rPr>
        <w:t xml:space="preserve">o por fax </w:t>
      </w:r>
      <w:r>
        <w:rPr>
          <w:szCs w:val="22"/>
        </w:rPr>
        <w:t>(</w:t>
      </w:r>
      <w:r w:rsidRPr="0015554A">
        <w:rPr>
          <w:szCs w:val="22"/>
        </w:rPr>
        <w:t>+41 22 730 57 78</w:t>
      </w:r>
      <w:r>
        <w:rPr>
          <w:szCs w:val="22"/>
        </w:rPr>
        <w:t>)</w:t>
      </w:r>
      <w:r w:rsidRPr="0015554A">
        <w:rPr>
          <w:szCs w:val="22"/>
        </w:rPr>
        <w:t xml:space="preserve">. </w:t>
      </w:r>
      <w:r w:rsidRPr="0015554A">
        <w:rPr>
          <w:b/>
          <w:bCs/>
          <w:szCs w:val="22"/>
        </w:rPr>
        <w:t>Los interesados deberán inscribirse (y recibir la aprobación del coordinador) antes de presentar la solicitud de beca</w:t>
      </w:r>
      <w:r w:rsidRPr="0015554A">
        <w:rPr>
          <w:szCs w:val="22"/>
        </w:rPr>
        <w:t xml:space="preserve"> y se les recomienda encarecidamente que se inscriban en el evento e inicien el proceso de solicitud al menos siete semanas antes de la reunión.</w:t>
      </w:r>
    </w:p>
    <w:p w14:paraId="08E1A523" w14:textId="77777777" w:rsidR="00325419" w:rsidRPr="0015554A" w:rsidRDefault="00325419" w:rsidP="00325419">
      <w:pPr>
        <w:rPr>
          <w:bCs/>
          <w:szCs w:val="22"/>
        </w:rPr>
      </w:pPr>
      <w:r w:rsidRPr="0015554A">
        <w:rPr>
          <w:b/>
          <w:szCs w:val="22"/>
        </w:rPr>
        <w:t>AYUDA PARA LA SOLICITUD DE VISADOS:</w:t>
      </w:r>
      <w:r w:rsidRPr="0015554A">
        <w:rPr>
          <w:szCs w:val="22"/>
        </w:rPr>
        <w:t xml:space="preserve"> En caso necesario, los visados deben solicitarse antes de la fecha de llegada a Suiza en la embajada o el consulado que representa a Suiza en su país o, en su defecto, en la oficina más próxima a su país de partida.</w:t>
      </w:r>
      <w:r w:rsidRPr="0015554A">
        <w:t xml:space="preserve"> </w:t>
      </w:r>
      <w:r w:rsidRPr="0015554A">
        <w:rPr>
          <w:szCs w:val="22"/>
        </w:rPr>
        <w:t>Habida cuenta de que los plazos aplicables pueden variar, se recomienda consultar directamente a la representación competente y presentar la solicitud con antelación.</w:t>
      </w:r>
    </w:p>
    <w:p w14:paraId="5388E3DD" w14:textId="06F2E4FE" w:rsidR="00325419" w:rsidRPr="0015554A" w:rsidRDefault="00325419" w:rsidP="00325419">
      <w:pPr>
        <w:spacing w:before="60"/>
        <w:rPr>
          <w:bCs/>
          <w:szCs w:val="22"/>
        </w:rPr>
      </w:pPr>
      <w:r w:rsidRPr="0015554A">
        <w:rPr>
          <w:bCs/>
          <w:szCs w:val="22"/>
        </w:rPr>
        <w:t xml:space="preserve">Si surgen problemas, la Unión puede, previa solicitud oficial de la administración o la entidad que usted representa, intervenir ante las autoridades suizas competentes para facilitar la expedición de ese </w:t>
      </w:r>
      <w:r w:rsidRPr="0015554A">
        <w:t xml:space="preserve">visado. Una vez que el coordinador de inscripciones de su organización haya aprobado su inscripción, </w:t>
      </w:r>
      <w:r>
        <w:t xml:space="preserve">suelen </w:t>
      </w:r>
      <w:r w:rsidRPr="0015554A">
        <w:t>transcurr</w:t>
      </w:r>
      <w:r>
        <w:t>ir</w:t>
      </w:r>
      <w:r w:rsidRPr="0015554A">
        <w:t xml:space="preserve"> unos 15 días antes de la emisión de la carta de apoyo a la obtención del visado. Las solicitudes deben formularse marcando la casilla correspondiente en el formulario de inscripción </w:t>
      </w:r>
      <w:r w:rsidRPr="0015554A">
        <w:rPr>
          <w:b/>
          <w:bCs/>
        </w:rPr>
        <w:t>a más tardar un mes antes de la reunión.</w:t>
      </w:r>
      <w:r w:rsidRPr="0015554A">
        <w:t xml:space="preserve"> Las solicitudes de información deben enviarse a la Sección de Viajes de la UIT (</w:t>
      </w:r>
      <w:hyperlink r:id="rId33" w:history="1">
        <w:r w:rsidRPr="0015554A">
          <w:rPr>
            <w:rStyle w:val="Hyperlink"/>
          </w:rPr>
          <w:t>travel@itu.int</w:t>
        </w:r>
      </w:hyperlink>
      <w:r w:rsidRPr="0015554A">
        <w:t>), con la mención "</w:t>
      </w:r>
      <w:r w:rsidRPr="0015554A">
        <w:rPr>
          <w:b/>
          <w:bCs/>
        </w:rPr>
        <w:t>apoyo para la obtención de visado</w:t>
      </w:r>
      <w:r w:rsidRPr="0015554A">
        <w:t>".</w:t>
      </w:r>
    </w:p>
    <w:p w14:paraId="459A7F4F" w14:textId="77777777" w:rsidR="00325419" w:rsidRPr="0015554A" w:rsidRDefault="00325419" w:rsidP="00325419">
      <w:pPr>
        <w:spacing w:before="60"/>
        <w:rPr>
          <w:bCs/>
          <w:szCs w:val="22"/>
        </w:rPr>
      </w:pPr>
    </w:p>
    <w:p w14:paraId="5312D45D" w14:textId="77777777" w:rsidR="00325419" w:rsidRPr="0015554A" w:rsidRDefault="00325419" w:rsidP="00325419">
      <w:pPr>
        <w:spacing w:before="240" w:after="280"/>
        <w:jc w:val="center"/>
        <w:rPr>
          <w:b/>
          <w:bCs/>
        </w:rPr>
      </w:pPr>
      <w:r w:rsidRPr="0015554A">
        <w:rPr>
          <w:b/>
          <w:bCs/>
        </w:rPr>
        <w:t>VISITAS A GINEBRA: HOTELES, TRANSPORTE PÚBLICO</w:t>
      </w:r>
    </w:p>
    <w:p w14:paraId="1469C563" w14:textId="77777777" w:rsidR="00325419" w:rsidRPr="0015554A" w:rsidRDefault="00325419" w:rsidP="00325419">
      <w:pPr>
        <w:pStyle w:val="Normalaftertitle"/>
      </w:pPr>
      <w:r w:rsidRPr="0015554A">
        <w:rPr>
          <w:b/>
          <w:bCs/>
        </w:rPr>
        <w:t>VISITAS A GINEBRA</w:t>
      </w:r>
      <w:r w:rsidRPr="0015554A">
        <w:t xml:space="preserve">: Los delegados que asistan a reuniones de la UIT en Ginebra pueden encontrar información práctica en: </w:t>
      </w:r>
      <w:hyperlink r:id="rId34">
        <w:r w:rsidRPr="0015554A">
          <w:rPr>
            <w:rStyle w:val="Hyperlink"/>
          </w:rPr>
          <w:t>https://itu.int/en/delegates-corner</w:t>
        </w:r>
      </w:hyperlink>
      <w:r w:rsidRPr="0015554A">
        <w:t>.</w:t>
      </w:r>
    </w:p>
    <w:p w14:paraId="38C61306" w14:textId="77777777" w:rsidR="00325419" w:rsidRPr="0015554A" w:rsidRDefault="00325419" w:rsidP="00325419">
      <w:r w:rsidRPr="0015554A">
        <w:rPr>
          <w:b/>
          <w:bCs/>
        </w:rPr>
        <w:t>DESCUENTOS PARA HOTELES</w:t>
      </w:r>
      <w:r w:rsidRPr="0015554A">
        <w:t xml:space="preserve">: Varios hoteles de Ginebra ofrecen precios especiales a los delegados que asisten a reuniones de la UIT y regalan un abono gratuito para los transportes públicos de la ciudad. Puede consultar una lista de esos hoteles e información sobre cómo solicitar los descuentos en la dirección: </w:t>
      </w:r>
      <w:hyperlink r:id="rId35" w:history="1">
        <w:r w:rsidRPr="0015554A">
          <w:rPr>
            <w:rStyle w:val="Hyperlink"/>
            <w:szCs w:val="22"/>
          </w:rPr>
          <w:t>https://itu.int/travel/</w:t>
        </w:r>
      </w:hyperlink>
      <w:r w:rsidRPr="0015554A">
        <w:t>.</w:t>
      </w:r>
    </w:p>
    <w:p w14:paraId="21D49F87" w14:textId="77777777" w:rsidR="00325419" w:rsidRPr="0015554A" w:rsidRDefault="00325419" w:rsidP="00325419">
      <w:pPr>
        <w:pStyle w:val="Normalaftertitle"/>
        <w:spacing w:before="120"/>
        <w:rPr>
          <w:b/>
          <w:bCs/>
          <w:szCs w:val="22"/>
        </w:rPr>
      </w:pPr>
      <w:r w:rsidRPr="0015554A">
        <w:br w:type="page"/>
      </w:r>
    </w:p>
    <w:p w14:paraId="4B580409" w14:textId="77777777" w:rsidR="00D65849" w:rsidRPr="00991C1A" w:rsidRDefault="00D65849" w:rsidP="00D65849">
      <w:pPr>
        <w:pStyle w:val="AnnexNo"/>
        <w:spacing w:before="240"/>
        <w:rPr>
          <w:lang w:val="en-US"/>
        </w:rPr>
      </w:pPr>
      <w:r w:rsidRPr="00991C1A">
        <w:rPr>
          <w:lang w:val="en-US"/>
        </w:rPr>
        <w:lastRenderedPageBreak/>
        <w:t>Annex B</w:t>
      </w:r>
    </w:p>
    <w:p w14:paraId="0A9FB1FA" w14:textId="77777777" w:rsidR="00D65849" w:rsidRPr="00991C1A" w:rsidRDefault="00D65849" w:rsidP="00D65849">
      <w:pPr>
        <w:pStyle w:val="AnnexNo"/>
        <w:spacing w:before="240"/>
        <w:rPr>
          <w:b/>
          <w:lang w:val="en-US"/>
        </w:rPr>
      </w:pPr>
      <w:r w:rsidRPr="00991C1A">
        <w:rPr>
          <w:b/>
          <w:lang w:val="en-US"/>
        </w:rPr>
        <w:t>Meetings of Working Parties 1/13, 2/13 and 3/13</w:t>
      </w:r>
      <w:r w:rsidRPr="00991C1A">
        <w:rPr>
          <w:b/>
          <w:lang w:val="en-US"/>
        </w:rPr>
        <w:br/>
        <w:t>Geneva, 26 July 2023</w:t>
      </w:r>
    </w:p>
    <w:p w14:paraId="2B7B7C18" w14:textId="77777777" w:rsidR="00D65849" w:rsidRPr="00991C1A" w:rsidRDefault="00D65849" w:rsidP="00D65849">
      <w:pPr>
        <w:spacing w:before="240"/>
        <w:jc w:val="center"/>
        <w:rPr>
          <w:sz w:val="28"/>
          <w:lang w:val="en-US"/>
        </w:rPr>
      </w:pPr>
      <w:r w:rsidRPr="00991C1A">
        <w:rPr>
          <w:sz w:val="28"/>
          <w:lang w:val="en-US"/>
        </w:rPr>
        <w:t>Draft agenda</w:t>
      </w:r>
    </w:p>
    <w:p w14:paraId="3B546801" w14:textId="77777777" w:rsidR="00D65849" w:rsidRPr="00991C1A" w:rsidRDefault="00D65849" w:rsidP="00D65849">
      <w:pPr>
        <w:pStyle w:val="enumlev1"/>
        <w:spacing w:before="360"/>
        <w:rPr>
          <w:lang w:val="en-US"/>
        </w:rPr>
      </w:pPr>
      <w:r w:rsidRPr="00991C1A">
        <w:rPr>
          <w:lang w:val="en-US"/>
        </w:rPr>
        <w:t>1</w:t>
      </w:r>
      <w:r w:rsidRPr="00991C1A">
        <w:rPr>
          <w:lang w:val="en-US"/>
        </w:rPr>
        <w:tab/>
        <w:t>Opening remarks and welcome</w:t>
      </w:r>
    </w:p>
    <w:p w14:paraId="3026CC8D" w14:textId="77777777" w:rsidR="00D65849" w:rsidRPr="00991C1A" w:rsidRDefault="00D65849" w:rsidP="00D65849">
      <w:pPr>
        <w:pStyle w:val="enumlev1"/>
        <w:rPr>
          <w:lang w:val="en-US"/>
        </w:rPr>
      </w:pPr>
      <w:r w:rsidRPr="00991C1A">
        <w:rPr>
          <w:lang w:val="en-US"/>
        </w:rPr>
        <w:t>2</w:t>
      </w:r>
      <w:r w:rsidRPr="00991C1A">
        <w:rPr>
          <w:lang w:val="en-US"/>
        </w:rPr>
        <w:tab/>
        <w:t>Approval of the agenda for the plenary meetings of Working Parties 1, 2 and 3/13</w:t>
      </w:r>
    </w:p>
    <w:p w14:paraId="5B81FD0F" w14:textId="77777777" w:rsidR="00D65849" w:rsidRPr="00991C1A" w:rsidRDefault="00D65849" w:rsidP="00D65849">
      <w:pPr>
        <w:pStyle w:val="enumlev1"/>
        <w:rPr>
          <w:lang w:val="en-US"/>
        </w:rPr>
      </w:pPr>
      <w:r w:rsidRPr="00991C1A">
        <w:rPr>
          <w:lang w:val="en-US"/>
        </w:rPr>
        <w:t>3</w:t>
      </w:r>
      <w:r w:rsidRPr="00991C1A">
        <w:rPr>
          <w:lang w:val="en-US"/>
        </w:rPr>
        <w:tab/>
        <w:t>Review the results of Rapporteur Group meetings (May – July 2023)</w:t>
      </w:r>
    </w:p>
    <w:p w14:paraId="24D61F5D" w14:textId="77777777" w:rsidR="00D65849" w:rsidRPr="00991C1A" w:rsidRDefault="00D65849" w:rsidP="00D65849">
      <w:pPr>
        <w:pStyle w:val="enumlev1"/>
        <w:rPr>
          <w:lang w:val="en-US"/>
        </w:rPr>
      </w:pPr>
      <w:r w:rsidRPr="00991C1A">
        <w:rPr>
          <w:lang w:val="en-US"/>
        </w:rPr>
        <w:t>4</w:t>
      </w:r>
      <w:r w:rsidRPr="00991C1A">
        <w:rPr>
          <w:lang w:val="en-US"/>
        </w:rPr>
        <w:tab/>
        <w:t xml:space="preserve">Consent of draft Recommendations </w:t>
      </w:r>
    </w:p>
    <w:p w14:paraId="457DF060" w14:textId="77777777" w:rsidR="00D65849" w:rsidRPr="00991C1A" w:rsidRDefault="00D65849" w:rsidP="00D65849">
      <w:pPr>
        <w:pStyle w:val="enumlev1"/>
        <w:rPr>
          <w:lang w:val="en-US"/>
        </w:rPr>
      </w:pPr>
      <w:r w:rsidRPr="00991C1A">
        <w:rPr>
          <w:lang w:val="en-US"/>
        </w:rPr>
        <w:t>5</w:t>
      </w:r>
      <w:r w:rsidRPr="00991C1A">
        <w:rPr>
          <w:lang w:val="en-US"/>
        </w:rPr>
        <w:tab/>
        <w:t>Approval of Outgoing Liaison Statements</w:t>
      </w:r>
    </w:p>
    <w:p w14:paraId="0B7B788E" w14:textId="77777777" w:rsidR="00D65849" w:rsidRPr="00991C1A" w:rsidRDefault="00D65849" w:rsidP="00D65849">
      <w:pPr>
        <w:pStyle w:val="enumlev1"/>
        <w:rPr>
          <w:lang w:val="en-US"/>
        </w:rPr>
      </w:pPr>
      <w:r w:rsidRPr="00991C1A">
        <w:rPr>
          <w:lang w:val="en-US"/>
        </w:rPr>
        <w:t>6</w:t>
      </w:r>
      <w:r w:rsidRPr="00991C1A">
        <w:rPr>
          <w:lang w:val="en-US"/>
        </w:rPr>
        <w:tab/>
        <w:t>Agreement on future activities</w:t>
      </w:r>
    </w:p>
    <w:p w14:paraId="1ACCA5B9" w14:textId="77777777" w:rsidR="00D65849" w:rsidRPr="00991C1A" w:rsidRDefault="00D65849" w:rsidP="00D65849">
      <w:pPr>
        <w:pStyle w:val="enumlev1"/>
        <w:rPr>
          <w:lang w:val="en-US"/>
        </w:rPr>
      </w:pPr>
      <w:r w:rsidRPr="00991C1A">
        <w:rPr>
          <w:lang w:val="en-US"/>
        </w:rPr>
        <w:t>7</w:t>
      </w:r>
      <w:r w:rsidRPr="00991C1A">
        <w:rPr>
          <w:lang w:val="en-US"/>
        </w:rPr>
        <w:tab/>
        <w:t>(Time permitting) Agreement on new work items</w:t>
      </w:r>
    </w:p>
    <w:p w14:paraId="37FE5E48" w14:textId="77777777" w:rsidR="00D65849" w:rsidRPr="00991C1A" w:rsidRDefault="00D65849" w:rsidP="00D65849">
      <w:pPr>
        <w:pStyle w:val="enumlev1"/>
        <w:rPr>
          <w:lang w:val="en-US"/>
        </w:rPr>
      </w:pPr>
      <w:r w:rsidRPr="00991C1A">
        <w:rPr>
          <w:lang w:val="en-US"/>
        </w:rPr>
        <w:t>8</w:t>
      </w:r>
      <w:r w:rsidRPr="00991C1A">
        <w:rPr>
          <w:lang w:val="en-US"/>
        </w:rPr>
        <w:tab/>
        <w:t>Divers</w:t>
      </w:r>
    </w:p>
    <w:p w14:paraId="3473D336" w14:textId="77777777" w:rsidR="00D65849" w:rsidRDefault="00D65849" w:rsidP="00D65849">
      <w:pPr>
        <w:rPr>
          <w:lang w:val="en-US"/>
        </w:rPr>
      </w:pPr>
      <w:r w:rsidRPr="00991C1A">
        <w:rPr>
          <w:lang w:val="en-US"/>
        </w:rPr>
        <w:t>9</w:t>
      </w:r>
      <w:r w:rsidRPr="00991C1A">
        <w:rPr>
          <w:lang w:val="en-US"/>
        </w:rPr>
        <w:tab/>
        <w:t>Closure of the meeting</w:t>
      </w:r>
    </w:p>
    <w:p w14:paraId="74615866" w14:textId="77777777" w:rsidR="00D65849" w:rsidRDefault="00D65849" w:rsidP="00D65849">
      <w:pPr>
        <w:rPr>
          <w:lang w:val="en-US"/>
        </w:rPr>
      </w:pPr>
    </w:p>
    <w:p w14:paraId="217F02F4" w14:textId="77777777" w:rsidR="00D65849" w:rsidRDefault="00D65849">
      <w:pPr>
        <w:jc w:val="center"/>
      </w:pPr>
      <w:r>
        <w:t>______________</w:t>
      </w:r>
    </w:p>
    <w:sectPr w:rsidR="00D65849" w:rsidSect="002545AA">
      <w:headerReference w:type="even" r:id="rId36"/>
      <w:headerReference w:type="default" r:id="rId37"/>
      <w:footerReference w:type="first" r:id="rId3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5CCE" w14:textId="77777777" w:rsidR="00325419" w:rsidRDefault="00325419">
      <w:r>
        <w:separator/>
      </w:r>
    </w:p>
  </w:endnote>
  <w:endnote w:type="continuationSeparator" w:id="0">
    <w:p w14:paraId="4774F9B9" w14:textId="77777777" w:rsidR="00325419" w:rsidRDefault="0032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3479"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C576" w14:textId="77777777" w:rsidR="00325419" w:rsidRDefault="00325419">
      <w:r>
        <w:t>____________________</w:t>
      </w:r>
    </w:p>
  </w:footnote>
  <w:footnote w:type="continuationSeparator" w:id="0">
    <w:p w14:paraId="09025F85" w14:textId="77777777" w:rsidR="00325419" w:rsidRDefault="0032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3C58E563" w14:textId="1B7A6349"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25419">
          <w:rPr>
            <w:bCs/>
            <w:sz w:val="18"/>
            <w:szCs w:val="18"/>
          </w:rPr>
          <w:t>5</w:t>
        </w:r>
        <w:r w:rsidRPr="001A50AB">
          <w:rPr>
            <w:bCs/>
            <w:sz w:val="18"/>
            <w:szCs w:val="18"/>
          </w:rPr>
          <w:t>/</w:t>
        </w:r>
        <w:r w:rsidR="00325419">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6AEC34B7" w14:textId="520C2FCA"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65849">
          <w:rPr>
            <w:bCs/>
            <w:sz w:val="18"/>
            <w:szCs w:val="18"/>
          </w:rPr>
          <w:t>5</w:t>
        </w:r>
        <w:r w:rsidRPr="001A50AB">
          <w:rPr>
            <w:bCs/>
            <w:sz w:val="18"/>
            <w:szCs w:val="18"/>
          </w:rPr>
          <w:t>/</w:t>
        </w:r>
        <w:r w:rsidR="00D65849">
          <w:rPr>
            <w:bCs/>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8C5835"/>
    <w:multiLevelType w:val="multilevel"/>
    <w:tmpl w:val="4DC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771901648">
    <w:abstractNumId w:val="1"/>
  </w:num>
  <w:num w:numId="2" w16cid:durableId="2050765834">
    <w:abstractNumId w:val="8"/>
  </w:num>
  <w:num w:numId="3" w16cid:durableId="1449202495">
    <w:abstractNumId w:val="6"/>
  </w:num>
  <w:num w:numId="4" w16cid:durableId="189414850">
    <w:abstractNumId w:val="3"/>
  </w:num>
  <w:num w:numId="5" w16cid:durableId="1508911027">
    <w:abstractNumId w:val="4"/>
  </w:num>
  <w:num w:numId="6" w16cid:durableId="1465582620">
    <w:abstractNumId w:val="5"/>
  </w:num>
  <w:num w:numId="7" w16cid:durableId="1573195636">
    <w:abstractNumId w:val="2"/>
  </w:num>
  <w:num w:numId="8" w16cid:durableId="144395083">
    <w:abstractNumId w:val="0"/>
  </w:num>
  <w:num w:numId="9" w16cid:durableId="1636250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5419"/>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C3582"/>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C070E"/>
    <w:rsid w:val="009D3E5C"/>
    <w:rsid w:val="009D4C42"/>
    <w:rsid w:val="009F0942"/>
    <w:rsid w:val="00A119A2"/>
    <w:rsid w:val="00A41330"/>
    <w:rsid w:val="00A42718"/>
    <w:rsid w:val="00A54E47"/>
    <w:rsid w:val="00A6120F"/>
    <w:rsid w:val="00A85283"/>
    <w:rsid w:val="00AA30D4"/>
    <w:rsid w:val="00AD1512"/>
    <w:rsid w:val="00AD40FA"/>
    <w:rsid w:val="00AE7093"/>
    <w:rsid w:val="00AF276D"/>
    <w:rsid w:val="00B00CEC"/>
    <w:rsid w:val="00B07A99"/>
    <w:rsid w:val="00B17920"/>
    <w:rsid w:val="00B321C3"/>
    <w:rsid w:val="00B422BC"/>
    <w:rsid w:val="00B43F77"/>
    <w:rsid w:val="00B44D9D"/>
    <w:rsid w:val="00B55EBC"/>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731C8"/>
    <w:rsid w:val="00CB3300"/>
    <w:rsid w:val="00CC1DE4"/>
    <w:rsid w:val="00CD4AE3"/>
    <w:rsid w:val="00D027A3"/>
    <w:rsid w:val="00D119EC"/>
    <w:rsid w:val="00D65849"/>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E8386"/>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하이퍼링크21,CEO_Hyperlink,超??级链Ú,fL????,fL?级,超??级链,超?级链Ú,’´?级链,’´????,’´??级链Ú,’´??级,超链接1,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link w:val="ListParagraphChar"/>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325419"/>
    <w:rPr>
      <w:color w:val="605E5C"/>
      <w:shd w:val="clear" w:color="auto" w:fill="E1DFDD"/>
    </w:rPr>
  </w:style>
  <w:style w:type="character" w:customStyle="1" w:styleId="ListParagraphChar">
    <w:name w:val="List Paragraph Char"/>
    <w:basedOn w:val="DefaultParagraphFont"/>
    <w:link w:val="ListParagraph"/>
    <w:uiPriority w:val="34"/>
    <w:qFormat/>
    <w:locked/>
    <w:rsid w:val="00325419"/>
    <w:rPr>
      <w:rFonts w:asciiTheme="minorHAnsi" w:hAnsiTheme="minorHAnsi"/>
      <w:sz w:val="22"/>
      <w:lang w:val="es-ES_tradnl" w:eastAsia="en-US"/>
    </w:rPr>
  </w:style>
  <w:style w:type="table" w:customStyle="1" w:styleId="TableGrid1">
    <w:name w:val="Table Grid1"/>
    <w:basedOn w:val="TableNormal"/>
    <w:next w:val="TableGrid"/>
    <w:rsid w:val="0032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fontTable" Target="fontTable.xml"/><Relationship Id="rId21" Type="http://schemas.openxmlformats.org/officeDocument/2006/relationships/hyperlink" Target="https://www.itu.int/en/ITU-T/studygroups/Pages/templates.aspx" TargetMode="External"/><Relationship Id="rId34" Type="http://schemas.openxmlformats.org/officeDocument/2006/relationships/hyperlink" Target="https://itu.int/en/delegates-corner"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www.itu.int/net/ITU-T/ddp/" TargetMode="External"/><Relationship Id="rId25" Type="http://schemas.openxmlformats.org/officeDocument/2006/relationships/hyperlink" Target="http://itu.int/go/e-printhttps://itu.int/go/e-print" TargetMode="External"/><Relationship Id="rId33" Type="http://schemas.openxmlformats.org/officeDocument/2006/relationships/hyperlink" Target="mailto:travel@itu.i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studygroups/2022-2024/13/Pages/default.aspx" TargetMode="External"/><Relationship Id="rId20" Type="http://schemas.openxmlformats.org/officeDocument/2006/relationships/hyperlink" Target="http://itu.int/net/ITU-T/ddp/" TargetMode="External"/><Relationship Id="rId29" Type="http://schemas.openxmlformats.org/officeDocument/2006/relationships/hyperlink" Target="https://www.itu.int/md/meetingdoc.asp?lang=en&amp;parent=T17-TSB-CIR-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fellowships@itu.in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studygroups/2022-2024/13/Pages/default.aspx" TargetMode="External"/><Relationship Id="rId23" Type="http://schemas.openxmlformats.org/officeDocument/2006/relationships/hyperlink" Target="https://www.itu.int/en/general-secretariat/ICT-Services/Pages/default.aspx" TargetMode="External"/><Relationship Id="rId28" Type="http://schemas.openxmlformats.org/officeDocument/2006/relationships/hyperlink" Target="https://www.itu.int/md/meetingdoc.asp?lang=en&amp;parent=T17-TSB-CIR-0068" TargetMode="External"/><Relationship Id="rId36" Type="http://schemas.openxmlformats.org/officeDocument/2006/relationships/header" Target="header1.xml"/><Relationship Id="rId10" Type="http://schemas.openxmlformats.org/officeDocument/2006/relationships/hyperlink" Target="https://itu.int/go/tsg13" TargetMode="External"/><Relationship Id="rId19" Type="http://schemas.openxmlformats.org/officeDocument/2006/relationships/image" Target="media/image3.png"/><Relationship Id="rId31" Type="http://schemas.openxmlformats.org/officeDocument/2006/relationships/hyperlink" Target="https://www.itu.int/en/ITU-T/studygroups/2022-2024/13/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net/ITU-T/ddp/"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hyperlink" Target="https://www.itu.int/en/fellowships/Documents/2022/ListEligibleCountries2022.pdf" TargetMode="External"/><Relationship Id="rId35" Type="http://schemas.openxmlformats.org/officeDocument/2006/relationships/hyperlink" Target="https://itu.int/travel/"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2012</Words>
  <Characters>12508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14492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2023-06-01T09:24:00Z</cp:lastPrinted>
  <dcterms:created xsi:type="dcterms:W3CDTF">2023-05-30T07:45:00Z</dcterms:created>
  <dcterms:modified xsi:type="dcterms:W3CDTF">2023-06-01T09:24:00Z</dcterms:modified>
</cp:coreProperties>
</file>