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14:paraId="5FCB831A" w14:textId="77777777" w:rsidTr="00427EA6">
        <w:trPr>
          <w:cantSplit/>
        </w:trPr>
        <w:tc>
          <w:tcPr>
            <w:tcW w:w="1418" w:type="dxa"/>
            <w:vAlign w:val="center"/>
          </w:tcPr>
          <w:p w14:paraId="7D2F8655" w14:textId="77777777" w:rsidR="00427EA6" w:rsidRPr="00697BC1" w:rsidRDefault="00CD4AE3" w:rsidP="00427EA6">
            <w:pPr>
              <w:tabs>
                <w:tab w:val="right" w:pos="8732"/>
              </w:tabs>
              <w:spacing w:before="0"/>
              <w:rPr>
                <w:b/>
                <w:bCs/>
                <w:iCs/>
                <w:color w:val="FFFFFF"/>
                <w:sz w:val="30"/>
                <w:szCs w:val="30"/>
              </w:rPr>
            </w:pPr>
            <w:r w:rsidRPr="00F1238A">
              <w:rPr>
                <w:noProof/>
                <w:lang w:val="en-US"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14:paraId="1F45BB59" w14:textId="77777777"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5130FFA0" w14:textId="77777777" w:rsidR="00427EA6" w:rsidRPr="00697BC1" w:rsidRDefault="00427EA6" w:rsidP="00427EA6">
            <w:pPr>
              <w:spacing w:before="0"/>
              <w:jc w:val="right"/>
              <w:rPr>
                <w:color w:val="FFFFFF"/>
                <w:sz w:val="26"/>
                <w:szCs w:val="26"/>
              </w:rPr>
            </w:pPr>
          </w:p>
        </w:tc>
      </w:tr>
    </w:tbl>
    <w:p w14:paraId="1D715E74" w14:textId="77777777" w:rsidR="002545AA" w:rsidRPr="00E35001" w:rsidRDefault="002545AA" w:rsidP="002545AA">
      <w:pPr>
        <w:spacing w:before="0" w:after="240"/>
      </w:pPr>
    </w:p>
    <w:tbl>
      <w:tblPr>
        <w:tblW w:w="9639" w:type="dxa"/>
        <w:tblInd w:w="8" w:type="dxa"/>
        <w:tblLayout w:type="fixed"/>
        <w:tblLook w:val="0000" w:firstRow="0" w:lastRow="0" w:firstColumn="0" w:lastColumn="0" w:noHBand="0" w:noVBand="0"/>
      </w:tblPr>
      <w:tblGrid>
        <w:gridCol w:w="1126"/>
        <w:gridCol w:w="3751"/>
        <w:gridCol w:w="4762"/>
      </w:tblGrid>
      <w:tr w:rsidR="002545AA" w:rsidRPr="00E35001" w14:paraId="5BAED284" w14:textId="77777777" w:rsidTr="00824915">
        <w:trPr>
          <w:cantSplit/>
        </w:trPr>
        <w:tc>
          <w:tcPr>
            <w:tcW w:w="1126" w:type="dxa"/>
          </w:tcPr>
          <w:p w14:paraId="21415219" w14:textId="77777777" w:rsidR="002545AA" w:rsidRPr="00E35001" w:rsidRDefault="002545AA" w:rsidP="00824915">
            <w:pPr>
              <w:spacing w:after="120"/>
            </w:pPr>
          </w:p>
        </w:tc>
        <w:tc>
          <w:tcPr>
            <w:tcW w:w="3751" w:type="dxa"/>
          </w:tcPr>
          <w:p w14:paraId="61F74745" w14:textId="77777777" w:rsidR="002545AA" w:rsidRPr="00E35001" w:rsidRDefault="002545AA" w:rsidP="00824915">
            <w:pPr>
              <w:rPr>
                <w:b/>
              </w:rPr>
            </w:pPr>
          </w:p>
        </w:tc>
        <w:tc>
          <w:tcPr>
            <w:tcW w:w="4762" w:type="dxa"/>
          </w:tcPr>
          <w:p w14:paraId="66761920" w14:textId="4CD18181" w:rsidR="002545AA" w:rsidRPr="00824915" w:rsidRDefault="00AA547D" w:rsidP="00824915">
            <w:r w:rsidRPr="00AA547D">
              <w:t xml:space="preserve">Ginebra, </w:t>
            </w:r>
            <w:r w:rsidR="006C548B">
              <w:t>5</w:t>
            </w:r>
            <w:r w:rsidRPr="00AA547D">
              <w:t xml:space="preserve"> de agosto de </w:t>
            </w:r>
            <w:r w:rsidR="006C548B">
              <w:t>2022</w:t>
            </w:r>
          </w:p>
        </w:tc>
      </w:tr>
      <w:tr w:rsidR="002545AA" w:rsidRPr="00E35001" w14:paraId="031E6D64" w14:textId="77777777" w:rsidTr="00824915">
        <w:trPr>
          <w:cantSplit/>
        </w:trPr>
        <w:tc>
          <w:tcPr>
            <w:tcW w:w="1126" w:type="dxa"/>
          </w:tcPr>
          <w:p w14:paraId="5CCEEF63" w14:textId="77777777" w:rsidR="002545AA" w:rsidRPr="00E35001" w:rsidRDefault="002545AA" w:rsidP="00824915">
            <w:pPr>
              <w:spacing w:before="40" w:after="40"/>
            </w:pPr>
            <w:r w:rsidRPr="00E35001">
              <w:t>Ref.:</w:t>
            </w:r>
          </w:p>
        </w:tc>
        <w:tc>
          <w:tcPr>
            <w:tcW w:w="3751" w:type="dxa"/>
          </w:tcPr>
          <w:p w14:paraId="09C29637" w14:textId="1C61FD8B" w:rsidR="002545AA" w:rsidRPr="00824915" w:rsidRDefault="002545AA" w:rsidP="00824915">
            <w:pPr>
              <w:spacing w:before="40" w:after="40"/>
              <w:rPr>
                <w:b/>
                <w:bCs/>
              </w:rPr>
            </w:pPr>
            <w:r w:rsidRPr="00824915">
              <w:rPr>
                <w:b/>
                <w:bCs/>
              </w:rPr>
              <w:t xml:space="preserve">Carta Colectiva TSB </w:t>
            </w:r>
            <w:r w:rsidR="006C548B">
              <w:rPr>
                <w:b/>
                <w:bCs/>
              </w:rPr>
              <w:t>3</w:t>
            </w:r>
            <w:r w:rsidRPr="00824915">
              <w:rPr>
                <w:b/>
                <w:bCs/>
              </w:rPr>
              <w:t>/</w:t>
            </w:r>
            <w:r w:rsidR="00AA547D" w:rsidRPr="00824915">
              <w:rPr>
                <w:b/>
                <w:bCs/>
              </w:rPr>
              <w:t>13</w:t>
            </w:r>
          </w:p>
          <w:p w14:paraId="09096904" w14:textId="087400E9" w:rsidR="002545AA" w:rsidRPr="00824915" w:rsidRDefault="00AA547D" w:rsidP="00824915">
            <w:pPr>
              <w:spacing w:before="0" w:after="40"/>
            </w:pPr>
            <w:r w:rsidRPr="00AA547D">
              <w:t>SG13/TK</w:t>
            </w:r>
          </w:p>
        </w:tc>
        <w:tc>
          <w:tcPr>
            <w:tcW w:w="4762" w:type="dxa"/>
            <w:vMerge w:val="restart"/>
          </w:tcPr>
          <w:p w14:paraId="490E784C" w14:textId="77777777" w:rsidR="002545AA" w:rsidRPr="00E35001" w:rsidRDefault="002545AA" w:rsidP="00824915">
            <w:pPr>
              <w:spacing w:before="40" w:after="40"/>
            </w:pPr>
            <w:r w:rsidRPr="00E35001">
              <w:t>A:</w:t>
            </w:r>
          </w:p>
          <w:p w14:paraId="561E8F3B" w14:textId="7190AB53" w:rsidR="00AA547D" w:rsidRPr="00AA547D" w:rsidRDefault="00824915" w:rsidP="00824915">
            <w:pPr>
              <w:tabs>
                <w:tab w:val="clear" w:pos="794"/>
                <w:tab w:val="left" w:pos="361"/>
              </w:tabs>
              <w:spacing w:before="40" w:after="40"/>
              <w:ind w:left="304" w:hanging="304"/>
            </w:pPr>
            <w:r>
              <w:t>–</w:t>
            </w:r>
            <w:r w:rsidR="00AA547D" w:rsidRPr="00AA547D">
              <w:tab/>
              <w:t>las Administraciones de los Estados Miembros de la Unión;</w:t>
            </w:r>
          </w:p>
          <w:p w14:paraId="6D69A4A5" w14:textId="77777777" w:rsidR="00AA547D" w:rsidRPr="00AA547D" w:rsidRDefault="00AA547D" w:rsidP="00824915">
            <w:pPr>
              <w:tabs>
                <w:tab w:val="clear" w:pos="794"/>
                <w:tab w:val="left" w:pos="361"/>
              </w:tabs>
              <w:spacing w:before="40" w:after="40"/>
              <w:ind w:left="304" w:hanging="304"/>
            </w:pPr>
            <w:r w:rsidRPr="00AA547D">
              <w:t>–</w:t>
            </w:r>
            <w:r w:rsidRPr="00AA547D">
              <w:tab/>
              <w:t>los Miembros del Sector UIT</w:t>
            </w:r>
            <w:r w:rsidRPr="00AA547D">
              <w:noBreakHyphen/>
              <w:t>T;</w:t>
            </w:r>
          </w:p>
          <w:p w14:paraId="08DE4275" w14:textId="77777777" w:rsidR="00AA547D" w:rsidRPr="00AA547D" w:rsidRDefault="00AA547D" w:rsidP="00824915">
            <w:pPr>
              <w:tabs>
                <w:tab w:val="clear" w:pos="794"/>
                <w:tab w:val="left" w:pos="361"/>
              </w:tabs>
              <w:spacing w:before="40" w:after="40"/>
              <w:ind w:left="304" w:hanging="304"/>
            </w:pPr>
            <w:r w:rsidRPr="00AA547D">
              <w:t>–</w:t>
            </w:r>
            <w:r w:rsidRPr="00AA547D">
              <w:tab/>
              <w:t>los Asociados del UIT-T que participan en los trabajos de la Comisión de Estudio 13;</w:t>
            </w:r>
          </w:p>
          <w:p w14:paraId="4D1D965E" w14:textId="51A8475D" w:rsidR="002545AA" w:rsidRPr="00E35001" w:rsidRDefault="00AA547D" w:rsidP="00824915">
            <w:pPr>
              <w:tabs>
                <w:tab w:val="clear" w:pos="794"/>
                <w:tab w:val="left" w:pos="361"/>
              </w:tabs>
              <w:spacing w:before="40" w:after="40"/>
              <w:ind w:left="304" w:hanging="304"/>
              <w:rPr>
                <w:bCs/>
              </w:rPr>
            </w:pPr>
            <w:r w:rsidRPr="00AA547D">
              <w:t>–</w:t>
            </w:r>
            <w:r w:rsidRPr="00AA547D">
              <w:tab/>
              <w:t>las Instituciones Académicas de la UIT</w:t>
            </w:r>
          </w:p>
        </w:tc>
      </w:tr>
      <w:tr w:rsidR="002545AA" w:rsidRPr="00E35001" w14:paraId="2EF8A298" w14:textId="77777777" w:rsidTr="00824915">
        <w:trPr>
          <w:cantSplit/>
        </w:trPr>
        <w:tc>
          <w:tcPr>
            <w:tcW w:w="1126" w:type="dxa"/>
          </w:tcPr>
          <w:p w14:paraId="4157559E" w14:textId="77777777" w:rsidR="002545AA" w:rsidRPr="00824915" w:rsidRDefault="002545AA" w:rsidP="00824915">
            <w:pPr>
              <w:spacing w:before="40" w:after="40"/>
            </w:pPr>
            <w:r w:rsidRPr="00824915">
              <w:t>Tel.:</w:t>
            </w:r>
          </w:p>
        </w:tc>
        <w:tc>
          <w:tcPr>
            <w:tcW w:w="3751" w:type="dxa"/>
          </w:tcPr>
          <w:p w14:paraId="4E7C6265" w14:textId="03A0B5B7" w:rsidR="002545AA" w:rsidRPr="00E35001" w:rsidRDefault="00AA547D" w:rsidP="00824915">
            <w:pPr>
              <w:spacing w:before="40" w:after="40"/>
            </w:pPr>
            <w:r w:rsidRPr="00AA547D">
              <w:t>+41 22 730 5126</w:t>
            </w:r>
          </w:p>
        </w:tc>
        <w:tc>
          <w:tcPr>
            <w:tcW w:w="4762" w:type="dxa"/>
            <w:vMerge/>
          </w:tcPr>
          <w:p w14:paraId="14D79EED" w14:textId="77777777" w:rsidR="002545AA" w:rsidRPr="00E35001" w:rsidRDefault="002545AA" w:rsidP="002C58A4">
            <w:pPr>
              <w:tabs>
                <w:tab w:val="left" w:pos="4111"/>
              </w:tabs>
              <w:spacing w:beforeLines="40" w:before="96" w:after="40"/>
              <w:ind w:left="57"/>
              <w:rPr>
                <w:bCs/>
              </w:rPr>
            </w:pPr>
          </w:p>
        </w:tc>
      </w:tr>
      <w:tr w:rsidR="002545AA" w:rsidRPr="00E35001" w14:paraId="00AB7670" w14:textId="77777777" w:rsidTr="00824915">
        <w:trPr>
          <w:cantSplit/>
        </w:trPr>
        <w:tc>
          <w:tcPr>
            <w:tcW w:w="1126" w:type="dxa"/>
          </w:tcPr>
          <w:p w14:paraId="1382796A" w14:textId="77777777" w:rsidR="002545AA" w:rsidRPr="00824915" w:rsidRDefault="002545AA" w:rsidP="00824915">
            <w:pPr>
              <w:spacing w:before="40" w:after="40"/>
            </w:pPr>
            <w:r w:rsidRPr="00824915">
              <w:t>Fax:</w:t>
            </w:r>
          </w:p>
        </w:tc>
        <w:tc>
          <w:tcPr>
            <w:tcW w:w="3751" w:type="dxa"/>
          </w:tcPr>
          <w:p w14:paraId="0F7882F8" w14:textId="73788ADA" w:rsidR="002545AA" w:rsidRPr="00E35001" w:rsidRDefault="00AA547D" w:rsidP="00824915">
            <w:pPr>
              <w:spacing w:before="40" w:after="40"/>
            </w:pPr>
            <w:r w:rsidRPr="00AA547D">
              <w:t>+41 22 730 5853</w:t>
            </w:r>
          </w:p>
        </w:tc>
        <w:tc>
          <w:tcPr>
            <w:tcW w:w="4762" w:type="dxa"/>
            <w:vMerge/>
          </w:tcPr>
          <w:p w14:paraId="1D45250F" w14:textId="77777777" w:rsidR="002545AA" w:rsidRPr="00E35001" w:rsidRDefault="002545AA" w:rsidP="002C58A4">
            <w:pPr>
              <w:tabs>
                <w:tab w:val="left" w:pos="4111"/>
              </w:tabs>
              <w:spacing w:beforeLines="40" w:before="96" w:after="40"/>
              <w:ind w:left="57"/>
              <w:rPr>
                <w:bCs/>
              </w:rPr>
            </w:pPr>
          </w:p>
        </w:tc>
      </w:tr>
      <w:tr w:rsidR="002545AA" w:rsidRPr="00E35001" w14:paraId="347CD68B" w14:textId="77777777" w:rsidTr="00824915">
        <w:trPr>
          <w:cantSplit/>
        </w:trPr>
        <w:tc>
          <w:tcPr>
            <w:tcW w:w="1126" w:type="dxa"/>
          </w:tcPr>
          <w:p w14:paraId="4CEB4CD3" w14:textId="77777777" w:rsidR="002545AA" w:rsidRPr="00824915" w:rsidRDefault="002545AA" w:rsidP="00824915">
            <w:pPr>
              <w:spacing w:before="40" w:after="40"/>
            </w:pPr>
            <w:r w:rsidRPr="00824915">
              <w:t>Correo-e:</w:t>
            </w:r>
          </w:p>
        </w:tc>
        <w:tc>
          <w:tcPr>
            <w:tcW w:w="3751" w:type="dxa"/>
          </w:tcPr>
          <w:p w14:paraId="79EF25F3" w14:textId="74D7A8AB" w:rsidR="002545AA" w:rsidRPr="00E35001" w:rsidRDefault="005E6EAC" w:rsidP="00824915">
            <w:pPr>
              <w:spacing w:before="40" w:after="40"/>
            </w:pPr>
            <w:hyperlink r:id="rId9" w:history="1">
              <w:r w:rsidR="00AA547D" w:rsidRPr="000879D2">
                <w:rPr>
                  <w:rStyle w:val="Hyperlink"/>
                </w:rPr>
                <w:t>tsbsg13@itu.int</w:t>
              </w:r>
            </w:hyperlink>
          </w:p>
        </w:tc>
        <w:tc>
          <w:tcPr>
            <w:tcW w:w="4762" w:type="dxa"/>
            <w:vMerge/>
          </w:tcPr>
          <w:p w14:paraId="668FC4C6" w14:textId="77777777" w:rsidR="002545AA" w:rsidRPr="00E35001" w:rsidRDefault="002545AA" w:rsidP="002C58A4">
            <w:pPr>
              <w:tabs>
                <w:tab w:val="left" w:pos="4111"/>
              </w:tabs>
              <w:spacing w:beforeLines="40" w:before="96" w:after="40"/>
              <w:ind w:left="57"/>
            </w:pPr>
          </w:p>
        </w:tc>
      </w:tr>
      <w:tr w:rsidR="002545AA" w:rsidRPr="00E35001" w14:paraId="2D49493A" w14:textId="77777777" w:rsidTr="00824915">
        <w:trPr>
          <w:cantSplit/>
        </w:trPr>
        <w:tc>
          <w:tcPr>
            <w:tcW w:w="1126" w:type="dxa"/>
          </w:tcPr>
          <w:p w14:paraId="343F5A94" w14:textId="77777777" w:rsidR="002545AA" w:rsidRPr="00824915" w:rsidRDefault="002545AA" w:rsidP="00824915">
            <w:pPr>
              <w:spacing w:before="40" w:after="40"/>
            </w:pPr>
            <w:r w:rsidRPr="00824915">
              <w:t>Web:</w:t>
            </w:r>
          </w:p>
        </w:tc>
        <w:tc>
          <w:tcPr>
            <w:tcW w:w="3751" w:type="dxa"/>
          </w:tcPr>
          <w:p w14:paraId="7D82AF90" w14:textId="29E762BE" w:rsidR="002545AA" w:rsidRPr="00E35001" w:rsidRDefault="005E6EAC" w:rsidP="00824915">
            <w:pPr>
              <w:spacing w:before="40" w:after="40"/>
            </w:pPr>
            <w:hyperlink r:id="rId10" w:history="1">
              <w:r w:rsidR="00AA547D" w:rsidRPr="000879D2">
                <w:rPr>
                  <w:rStyle w:val="Hyperlink"/>
                </w:rPr>
                <w:t>http://itu.int/go/tsg13</w:t>
              </w:r>
            </w:hyperlink>
          </w:p>
        </w:tc>
        <w:tc>
          <w:tcPr>
            <w:tcW w:w="4762" w:type="dxa"/>
            <w:vMerge/>
          </w:tcPr>
          <w:p w14:paraId="19961250" w14:textId="77777777" w:rsidR="002545AA" w:rsidRPr="00E35001" w:rsidRDefault="002545AA" w:rsidP="002C58A4">
            <w:pPr>
              <w:tabs>
                <w:tab w:val="left" w:pos="4111"/>
              </w:tabs>
              <w:spacing w:beforeLines="40" w:before="96" w:after="40"/>
              <w:ind w:left="57"/>
            </w:pPr>
          </w:p>
        </w:tc>
      </w:tr>
      <w:tr w:rsidR="002545AA" w:rsidRPr="00E35001" w14:paraId="2C82981D" w14:textId="77777777" w:rsidTr="00824915">
        <w:trPr>
          <w:cantSplit/>
        </w:trPr>
        <w:tc>
          <w:tcPr>
            <w:tcW w:w="1126" w:type="dxa"/>
          </w:tcPr>
          <w:p w14:paraId="6F8AF874" w14:textId="77777777" w:rsidR="002545AA" w:rsidRPr="00824915" w:rsidRDefault="002545AA" w:rsidP="00824915">
            <w:r w:rsidRPr="00824915">
              <w:t>Asunto:</w:t>
            </w:r>
          </w:p>
        </w:tc>
        <w:tc>
          <w:tcPr>
            <w:tcW w:w="8513" w:type="dxa"/>
            <w:gridSpan w:val="2"/>
          </w:tcPr>
          <w:p w14:paraId="416A77CC" w14:textId="56C373DE" w:rsidR="002545AA" w:rsidRPr="00824915" w:rsidRDefault="00AA547D" w:rsidP="00824915">
            <w:pPr>
              <w:rPr>
                <w:b/>
                <w:bCs/>
              </w:rPr>
            </w:pPr>
            <w:r w:rsidRPr="00824915">
              <w:rPr>
                <w:b/>
                <w:bCs/>
              </w:rPr>
              <w:t xml:space="preserve">Reunión de los Grupos de Trabajo 1, 2 y 3/13 (Ginebra, </w:t>
            </w:r>
            <w:r w:rsidR="006C548B">
              <w:rPr>
                <w:b/>
                <w:bCs/>
              </w:rPr>
              <w:t>25</w:t>
            </w:r>
            <w:r w:rsidRPr="00824915">
              <w:rPr>
                <w:b/>
                <w:bCs/>
              </w:rPr>
              <w:t xml:space="preserve"> de noviembre de </w:t>
            </w:r>
            <w:r w:rsidR="006C548B">
              <w:rPr>
                <w:b/>
                <w:bCs/>
              </w:rPr>
              <w:t>2022</w:t>
            </w:r>
            <w:r w:rsidRPr="00824915">
              <w:rPr>
                <w:b/>
                <w:bCs/>
              </w:rPr>
              <w:t>)</w:t>
            </w:r>
          </w:p>
        </w:tc>
      </w:tr>
    </w:tbl>
    <w:p w14:paraId="2912638F" w14:textId="77777777" w:rsidR="002545AA" w:rsidRPr="00E35001" w:rsidRDefault="002545AA" w:rsidP="00AA547D">
      <w:pPr>
        <w:pStyle w:val="Normalaftertitle0"/>
      </w:pPr>
      <w:bookmarkStart w:id="0" w:name="ditulogo"/>
      <w:bookmarkEnd w:id="0"/>
      <w:r w:rsidRPr="00E35001">
        <w:t>Muy Señora mía/Muy Señor mío:</w:t>
      </w:r>
    </w:p>
    <w:p w14:paraId="672648C4" w14:textId="330504B5" w:rsidR="00AA547D" w:rsidRPr="00AA547D" w:rsidRDefault="00AA547D" w:rsidP="00AA547D">
      <w:r w:rsidRPr="00AA547D">
        <w:t xml:space="preserve">Con mi acuerdo a lo solicitado por el Presidente de la Comisión de Estudio 13 (Sr. </w:t>
      </w:r>
      <w:r w:rsidR="006C548B" w:rsidRPr="006C548B">
        <w:t>Kazunori Tanikawa</w:t>
      </w:r>
      <w:r w:rsidRPr="00AA547D">
        <w:t xml:space="preserve">), y según lo aprobado en la reunión de dicha Comisión (Ginebra, </w:t>
      </w:r>
      <w:r w:rsidR="006C548B">
        <w:t>4-15</w:t>
      </w:r>
      <w:r w:rsidRPr="00AA547D">
        <w:t xml:space="preserve"> de julio de </w:t>
      </w:r>
      <w:r w:rsidR="006C548B">
        <w:t>2022</w:t>
      </w:r>
      <w:r w:rsidRPr="00AA547D">
        <w:t>), me complace invitarle a asistir a la reunión del GT 1/13 (</w:t>
      </w:r>
      <w:r w:rsidRPr="00AA547D">
        <w:rPr>
          <w:i/>
          <w:iCs/>
        </w:rPr>
        <w:t>Redes y sistemas IMT-2020</w:t>
      </w:r>
      <w:r w:rsidRPr="00AA547D">
        <w:t>), GT 2/13 (</w:t>
      </w:r>
      <w:r w:rsidRPr="00AA547D">
        <w:rPr>
          <w:i/>
          <w:iCs/>
        </w:rPr>
        <w:t>Computación en la nube y macrodatos</w:t>
      </w:r>
      <w:r w:rsidRPr="00AA547D">
        <w:t>) y GT 3/13 (</w:t>
      </w:r>
      <w:r w:rsidRPr="00AA547D">
        <w:rPr>
          <w:i/>
          <w:iCs/>
        </w:rPr>
        <w:t>Evolución de la red y confianza</w:t>
      </w:r>
      <w:r w:rsidRPr="00AA547D">
        <w:t xml:space="preserve">), que se celebrarán en la Sede de la UIT en Ginebra, el día </w:t>
      </w:r>
      <w:r w:rsidR="006C548B">
        <w:t>25</w:t>
      </w:r>
      <w:r w:rsidRPr="00AA547D">
        <w:t xml:space="preserve"> de noviembre de </w:t>
      </w:r>
      <w:r w:rsidR="006C548B">
        <w:t>2022</w:t>
      </w:r>
      <w:r w:rsidRPr="00AA547D">
        <w:t>.</w:t>
      </w:r>
    </w:p>
    <w:p w14:paraId="691E5556" w14:textId="45DFF3E3" w:rsidR="006C548B" w:rsidRDefault="006C548B" w:rsidP="006C548B">
      <w:r w:rsidRPr="006C548B">
        <w:t xml:space="preserve">Los dispositivos logísticos finales para esta reunión dependerán de la evolución de la pandemia </w:t>
      </w:r>
      <w:r>
        <w:t xml:space="preserve">de </w:t>
      </w:r>
      <w:r w:rsidRPr="006C548B">
        <w:t>COVID</w:t>
      </w:r>
      <w:r>
        <w:noBreakHyphen/>
      </w:r>
      <w:r w:rsidRPr="006C548B">
        <w:t xml:space="preserve">19 y de su repercusión en los viajes internacionales. El equipo directivo de la Comisión de Estudio, en estrecha colaboración con la Secretaría de la TSB, seguirá de cerca la situación. Si es necesario modificar las disposiciones de la reunión, se informará a los expertos del UIT-T a través de la </w:t>
      </w:r>
      <w:hyperlink r:id="rId11" w:history="1">
        <w:r w:rsidRPr="006C548B">
          <w:rPr>
            <w:rStyle w:val="Hyperlink"/>
          </w:rPr>
          <w:t>página web de la Comisión de Estudio</w:t>
        </w:r>
      </w:hyperlink>
      <w:r w:rsidRPr="006C548B">
        <w:t>, de las listas de correo y de las actualizaciones de esta carta colectiva.</w:t>
      </w:r>
    </w:p>
    <w:p w14:paraId="3AE1ED9D" w14:textId="2366F5B7" w:rsidR="00824915" w:rsidRPr="00824915" w:rsidRDefault="00824915" w:rsidP="00824915">
      <w:r w:rsidRPr="00824915">
        <w:t xml:space="preserve">La reunión del GT </w:t>
      </w:r>
      <w:r w:rsidR="006C548B">
        <w:t>2</w:t>
      </w:r>
      <w:r w:rsidRPr="00824915">
        <w:t xml:space="preserve">/13 comenzará a las 09.30 horas, seguida de las reuniones del GT </w:t>
      </w:r>
      <w:r w:rsidR="006C548B">
        <w:t>3</w:t>
      </w:r>
      <w:r w:rsidRPr="00824915">
        <w:t xml:space="preserve">/13 y del GT 1/13. La inscripción de los participantes comenzará a las 08.30 horas en la </w:t>
      </w:r>
      <w:hyperlink r:id="rId12" w:history="1">
        <w:r w:rsidRPr="00824915">
          <w:rPr>
            <w:rStyle w:val="Hyperlink"/>
          </w:rPr>
          <w:t>entrada del edificio de Montbrillant</w:t>
        </w:r>
      </w:hyperlink>
      <w:r w:rsidRPr="00824915">
        <w:t xml:space="preserve">. Se mostrará la atribución de salas de reunión en las pantallas de la Sede de la UIT y en línea </w:t>
      </w:r>
      <w:hyperlink r:id="rId13" w:history="1">
        <w:r w:rsidRPr="00824915">
          <w:rPr>
            <w:rStyle w:val="Hyperlink"/>
          </w:rPr>
          <w:t>aquí</w:t>
        </w:r>
      </w:hyperlink>
      <w:r w:rsidRPr="00824915">
        <w:t>.</w:t>
      </w:r>
    </w:p>
    <w:p w14:paraId="04DFCB5D" w14:textId="72DC5BBA" w:rsidR="006C548B" w:rsidRDefault="00082CAE" w:rsidP="007A7A97">
      <w:pPr>
        <w:rPr>
          <w:lang w:val="es-ES"/>
        </w:rPr>
      </w:pPr>
      <w:r w:rsidRPr="00C170A5">
        <w:rPr>
          <w:lang w:val="es-ES"/>
        </w:rPr>
        <w:t xml:space="preserve">Será posible participar a distancia a través de </w:t>
      </w:r>
      <w:hyperlink r:id="rId14" w:history="1">
        <w:r w:rsidR="006C548B" w:rsidRPr="00C170A5">
          <w:rPr>
            <w:rStyle w:val="Hyperlink"/>
            <w:lang w:val="es-ES"/>
          </w:rPr>
          <w:t>MyMeetings</w:t>
        </w:r>
      </w:hyperlink>
      <w:r w:rsidR="006C548B" w:rsidRPr="00C170A5">
        <w:rPr>
          <w:lang w:val="es-ES"/>
        </w:rPr>
        <w:t>.</w:t>
      </w:r>
      <w:r w:rsidR="007A7A97" w:rsidRPr="00C170A5">
        <w:rPr>
          <w:lang w:val="es-ES"/>
        </w:rPr>
        <w:t xml:space="preserve"> </w:t>
      </w:r>
      <w:r w:rsidR="007A7A97" w:rsidRPr="007A7A97">
        <w:rPr>
          <w:lang w:val="es-ES"/>
        </w:rPr>
        <w:t xml:space="preserve">Puede </w:t>
      </w:r>
      <w:r>
        <w:rPr>
          <w:lang w:val="es-ES"/>
        </w:rPr>
        <w:t>consultar</w:t>
      </w:r>
      <w:r w:rsidR="007A7A97" w:rsidRPr="007A7A97">
        <w:rPr>
          <w:lang w:val="es-ES"/>
        </w:rPr>
        <w:t xml:space="preserve"> la documentación, los detalles relativos a la participación a distancia y otras informaciones conexas en la página principal de </w:t>
      </w:r>
      <w:hyperlink r:id="rId15" w:history="1">
        <w:r w:rsidR="007A7A97" w:rsidRPr="007A7A97">
          <w:rPr>
            <w:rStyle w:val="Hyperlink"/>
            <w:lang w:val="es-ES"/>
          </w:rPr>
          <w:t>la Comisión de Estudio</w:t>
        </w:r>
      </w:hyperlink>
      <w:r w:rsidR="007A7A97" w:rsidRPr="007A7A97">
        <w:rPr>
          <w:lang w:val="es-ES"/>
        </w:rPr>
        <w:t>.</w:t>
      </w:r>
    </w:p>
    <w:p w14:paraId="3D22A50A" w14:textId="77777777" w:rsidR="007A7A97" w:rsidRPr="007A7A97" w:rsidRDefault="007A7A97" w:rsidP="007A7A97">
      <w:pPr>
        <w:rPr>
          <w:lang w:val="es-ES"/>
        </w:rPr>
      </w:pPr>
      <w:r w:rsidRPr="007A7A97">
        <w:rPr>
          <w:lang w:val="es-ES"/>
        </w:rPr>
        <w:t>Tenga presente que no se concederán becas y que las reuniones se celebrarán íntegramente en inglés, sin interpretación.</w:t>
      </w:r>
    </w:p>
    <w:p w14:paraId="6EEC7401" w14:textId="062A7B6C" w:rsidR="007A7A97" w:rsidRPr="00C170A5" w:rsidRDefault="00082CAE" w:rsidP="007A7A97">
      <w:pPr>
        <w:rPr>
          <w:lang w:val="es-ES"/>
        </w:rPr>
      </w:pPr>
      <w:r w:rsidRPr="00C170A5">
        <w:rPr>
          <w:lang w:val="es-ES"/>
        </w:rPr>
        <w:t>Los principales objetivos de estas reuniones son examinar la posibilidad de iniciar el proceso de aprobación de los siguientes proyectos de Recomendaciones del UIT-T y examinar los Suplementos para su aprobación, según proceda, en función de los resultados de las reuniones del Grupo de Relator celebradas durante los días anteriores (14-25 de noviembre de 2022, Ginebra</w:t>
      </w:r>
      <w:r w:rsidR="007A7A97" w:rsidRPr="00C170A5">
        <w:rPr>
          <w:lang w:val="es-ES"/>
        </w:rPr>
        <w:t>):</w:t>
      </w:r>
    </w:p>
    <w:p w14:paraId="4470801C" w14:textId="77777777" w:rsidR="007A7A97" w:rsidRPr="007A7A97" w:rsidDel="006C548B" w:rsidRDefault="007A7A97" w:rsidP="007A7A97">
      <w:pPr>
        <w:pStyle w:val="Headingb0"/>
      </w:pPr>
      <w:r w:rsidRPr="007A7A97" w:rsidDel="006C548B">
        <w:t>GT 1/13:</w:t>
      </w:r>
    </w:p>
    <w:p w14:paraId="3BDA3B87" w14:textId="400A82D9" w:rsidR="007A7A97" w:rsidRDefault="007A7A97" w:rsidP="007A7A97">
      <w:pPr>
        <w:pStyle w:val="enumlev1"/>
      </w:pPr>
      <w:r>
        <w:t>•</w:t>
      </w:r>
      <w:r>
        <w:tab/>
        <w:t xml:space="preserve">Y.det-qos-reqts-lan </w:t>
      </w:r>
      <w:r w:rsidR="00165D6B">
        <w:t>"</w:t>
      </w:r>
      <w:r w:rsidR="00082CAE" w:rsidRPr="00082CAE">
        <w:t>Requisitos de calidad del servicio y marco para los servicios de comunicación deterministas en la red de área local para las IMT-2020</w:t>
      </w:r>
      <w:r w:rsidR="00165D6B">
        <w:t>"</w:t>
      </w:r>
      <w:r>
        <w:t xml:space="preserve"> (</w:t>
      </w:r>
      <w:r w:rsidR="00082CAE">
        <w:t xml:space="preserve">Cuestión </w:t>
      </w:r>
      <w:r>
        <w:t xml:space="preserve">6/13), </w:t>
      </w:r>
    </w:p>
    <w:p w14:paraId="6485114C" w14:textId="17045874" w:rsidR="007A7A97" w:rsidRDefault="007A7A97" w:rsidP="007A7A97">
      <w:pPr>
        <w:pStyle w:val="enumlev1"/>
      </w:pPr>
      <w:r>
        <w:t>•</w:t>
      </w:r>
      <w:r>
        <w:tab/>
        <w:t xml:space="preserve">Y.IMT2020-fa-lg-lsn </w:t>
      </w:r>
      <w:r w:rsidR="00165D6B">
        <w:t>"</w:t>
      </w:r>
      <w:r w:rsidR="00B47470" w:rsidRPr="00B47470">
        <w:t xml:space="preserve">Arquitectura funcional para </w:t>
      </w:r>
      <w:r w:rsidR="00B47470">
        <w:t xml:space="preserve">la garantía de </w:t>
      </w:r>
      <w:r w:rsidR="00B47470" w:rsidRPr="00B47470">
        <w:t>la latencia en redes a gran escala, incluidas las IMT-2020 y posteriores</w:t>
      </w:r>
      <w:r w:rsidR="00165D6B">
        <w:t>"</w:t>
      </w:r>
      <w:r>
        <w:t xml:space="preserve"> (</w:t>
      </w:r>
      <w:r w:rsidR="00B47470">
        <w:t xml:space="preserve">Cuestión </w:t>
      </w:r>
      <w:r>
        <w:t>6/13),</w:t>
      </w:r>
    </w:p>
    <w:p w14:paraId="1D081DAB" w14:textId="468B789E" w:rsidR="007A7A97" w:rsidRDefault="007A7A97" w:rsidP="007A7A97">
      <w:pPr>
        <w:pStyle w:val="enumlev1"/>
      </w:pPr>
      <w:r>
        <w:t>•</w:t>
      </w:r>
      <w:r>
        <w:tab/>
        <w:t xml:space="preserve">Y.ML-IMT2020-VNS </w:t>
      </w:r>
      <w:r w:rsidR="00165D6B">
        <w:t>"</w:t>
      </w:r>
      <w:r w:rsidR="00B47470" w:rsidRPr="00B47470">
        <w:t xml:space="preserve">Marco para la gestión de la segmentación de la red mediante el aprendizaje automático, con inclusión de </w:t>
      </w:r>
      <w:r w:rsidR="00B47470">
        <w:t xml:space="preserve">datos </w:t>
      </w:r>
      <w:r w:rsidR="00B47470" w:rsidRPr="00B47470">
        <w:t>de los sectores verticales</w:t>
      </w:r>
      <w:r w:rsidR="00165D6B">
        <w:t>"</w:t>
      </w:r>
      <w:r>
        <w:t xml:space="preserve"> (</w:t>
      </w:r>
      <w:r w:rsidR="00B47470">
        <w:t xml:space="preserve">Cuestión </w:t>
      </w:r>
      <w:r>
        <w:t>20/13),</w:t>
      </w:r>
    </w:p>
    <w:p w14:paraId="13EA6E1A" w14:textId="70487100" w:rsidR="007A7A97" w:rsidRDefault="007A7A97" w:rsidP="007A7A97">
      <w:pPr>
        <w:pStyle w:val="enumlev1"/>
      </w:pPr>
      <w:r>
        <w:t>•</w:t>
      </w:r>
      <w:r>
        <w:tab/>
        <w:t xml:space="preserve">Y.IMT2020-CEFEC </w:t>
      </w:r>
      <w:r w:rsidR="00165D6B">
        <w:t>"</w:t>
      </w:r>
      <w:r w:rsidR="00B47470" w:rsidRPr="00B47470">
        <w:t>Marco de la función de exposición de capacidades en la computación periférica para las redes IMT-2020 y posteriores</w:t>
      </w:r>
      <w:r w:rsidR="00165D6B">
        <w:t>"</w:t>
      </w:r>
      <w:r>
        <w:t xml:space="preserve"> (</w:t>
      </w:r>
      <w:r w:rsidR="00B47470">
        <w:t xml:space="preserve">Cuestión </w:t>
      </w:r>
      <w:r>
        <w:t>20/13),</w:t>
      </w:r>
    </w:p>
    <w:p w14:paraId="238E9C69" w14:textId="7B99D23D" w:rsidR="007A7A97" w:rsidRDefault="007A7A97" w:rsidP="007A7A97">
      <w:pPr>
        <w:pStyle w:val="enumlev1"/>
      </w:pPr>
      <w:r>
        <w:lastRenderedPageBreak/>
        <w:t>•</w:t>
      </w:r>
      <w:r>
        <w:tab/>
        <w:t xml:space="preserve">Y.IMT2020-DN-CCF </w:t>
      </w:r>
      <w:r w:rsidR="00165D6B">
        <w:t>"</w:t>
      </w:r>
      <w:r w:rsidR="0009525A" w:rsidRPr="0009525A">
        <w:t>Redes futuras, incluidas las IMT-2020: marco de clasificación de capacidades para redes especializadas</w:t>
      </w:r>
      <w:r w:rsidR="00165D6B">
        <w:t>"</w:t>
      </w:r>
      <w:r>
        <w:t xml:space="preserve"> (</w:t>
      </w:r>
      <w:r w:rsidR="00B47470">
        <w:t xml:space="preserve">Cuestión </w:t>
      </w:r>
      <w:r>
        <w:t>20/13),</w:t>
      </w:r>
    </w:p>
    <w:p w14:paraId="47DD747D" w14:textId="3AC8CA6B" w:rsidR="007A7A97" w:rsidRDefault="007A7A97" w:rsidP="007A7A97">
      <w:pPr>
        <w:pStyle w:val="enumlev1"/>
      </w:pPr>
      <w:r>
        <w:t>•</w:t>
      </w:r>
      <w:r>
        <w:tab/>
        <w:t xml:space="preserve">Y.IMT2020-SOCN-req-frame </w:t>
      </w:r>
      <w:r w:rsidR="00165D6B">
        <w:t>"</w:t>
      </w:r>
      <w:r w:rsidR="0009525A" w:rsidRPr="0009525A">
        <w:t>Redes futuras, incluidas las IMT-2020: requisitos y marco para la autoorganización de las redes centrales</w:t>
      </w:r>
      <w:r w:rsidR="00165D6B">
        <w:t>"</w:t>
      </w:r>
      <w:r>
        <w:t xml:space="preserve"> (</w:t>
      </w:r>
      <w:r w:rsidR="00B47470">
        <w:t xml:space="preserve">Cuestión </w:t>
      </w:r>
      <w:r>
        <w:t>20/13),</w:t>
      </w:r>
    </w:p>
    <w:p w14:paraId="15CACAB6" w14:textId="1B003C7D" w:rsidR="007A7A97" w:rsidRDefault="007A7A97" w:rsidP="007A7A97">
      <w:pPr>
        <w:pStyle w:val="enumlev1"/>
      </w:pPr>
      <w:r>
        <w:t>•</w:t>
      </w:r>
      <w:r>
        <w:tab/>
        <w:t xml:space="preserve">Y.NSL-fra </w:t>
      </w:r>
      <w:r w:rsidR="00165D6B">
        <w:t>"</w:t>
      </w:r>
      <w:r w:rsidR="0009525A" w:rsidRPr="0009525A">
        <w:t xml:space="preserve">Marco para clasificar el nivel de </w:t>
      </w:r>
      <w:r w:rsidR="0009525A">
        <w:t xml:space="preserve">segmentación </w:t>
      </w:r>
      <w:r w:rsidR="0009525A" w:rsidRPr="0009525A">
        <w:t xml:space="preserve">de </w:t>
      </w:r>
      <w:r w:rsidR="0009525A">
        <w:t xml:space="preserve">la </w:t>
      </w:r>
      <w:r w:rsidR="0009525A" w:rsidRPr="0009525A">
        <w:t>red en las futuras redes, incluidas las IMT-2020</w:t>
      </w:r>
      <w:r w:rsidR="00165D6B">
        <w:t>"</w:t>
      </w:r>
      <w:r>
        <w:t xml:space="preserve"> (</w:t>
      </w:r>
      <w:r w:rsidR="00B47470">
        <w:t xml:space="preserve">Cuestión </w:t>
      </w:r>
      <w:r>
        <w:t>21/13),</w:t>
      </w:r>
    </w:p>
    <w:p w14:paraId="29C5CE29" w14:textId="0C6F9B38" w:rsidR="007A7A97" w:rsidRDefault="007A7A97" w:rsidP="007A7A97">
      <w:pPr>
        <w:pStyle w:val="enumlev1"/>
      </w:pPr>
      <w:r>
        <w:t>•</w:t>
      </w:r>
      <w:r>
        <w:tab/>
        <w:t xml:space="preserve">Y.DL-AINW-fra </w:t>
      </w:r>
      <w:r w:rsidR="00165D6B">
        <w:t>"</w:t>
      </w:r>
      <w:r w:rsidR="0009525A" w:rsidRPr="0009525A">
        <w:t>Marco para la gestión de alto nivel basada en la IA que se comunica con los sistemas de gestión externos</w:t>
      </w:r>
      <w:r w:rsidR="00165D6B">
        <w:t>"</w:t>
      </w:r>
      <w:r>
        <w:t xml:space="preserve"> (</w:t>
      </w:r>
      <w:r w:rsidR="00B47470">
        <w:t xml:space="preserve">Cuestión </w:t>
      </w:r>
      <w:r>
        <w:t>21/13),</w:t>
      </w:r>
    </w:p>
    <w:p w14:paraId="11361067" w14:textId="27BE243F" w:rsidR="007A7A97" w:rsidRDefault="007A7A97" w:rsidP="007A7A97">
      <w:pPr>
        <w:pStyle w:val="enumlev1"/>
      </w:pPr>
      <w:r w:rsidRPr="00C170A5">
        <w:rPr>
          <w:lang w:val="es-ES"/>
        </w:rPr>
        <w:t>•</w:t>
      </w:r>
      <w:r w:rsidRPr="00C170A5">
        <w:rPr>
          <w:lang w:val="es-ES"/>
        </w:rPr>
        <w:tab/>
        <w:t xml:space="preserve">Y.MNS-DLT-fr </w:t>
      </w:r>
      <w:r w:rsidR="00165D6B">
        <w:rPr>
          <w:lang w:val="es-ES"/>
        </w:rPr>
        <w:t>"</w:t>
      </w:r>
      <w:r w:rsidR="0009525A" w:rsidRPr="00C170A5">
        <w:rPr>
          <w:lang w:val="es-ES"/>
        </w:rPr>
        <w:t>Compartición de redes móviles basada en la tecnología de libro mayor distribuido para redes posteriores a las IMT-2020: Requisitos y marco</w:t>
      </w:r>
      <w:r w:rsidR="00165D6B">
        <w:rPr>
          <w:lang w:val="es-ES"/>
        </w:rPr>
        <w:t>"</w:t>
      </w:r>
      <w:r w:rsidRPr="00C170A5">
        <w:rPr>
          <w:lang w:val="es-ES"/>
        </w:rPr>
        <w:t xml:space="preserve"> (</w:t>
      </w:r>
      <w:r w:rsidR="00B47470">
        <w:t xml:space="preserve">Cuestión </w:t>
      </w:r>
      <w:r w:rsidRPr="00C170A5">
        <w:rPr>
          <w:lang w:val="es-ES"/>
        </w:rPr>
        <w:t>22/13),</w:t>
      </w:r>
    </w:p>
    <w:p w14:paraId="18DACE81" w14:textId="3144861E" w:rsidR="007A7A97" w:rsidRDefault="007A7A97" w:rsidP="007A7A97">
      <w:pPr>
        <w:pStyle w:val="enumlev1"/>
      </w:pPr>
      <w:r>
        <w:t>•</w:t>
      </w:r>
      <w:r>
        <w:tab/>
      </w:r>
      <w:r w:rsidRPr="007A7A97">
        <w:t xml:space="preserve">Y.SBN-TR </w:t>
      </w:r>
      <w:r w:rsidR="00165D6B">
        <w:t>"</w:t>
      </w:r>
      <w:r w:rsidRPr="007A7A97">
        <w:t xml:space="preserve">Marco de red de corretaje de servicios para la </w:t>
      </w:r>
      <w:r w:rsidR="0009525A" w:rsidRPr="007A7A97">
        <w:t>realidad fiable</w:t>
      </w:r>
      <w:r w:rsidR="00165D6B">
        <w:t>"</w:t>
      </w:r>
      <w:r w:rsidRPr="007A7A97">
        <w:t xml:space="preserve"> </w:t>
      </w:r>
      <w:r w:rsidR="0009525A">
        <w:t>(</w:t>
      </w:r>
      <w:r w:rsidR="00B47470">
        <w:t xml:space="preserve">Cuestión </w:t>
      </w:r>
      <w:r w:rsidRPr="007A7A97">
        <w:t>23/13</w:t>
      </w:r>
      <w:r w:rsidR="0009525A">
        <w:t>)</w:t>
      </w:r>
      <w:r>
        <w:t>;</w:t>
      </w:r>
    </w:p>
    <w:p w14:paraId="5A406A1C" w14:textId="25EDDFD6" w:rsidR="007A7A97" w:rsidRDefault="007A7A97" w:rsidP="007A7A97">
      <w:pPr>
        <w:pStyle w:val="enumlev1"/>
      </w:pPr>
      <w:r>
        <w:t>•</w:t>
      </w:r>
      <w:r>
        <w:tab/>
        <w:t xml:space="preserve">Y.FMSC-frame </w:t>
      </w:r>
      <w:r w:rsidR="00165D6B">
        <w:t>"</w:t>
      </w:r>
      <w:r w:rsidR="0009525A" w:rsidRPr="0009525A">
        <w:t xml:space="preserve">Marco de convergencia de </w:t>
      </w:r>
      <w:r w:rsidR="0009525A">
        <w:t xml:space="preserve">los servicios </w:t>
      </w:r>
      <w:r w:rsidR="0009525A" w:rsidRPr="0009525A">
        <w:t>fijo, móvil y por satélite en la red IMT-2020 y posteriores</w:t>
      </w:r>
      <w:r w:rsidR="00165D6B">
        <w:t>"</w:t>
      </w:r>
      <w:r>
        <w:t xml:space="preserve"> (</w:t>
      </w:r>
      <w:r w:rsidR="00B47470">
        <w:t xml:space="preserve">Cuestión </w:t>
      </w:r>
      <w:r>
        <w:t>23/13),</w:t>
      </w:r>
    </w:p>
    <w:p w14:paraId="174CE9E2" w14:textId="55C653D9" w:rsidR="007A7A97" w:rsidRDefault="007A7A97" w:rsidP="007A7A97">
      <w:pPr>
        <w:pStyle w:val="enumlev1"/>
      </w:pPr>
      <w:r>
        <w:t>•</w:t>
      </w:r>
      <w:r>
        <w:tab/>
        <w:t xml:space="preserve">Y.FMSC-MM </w:t>
      </w:r>
      <w:r w:rsidR="00165D6B">
        <w:t>"</w:t>
      </w:r>
      <w:r w:rsidR="001D7554" w:rsidRPr="001D7554">
        <w:t>Gestión de la movilidad para la convergencia de los servicios fijo</w:t>
      </w:r>
      <w:r w:rsidR="001D7554">
        <w:t xml:space="preserve">, </w:t>
      </w:r>
      <w:r w:rsidR="001D7554" w:rsidRPr="001D7554">
        <w:t>móvil</w:t>
      </w:r>
      <w:r w:rsidR="001D7554">
        <w:t xml:space="preserve"> y por satélite no OSG</w:t>
      </w:r>
      <w:r w:rsidR="001D7554" w:rsidRPr="001D7554">
        <w:t xml:space="preserve"> en las redes IMT-2020</w:t>
      </w:r>
      <w:r w:rsidR="00165D6B">
        <w:t>"</w:t>
      </w:r>
      <w:r>
        <w:t xml:space="preserve"> (</w:t>
      </w:r>
      <w:r w:rsidR="00B47470">
        <w:t xml:space="preserve">Cuestión </w:t>
      </w:r>
      <w:r>
        <w:t xml:space="preserve">23/13) </w:t>
      </w:r>
      <w:r w:rsidR="00B47470">
        <w:t>y</w:t>
      </w:r>
      <w:r>
        <w:t xml:space="preserve"> </w:t>
      </w:r>
    </w:p>
    <w:p w14:paraId="5BBCABE2" w14:textId="205393A9" w:rsidR="007A7A97" w:rsidRDefault="007A7A97" w:rsidP="007A7A97">
      <w:pPr>
        <w:pStyle w:val="enumlev1"/>
      </w:pPr>
      <w:r w:rsidRPr="007A7A97">
        <w:t>•</w:t>
      </w:r>
      <w:r w:rsidRPr="007A7A97">
        <w:tab/>
      </w:r>
      <w:r w:rsidR="001D7554" w:rsidRPr="007A7A97">
        <w:t>Suplemento</w:t>
      </w:r>
      <w:r w:rsidRPr="007A7A97">
        <w:t xml:space="preserve"> 59 </w:t>
      </w:r>
      <w:r w:rsidR="00165D6B">
        <w:t>"</w:t>
      </w:r>
      <w:r w:rsidR="001D7554">
        <w:t xml:space="preserve">Hoja de ruta para la normalización de las </w:t>
      </w:r>
      <w:r w:rsidRPr="007A7A97">
        <w:t>IMT-2020</w:t>
      </w:r>
      <w:r w:rsidR="00165D6B">
        <w:t>"</w:t>
      </w:r>
      <w:r w:rsidRPr="007A7A97">
        <w:t xml:space="preserve"> (</w:t>
      </w:r>
      <w:r w:rsidR="00B47470">
        <w:t xml:space="preserve">Cuestión </w:t>
      </w:r>
      <w:r w:rsidRPr="007A7A97">
        <w:t>21/13).</w:t>
      </w:r>
    </w:p>
    <w:p w14:paraId="341363A3" w14:textId="7A5956BF" w:rsidR="007A7A97" w:rsidRDefault="007A7A97" w:rsidP="007A7A97">
      <w:pPr>
        <w:pStyle w:val="Headingb0"/>
      </w:pPr>
      <w:r>
        <w:t>GT 2/13:</w:t>
      </w:r>
    </w:p>
    <w:p w14:paraId="66E23DD4" w14:textId="2E495DAB" w:rsidR="007A7A97" w:rsidRDefault="007A7A97" w:rsidP="007A7A97">
      <w:pPr>
        <w:pStyle w:val="enumlev1"/>
      </w:pPr>
      <w:r>
        <w:t>•</w:t>
      </w:r>
      <w:r>
        <w:tab/>
        <w:t xml:space="preserve">Y.bDDN-NSMec </w:t>
      </w:r>
      <w:r w:rsidR="00165D6B">
        <w:t>"</w:t>
      </w:r>
      <w:r w:rsidR="001D7554" w:rsidRPr="001D7554">
        <w:t xml:space="preserve">Mecanismo de </w:t>
      </w:r>
      <w:r w:rsidR="001D7554">
        <w:t>configuración</w:t>
      </w:r>
      <w:r w:rsidR="001D7554" w:rsidRPr="001D7554">
        <w:t xml:space="preserve"> de servicios de red en la bDDN</w:t>
      </w:r>
      <w:r w:rsidR="00165D6B">
        <w:t>"</w:t>
      </w:r>
      <w:r>
        <w:t xml:space="preserve"> (</w:t>
      </w:r>
      <w:r w:rsidR="00B47470">
        <w:t xml:space="preserve">Cuestión </w:t>
      </w:r>
      <w:r>
        <w:t xml:space="preserve">7/13), </w:t>
      </w:r>
    </w:p>
    <w:p w14:paraId="106AD126" w14:textId="46942DFF" w:rsidR="007A7A97" w:rsidRDefault="007A7A97" w:rsidP="007A7A97">
      <w:pPr>
        <w:pStyle w:val="enumlev1"/>
      </w:pPr>
      <w:r>
        <w:t>•</w:t>
      </w:r>
      <w:r>
        <w:tab/>
        <w:t xml:space="preserve">Y.ec-reqts </w:t>
      </w:r>
      <w:r w:rsidR="00165D6B">
        <w:t>"</w:t>
      </w:r>
      <w:r w:rsidR="001D7554">
        <w:t xml:space="preserve">Computación periférica </w:t>
      </w:r>
      <w:r>
        <w:t xml:space="preserve">– </w:t>
      </w:r>
      <w:r w:rsidR="001D7554">
        <w:t>Descripción y requisitos</w:t>
      </w:r>
      <w:r w:rsidR="00165D6B">
        <w:t>"</w:t>
      </w:r>
      <w:r>
        <w:t xml:space="preserve"> (</w:t>
      </w:r>
      <w:r w:rsidR="00B47470">
        <w:t xml:space="preserve">Cuestión </w:t>
      </w:r>
      <w:r>
        <w:t xml:space="preserve">17/13), </w:t>
      </w:r>
    </w:p>
    <w:p w14:paraId="6CE65E31" w14:textId="61BD2060" w:rsidR="007A7A97" w:rsidRDefault="007A7A97" w:rsidP="007A7A97">
      <w:pPr>
        <w:pStyle w:val="enumlev1"/>
      </w:pPr>
      <w:r>
        <w:t>•</w:t>
      </w:r>
      <w:r>
        <w:tab/>
        <w:t xml:space="preserve">Y.cccnp-reqts </w:t>
      </w:r>
      <w:r w:rsidR="00165D6B">
        <w:t>"</w:t>
      </w:r>
      <w:r w:rsidR="001D7554">
        <w:t>Computación en la nube</w:t>
      </w:r>
      <w:r w:rsidR="00C170A5">
        <w:t xml:space="preserve"> </w:t>
      </w:r>
      <w:r>
        <w:t xml:space="preserve">– </w:t>
      </w:r>
      <w:r w:rsidR="001D7554" w:rsidRPr="001D7554">
        <w:t>Requisitos funcionales de la plataforma como servicio para aplicaciones nativas de la nube</w:t>
      </w:r>
      <w:r w:rsidR="00165D6B">
        <w:t>"</w:t>
      </w:r>
      <w:r>
        <w:t xml:space="preserve"> (</w:t>
      </w:r>
      <w:r w:rsidR="00B47470">
        <w:t xml:space="preserve">Cuestión </w:t>
      </w:r>
      <w:r>
        <w:t xml:space="preserve">17/13), </w:t>
      </w:r>
    </w:p>
    <w:p w14:paraId="5CB87144" w14:textId="38B93EBC" w:rsidR="007A7A97" w:rsidRDefault="007A7A97" w:rsidP="007A7A97">
      <w:pPr>
        <w:pStyle w:val="enumlev1"/>
      </w:pPr>
      <w:r>
        <w:t>•</w:t>
      </w:r>
      <w:r>
        <w:tab/>
        <w:t xml:space="preserve">Y.bdp-arch </w:t>
      </w:r>
      <w:r w:rsidR="00165D6B">
        <w:t>"</w:t>
      </w:r>
      <w:r w:rsidR="001D7554">
        <w:t>Macrodatos –</w:t>
      </w:r>
      <w:r>
        <w:t xml:space="preserve"> </w:t>
      </w:r>
      <w:r w:rsidR="001D7554">
        <w:t xml:space="preserve">Arquitectura funcional para la </w:t>
      </w:r>
      <w:r w:rsidR="00D054F0">
        <w:t>procedencia de los datos</w:t>
      </w:r>
      <w:r w:rsidR="00165D6B">
        <w:t>"</w:t>
      </w:r>
      <w:r>
        <w:t xml:space="preserve"> (</w:t>
      </w:r>
      <w:r w:rsidR="00B47470">
        <w:t>Cuestión</w:t>
      </w:r>
      <w:r w:rsidR="00165D6B">
        <w:t> </w:t>
      </w:r>
      <w:r>
        <w:t>18/13),</w:t>
      </w:r>
    </w:p>
    <w:p w14:paraId="2ADE1419" w14:textId="132030A2" w:rsidR="007A7A97" w:rsidRDefault="007A7A97" w:rsidP="007A7A97">
      <w:pPr>
        <w:pStyle w:val="enumlev1"/>
      </w:pPr>
      <w:r>
        <w:t>•</w:t>
      </w:r>
      <w:r>
        <w:tab/>
        <w:t xml:space="preserve">Y.ccrm </w:t>
      </w:r>
      <w:r w:rsidR="00165D6B">
        <w:t>"</w:t>
      </w:r>
      <w:r w:rsidR="00D054F0">
        <w:t xml:space="preserve">Computación en la nube </w:t>
      </w:r>
      <w:r w:rsidR="00C170A5">
        <w:t xml:space="preserve">– </w:t>
      </w:r>
      <w:r w:rsidR="00D054F0">
        <w:t>Marco de gestión de riesgos</w:t>
      </w:r>
      <w:r w:rsidR="00165D6B">
        <w:t>"</w:t>
      </w:r>
      <w:r>
        <w:t xml:space="preserve"> (</w:t>
      </w:r>
      <w:r w:rsidR="00B47470">
        <w:t xml:space="preserve">Cuestión </w:t>
      </w:r>
      <w:r>
        <w:t xml:space="preserve">19/13), </w:t>
      </w:r>
    </w:p>
    <w:p w14:paraId="24B5C71E" w14:textId="59709089" w:rsidR="007A7A97" w:rsidRDefault="007A7A97" w:rsidP="007A7A97">
      <w:pPr>
        <w:pStyle w:val="enumlev1"/>
      </w:pPr>
      <w:r>
        <w:t>•</w:t>
      </w:r>
      <w:r>
        <w:tab/>
        <w:t xml:space="preserve">Y.ccdm-reqts </w:t>
      </w:r>
      <w:r w:rsidR="00165D6B">
        <w:t>"</w:t>
      </w:r>
      <w:r w:rsidR="00D054F0">
        <w:t xml:space="preserve">Computación en la nube </w:t>
      </w:r>
      <w:r>
        <w:t xml:space="preserve">– </w:t>
      </w:r>
      <w:r w:rsidR="00D054F0">
        <w:t>Marco y requisitos funcionales de la gestión de la movilidad de los datos en la nube</w:t>
      </w:r>
      <w:r w:rsidR="00165D6B">
        <w:t>"</w:t>
      </w:r>
      <w:r>
        <w:t xml:space="preserve"> (</w:t>
      </w:r>
      <w:r w:rsidR="00B47470">
        <w:t xml:space="preserve">Cuestión </w:t>
      </w:r>
      <w:r>
        <w:t xml:space="preserve">19/13) </w:t>
      </w:r>
      <w:r w:rsidR="00D054F0">
        <w:t>y</w:t>
      </w:r>
    </w:p>
    <w:p w14:paraId="6CA4A10A" w14:textId="247CAB89" w:rsidR="007A7A97" w:rsidRDefault="007A7A97" w:rsidP="007A7A97">
      <w:pPr>
        <w:pStyle w:val="enumlev1"/>
      </w:pPr>
      <w:r>
        <w:t>•</w:t>
      </w:r>
      <w:r>
        <w:tab/>
        <w:t>Suplement</w:t>
      </w:r>
      <w:r w:rsidR="00D054F0">
        <w:t>o</w:t>
      </w:r>
      <w:r>
        <w:t xml:space="preserve"> Y.sup.aisr </w:t>
      </w:r>
      <w:r w:rsidR="00165D6B">
        <w:t>"</w:t>
      </w:r>
      <w:r w:rsidR="00D054F0">
        <w:t>Hoja de ruta para la normalización de la inteligencia a</w:t>
      </w:r>
      <w:r>
        <w:t>rtificial</w:t>
      </w:r>
      <w:r w:rsidR="00165D6B">
        <w:t>"</w:t>
      </w:r>
      <w:r>
        <w:t xml:space="preserve"> (</w:t>
      </w:r>
      <w:r w:rsidR="00B47470">
        <w:t>Cuestión</w:t>
      </w:r>
      <w:r w:rsidR="00165D6B">
        <w:t> </w:t>
      </w:r>
      <w:r>
        <w:t>17/13).</w:t>
      </w:r>
    </w:p>
    <w:p w14:paraId="1B96FD45" w14:textId="65F61E4E" w:rsidR="007A7A97" w:rsidRDefault="007A7A97" w:rsidP="007A7A97">
      <w:pPr>
        <w:pStyle w:val="Headingb0"/>
      </w:pPr>
      <w:r>
        <w:t>GT 3/13:</w:t>
      </w:r>
    </w:p>
    <w:p w14:paraId="48D833B5" w14:textId="7F915F53" w:rsidR="007A7A97" w:rsidRDefault="007A7A97" w:rsidP="007A7A97">
      <w:pPr>
        <w:pStyle w:val="enumlev1"/>
      </w:pPr>
      <w:r>
        <w:t>•</w:t>
      </w:r>
      <w:r>
        <w:tab/>
      </w:r>
      <w:r w:rsidRPr="00C170A5">
        <w:rPr>
          <w:lang w:val="es-ES"/>
        </w:rPr>
        <w:t xml:space="preserve">Y.frd </w:t>
      </w:r>
      <w:r w:rsidR="00165D6B">
        <w:rPr>
          <w:lang w:val="es-ES"/>
        </w:rPr>
        <w:t>"</w:t>
      </w:r>
      <w:r w:rsidR="00875FA8" w:rsidRPr="00C170A5">
        <w:rPr>
          <w:lang w:val="es-ES"/>
        </w:rPr>
        <w:t>Marco y requisitos del servicio de verificación de la integridad de los datos, orientado a redes y basado en la cadena de bloques en las redes futuras</w:t>
      </w:r>
      <w:r w:rsidR="00165D6B">
        <w:rPr>
          <w:lang w:val="es-ES"/>
        </w:rPr>
        <w:t>"</w:t>
      </w:r>
      <w:r w:rsidRPr="00C170A5">
        <w:rPr>
          <w:lang w:val="es-ES"/>
        </w:rPr>
        <w:t xml:space="preserve"> (</w:t>
      </w:r>
      <w:r w:rsidR="00B47470">
        <w:t xml:space="preserve">Cuestión </w:t>
      </w:r>
      <w:r w:rsidRPr="00C170A5">
        <w:rPr>
          <w:lang w:val="es-ES"/>
        </w:rPr>
        <w:t>1/13),</w:t>
      </w:r>
    </w:p>
    <w:p w14:paraId="2BCF90CE" w14:textId="4A649E85" w:rsidR="007A7A97" w:rsidRDefault="007A7A97" w:rsidP="007A7A97">
      <w:pPr>
        <w:pStyle w:val="enumlev1"/>
      </w:pPr>
      <w:r>
        <w:t>•</w:t>
      </w:r>
      <w:r>
        <w:tab/>
        <w:t xml:space="preserve">Y.NRS-DLT-reqts </w:t>
      </w:r>
      <w:r w:rsidR="00165D6B">
        <w:t>"</w:t>
      </w:r>
      <w:r w:rsidR="00875FA8" w:rsidRPr="00875FA8">
        <w:t>Supuestos y requisitos de la compartición de recursos de red basados en la tecnología de libro mayor distribuido</w:t>
      </w:r>
      <w:r w:rsidR="00165D6B">
        <w:t>"</w:t>
      </w:r>
      <w:r>
        <w:t xml:space="preserve"> (</w:t>
      </w:r>
      <w:r w:rsidR="00B47470">
        <w:t xml:space="preserve">Cuestión </w:t>
      </w:r>
      <w:r>
        <w:t xml:space="preserve">2/13), </w:t>
      </w:r>
    </w:p>
    <w:p w14:paraId="54F308D3" w14:textId="3A20B41F" w:rsidR="007A7A97" w:rsidRDefault="007A7A97" w:rsidP="007A7A97">
      <w:pPr>
        <w:pStyle w:val="enumlev1"/>
      </w:pPr>
      <w:r>
        <w:t>•</w:t>
      </w:r>
      <w:r>
        <w:tab/>
        <w:t xml:space="preserve">Y.QKDN-iwrq </w:t>
      </w:r>
      <w:r w:rsidR="00165D6B">
        <w:t>"</w:t>
      </w:r>
      <w:r w:rsidR="00875FA8" w:rsidRPr="00875FA8">
        <w:t>Interfuncionamiento de las redes de distribución de claves cuánticas: requisitos funcionales</w:t>
      </w:r>
      <w:r w:rsidR="00165D6B">
        <w:t>"</w:t>
      </w:r>
      <w:r>
        <w:t xml:space="preserve"> (</w:t>
      </w:r>
      <w:r w:rsidR="00B47470">
        <w:t xml:space="preserve">Cuestión </w:t>
      </w:r>
      <w:r>
        <w:t xml:space="preserve">16/13), </w:t>
      </w:r>
    </w:p>
    <w:p w14:paraId="0AA66644" w14:textId="42C93D36" w:rsidR="007A7A97" w:rsidRDefault="007A7A97" w:rsidP="007A7A97">
      <w:pPr>
        <w:pStyle w:val="enumlev1"/>
      </w:pPr>
      <w:r>
        <w:t>•</w:t>
      </w:r>
      <w:r>
        <w:tab/>
        <w:t xml:space="preserve">Y.QKDN-ml-fra </w:t>
      </w:r>
      <w:r w:rsidR="00165D6B">
        <w:t>"</w:t>
      </w:r>
      <w:r w:rsidR="00875FA8" w:rsidRPr="00875FA8">
        <w:t>Redes de distribución de claves cuánticas: requisitos funcionales y arquitectura para permitir el aprendizaje automático</w:t>
      </w:r>
      <w:r w:rsidR="00165D6B">
        <w:t>"</w:t>
      </w:r>
      <w:r>
        <w:t xml:space="preserve"> (</w:t>
      </w:r>
      <w:r w:rsidR="00B47470">
        <w:t xml:space="preserve">Cuestión </w:t>
      </w:r>
      <w:r>
        <w:t xml:space="preserve">16/13) </w:t>
      </w:r>
      <w:r w:rsidR="00B47470">
        <w:t>y</w:t>
      </w:r>
    </w:p>
    <w:p w14:paraId="24599079" w14:textId="52E937F9" w:rsidR="007A7A97" w:rsidRDefault="007A7A97" w:rsidP="007A7A97">
      <w:pPr>
        <w:pStyle w:val="enumlev1"/>
      </w:pPr>
      <w:r>
        <w:t>•</w:t>
      </w:r>
      <w:r>
        <w:tab/>
        <w:t xml:space="preserve">Y.QKDN-rsfr </w:t>
      </w:r>
      <w:r w:rsidR="00165D6B">
        <w:t>"</w:t>
      </w:r>
      <w:r w:rsidR="00875FA8" w:rsidRPr="00875FA8">
        <w:t>Redes de distribución de claves cuánticas: marco de resiliencia</w:t>
      </w:r>
      <w:r w:rsidR="00165D6B">
        <w:t>"</w:t>
      </w:r>
      <w:r>
        <w:t xml:space="preserve"> (</w:t>
      </w:r>
      <w:r w:rsidR="00B47470">
        <w:t xml:space="preserve">Cuestión </w:t>
      </w:r>
      <w:r>
        <w:t>16/13).</w:t>
      </w:r>
    </w:p>
    <w:p w14:paraId="4DCEFD00" w14:textId="77777777" w:rsidR="0088752A" w:rsidRPr="0088752A" w:rsidRDefault="0088752A" w:rsidP="0088752A">
      <w:pPr>
        <w:rPr>
          <w:b/>
          <w:lang w:val="es-ES"/>
        </w:rPr>
      </w:pPr>
      <w:r w:rsidRPr="0088752A">
        <w:rPr>
          <w:lang w:val="es-ES"/>
        </w:rPr>
        <w:t>El examen de los temas de trabajo nuevos, las declaraciones de coordinación salientes y los planes futuros también forman parte del orden del día de las reuniones de las Comisiones de trabajo 1/13, 2/13 y 9/13.</w:t>
      </w:r>
    </w:p>
    <w:p w14:paraId="18CCC41E" w14:textId="77777777" w:rsidR="0088752A" w:rsidRPr="0088752A" w:rsidRDefault="0088752A" w:rsidP="0088752A">
      <w:pPr>
        <w:rPr>
          <w:lang w:val="es-ES"/>
        </w:rPr>
      </w:pPr>
      <w:r w:rsidRPr="0088752A">
        <w:rPr>
          <w:lang w:val="es-ES"/>
        </w:rPr>
        <w:t xml:space="preserve">En el </w:t>
      </w:r>
      <w:r w:rsidRPr="0088752A">
        <w:rPr>
          <w:b/>
          <w:bCs/>
          <w:lang w:val="es-ES"/>
        </w:rPr>
        <w:t>Anexo A</w:t>
      </w:r>
      <w:r w:rsidRPr="0088752A">
        <w:rPr>
          <w:lang w:val="es-ES"/>
        </w:rPr>
        <w:t xml:space="preserve"> se facilita información práctica sobre la reunión. El proyecto de </w:t>
      </w:r>
      <w:r w:rsidRPr="0088752A">
        <w:rPr>
          <w:b/>
          <w:bCs/>
          <w:lang w:val="es-ES"/>
        </w:rPr>
        <w:t>orden del día</w:t>
      </w:r>
      <w:r w:rsidRPr="0088752A">
        <w:rPr>
          <w:lang w:val="es-ES"/>
        </w:rPr>
        <w:t xml:space="preserve"> de la reunión, preparado por los Presidentes de los GT 1/13, 2/13 y 3/13, figura en el </w:t>
      </w:r>
      <w:r w:rsidRPr="0088752A">
        <w:rPr>
          <w:b/>
          <w:bCs/>
          <w:lang w:val="es-ES"/>
        </w:rPr>
        <w:t>Anexo B</w:t>
      </w:r>
      <w:r w:rsidRPr="0088752A">
        <w:rPr>
          <w:lang w:val="es-ES"/>
        </w:rPr>
        <w:t>.</w:t>
      </w:r>
    </w:p>
    <w:p w14:paraId="31FD387F" w14:textId="4A283E03" w:rsidR="002545AA" w:rsidRPr="00E35001" w:rsidRDefault="00824915" w:rsidP="00824915">
      <w:pPr>
        <w:pStyle w:val="Headingb0"/>
        <w:spacing w:after="120"/>
      </w:pPr>
      <w:r w:rsidRPr="00824915">
        <w:lastRenderedPageBreak/>
        <w:t>Plazos clave:</w:t>
      </w:r>
    </w:p>
    <w:tbl>
      <w:tblPr>
        <w:tblStyle w:val="TableGrid"/>
        <w:tblW w:w="9634" w:type="dxa"/>
        <w:tblLook w:val="04A0" w:firstRow="1" w:lastRow="0" w:firstColumn="1" w:lastColumn="0" w:noHBand="0" w:noVBand="1"/>
      </w:tblPr>
      <w:tblGrid>
        <w:gridCol w:w="2689"/>
        <w:gridCol w:w="6945"/>
      </w:tblGrid>
      <w:tr w:rsidR="002545AA" w:rsidRPr="00E35001" w14:paraId="48B40F47" w14:textId="77777777" w:rsidTr="007337B6">
        <w:tc>
          <w:tcPr>
            <w:tcW w:w="2689" w:type="dxa"/>
          </w:tcPr>
          <w:p w14:paraId="5A6D2764" w14:textId="0B5D5768" w:rsidR="002545AA" w:rsidRPr="00824915" w:rsidRDefault="0088752A" w:rsidP="00824915">
            <w:pPr>
              <w:pStyle w:val="Tabletext0"/>
            </w:pPr>
            <w:r>
              <w:t>25</w:t>
            </w:r>
            <w:r w:rsidR="00824915" w:rsidRPr="00824915">
              <w:t xml:space="preserve"> de septiembre de </w:t>
            </w:r>
            <w:r>
              <w:t>2022</w:t>
            </w:r>
          </w:p>
        </w:tc>
        <w:tc>
          <w:tcPr>
            <w:tcW w:w="6945" w:type="dxa"/>
          </w:tcPr>
          <w:p w14:paraId="288D1D91" w14:textId="15919E2A" w:rsidR="002545AA" w:rsidRPr="00824915" w:rsidRDefault="00824915" w:rsidP="00824915">
            <w:pPr>
              <w:pStyle w:val="Tabletext0"/>
              <w:ind w:left="284" w:hanging="284"/>
              <w:rPr>
                <w:bCs/>
              </w:rPr>
            </w:pPr>
            <w:r w:rsidRPr="00824915">
              <w:rPr>
                <w:bCs/>
              </w:rPr>
              <w:t>–</w:t>
            </w:r>
            <w:r w:rsidRPr="00824915">
              <w:rPr>
                <w:bCs/>
              </w:rPr>
              <w:tab/>
            </w:r>
            <w:hyperlink r:id="rId16" w:history="1">
              <w:r w:rsidRPr="00824915">
                <w:rPr>
                  <w:rStyle w:val="Hyperlink"/>
                  <w:bCs/>
                </w:rPr>
                <w:t>Presentación de las contribuciones de los miembros del UIT-T</w:t>
              </w:r>
            </w:hyperlink>
            <w:r w:rsidRPr="00824915">
              <w:rPr>
                <w:bCs/>
              </w:rPr>
              <w:t xml:space="preserve"> para las que se requiere traducción</w:t>
            </w:r>
          </w:p>
        </w:tc>
      </w:tr>
      <w:tr w:rsidR="002545AA" w:rsidRPr="00E35001" w14:paraId="5A60AB5A" w14:textId="77777777" w:rsidTr="007337B6">
        <w:tc>
          <w:tcPr>
            <w:tcW w:w="2689" w:type="dxa"/>
          </w:tcPr>
          <w:p w14:paraId="3EBAFB33" w14:textId="6610A5A3" w:rsidR="002545AA" w:rsidRPr="00E35001" w:rsidRDefault="0088752A" w:rsidP="00824915">
            <w:pPr>
              <w:pStyle w:val="Tabletext0"/>
            </w:pPr>
            <w:r>
              <w:t>25</w:t>
            </w:r>
            <w:r w:rsidR="00824915" w:rsidRPr="00824915">
              <w:t xml:space="preserve"> de octubre de </w:t>
            </w:r>
            <w:r>
              <w:t>2022</w:t>
            </w:r>
          </w:p>
        </w:tc>
        <w:tc>
          <w:tcPr>
            <w:tcW w:w="6945" w:type="dxa"/>
          </w:tcPr>
          <w:p w14:paraId="4950EF95" w14:textId="77777777" w:rsidR="00824915" w:rsidRPr="00824915" w:rsidRDefault="00824915" w:rsidP="00824915">
            <w:pPr>
              <w:pStyle w:val="Tabletext0"/>
              <w:ind w:left="284" w:hanging="284"/>
            </w:pPr>
            <w:r w:rsidRPr="00824915">
              <w:t>–</w:t>
            </w:r>
            <w:r w:rsidRPr="00824915">
              <w:tab/>
              <w:t xml:space="preserve">Preinscripción (en línea a través de la </w:t>
            </w:r>
            <w:hyperlink r:id="rId17" w:history="1">
              <w:r w:rsidRPr="00824915">
                <w:rPr>
                  <w:rStyle w:val="Hyperlink"/>
                </w:rPr>
                <w:t>página web de la Comisión de Estudio</w:t>
              </w:r>
            </w:hyperlink>
            <w:r w:rsidRPr="00824915">
              <w:t>)</w:t>
            </w:r>
          </w:p>
          <w:p w14:paraId="09E968A8" w14:textId="410401B8" w:rsidR="002545AA" w:rsidRPr="00E35001" w:rsidRDefault="00824915" w:rsidP="00824915">
            <w:pPr>
              <w:pStyle w:val="Tabletext0"/>
              <w:ind w:left="284" w:hanging="284"/>
            </w:pPr>
            <w:r w:rsidRPr="00824915">
              <w:t>–</w:t>
            </w:r>
            <w:r w:rsidRPr="00824915">
              <w:tab/>
              <w:t xml:space="preserve">Presentación de solicitudes para obtener cartas de apoyo a la obtención de visado (puede encontrar una plantilla de solicitud </w:t>
            </w:r>
            <w:hyperlink r:id="rId18" w:history="1">
              <w:r w:rsidRPr="00824915">
                <w:rPr>
                  <w:rStyle w:val="Hyperlink"/>
                </w:rPr>
                <w:t>aquí</w:t>
              </w:r>
            </w:hyperlink>
            <w:r w:rsidRPr="00824915">
              <w:t>)</w:t>
            </w:r>
          </w:p>
        </w:tc>
      </w:tr>
      <w:tr w:rsidR="002545AA" w:rsidRPr="00E35001" w14:paraId="4A2A26DA" w14:textId="77777777" w:rsidTr="007337B6">
        <w:tc>
          <w:tcPr>
            <w:tcW w:w="2689" w:type="dxa"/>
          </w:tcPr>
          <w:p w14:paraId="499A8FFC" w14:textId="27AF514E" w:rsidR="002545AA" w:rsidRPr="00E35001" w:rsidRDefault="0088752A" w:rsidP="00824915">
            <w:pPr>
              <w:pStyle w:val="Tabletext0"/>
            </w:pPr>
            <w:r>
              <w:t>1 de noviembre de 2022</w:t>
            </w:r>
          </w:p>
        </w:tc>
        <w:tc>
          <w:tcPr>
            <w:tcW w:w="6945" w:type="dxa"/>
          </w:tcPr>
          <w:p w14:paraId="162FFDD9" w14:textId="0BCEF72E" w:rsidR="002545AA" w:rsidRPr="00E35001" w:rsidRDefault="00824915" w:rsidP="00165D6B">
            <w:pPr>
              <w:pStyle w:val="Tabletext0"/>
              <w:ind w:left="306" w:hanging="306"/>
            </w:pPr>
            <w:r w:rsidRPr="00824915">
              <w:t>–</w:t>
            </w:r>
            <w:r w:rsidRPr="00824915">
              <w:tab/>
            </w:r>
            <w:hyperlink r:id="rId19" w:history="1">
              <w:r w:rsidR="0088752A">
                <w:rPr>
                  <w:rStyle w:val="Hyperlink"/>
                </w:rPr>
                <w:t>P</w:t>
              </w:r>
              <w:r w:rsidR="0088752A" w:rsidRPr="0088752A">
                <w:rPr>
                  <w:rStyle w:val="Hyperlink"/>
                  <w:lang w:val="es-ES"/>
                </w:rPr>
                <w:t xml:space="preserve">resentación de las contribuciones de los Miembros del UIT-T (a través del sistema de </w:t>
              </w:r>
              <w:r w:rsidR="0088752A">
                <w:rPr>
                  <w:rStyle w:val="Hyperlink"/>
                  <w:lang w:val="es-ES"/>
                </w:rPr>
                <w:t>p</w:t>
              </w:r>
              <w:r w:rsidR="0088752A" w:rsidRPr="0088752A">
                <w:rPr>
                  <w:rStyle w:val="Hyperlink"/>
                  <w:lang w:val="es-ES"/>
                </w:rPr>
                <w:t xml:space="preserve">ublicación </w:t>
              </w:r>
              <w:r w:rsidR="0088752A">
                <w:rPr>
                  <w:rStyle w:val="Hyperlink"/>
                  <w:lang w:val="es-ES"/>
                </w:rPr>
                <w:t>d</w:t>
              </w:r>
              <w:r w:rsidR="0088752A" w:rsidRPr="0088752A">
                <w:rPr>
                  <w:rStyle w:val="Hyperlink"/>
                  <w:lang w:val="es-ES"/>
                </w:rPr>
                <w:t xml:space="preserve">irecta de </w:t>
              </w:r>
              <w:r w:rsidR="0088752A">
                <w:rPr>
                  <w:rStyle w:val="Hyperlink"/>
                  <w:lang w:val="es-ES"/>
                </w:rPr>
                <w:t>d</w:t>
              </w:r>
              <w:r w:rsidR="0088752A" w:rsidRPr="0088752A">
                <w:rPr>
                  <w:rStyle w:val="Hyperlink"/>
                  <w:lang w:val="es-ES"/>
                </w:rPr>
                <w:t>ocumentos)</w:t>
              </w:r>
            </w:hyperlink>
          </w:p>
        </w:tc>
      </w:tr>
    </w:tbl>
    <w:p w14:paraId="5797D82C" w14:textId="5D33FFE0" w:rsidR="002545AA" w:rsidRPr="00E35001" w:rsidRDefault="00824915" w:rsidP="0088752A">
      <w:pPr>
        <w:pStyle w:val="Normalaftertitle0"/>
      </w:pPr>
      <w:r w:rsidRPr="00824915">
        <w:t>Le deseo una reunión agradable y productiva.</w:t>
      </w:r>
    </w:p>
    <w:p w14:paraId="5AC4D99D" w14:textId="68F5175D" w:rsidR="00824915" w:rsidRPr="00824915" w:rsidRDefault="00824915" w:rsidP="00824915">
      <w:pPr>
        <w:ind w:right="91"/>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397"/>
      </w:tblGrid>
      <w:tr w:rsidR="00824915" w:rsidRPr="00824915" w14:paraId="0C6BFD64" w14:textId="77777777" w:rsidTr="00C20BE2">
        <w:trPr>
          <w:cantSplit/>
          <w:trHeight w:val="1955"/>
        </w:trPr>
        <w:tc>
          <w:tcPr>
            <w:tcW w:w="6237" w:type="dxa"/>
            <w:vMerge w:val="restart"/>
            <w:tcBorders>
              <w:right w:val="single" w:sz="4" w:space="0" w:color="auto"/>
            </w:tcBorders>
          </w:tcPr>
          <w:p w14:paraId="4CDD3FFD" w14:textId="3BA6EC49" w:rsidR="00824915" w:rsidRPr="00824915" w:rsidRDefault="00824915" w:rsidP="00824915">
            <w:pPr>
              <w:ind w:right="91"/>
              <w:rPr>
                <w:bCs/>
              </w:rPr>
            </w:pPr>
            <w:r w:rsidRPr="00824915">
              <w:rPr>
                <w:bCs/>
              </w:rPr>
              <w:t>Atentamente,</w:t>
            </w:r>
          </w:p>
          <w:p w14:paraId="398C10FD" w14:textId="0DC37E6B" w:rsidR="00824915" w:rsidRPr="00824915" w:rsidRDefault="005E6EAC" w:rsidP="004E7226">
            <w:pPr>
              <w:spacing w:before="960"/>
              <w:ind w:right="91"/>
              <w:rPr>
                <w:bCs/>
              </w:rPr>
            </w:pPr>
            <w:r>
              <w:rPr>
                <w:bCs/>
                <w:noProof/>
              </w:rPr>
              <w:drawing>
                <wp:anchor distT="0" distB="0" distL="114300" distR="114300" simplePos="0" relativeHeight="251658240" behindDoc="1" locked="0" layoutInCell="1" allowOverlap="1" wp14:anchorId="787CF0ED" wp14:editId="2E21484A">
                  <wp:simplePos x="0" y="0"/>
                  <wp:positionH relativeFrom="column">
                    <wp:posOffset>1905</wp:posOffset>
                  </wp:positionH>
                  <wp:positionV relativeFrom="paragraph">
                    <wp:posOffset>132715</wp:posOffset>
                  </wp:positionV>
                  <wp:extent cx="782503" cy="352425"/>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782503" cy="352425"/>
                          </a:xfrm>
                          <a:prstGeom prst="rect">
                            <a:avLst/>
                          </a:prstGeom>
                        </pic:spPr>
                      </pic:pic>
                    </a:graphicData>
                  </a:graphic>
                  <wp14:sizeRelH relativeFrom="margin">
                    <wp14:pctWidth>0</wp14:pctWidth>
                  </wp14:sizeRelH>
                  <wp14:sizeRelV relativeFrom="margin">
                    <wp14:pctHeight>0</wp14:pctHeight>
                  </wp14:sizeRelV>
                </wp:anchor>
              </w:drawing>
            </w:r>
            <w:r w:rsidR="00824915" w:rsidRPr="00824915">
              <w:rPr>
                <w:bCs/>
              </w:rPr>
              <w:t>Chaesub Lee</w:t>
            </w:r>
            <w:r w:rsidR="00824915" w:rsidRPr="00824915">
              <w:rPr>
                <w:bCs/>
              </w:rPr>
              <w:br/>
            </w:r>
            <w:proofErr w:type="gramStart"/>
            <w:r w:rsidR="00824915" w:rsidRPr="00824915">
              <w:rPr>
                <w:bCs/>
              </w:rPr>
              <w:t>Director</w:t>
            </w:r>
            <w:proofErr w:type="gramEnd"/>
            <w:r w:rsidR="00824915" w:rsidRPr="00824915">
              <w:rPr>
                <w:bCs/>
              </w:rPr>
              <w:t xml:space="preserve"> de la Oficina de Normalización</w:t>
            </w:r>
            <w:r w:rsidR="00824915" w:rsidRPr="00824915">
              <w:rPr>
                <w:bCs/>
              </w:rPr>
              <w:br/>
              <w:t>de las Telecomunicaciones</w:t>
            </w:r>
          </w:p>
        </w:tc>
        <w:tc>
          <w:tcPr>
            <w:tcW w:w="3397" w:type="dxa"/>
            <w:tcBorders>
              <w:top w:val="single" w:sz="4" w:space="0" w:color="auto"/>
              <w:left w:val="single" w:sz="4" w:space="0" w:color="auto"/>
              <w:right w:val="single" w:sz="4" w:space="0" w:color="auto"/>
            </w:tcBorders>
            <w:textDirection w:val="btLr"/>
            <w:vAlign w:val="center"/>
          </w:tcPr>
          <w:p w14:paraId="4D749459" w14:textId="5D672FB9" w:rsidR="00824915" w:rsidRPr="00824915" w:rsidRDefault="00824915" w:rsidP="00C20BE2">
            <w:pPr>
              <w:ind w:right="91"/>
              <w:jc w:val="center"/>
              <w:rPr>
                <w:bCs/>
              </w:rPr>
            </w:pPr>
            <w:r w:rsidRPr="00824915">
              <w:rPr>
                <w:bCs/>
                <w:noProof/>
                <w:lang w:val="en-US"/>
              </w:rPr>
              <w:drawing>
                <wp:inline distT="0" distB="0" distL="0" distR="0" wp14:anchorId="0FA7773C" wp14:editId="2695F38B">
                  <wp:extent cx="1113155" cy="1113155"/>
                  <wp:effectExtent l="0" t="0" r="0" b="0"/>
                  <wp:docPr id="54" name="Picture 54" descr="This QR code redirects to the latest meeeting information at:&#10;http://handle.itu.int/11.1002/groups/sg13" title="Latest meeting information"/>
                  <wp:cNvGraphicFramePr/>
                  <a:graphic xmlns:a="http://schemas.openxmlformats.org/drawingml/2006/main">
                    <a:graphicData uri="http://schemas.openxmlformats.org/drawingml/2006/picture">
                      <pic:pic xmlns:pic="http://schemas.openxmlformats.org/drawingml/2006/picture">
                        <pic:nvPicPr>
                          <pic:cNvPr id="54" name="Picture 54" descr="This QR code redirects to the latest meeeting information at:&#10;http://handle.itu.int/11.1002/groups/sg13" title="Latest meeting information"/>
                          <pic:cNvPicPr/>
                        </pic:nvPicPr>
                        <pic:blipFill rotWithShape="1">
                          <a:blip r:embed="rId21" cstate="print">
                            <a:extLst>
                              <a:ext uri="{28A0092B-C50C-407E-A947-70E740481C1C}">
                                <a14:useLocalDpi xmlns:a14="http://schemas.microsoft.com/office/drawing/2010/main" val="0"/>
                              </a:ext>
                            </a:extLst>
                          </a:blip>
                          <a:srcRect l="-9698" r="9698"/>
                          <a:stretch/>
                        </pic:blipFill>
                        <pic:spPr bwMode="auto">
                          <a:xfrm>
                            <a:off x="0" y="0"/>
                            <a:ext cx="1113155" cy="1113155"/>
                          </a:xfrm>
                          <a:prstGeom prst="rect">
                            <a:avLst/>
                          </a:prstGeom>
                          <a:noFill/>
                          <a:ln>
                            <a:noFill/>
                          </a:ln>
                        </pic:spPr>
                      </pic:pic>
                    </a:graphicData>
                  </a:graphic>
                </wp:inline>
              </w:drawing>
            </w:r>
            <w:bookmarkStart w:id="1" w:name="lt_pId086"/>
            <w:r w:rsidRPr="00824915">
              <w:rPr>
                <w:bCs/>
              </w:rPr>
              <w:t>CE</w:t>
            </w:r>
            <w:r w:rsidR="0088752A">
              <w:rPr>
                <w:bCs/>
              </w:rPr>
              <w:t> </w:t>
            </w:r>
            <w:r w:rsidRPr="00824915">
              <w:rPr>
                <w:bCs/>
              </w:rPr>
              <w:t>13</w:t>
            </w:r>
            <w:bookmarkEnd w:id="1"/>
            <w:r w:rsidR="0088752A">
              <w:rPr>
                <w:bCs/>
              </w:rPr>
              <w:t xml:space="preserve"> del UIT-T</w:t>
            </w:r>
          </w:p>
        </w:tc>
      </w:tr>
      <w:tr w:rsidR="00824915" w:rsidRPr="00824915" w14:paraId="50F9E966" w14:textId="77777777" w:rsidTr="005561A1">
        <w:trPr>
          <w:cantSplit/>
          <w:trHeight w:val="227"/>
        </w:trPr>
        <w:tc>
          <w:tcPr>
            <w:tcW w:w="6237" w:type="dxa"/>
            <w:vMerge/>
            <w:tcBorders>
              <w:right w:val="single" w:sz="4" w:space="0" w:color="auto"/>
            </w:tcBorders>
          </w:tcPr>
          <w:p w14:paraId="25E49DC0" w14:textId="77777777" w:rsidR="00824915" w:rsidRPr="00824915" w:rsidRDefault="00824915" w:rsidP="00824915">
            <w:pPr>
              <w:ind w:right="91"/>
              <w:rPr>
                <w:bCs/>
              </w:rPr>
            </w:pPr>
          </w:p>
        </w:tc>
        <w:tc>
          <w:tcPr>
            <w:tcW w:w="3397" w:type="dxa"/>
            <w:tcBorders>
              <w:left w:val="single" w:sz="4" w:space="0" w:color="auto"/>
              <w:bottom w:val="single" w:sz="4" w:space="0" w:color="auto"/>
              <w:right w:val="single" w:sz="4" w:space="0" w:color="auto"/>
            </w:tcBorders>
            <w:vAlign w:val="center"/>
          </w:tcPr>
          <w:p w14:paraId="4E849FF9" w14:textId="77777777" w:rsidR="00824915" w:rsidRPr="00824915" w:rsidRDefault="00824915" w:rsidP="00824915">
            <w:pPr>
              <w:ind w:right="91"/>
              <w:rPr>
                <w:bCs/>
              </w:rPr>
            </w:pPr>
            <w:r w:rsidRPr="00824915">
              <w:rPr>
                <w:bCs/>
                <w:sz w:val="20"/>
                <w:szCs w:val="18"/>
              </w:rPr>
              <w:t>Última información sobre la reunión</w:t>
            </w:r>
          </w:p>
        </w:tc>
      </w:tr>
    </w:tbl>
    <w:p w14:paraId="1E7BD502" w14:textId="172068BC" w:rsidR="00824915" w:rsidRPr="00824915" w:rsidRDefault="00824915" w:rsidP="00824915">
      <w:pPr>
        <w:spacing w:before="1080"/>
        <w:ind w:right="91"/>
        <w:rPr>
          <w:bCs/>
        </w:rPr>
      </w:pPr>
      <w:r w:rsidRPr="00824915">
        <w:rPr>
          <w:b/>
          <w:bCs/>
        </w:rPr>
        <w:t>Anexos</w:t>
      </w:r>
      <w:r w:rsidRPr="00824915">
        <w:rPr>
          <w:bCs/>
        </w:rPr>
        <w:t>: 2</w:t>
      </w:r>
    </w:p>
    <w:p w14:paraId="40ABAFED" w14:textId="77777777" w:rsidR="002545AA" w:rsidRPr="00E35001" w:rsidRDefault="002545AA" w:rsidP="002545AA">
      <w:pPr>
        <w:ind w:right="91"/>
        <w:rPr>
          <w:bCs/>
        </w:rPr>
      </w:pPr>
      <w:r w:rsidRPr="00E35001">
        <w:rPr>
          <w:bCs/>
        </w:rPr>
        <w:br w:type="page"/>
      </w:r>
    </w:p>
    <w:p w14:paraId="249FB170" w14:textId="6988CD5B" w:rsidR="00C20BE2" w:rsidRPr="005A3AAA" w:rsidRDefault="00C20BE2" w:rsidP="00C20BE2">
      <w:pPr>
        <w:pStyle w:val="AnnexNotitle"/>
      </w:pPr>
      <w:r w:rsidRPr="005A3AAA">
        <w:lastRenderedPageBreak/>
        <w:t>ANEXO A</w:t>
      </w:r>
      <w:r w:rsidR="0088752A">
        <w:br/>
      </w:r>
      <w:r w:rsidR="0088752A" w:rsidRPr="0088752A">
        <w:t>Información práctica sobre la reunión</w:t>
      </w:r>
    </w:p>
    <w:p w14:paraId="1D66D946" w14:textId="77777777" w:rsidR="00C20BE2" w:rsidRPr="0088752A" w:rsidRDefault="00C20BE2" w:rsidP="0088752A">
      <w:pPr>
        <w:spacing w:before="360"/>
        <w:jc w:val="center"/>
        <w:rPr>
          <w:b/>
          <w:bCs/>
        </w:rPr>
      </w:pPr>
      <w:r w:rsidRPr="0088752A">
        <w:rPr>
          <w:b/>
          <w:bCs/>
        </w:rPr>
        <w:t>MÉTODOS DE TRABAJO E INSTALACIONES</w:t>
      </w:r>
    </w:p>
    <w:p w14:paraId="0DAA2621" w14:textId="0A8F148E" w:rsidR="00C20BE2" w:rsidRPr="00D5462B" w:rsidRDefault="00C20BE2" w:rsidP="0088752A">
      <w:pPr>
        <w:pStyle w:val="Normalaftertitle"/>
        <w:spacing w:before="240"/>
      </w:pPr>
      <w:r w:rsidRPr="00D5462B">
        <w:rPr>
          <w:b/>
          <w:bCs/>
        </w:rPr>
        <w:t>PRESENTACIÓN DE DOCUMENTOS Y ACCESO A LOS MISMOS</w:t>
      </w:r>
      <w:r w:rsidRPr="00D5462B">
        <w:t>: La</w:t>
      </w:r>
      <w:r w:rsidR="0088752A">
        <w:t>s</w:t>
      </w:r>
      <w:r w:rsidRPr="00D5462B">
        <w:t xml:space="preserve"> reuni</w:t>
      </w:r>
      <w:r w:rsidR="0088752A">
        <w:t>o</w:t>
      </w:r>
      <w:r w:rsidRPr="00D5462B">
        <w:t>n</w:t>
      </w:r>
      <w:r w:rsidR="0088752A">
        <w:t>es</w:t>
      </w:r>
      <w:r w:rsidRPr="00D5462B">
        <w:t xml:space="preserve"> se celebrará</w:t>
      </w:r>
      <w:r w:rsidR="0088752A">
        <w:t>n</w:t>
      </w:r>
      <w:r w:rsidRPr="00D5462B">
        <w:t xml:space="preserve"> sin hacer uso del papel. Las contribuciones de los miembros deben presentarse utilizando la </w:t>
      </w:r>
      <w:hyperlink r:id="rId22" w:history="1">
        <w:r w:rsidRPr="00D5462B">
          <w:rPr>
            <w:rStyle w:val="Hyperlink"/>
          </w:rPr>
          <w:t>Publicación Directa de Documentos</w:t>
        </w:r>
      </w:hyperlink>
      <w:r w:rsidRPr="00D5462B">
        <w:t xml:space="preserve">; los proyectos de DT deben presentarse por correo-e a la secretaría de la Comisión de Estudio utilizando la </w:t>
      </w:r>
      <w:hyperlink r:id="rId23" w:history="1">
        <w:r w:rsidRPr="00D5462B">
          <w:rPr>
            <w:rStyle w:val="Hyperlink"/>
          </w:rPr>
          <w:t>plantilla apropiada</w:t>
        </w:r>
      </w:hyperlink>
      <w:r w:rsidRPr="00D5462B">
        <w:t>. El acceso a los documentos de la reunión se facilita a partir de la página principal de la Comisión de Estudio, y está restringido a los miembros del UIT-T/</w:t>
      </w:r>
      <w:hyperlink r:id="rId24" w:history="1">
        <w:r w:rsidRPr="00D5462B">
          <w:rPr>
            <w:rStyle w:val="Hyperlink"/>
          </w:rPr>
          <w:t>Titulares de cuenta TIES</w:t>
        </w:r>
      </w:hyperlink>
      <w:r w:rsidRPr="00D5462B">
        <w:t>.</w:t>
      </w:r>
    </w:p>
    <w:p w14:paraId="4C7293BA" w14:textId="1189AEEE" w:rsidR="0088752A" w:rsidRPr="0088752A" w:rsidRDefault="00165D6B" w:rsidP="0088752A">
      <w:r w:rsidRPr="00C170A5">
        <w:rPr>
          <w:b/>
          <w:bCs/>
          <w:lang w:val="es-ES"/>
        </w:rPr>
        <w:t>IDIOMA DE TRABAJO</w:t>
      </w:r>
      <w:r w:rsidR="0088752A" w:rsidRPr="00C170A5">
        <w:rPr>
          <w:lang w:val="es-ES"/>
        </w:rPr>
        <w:t>: Las reuniones se celebrarán íntegramente en inglés, sin interpretación.</w:t>
      </w:r>
    </w:p>
    <w:p w14:paraId="53856F58" w14:textId="3B00EEC4" w:rsidR="00C20BE2" w:rsidRPr="00D5462B" w:rsidRDefault="00C20BE2" w:rsidP="00DF1C20">
      <w:r w:rsidRPr="00D5462B">
        <w:rPr>
          <w:b/>
          <w:bCs/>
        </w:rPr>
        <w:t>LAN INALÁMBRICA</w:t>
      </w:r>
      <w:r w:rsidRPr="00D5462B">
        <w:t>: Los delegados disponen de instalaciones de red de área local inalámbrica en todas las salas de conferencias de la UIT. En la dirección web del UIT-T (</w:t>
      </w:r>
      <w:hyperlink r:id="rId25" w:history="1">
        <w:r w:rsidR="00DF1C20" w:rsidRPr="00C170A5">
          <w:rPr>
            <w:rStyle w:val="Hyperlink"/>
            <w:lang w:val="es-ES"/>
          </w:rPr>
          <w:t>https://www.itu.int/en/ITU-T/ewm/Pages/ITU-Internet-Printer-Services.aspx</w:t>
        </w:r>
      </w:hyperlink>
      <w:r w:rsidRPr="00D5462B">
        <w:t>) se puede encontrar información más detallada al respecto.</w:t>
      </w:r>
    </w:p>
    <w:p w14:paraId="410D5504" w14:textId="77777777" w:rsidR="00C20BE2" w:rsidRPr="00D5462B" w:rsidRDefault="00C20BE2" w:rsidP="00C20BE2">
      <w:r w:rsidRPr="00D5462B">
        <w:rPr>
          <w:b/>
          <w:bCs/>
        </w:rPr>
        <w:t>TAQUILLAS ELECTRÓNICAS</w:t>
      </w:r>
      <w:r w:rsidRPr="00D5462B">
        <w:t xml:space="preserve">: Disponibles para la duración de la reunión utilizando la tarjeta de identificación RFID del delegado. Las taquillas electrónicas están situadas en la planta baja del </w:t>
      </w:r>
      <w:hyperlink r:id="rId26" w:history="1">
        <w:r w:rsidRPr="00D5462B">
          <w:rPr>
            <w:rStyle w:val="Hyperlink"/>
          </w:rPr>
          <w:t>edificio Montbrillant</w:t>
        </w:r>
      </w:hyperlink>
      <w:r w:rsidRPr="00D5462B">
        <w:t>, inmediatamente después de l</w:t>
      </w:r>
      <w:r>
        <w:t>os mostradores de inscripción.</w:t>
      </w:r>
    </w:p>
    <w:p w14:paraId="37835052" w14:textId="2DD4A7B3" w:rsidR="00C20BE2" w:rsidRPr="00D5462B" w:rsidRDefault="00C20BE2" w:rsidP="00DF1C20">
      <w:r w:rsidRPr="00D5462B">
        <w:rPr>
          <w:b/>
          <w:bCs/>
        </w:rPr>
        <w:t>IMPRESORAS</w:t>
      </w:r>
      <w:r w:rsidRPr="00D5462B">
        <w:t xml:space="preserve">: Disponibles en los salones de los delegados y en las proximidades de las </w:t>
      </w:r>
      <w:hyperlink r:id="rId27" w:history="1">
        <w:r w:rsidRPr="00D5462B">
          <w:rPr>
            <w:rStyle w:val="Hyperlink"/>
          </w:rPr>
          <w:t>principales salas de reunión</w:t>
        </w:r>
      </w:hyperlink>
      <w:r w:rsidRPr="00D5462B">
        <w:t xml:space="preserve">. Para evitar la necesidad de instalar pilotos en las computadoras de los delegados, los documentos pueden imprimirse electrónicamente enviándolos por correo-e a la impresora deseada. Más detalles en </w:t>
      </w:r>
      <w:hyperlink r:id="rId28" w:history="1">
        <w:r w:rsidR="00DF1C20" w:rsidRPr="00DF1C20">
          <w:rPr>
            <w:rStyle w:val="Hyperlink"/>
          </w:rPr>
          <w:t>https://itu.int/go/e-print</w:t>
        </w:r>
      </w:hyperlink>
      <w:r w:rsidRPr="00D5462B">
        <w:t>.</w:t>
      </w:r>
    </w:p>
    <w:p w14:paraId="43AD39C6" w14:textId="77777777" w:rsidR="00C20BE2" w:rsidRPr="00D5462B" w:rsidRDefault="00C20BE2" w:rsidP="00C20BE2">
      <w:r w:rsidRPr="00D5462B">
        <w:rPr>
          <w:b/>
          <w:bCs/>
        </w:rPr>
        <w:t>PRÉSTAMO DE COMPUTADORAS PORTÁTILES</w:t>
      </w:r>
      <w:r w:rsidRPr="00D5462B">
        <w:t>: El Servicio de Asistencia de la UIT (</w:t>
      </w:r>
      <w:hyperlink r:id="rId29" w:history="1">
        <w:r w:rsidRPr="00D5462B">
          <w:rPr>
            <w:rStyle w:val="Hyperlink"/>
          </w:rPr>
          <w:t>servicedesk@itu.int</w:t>
        </w:r>
      </w:hyperlink>
      <w:r w:rsidRPr="00D5462B">
        <w:t>) dispone de un número limitado de computadoras portátiles para los delegados y atiende a las solicitudes por orden de presentación.</w:t>
      </w:r>
    </w:p>
    <w:p w14:paraId="2F523A14" w14:textId="4A2EE264" w:rsidR="00012A44" w:rsidRDefault="00012A44" w:rsidP="00012A44">
      <w:bookmarkStart w:id="2" w:name="lt_pId082"/>
      <w:r w:rsidRPr="00012A44">
        <w:rPr>
          <w:b/>
        </w:rPr>
        <w:t>PARTICIPACIÓN A DISTANCIA INTERACTIVA:</w:t>
      </w:r>
      <w:r w:rsidRPr="00012A44">
        <w:t xml:space="preserve"> Siempre que sea posible, se ofrecerá la posibilidad de participar a distancia. Para tener acceso a las sesiones a distancia, los delegados habrán de inscribirse en la reunión. Los participantes deben tener presente que, como es habitual en estos casos,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w:t>
      </w:r>
      <w:bookmarkEnd w:id="2"/>
      <w:r w:rsidRPr="00012A44">
        <w:t>Se alienta a los participantes a utilizar el chat de la reunión para asegurar la gestión eficaz del tiempo durante las sesiones, a discreción del Presidente.</w:t>
      </w:r>
    </w:p>
    <w:p w14:paraId="678E2E8E" w14:textId="00F0C214" w:rsidR="00C20BE2" w:rsidRPr="0088752A" w:rsidRDefault="00C20BE2" w:rsidP="00012A44">
      <w:pPr>
        <w:spacing w:before="360"/>
        <w:jc w:val="center"/>
        <w:rPr>
          <w:b/>
          <w:bCs/>
        </w:rPr>
      </w:pPr>
      <w:r w:rsidRPr="0088752A">
        <w:rPr>
          <w:b/>
          <w:bCs/>
        </w:rPr>
        <w:t>PREINSCRIPCIÓN</w:t>
      </w:r>
      <w:r w:rsidR="00012A44">
        <w:rPr>
          <w:b/>
          <w:bCs/>
        </w:rPr>
        <w:t xml:space="preserve"> </w:t>
      </w:r>
      <w:r w:rsidR="00012A44" w:rsidRPr="00012A44">
        <w:rPr>
          <w:b/>
          <w:bCs/>
          <w:lang w:val="es-ES"/>
        </w:rPr>
        <w:t>Y APOYO PARA LA OBTENCIÓN DEL VISADO</w:t>
      </w:r>
    </w:p>
    <w:p w14:paraId="549CDE51" w14:textId="7244B52F" w:rsidR="00C20BE2" w:rsidRPr="00D5462B" w:rsidRDefault="00C20BE2" w:rsidP="00012A44">
      <w:pPr>
        <w:pStyle w:val="Normalaftertitle"/>
        <w:spacing w:before="240"/>
        <w:rPr>
          <w:szCs w:val="24"/>
        </w:rPr>
      </w:pPr>
      <w:r w:rsidRPr="00D5462B">
        <w:rPr>
          <w:b/>
          <w:bCs/>
        </w:rPr>
        <w:t>PREINSCRIPCIÓN</w:t>
      </w:r>
      <w:r w:rsidRPr="00D5462B">
        <w:t xml:space="preserve">: </w:t>
      </w:r>
      <w:r w:rsidR="00012A44" w:rsidRPr="00012A44">
        <w:t xml:space="preserve">La preinscripción es obligatoria y ha de hacerse en línea a través de la página web de la Comisión de Estudio </w:t>
      </w:r>
      <w:r w:rsidR="00012A44" w:rsidRPr="00012A44">
        <w:rPr>
          <w:b/>
        </w:rPr>
        <w:t>a más tardar un mes antes de la reunión</w:t>
      </w:r>
      <w:r w:rsidR="00012A44" w:rsidRPr="00012A44">
        <w:rPr>
          <w:bCs/>
        </w:rPr>
        <w:t xml:space="preserve">. Según lo indicado en la </w:t>
      </w:r>
      <w:hyperlink r:id="rId30" w:history="1">
        <w:r w:rsidR="00012A44" w:rsidRPr="00012A44">
          <w:rPr>
            <w:rStyle w:val="Hyperlink"/>
          </w:rPr>
          <w:t>Circular TSB 68</w:t>
        </w:r>
      </w:hyperlink>
      <w:r w:rsidR="00012A44" w:rsidRPr="00012A44">
        <w:rPr>
          <w:bCs/>
        </w:rPr>
        <w:t xml:space="preserve">, el sistema de inscripción requiere la aprobación del Coordinador para las solicitudes de inscripción; en la </w:t>
      </w:r>
      <w:hyperlink r:id="rId31" w:history="1">
        <w:r w:rsidR="00012A44" w:rsidRPr="00012A44">
          <w:rPr>
            <w:rStyle w:val="Hyperlink"/>
          </w:rPr>
          <w:t>Circular TSB 118</w:t>
        </w:r>
      </w:hyperlink>
      <w:r w:rsidR="00012A44" w:rsidRPr="00012A44">
        <w:rPr>
          <w:bCs/>
        </w:rPr>
        <w:t xml:space="preserve"> se detalla cómo configurar la aprobación automática de esas solicitudes. Algunas de las opciones en el formulario de registro se aplican únicamente a los Estados Miembros</w:t>
      </w:r>
      <w:r w:rsidR="00AD055D">
        <w:rPr>
          <w:bCs/>
        </w:rPr>
        <w:t>(como</w:t>
      </w:r>
      <w:r w:rsidR="00012A44" w:rsidRPr="00012A44">
        <w:rPr>
          <w:bCs/>
        </w:rPr>
        <w:t xml:space="preserve"> función</w:t>
      </w:r>
      <w:r w:rsidR="00AD055D">
        <w:rPr>
          <w:bCs/>
        </w:rPr>
        <w:t>)</w:t>
      </w:r>
      <w:r w:rsidR="00012A44" w:rsidRPr="00012A44">
        <w:rPr>
          <w:bCs/>
        </w:rPr>
        <w:t xml:space="preserve">. </w:t>
      </w:r>
      <w:r w:rsidR="00012A44" w:rsidRPr="00012A44">
        <w:t>Se invita a los miembros a incluir mujeres en sus delegaciones siempre que sea posible.</w:t>
      </w:r>
    </w:p>
    <w:p w14:paraId="0CFA6FA3" w14:textId="77777777" w:rsidR="00C20BE2" w:rsidRPr="00D5462B" w:rsidRDefault="00C20BE2" w:rsidP="00C20BE2">
      <w:r w:rsidRPr="00D5462B">
        <w:rPr>
          <w:b/>
          <w:bCs/>
        </w:rPr>
        <w:t>AYUDA PARA LA SOLICITUD DE VISADOS</w:t>
      </w:r>
      <w:r w:rsidRPr="00D5462B">
        <w:t>: En su caso, los</w:t>
      </w:r>
      <w:r w:rsidRPr="00D5462B">
        <w:rPr>
          <w:b/>
          <w:bCs/>
        </w:rPr>
        <w:t xml:space="preserve"> </w:t>
      </w:r>
      <w:r w:rsidRPr="00D5462B">
        <w:t>visados deben solicitarse antes de la fecha de llegada a Suiza en la embajada o el consulado que representa a Suiza en su país o, en su defecto, en la más próxima a su país de partida. Habida cuenta de que los plazos aplicables pueden variar, se recomienda consultar directamente a la representación adecuada y presentar la solicitud con antelación.</w:t>
      </w:r>
    </w:p>
    <w:p w14:paraId="7E997C4E" w14:textId="443713D8" w:rsidR="00C20BE2" w:rsidRPr="00A72C1E" w:rsidRDefault="00C20BE2" w:rsidP="00A72C1E">
      <w:r w:rsidRPr="00D5462B">
        <w:t>Si tropieza con problemas, la Unión puede, previa solicitud oficial de la administración o la entidad que usted representa, intervenir ante las autoridades suizas competentes para facilitar la expedición de ese visado.</w:t>
      </w:r>
      <w:r w:rsidR="00A72C1E" w:rsidRPr="00A72C1E">
        <w:t xml:space="preserve"> Una vez que el coordinador de inscripciones de su organización haya aprobado su inscripción, </w:t>
      </w:r>
      <w:r w:rsidR="00A72C1E" w:rsidRPr="00A72C1E">
        <w:lastRenderedPageBreak/>
        <w:t xml:space="preserve">transcurren normalmente 15 días antes de que se emita la carta de solicitud de visado. Por consiguiente, las solicitudes deben formularse marcando la casilla correspondiente en el formulario de inscripción, </w:t>
      </w:r>
      <w:r w:rsidR="00A72C1E" w:rsidRPr="00A72C1E">
        <w:rPr>
          <w:b/>
        </w:rPr>
        <w:t>a más tardar un mes antes de la reunión</w:t>
      </w:r>
      <w:r w:rsidR="00A72C1E" w:rsidRPr="00A72C1E">
        <w:t>. Las consultas deben remitirse a la Sección de Viajes de la UIT (</w:t>
      </w:r>
      <w:hyperlink r:id="rId32" w:history="1">
        <w:r w:rsidR="00A72C1E" w:rsidRPr="00A72C1E">
          <w:rPr>
            <w:rStyle w:val="Hyperlink"/>
          </w:rPr>
          <w:t>travel@itu.int</w:t>
        </w:r>
      </w:hyperlink>
      <w:r w:rsidR="00A72C1E" w:rsidRPr="00A72C1E">
        <w:t xml:space="preserve">) con la indicación </w:t>
      </w:r>
      <w:r w:rsidR="00A72C1E" w:rsidRPr="00A72C1E">
        <w:rPr>
          <w:b/>
        </w:rPr>
        <w:t>"apoyo para la obtención de visado"</w:t>
      </w:r>
      <w:r w:rsidR="00A72C1E" w:rsidRPr="00A72C1E">
        <w:t>.</w:t>
      </w:r>
    </w:p>
    <w:p w14:paraId="1490908D" w14:textId="4F47058B" w:rsidR="00012A44" w:rsidRDefault="00012A44" w:rsidP="00012A44">
      <w:pPr>
        <w:spacing w:before="360"/>
        <w:jc w:val="center"/>
        <w:rPr>
          <w:b/>
          <w:bCs/>
        </w:rPr>
      </w:pPr>
      <w:r w:rsidRPr="0088752A">
        <w:rPr>
          <w:b/>
          <w:bCs/>
        </w:rPr>
        <w:t>VISITAS A GINEBRA: HOTELES, TRANSPORTE PÚBLICO</w:t>
      </w:r>
    </w:p>
    <w:p w14:paraId="5358FCB6" w14:textId="0030DBD9" w:rsidR="00A72C1E" w:rsidRPr="00A72C1E" w:rsidRDefault="00A72C1E" w:rsidP="00A72C1E">
      <w:pPr>
        <w:pStyle w:val="Normalaftertitle"/>
        <w:spacing w:before="240"/>
        <w:rPr>
          <w:lang w:val="es-ES"/>
        </w:rPr>
      </w:pPr>
      <w:r w:rsidRPr="00A72C1E">
        <w:rPr>
          <w:b/>
          <w:bCs/>
          <w:lang w:val="es-ES"/>
        </w:rPr>
        <w:t>VISITAS A GINEBRA</w:t>
      </w:r>
      <w:r w:rsidRPr="00A72C1E">
        <w:rPr>
          <w:lang w:val="es-ES"/>
        </w:rPr>
        <w:t xml:space="preserve">: Los delegados que asistan a reuniones de la UIT en Ginebra pueden encontrar información práctica en: </w:t>
      </w:r>
      <w:hyperlink r:id="rId33" w:history="1">
        <w:r w:rsidRPr="00A72C1E">
          <w:rPr>
            <w:rStyle w:val="Hyperlink"/>
            <w:lang w:val="es-ES"/>
          </w:rPr>
          <w:t>http://itu.int/es/delegates-corner/</w:t>
        </w:r>
      </w:hyperlink>
      <w:r w:rsidRPr="00A72C1E">
        <w:rPr>
          <w:lang w:val="es-ES"/>
        </w:rPr>
        <w:t>. La información relativa a</w:t>
      </w:r>
      <w:r>
        <w:rPr>
          <w:lang w:val="es-ES"/>
        </w:rPr>
        <w:t xml:space="preserve"> </w:t>
      </w:r>
      <w:r w:rsidRPr="00A72C1E">
        <w:rPr>
          <w:lang w:val="es-ES"/>
        </w:rPr>
        <w:t>l</w:t>
      </w:r>
      <w:r>
        <w:rPr>
          <w:lang w:val="es-ES"/>
        </w:rPr>
        <w:t>a</w:t>
      </w:r>
      <w:r w:rsidRPr="00A72C1E">
        <w:rPr>
          <w:lang w:val="es-ES"/>
        </w:rPr>
        <w:t xml:space="preserve"> COVID-19 a afectos de la participación en los eventos de la UIT puede encontrarse en: </w:t>
      </w:r>
      <w:hyperlink r:id="rId34" w:history="1">
        <w:r w:rsidRPr="00A72C1E">
          <w:rPr>
            <w:rStyle w:val="Hyperlink"/>
            <w:lang w:val="es-ES"/>
          </w:rPr>
          <w:t>https://www.itu.int/es/ITU-T/wtsa20/Pages/FAQ.aspx</w:t>
        </w:r>
      </w:hyperlink>
      <w:r w:rsidRPr="00A72C1E">
        <w:rPr>
          <w:lang w:val="es-ES"/>
        </w:rPr>
        <w:t>.</w:t>
      </w:r>
    </w:p>
    <w:p w14:paraId="17E3A8F6" w14:textId="77777777" w:rsidR="00A72C1E" w:rsidRPr="00A72C1E" w:rsidRDefault="00A72C1E" w:rsidP="00A72C1E">
      <w:pPr>
        <w:rPr>
          <w:lang w:val="es-ES"/>
        </w:rPr>
      </w:pPr>
      <w:r w:rsidRPr="00A72C1E">
        <w:rPr>
          <w:b/>
          <w:bCs/>
          <w:lang w:val="es-ES"/>
        </w:rPr>
        <w:t>DESCUENTOS PARA HOTELES</w:t>
      </w:r>
      <w:r w:rsidRPr="00A72C1E">
        <w:rPr>
          <w:lang w:val="es-ES"/>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5" w:history="1">
        <w:r w:rsidRPr="00A72C1E">
          <w:rPr>
            <w:rStyle w:val="Hyperlink"/>
            <w:lang w:val="es-ES"/>
          </w:rPr>
          <w:t>http://www.itu.int/travel/</w:t>
        </w:r>
      </w:hyperlink>
      <w:r w:rsidRPr="00A72C1E">
        <w:rPr>
          <w:lang w:val="es-ES"/>
        </w:rPr>
        <w:t>.</w:t>
      </w:r>
    </w:p>
    <w:p w14:paraId="02A65F07" w14:textId="70ADE02D" w:rsidR="002545AA" w:rsidRPr="00E35001" w:rsidRDefault="002545AA" w:rsidP="002545AA">
      <w:r w:rsidRPr="00E35001">
        <w:br w:type="page"/>
      </w:r>
    </w:p>
    <w:p w14:paraId="51B0616C" w14:textId="77777777" w:rsidR="00A72C1E" w:rsidRPr="00C170A5" w:rsidRDefault="00A72C1E" w:rsidP="00A72C1E">
      <w:pPr>
        <w:pStyle w:val="AnnexNo"/>
        <w:rPr>
          <w:b/>
          <w:bCs/>
          <w:lang w:val="en-US"/>
        </w:rPr>
      </w:pPr>
      <w:r w:rsidRPr="00C170A5">
        <w:rPr>
          <w:b/>
          <w:lang w:val="en-US"/>
        </w:rPr>
        <w:lastRenderedPageBreak/>
        <w:t>ANNEX B</w:t>
      </w:r>
    </w:p>
    <w:p w14:paraId="76964D43" w14:textId="77777777" w:rsidR="00A72C1E" w:rsidRPr="00C170A5" w:rsidRDefault="00A72C1E" w:rsidP="00A72C1E">
      <w:pPr>
        <w:pStyle w:val="AnnexNo"/>
        <w:spacing w:before="240"/>
        <w:rPr>
          <w:lang w:val="en-US"/>
        </w:rPr>
      </w:pPr>
      <w:r w:rsidRPr="00C170A5">
        <w:rPr>
          <w:b/>
          <w:lang w:val="en-US"/>
        </w:rPr>
        <w:t>Meetings of Working Parties 1/13, 2/13 and 3/13</w:t>
      </w:r>
      <w:r w:rsidRPr="00C170A5">
        <w:rPr>
          <w:b/>
          <w:lang w:val="en-US"/>
        </w:rPr>
        <w:br/>
        <w:t>Geneva, 25 November 2022</w:t>
      </w:r>
    </w:p>
    <w:p w14:paraId="7F1F0C28" w14:textId="77777777" w:rsidR="00A72C1E" w:rsidRPr="00C170A5" w:rsidRDefault="00A72C1E" w:rsidP="00A72C1E">
      <w:pPr>
        <w:pStyle w:val="AnnexNo"/>
        <w:spacing w:before="240"/>
        <w:rPr>
          <w:b/>
          <w:lang w:val="en-US"/>
        </w:rPr>
      </w:pPr>
      <w:r w:rsidRPr="00C170A5">
        <w:rPr>
          <w:b/>
          <w:lang w:val="en-US"/>
        </w:rPr>
        <w:t>Draft agenda</w:t>
      </w:r>
    </w:p>
    <w:p w14:paraId="65224E72" w14:textId="77777777" w:rsidR="00A72C1E" w:rsidRPr="00C170A5" w:rsidRDefault="00A72C1E" w:rsidP="00A72C1E">
      <w:pPr>
        <w:rPr>
          <w:lang w:val="en-US"/>
        </w:rPr>
      </w:pPr>
    </w:p>
    <w:p w14:paraId="70284540" w14:textId="77777777" w:rsidR="00A72C1E" w:rsidRPr="00C170A5" w:rsidRDefault="00A72C1E" w:rsidP="00A72C1E">
      <w:pPr>
        <w:rPr>
          <w:lang w:val="en-US"/>
        </w:rPr>
      </w:pPr>
    </w:p>
    <w:p w14:paraId="53F5A049" w14:textId="77777777" w:rsidR="00A72C1E" w:rsidRPr="00C170A5" w:rsidRDefault="00A72C1E" w:rsidP="00A72C1E">
      <w:pPr>
        <w:pStyle w:val="enumlev1"/>
        <w:rPr>
          <w:lang w:val="en-US"/>
        </w:rPr>
      </w:pPr>
      <w:r w:rsidRPr="00C170A5">
        <w:rPr>
          <w:lang w:val="en-US"/>
        </w:rPr>
        <w:t>1</w:t>
      </w:r>
      <w:r w:rsidRPr="00C170A5">
        <w:rPr>
          <w:lang w:val="en-US"/>
        </w:rPr>
        <w:tab/>
        <w:t>Opening remarks and welcome</w:t>
      </w:r>
    </w:p>
    <w:p w14:paraId="1112EA10" w14:textId="77777777" w:rsidR="00A72C1E" w:rsidRPr="00C170A5" w:rsidRDefault="00A72C1E" w:rsidP="00A72C1E">
      <w:pPr>
        <w:pStyle w:val="enumlev1"/>
        <w:rPr>
          <w:lang w:val="en-US"/>
        </w:rPr>
      </w:pPr>
      <w:r w:rsidRPr="00C170A5">
        <w:rPr>
          <w:lang w:val="en-US"/>
        </w:rPr>
        <w:t>2</w:t>
      </w:r>
      <w:r w:rsidRPr="00C170A5">
        <w:rPr>
          <w:lang w:val="en-US"/>
        </w:rPr>
        <w:tab/>
        <w:t>Approval of the agenda for the plenary meetings of Working Parties 1, 2 and 3/13</w:t>
      </w:r>
    </w:p>
    <w:p w14:paraId="1DAA1D9D" w14:textId="77777777" w:rsidR="00A72C1E" w:rsidRPr="00C170A5" w:rsidRDefault="00A72C1E" w:rsidP="00A72C1E">
      <w:pPr>
        <w:pStyle w:val="enumlev1"/>
        <w:rPr>
          <w:lang w:val="en-US"/>
        </w:rPr>
      </w:pPr>
      <w:r w:rsidRPr="00C170A5">
        <w:rPr>
          <w:lang w:val="en-US"/>
        </w:rPr>
        <w:t>3</w:t>
      </w:r>
      <w:r w:rsidRPr="00C170A5">
        <w:rPr>
          <w:lang w:val="en-US"/>
        </w:rPr>
        <w:tab/>
        <w:t xml:space="preserve">Review the results of Rapporteur Group meetings </w:t>
      </w:r>
    </w:p>
    <w:p w14:paraId="223ED38C" w14:textId="77777777" w:rsidR="00A72C1E" w:rsidRPr="00C170A5" w:rsidRDefault="00A72C1E" w:rsidP="00A72C1E">
      <w:pPr>
        <w:pStyle w:val="enumlev1"/>
        <w:rPr>
          <w:lang w:val="en-US"/>
        </w:rPr>
      </w:pPr>
      <w:r w:rsidRPr="00C170A5">
        <w:rPr>
          <w:lang w:val="en-US"/>
        </w:rPr>
        <w:t>4</w:t>
      </w:r>
      <w:r w:rsidRPr="00C170A5">
        <w:rPr>
          <w:lang w:val="en-US"/>
        </w:rPr>
        <w:tab/>
        <w:t>Consent of draft Recommendations</w:t>
      </w:r>
    </w:p>
    <w:p w14:paraId="5F466E96" w14:textId="77777777" w:rsidR="00A72C1E" w:rsidRPr="00C170A5" w:rsidRDefault="00A72C1E" w:rsidP="00A72C1E">
      <w:pPr>
        <w:pStyle w:val="enumlev1"/>
        <w:rPr>
          <w:lang w:val="en-US"/>
        </w:rPr>
      </w:pPr>
      <w:r w:rsidRPr="00C170A5">
        <w:rPr>
          <w:lang w:val="en-US"/>
        </w:rPr>
        <w:t>5</w:t>
      </w:r>
      <w:r w:rsidRPr="00C170A5">
        <w:rPr>
          <w:lang w:val="en-US"/>
        </w:rPr>
        <w:tab/>
        <w:t>Agreement on Supplements</w:t>
      </w:r>
    </w:p>
    <w:p w14:paraId="2C0D4A55" w14:textId="77777777" w:rsidR="00A72C1E" w:rsidRPr="00C170A5" w:rsidRDefault="00A72C1E" w:rsidP="00A72C1E">
      <w:pPr>
        <w:pStyle w:val="enumlev1"/>
        <w:rPr>
          <w:lang w:val="en-US"/>
        </w:rPr>
      </w:pPr>
      <w:r w:rsidRPr="00C170A5">
        <w:rPr>
          <w:lang w:val="en-US"/>
        </w:rPr>
        <w:t>6</w:t>
      </w:r>
      <w:r w:rsidRPr="00C170A5">
        <w:rPr>
          <w:lang w:val="en-US"/>
        </w:rPr>
        <w:tab/>
        <w:t xml:space="preserve">Agreement on new work items </w:t>
      </w:r>
    </w:p>
    <w:p w14:paraId="14E9708E" w14:textId="77777777" w:rsidR="00A72C1E" w:rsidRPr="00C170A5" w:rsidRDefault="00A72C1E" w:rsidP="00A72C1E">
      <w:pPr>
        <w:pStyle w:val="enumlev1"/>
        <w:rPr>
          <w:lang w:val="en-US"/>
        </w:rPr>
      </w:pPr>
      <w:r w:rsidRPr="00C170A5">
        <w:rPr>
          <w:lang w:val="en-US"/>
        </w:rPr>
        <w:t>7</w:t>
      </w:r>
      <w:r w:rsidRPr="00C170A5">
        <w:rPr>
          <w:lang w:val="en-US"/>
        </w:rPr>
        <w:tab/>
        <w:t>Approval of Outgoing Liaison Statements</w:t>
      </w:r>
    </w:p>
    <w:p w14:paraId="5A8FAA9C" w14:textId="77777777" w:rsidR="00A72C1E" w:rsidRPr="00C170A5" w:rsidRDefault="00A72C1E" w:rsidP="00A72C1E">
      <w:pPr>
        <w:pStyle w:val="enumlev1"/>
        <w:rPr>
          <w:lang w:val="en-US"/>
        </w:rPr>
      </w:pPr>
      <w:r w:rsidRPr="00C170A5">
        <w:rPr>
          <w:lang w:val="en-US"/>
        </w:rPr>
        <w:t>8</w:t>
      </w:r>
      <w:r w:rsidRPr="00C170A5">
        <w:rPr>
          <w:lang w:val="en-US"/>
        </w:rPr>
        <w:tab/>
        <w:t>Agreement on future activities</w:t>
      </w:r>
    </w:p>
    <w:p w14:paraId="54911742" w14:textId="77777777" w:rsidR="00A72C1E" w:rsidRPr="00C170A5" w:rsidRDefault="00A72C1E" w:rsidP="00A72C1E">
      <w:pPr>
        <w:pStyle w:val="enumlev1"/>
        <w:rPr>
          <w:lang w:val="en-US"/>
        </w:rPr>
      </w:pPr>
      <w:r w:rsidRPr="00C170A5">
        <w:rPr>
          <w:lang w:val="en-US"/>
        </w:rPr>
        <w:t>9</w:t>
      </w:r>
      <w:r w:rsidRPr="00C170A5">
        <w:rPr>
          <w:lang w:val="en-US"/>
        </w:rPr>
        <w:tab/>
        <w:t>Miscellaneous</w:t>
      </w:r>
    </w:p>
    <w:p w14:paraId="5D363117" w14:textId="77777777" w:rsidR="00A72C1E" w:rsidRPr="00C170A5" w:rsidRDefault="00A72C1E" w:rsidP="00A72C1E">
      <w:pPr>
        <w:rPr>
          <w:b/>
          <w:lang w:val="en-US"/>
        </w:rPr>
      </w:pPr>
      <w:r w:rsidRPr="00C170A5">
        <w:rPr>
          <w:lang w:val="en-US"/>
        </w:rPr>
        <w:t>10</w:t>
      </w:r>
      <w:r w:rsidRPr="00C170A5">
        <w:rPr>
          <w:lang w:val="en-US"/>
        </w:rPr>
        <w:tab/>
        <w:t>Closure of the meeting</w:t>
      </w:r>
    </w:p>
    <w:p w14:paraId="2AF9D5C7" w14:textId="77777777" w:rsidR="00A72C1E" w:rsidRPr="00C170A5" w:rsidRDefault="00A72C1E" w:rsidP="002545AA">
      <w:pPr>
        <w:pStyle w:val="Reasons"/>
      </w:pPr>
    </w:p>
    <w:p w14:paraId="7CE38AD3" w14:textId="77777777" w:rsidR="002545AA" w:rsidRPr="00E35001" w:rsidRDefault="002545AA" w:rsidP="002545AA">
      <w:pPr>
        <w:jc w:val="center"/>
      </w:pPr>
      <w:r w:rsidRPr="00E35001">
        <w:t>______________</w:t>
      </w:r>
    </w:p>
    <w:p w14:paraId="4051B564" w14:textId="77777777" w:rsidR="00C34772" w:rsidRPr="00D119EC" w:rsidRDefault="00C34772" w:rsidP="002545AA">
      <w:pPr>
        <w:tabs>
          <w:tab w:val="clear" w:pos="794"/>
          <w:tab w:val="clear" w:pos="1191"/>
          <w:tab w:val="clear" w:pos="1588"/>
          <w:tab w:val="clear" w:pos="1985"/>
          <w:tab w:val="left" w:pos="4962"/>
        </w:tabs>
        <w:rPr>
          <w:sz w:val="4"/>
          <w:szCs w:val="4"/>
          <w:lang w:val="en-US"/>
        </w:rPr>
      </w:pPr>
    </w:p>
    <w:sectPr w:rsidR="00C34772" w:rsidRPr="00D119EC" w:rsidSect="002545AA">
      <w:headerReference w:type="even" r:id="rId36"/>
      <w:headerReference w:type="default" r:id="rId37"/>
      <w:footerReference w:type="first" r:id="rId38"/>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4481A430" w:rsidR="005E67CA" w:rsidRPr="00F834B9" w:rsidRDefault="005E67CA" w:rsidP="005E67CA">
    <w:pPr>
      <w:pStyle w:val="FirstFooter"/>
      <w:ind w:left="-397" w:right="-397"/>
      <w:jc w:val="center"/>
      <w:rPr>
        <w:color w:val="0070C0"/>
        <w:szCs w:val="18"/>
        <w:lang w:val="es-ES"/>
      </w:rPr>
    </w:pPr>
    <w:r w:rsidRPr="00F834B9">
      <w:rPr>
        <w:color w:val="0070C0"/>
        <w:szCs w:val="18"/>
        <w:lang w:val="es-ES"/>
      </w:rPr>
      <w:t>Unión Internacional de Telecomunicaciones • Place des Nations, CH</w:t>
    </w:r>
    <w:r w:rsidRPr="00F834B9">
      <w:rPr>
        <w:color w:val="0070C0"/>
        <w:szCs w:val="18"/>
        <w:lang w:val="es-ES"/>
      </w:rPr>
      <w:noBreakHyphen/>
      <w:t xml:space="preserve">1211 Ginebra 20, Suiza </w:t>
    </w:r>
    <w:r w:rsidRPr="00F834B9">
      <w:rPr>
        <w:color w:val="0070C0"/>
        <w:szCs w:val="18"/>
        <w:lang w:val="es-ES"/>
      </w:rPr>
      <w:br/>
      <w:t>Tel</w:t>
    </w:r>
    <w:r w:rsidR="00C20BE2">
      <w:rPr>
        <w:color w:val="0070C0"/>
        <w:szCs w:val="18"/>
        <w:lang w:val="es-ES"/>
      </w:rPr>
      <w:t>.</w:t>
    </w:r>
    <w:r w:rsidRPr="00F834B9">
      <w:rPr>
        <w:color w:val="0070C0"/>
        <w:szCs w:val="18"/>
        <w:lang w:val="es-ES"/>
      </w:rPr>
      <w:t xml:space="preserve">: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5541237A"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A72C1E">
          <w:rPr>
            <w:bCs/>
            <w:sz w:val="18"/>
            <w:szCs w:val="18"/>
          </w:rPr>
          <w:t>3</w:t>
        </w:r>
        <w:r w:rsidRPr="001A50AB">
          <w:rPr>
            <w:bCs/>
            <w:sz w:val="18"/>
            <w:szCs w:val="18"/>
          </w:rPr>
          <w:t>/</w:t>
        </w:r>
        <w:r w:rsidR="00C20BE2">
          <w:rPr>
            <w:bCs/>
            <w:sz w:val="18"/>
            <w:szCs w:val="18"/>
          </w:rPr>
          <w:t>13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9DD8DF" w14:textId="5C964EDD"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3E08A7">
          <w:rPr>
            <w:bCs/>
            <w:sz w:val="18"/>
            <w:szCs w:val="18"/>
          </w:rPr>
          <w:t>3</w:t>
        </w:r>
        <w:r w:rsidRPr="001A50AB">
          <w:rPr>
            <w:bCs/>
            <w:sz w:val="18"/>
            <w:szCs w:val="18"/>
          </w:rPr>
          <w:t>/</w:t>
        </w:r>
        <w:r w:rsidR="00C20BE2">
          <w:rPr>
            <w:bCs/>
            <w:sz w:val="18"/>
            <w:szCs w:val="18"/>
          </w:rPr>
          <w:t>13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00956949">
    <w:abstractNumId w:val="0"/>
  </w:num>
  <w:num w:numId="2" w16cid:durableId="824050477">
    <w:abstractNumId w:val="6"/>
  </w:num>
  <w:num w:numId="3" w16cid:durableId="787165250">
    <w:abstractNumId w:val="5"/>
  </w:num>
  <w:num w:numId="4" w16cid:durableId="1663776546">
    <w:abstractNumId w:val="2"/>
  </w:num>
  <w:num w:numId="5" w16cid:durableId="1709405227">
    <w:abstractNumId w:val="3"/>
  </w:num>
  <w:num w:numId="6" w16cid:durableId="529686195">
    <w:abstractNumId w:val="4"/>
  </w:num>
  <w:num w:numId="7" w16cid:durableId="1841045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12A44"/>
    <w:rsid w:val="00043D90"/>
    <w:rsid w:val="000678BB"/>
    <w:rsid w:val="00080F6C"/>
    <w:rsid w:val="00082CAE"/>
    <w:rsid w:val="0009525A"/>
    <w:rsid w:val="000C375D"/>
    <w:rsid w:val="000C382F"/>
    <w:rsid w:val="000C3B34"/>
    <w:rsid w:val="000F67AE"/>
    <w:rsid w:val="00114963"/>
    <w:rsid w:val="001173CC"/>
    <w:rsid w:val="00126D02"/>
    <w:rsid w:val="001344C2"/>
    <w:rsid w:val="00136FC2"/>
    <w:rsid w:val="00141CB4"/>
    <w:rsid w:val="00165D6B"/>
    <w:rsid w:val="001671BC"/>
    <w:rsid w:val="001A2905"/>
    <w:rsid w:val="001A54CC"/>
    <w:rsid w:val="001C2FAD"/>
    <w:rsid w:val="001D1BA9"/>
    <w:rsid w:val="001D7554"/>
    <w:rsid w:val="001F0D48"/>
    <w:rsid w:val="002021BB"/>
    <w:rsid w:val="00212668"/>
    <w:rsid w:val="00221C83"/>
    <w:rsid w:val="002545AA"/>
    <w:rsid w:val="00257FB4"/>
    <w:rsid w:val="00271D3E"/>
    <w:rsid w:val="0027571F"/>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E08A7"/>
    <w:rsid w:val="003F0402"/>
    <w:rsid w:val="003F073D"/>
    <w:rsid w:val="003F2855"/>
    <w:rsid w:val="00401C20"/>
    <w:rsid w:val="00402B00"/>
    <w:rsid w:val="00421116"/>
    <w:rsid w:val="00427EA6"/>
    <w:rsid w:val="00450C73"/>
    <w:rsid w:val="004C1AD1"/>
    <w:rsid w:val="004C4144"/>
    <w:rsid w:val="004E26E4"/>
    <w:rsid w:val="004E7226"/>
    <w:rsid w:val="004F0A81"/>
    <w:rsid w:val="004F3212"/>
    <w:rsid w:val="004F5584"/>
    <w:rsid w:val="00505119"/>
    <w:rsid w:val="005267F7"/>
    <w:rsid w:val="00535F99"/>
    <w:rsid w:val="00545669"/>
    <w:rsid w:val="00555E45"/>
    <w:rsid w:val="00560EDA"/>
    <w:rsid w:val="00567B54"/>
    <w:rsid w:val="0057186B"/>
    <w:rsid w:val="005827E3"/>
    <w:rsid w:val="00586B1D"/>
    <w:rsid w:val="005B4854"/>
    <w:rsid w:val="005B6711"/>
    <w:rsid w:val="005E67CA"/>
    <w:rsid w:val="005E6EAC"/>
    <w:rsid w:val="00607393"/>
    <w:rsid w:val="00622CE3"/>
    <w:rsid w:val="00635FA2"/>
    <w:rsid w:val="0064235A"/>
    <w:rsid w:val="00647213"/>
    <w:rsid w:val="00653A0E"/>
    <w:rsid w:val="00653B29"/>
    <w:rsid w:val="0067009C"/>
    <w:rsid w:val="006760CF"/>
    <w:rsid w:val="006969B4"/>
    <w:rsid w:val="006A0C05"/>
    <w:rsid w:val="006A335A"/>
    <w:rsid w:val="006B5061"/>
    <w:rsid w:val="006C548B"/>
    <w:rsid w:val="006E24F0"/>
    <w:rsid w:val="006F6581"/>
    <w:rsid w:val="007128A1"/>
    <w:rsid w:val="00715D93"/>
    <w:rsid w:val="00720BA2"/>
    <w:rsid w:val="007337B6"/>
    <w:rsid w:val="00781E2A"/>
    <w:rsid w:val="007A6373"/>
    <w:rsid w:val="007A7A97"/>
    <w:rsid w:val="007B34FB"/>
    <w:rsid w:val="008134A7"/>
    <w:rsid w:val="00823E22"/>
    <w:rsid w:val="00824915"/>
    <w:rsid w:val="008258C2"/>
    <w:rsid w:val="00832E6B"/>
    <w:rsid w:val="00833CCA"/>
    <w:rsid w:val="00846D89"/>
    <w:rsid w:val="008505BD"/>
    <w:rsid w:val="00850C78"/>
    <w:rsid w:val="00855B98"/>
    <w:rsid w:val="00875FA8"/>
    <w:rsid w:val="0088752A"/>
    <w:rsid w:val="008C17AD"/>
    <w:rsid w:val="008D02CD"/>
    <w:rsid w:val="008F29BD"/>
    <w:rsid w:val="0091255A"/>
    <w:rsid w:val="00934054"/>
    <w:rsid w:val="0095172A"/>
    <w:rsid w:val="00963CD8"/>
    <w:rsid w:val="00975A06"/>
    <w:rsid w:val="009900B7"/>
    <w:rsid w:val="009D3E5C"/>
    <w:rsid w:val="009D4C42"/>
    <w:rsid w:val="009F0942"/>
    <w:rsid w:val="00A119A2"/>
    <w:rsid w:val="00A41330"/>
    <w:rsid w:val="00A42718"/>
    <w:rsid w:val="00A54E47"/>
    <w:rsid w:val="00A6120F"/>
    <w:rsid w:val="00A72C1E"/>
    <w:rsid w:val="00A85283"/>
    <w:rsid w:val="00AA30D4"/>
    <w:rsid w:val="00AA547D"/>
    <w:rsid w:val="00AD055D"/>
    <w:rsid w:val="00AD1512"/>
    <w:rsid w:val="00AE7093"/>
    <w:rsid w:val="00AF276D"/>
    <w:rsid w:val="00B00CEC"/>
    <w:rsid w:val="00B07A99"/>
    <w:rsid w:val="00B17920"/>
    <w:rsid w:val="00B321C3"/>
    <w:rsid w:val="00B422BC"/>
    <w:rsid w:val="00B43F77"/>
    <w:rsid w:val="00B44D9D"/>
    <w:rsid w:val="00B47470"/>
    <w:rsid w:val="00B616C2"/>
    <w:rsid w:val="00B95F0A"/>
    <w:rsid w:val="00B96180"/>
    <w:rsid w:val="00BC172A"/>
    <w:rsid w:val="00BC1FB8"/>
    <w:rsid w:val="00C0097C"/>
    <w:rsid w:val="00C05882"/>
    <w:rsid w:val="00C170A5"/>
    <w:rsid w:val="00C17AC0"/>
    <w:rsid w:val="00C20BE2"/>
    <w:rsid w:val="00C24BFC"/>
    <w:rsid w:val="00C31ED4"/>
    <w:rsid w:val="00C34772"/>
    <w:rsid w:val="00C36657"/>
    <w:rsid w:val="00C44C79"/>
    <w:rsid w:val="00C50A2D"/>
    <w:rsid w:val="00C71699"/>
    <w:rsid w:val="00C717E3"/>
    <w:rsid w:val="00CB3300"/>
    <w:rsid w:val="00CC1DE4"/>
    <w:rsid w:val="00CD4AE3"/>
    <w:rsid w:val="00D027A3"/>
    <w:rsid w:val="00D054F0"/>
    <w:rsid w:val="00D119EC"/>
    <w:rsid w:val="00DA16FC"/>
    <w:rsid w:val="00DA7E46"/>
    <w:rsid w:val="00DD77C9"/>
    <w:rsid w:val="00DD7900"/>
    <w:rsid w:val="00DF1C20"/>
    <w:rsid w:val="00DF4D66"/>
    <w:rsid w:val="00DF5926"/>
    <w:rsid w:val="00DF61F3"/>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A4A45"/>
    <w:rsid w:val="00FB1841"/>
    <w:rsid w:val="00FD2B2D"/>
    <w:rsid w:val="00FD2B88"/>
    <w:rsid w:val="00FE30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超链接1"/>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AA547D"/>
    <w:rPr>
      <w:color w:val="605E5C"/>
      <w:shd w:val="clear" w:color="auto" w:fill="E1DFDD"/>
    </w:rPr>
  </w:style>
  <w:style w:type="paragraph" w:styleId="Revision">
    <w:name w:val="Revision"/>
    <w:hidden/>
    <w:uiPriority w:val="99"/>
    <w:semiHidden/>
    <w:rsid w:val="006C548B"/>
    <w:rPr>
      <w:rFonts w:asciiTheme="minorHAnsi" w:hAnsiTheme="minorHAns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hyperlink" Target="http://itu.int/en/ITU-T/info/Documents/Visa-support-letter_MODEL.pdf" TargetMode="External"/><Relationship Id="rId26" Type="http://schemas.openxmlformats.org/officeDocument/2006/relationships/hyperlink" Target="https://www.itu.int/en/about/Documents/itu-plan.pdf" TargetMode="External"/><Relationship Id="rId39" Type="http://schemas.openxmlformats.org/officeDocument/2006/relationships/fontTable" Target="fontTable.xml"/><Relationship Id="rId21" Type="http://schemas.openxmlformats.org/officeDocument/2006/relationships/image" Target="media/image3.png"/><Relationship Id="rId34" Type="http://schemas.openxmlformats.org/officeDocument/2006/relationships/hyperlink" Target="https://www.itu.int/es/ITU-T/wtsa20/Pages/FAQ.aspx" TargetMode="Externa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itu.int/go/tsg13" TargetMode="External"/><Relationship Id="rId25" Type="http://schemas.openxmlformats.org/officeDocument/2006/relationships/hyperlink" Target="https://www.itu.int/en/ITU-T/ewm/Pages/ITU-Internet-Printer-Services.aspx" TargetMode="External"/><Relationship Id="rId33" Type="http://schemas.openxmlformats.org/officeDocument/2006/relationships/hyperlink" Target="http://itu.int/es/delegates-corner/"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image" Target="media/image2.PNG"/><Relationship Id="rId29" Type="http://schemas.openxmlformats.org/officeDocument/2006/relationships/hyperlink" Target="mailto:servicedesk@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3" TargetMode="External"/><Relationship Id="rId24" Type="http://schemas.openxmlformats.org/officeDocument/2006/relationships/hyperlink" Target="http://www.itu.int/TIES/" TargetMode="External"/><Relationship Id="rId32" Type="http://schemas.openxmlformats.org/officeDocument/2006/relationships/hyperlink" Target="mailto:travel@itu.int"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s/ITU-T/studygroups/2022-2024/13/Pages/default.aspx"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itu.int/go/e-printhttps://itu.int/go/e-print" TargetMode="External"/><Relationship Id="rId36" Type="http://schemas.openxmlformats.org/officeDocument/2006/relationships/header" Target="header1.xml"/><Relationship Id="rId10" Type="http://schemas.openxmlformats.org/officeDocument/2006/relationships/hyperlink" Target="http://itu.int/go/tsg13" TargetMode="External"/><Relationship Id="rId19" Type="http://schemas.openxmlformats.org/officeDocument/2006/relationships/hyperlink" Target="http://www.itu.int/net/ITU-T/ddp/" TargetMode="External"/><Relationship Id="rId31" Type="http://schemas.openxmlformats.org/officeDocument/2006/relationships/hyperlink" Target="https://www.itu.int/md/meetingdoc.asp?lang=en&amp;parent=T17-TSB-CIR-0118"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remote.itu.int/"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s://www.itu.int/md/meetingdoc.asp?lang=en&amp;parent=T17-TSB-CIR-0068" TargetMode="External"/><Relationship Id="rId35" Type="http://schemas.openxmlformats.org/officeDocument/2006/relationships/hyperlink" Target="http://www.itu.int/travel/"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7</TotalTime>
  <Pages>6</Pages>
  <Words>1939</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14197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6</cp:revision>
  <cp:lastPrinted>2022-08-16T09:14:00Z</cp:lastPrinted>
  <dcterms:created xsi:type="dcterms:W3CDTF">2022-08-10T13:18:00Z</dcterms:created>
  <dcterms:modified xsi:type="dcterms:W3CDTF">2022-08-16T09:15:00Z</dcterms:modified>
</cp:coreProperties>
</file>