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21"/>
        <w:tblW w:w="9781" w:type="dxa"/>
        <w:tblLayout w:type="fixed"/>
        <w:tblCellMar>
          <w:left w:w="0" w:type="dxa"/>
          <w:right w:w="0" w:type="dxa"/>
        </w:tblCellMar>
        <w:tblLook w:val="0000" w:firstRow="0" w:lastRow="0" w:firstColumn="0" w:lastColumn="0" w:noHBand="0" w:noVBand="0"/>
      </w:tblPr>
      <w:tblGrid>
        <w:gridCol w:w="1418"/>
        <w:gridCol w:w="6379"/>
        <w:gridCol w:w="1984"/>
      </w:tblGrid>
      <w:tr w:rsidR="00427EA6" w:rsidRPr="00697BC1" w14:paraId="5FCB831A" w14:textId="77777777" w:rsidTr="00427EA6">
        <w:trPr>
          <w:cantSplit/>
        </w:trPr>
        <w:tc>
          <w:tcPr>
            <w:tcW w:w="1418" w:type="dxa"/>
            <w:vAlign w:val="center"/>
          </w:tcPr>
          <w:p w14:paraId="7D2F8655" w14:textId="77777777" w:rsidR="00427EA6" w:rsidRPr="00697BC1" w:rsidRDefault="00CD4AE3" w:rsidP="00427EA6">
            <w:pPr>
              <w:tabs>
                <w:tab w:val="right" w:pos="8732"/>
              </w:tabs>
              <w:spacing w:before="0"/>
              <w:rPr>
                <w:b/>
                <w:bCs/>
                <w:iCs/>
                <w:color w:val="FFFFFF"/>
                <w:sz w:val="30"/>
                <w:szCs w:val="30"/>
              </w:rPr>
            </w:pPr>
            <w:r w:rsidRPr="00F1238A">
              <w:rPr>
                <w:noProof/>
                <w:lang w:val="en-US" w:eastAsia="zh-CN"/>
              </w:rPr>
              <w:drawing>
                <wp:inline distT="0" distB="0" distL="0" distR="0" wp14:anchorId="19A8972B" wp14:editId="73BC1E4A">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vAlign w:val="center"/>
          </w:tcPr>
          <w:p w14:paraId="23416829" w14:textId="77777777" w:rsidR="00427EA6" w:rsidRPr="00161F9A" w:rsidRDefault="00427EA6" w:rsidP="00427EA6">
            <w:pPr>
              <w:spacing w:before="0"/>
              <w:rPr>
                <w:rFonts w:cs="Times New Roman Bold"/>
                <w:b/>
                <w:bCs/>
                <w:smallCaps/>
                <w:sz w:val="26"/>
                <w:szCs w:val="26"/>
              </w:rPr>
            </w:pPr>
            <w:r>
              <w:rPr>
                <w:rFonts w:cs="Times New Roman Bold"/>
                <w:b/>
                <w:bCs/>
                <w:smallCaps/>
                <w:sz w:val="36"/>
                <w:szCs w:val="36"/>
              </w:rPr>
              <w:t>Unión Internacional de Telecomunicaciones</w:t>
            </w:r>
          </w:p>
          <w:p w14:paraId="1F45BB59" w14:textId="77777777" w:rsidR="00427EA6" w:rsidRPr="00884D12" w:rsidRDefault="00427EA6" w:rsidP="00427EA6">
            <w:pPr>
              <w:tabs>
                <w:tab w:val="right" w:pos="8732"/>
              </w:tabs>
              <w:spacing w:before="0"/>
              <w:rPr>
                <w:b/>
                <w:bCs/>
                <w:iCs/>
                <w:color w:val="FFFFFF"/>
                <w:sz w:val="30"/>
                <w:szCs w:val="30"/>
                <w:lang w:val="es-ES"/>
              </w:rPr>
            </w:pPr>
            <w:r>
              <w:rPr>
                <w:rFonts w:cs="Times New Roman Bold"/>
                <w:b/>
                <w:bCs/>
                <w:iCs/>
                <w:smallCaps/>
                <w:sz w:val="28"/>
                <w:szCs w:val="28"/>
              </w:rPr>
              <w:t>Oficina de Normalización de las Telecomunicaciones</w:t>
            </w:r>
          </w:p>
        </w:tc>
        <w:tc>
          <w:tcPr>
            <w:tcW w:w="1984" w:type="dxa"/>
            <w:vAlign w:val="center"/>
          </w:tcPr>
          <w:p w14:paraId="5130FFA0" w14:textId="77777777" w:rsidR="00427EA6" w:rsidRPr="00697BC1" w:rsidRDefault="00427EA6" w:rsidP="00427EA6">
            <w:pPr>
              <w:spacing w:before="0"/>
              <w:jc w:val="right"/>
              <w:rPr>
                <w:color w:val="FFFFFF"/>
                <w:sz w:val="26"/>
                <w:szCs w:val="26"/>
              </w:rPr>
            </w:pPr>
          </w:p>
        </w:tc>
      </w:tr>
    </w:tbl>
    <w:p w14:paraId="1D715E74" w14:textId="77777777" w:rsidR="002545AA" w:rsidRPr="00E35001" w:rsidRDefault="002545AA" w:rsidP="002545AA">
      <w:pPr>
        <w:spacing w:before="0" w:after="240"/>
      </w:pPr>
    </w:p>
    <w:tbl>
      <w:tblPr>
        <w:tblW w:w="9789" w:type="dxa"/>
        <w:tblInd w:w="-142" w:type="dxa"/>
        <w:tblLayout w:type="fixed"/>
        <w:tblLook w:val="0000" w:firstRow="0" w:lastRow="0" w:firstColumn="0" w:lastColumn="0" w:noHBand="0" w:noVBand="0"/>
      </w:tblPr>
      <w:tblGrid>
        <w:gridCol w:w="1135"/>
        <w:gridCol w:w="3892"/>
        <w:gridCol w:w="4762"/>
      </w:tblGrid>
      <w:tr w:rsidR="002545AA" w:rsidRPr="00E35001" w14:paraId="5BAED284" w14:textId="77777777" w:rsidTr="009113CD">
        <w:trPr>
          <w:cantSplit/>
        </w:trPr>
        <w:tc>
          <w:tcPr>
            <w:tcW w:w="1135" w:type="dxa"/>
          </w:tcPr>
          <w:p w14:paraId="21415219" w14:textId="77777777" w:rsidR="002545AA" w:rsidRPr="00E35001" w:rsidRDefault="002545AA" w:rsidP="00775189">
            <w:pPr>
              <w:spacing w:after="120"/>
            </w:pPr>
          </w:p>
        </w:tc>
        <w:tc>
          <w:tcPr>
            <w:tcW w:w="3892" w:type="dxa"/>
          </w:tcPr>
          <w:p w14:paraId="61F74745" w14:textId="77777777" w:rsidR="002545AA" w:rsidRPr="00E35001" w:rsidRDefault="002545AA" w:rsidP="00775189"/>
        </w:tc>
        <w:tc>
          <w:tcPr>
            <w:tcW w:w="4762" w:type="dxa"/>
          </w:tcPr>
          <w:p w14:paraId="66761920" w14:textId="4484CB3D" w:rsidR="002545AA" w:rsidRPr="004D37A4" w:rsidRDefault="005003A0" w:rsidP="00775189">
            <w:pPr>
              <w:rPr>
                <w:bCs/>
                <w:lang w:val="es-ES"/>
              </w:rPr>
            </w:pPr>
            <w:r w:rsidRPr="004D37A4">
              <w:rPr>
                <w:lang w:val="es-ES"/>
              </w:rPr>
              <w:t xml:space="preserve">Ginebra, 1 de </w:t>
            </w:r>
            <w:r w:rsidR="000C1743">
              <w:rPr>
                <w:lang w:val="es-ES"/>
              </w:rPr>
              <w:t>febrero</w:t>
            </w:r>
            <w:r w:rsidRPr="004D37A4">
              <w:rPr>
                <w:lang w:val="es-ES"/>
              </w:rPr>
              <w:t xml:space="preserve"> </w:t>
            </w:r>
            <w:r w:rsidR="00667393">
              <w:rPr>
                <w:lang w:val="es-ES"/>
              </w:rPr>
              <w:t xml:space="preserve">de </w:t>
            </w:r>
            <w:r w:rsidRPr="004D37A4">
              <w:rPr>
                <w:lang w:val="es-ES"/>
              </w:rPr>
              <w:t>2024</w:t>
            </w:r>
          </w:p>
        </w:tc>
      </w:tr>
      <w:tr w:rsidR="002545AA" w:rsidRPr="00E35001" w14:paraId="031E6D64" w14:textId="77777777" w:rsidTr="009113CD">
        <w:trPr>
          <w:cantSplit/>
          <w:trHeight w:val="649"/>
        </w:trPr>
        <w:tc>
          <w:tcPr>
            <w:tcW w:w="1135" w:type="dxa"/>
          </w:tcPr>
          <w:p w14:paraId="5CCEEF63" w14:textId="77777777" w:rsidR="002545AA" w:rsidRPr="00E35001" w:rsidRDefault="002545AA" w:rsidP="007842E5">
            <w:pPr>
              <w:spacing w:before="40" w:after="40"/>
            </w:pPr>
            <w:r w:rsidRPr="00E35001">
              <w:t>Ref.:</w:t>
            </w:r>
          </w:p>
        </w:tc>
        <w:tc>
          <w:tcPr>
            <w:tcW w:w="3892" w:type="dxa"/>
          </w:tcPr>
          <w:p w14:paraId="09096904" w14:textId="1C24135F" w:rsidR="002545AA" w:rsidRPr="004D37A4" w:rsidRDefault="002545AA" w:rsidP="004D37A4">
            <w:pPr>
              <w:spacing w:before="40" w:after="40"/>
              <w:rPr>
                <w:b/>
                <w:bCs/>
              </w:rPr>
            </w:pPr>
            <w:r w:rsidRPr="00775189">
              <w:rPr>
                <w:b/>
                <w:bCs/>
              </w:rPr>
              <w:t xml:space="preserve">Carta Colectiva TSB </w:t>
            </w:r>
            <w:r w:rsidR="005003A0" w:rsidRPr="00775189">
              <w:rPr>
                <w:b/>
                <w:bCs/>
              </w:rPr>
              <w:t>1/SG12RG-AMR</w:t>
            </w:r>
            <w:r w:rsidR="004D37A4">
              <w:rPr>
                <w:b/>
                <w:bCs/>
              </w:rPr>
              <w:br/>
            </w:r>
            <w:r w:rsidR="007842E5" w:rsidRPr="004D37A4">
              <w:rPr>
                <w:b/>
                <w:bCs/>
              </w:rPr>
              <w:t>CE</w:t>
            </w:r>
            <w:r w:rsidR="00551024">
              <w:rPr>
                <w:b/>
                <w:bCs/>
              </w:rPr>
              <w:t> </w:t>
            </w:r>
            <w:r w:rsidR="007842E5" w:rsidRPr="004D37A4">
              <w:rPr>
                <w:b/>
                <w:bCs/>
              </w:rPr>
              <w:t>12/MA</w:t>
            </w:r>
          </w:p>
        </w:tc>
        <w:tc>
          <w:tcPr>
            <w:tcW w:w="4762" w:type="dxa"/>
            <w:vMerge w:val="restart"/>
          </w:tcPr>
          <w:p w14:paraId="6B851E81" w14:textId="77777777" w:rsidR="00775189" w:rsidRDefault="00775189" w:rsidP="007842E5">
            <w:pPr>
              <w:spacing w:before="40" w:after="40"/>
            </w:pPr>
            <w:r>
              <w:t>A:</w:t>
            </w:r>
          </w:p>
          <w:p w14:paraId="48F4B7FD" w14:textId="4E7A7F2B" w:rsidR="007842E5" w:rsidRPr="007842E5" w:rsidRDefault="007842E5" w:rsidP="00775189">
            <w:pPr>
              <w:tabs>
                <w:tab w:val="clear" w:pos="794"/>
                <w:tab w:val="left" w:pos="391"/>
              </w:tabs>
              <w:spacing w:before="40" w:after="40"/>
              <w:ind w:left="391" w:hanging="391"/>
            </w:pPr>
            <w:r>
              <w:t>–</w:t>
            </w:r>
            <w:r w:rsidRPr="007842E5">
              <w:tab/>
              <w:t>las Administraciones que participan en el</w:t>
            </w:r>
            <w:r w:rsidR="004D37A4">
              <w:t> </w:t>
            </w:r>
            <w:r w:rsidRPr="007842E5">
              <w:t>GRCE12-AMR;</w:t>
            </w:r>
          </w:p>
          <w:p w14:paraId="6F434ACF" w14:textId="5EDEB751" w:rsidR="007842E5" w:rsidRPr="007842E5" w:rsidRDefault="007842E5" w:rsidP="00775189">
            <w:pPr>
              <w:tabs>
                <w:tab w:val="clear" w:pos="794"/>
                <w:tab w:val="left" w:pos="391"/>
              </w:tabs>
              <w:spacing w:before="40" w:after="40"/>
              <w:ind w:left="391" w:hanging="391"/>
            </w:pPr>
            <w:r>
              <w:t>–</w:t>
            </w:r>
            <w:r w:rsidRPr="007842E5">
              <w:tab/>
              <w:t>los Miembros de Sector del UIT-T que participan en el GRCE12-AMR;</w:t>
            </w:r>
          </w:p>
          <w:p w14:paraId="0399E89B" w14:textId="2A77B90A" w:rsidR="007842E5" w:rsidRPr="007842E5" w:rsidRDefault="007842E5" w:rsidP="00775189">
            <w:pPr>
              <w:tabs>
                <w:tab w:val="clear" w:pos="794"/>
                <w:tab w:val="left" w:pos="391"/>
              </w:tabs>
              <w:spacing w:before="40" w:after="40"/>
              <w:ind w:left="391" w:hanging="391"/>
            </w:pPr>
            <w:r>
              <w:t>–</w:t>
            </w:r>
            <w:r w:rsidRPr="007842E5">
              <w:tab/>
              <w:t>los Asociados del UIT-T que participan en el</w:t>
            </w:r>
            <w:r w:rsidR="004D37A4">
              <w:t> </w:t>
            </w:r>
            <w:r w:rsidRPr="007842E5">
              <w:t>GRCE12-AMR;</w:t>
            </w:r>
          </w:p>
          <w:p w14:paraId="427D2A18" w14:textId="08C98288" w:rsidR="007842E5" w:rsidRPr="007842E5" w:rsidRDefault="007842E5" w:rsidP="00775189">
            <w:pPr>
              <w:tabs>
                <w:tab w:val="clear" w:pos="794"/>
                <w:tab w:val="left" w:pos="391"/>
              </w:tabs>
              <w:spacing w:before="40" w:after="40"/>
              <w:ind w:left="391" w:hanging="391"/>
            </w:pPr>
            <w:r>
              <w:t>–</w:t>
            </w:r>
            <w:r w:rsidRPr="007842E5">
              <w:tab/>
              <w:t>las Instituciones Académicas de la UIT que participan en el GRCE12-AMR;</w:t>
            </w:r>
          </w:p>
          <w:p w14:paraId="4D1D965E" w14:textId="6362793A" w:rsidR="002545AA" w:rsidRPr="007842E5" w:rsidRDefault="007842E5" w:rsidP="004D37A4">
            <w:pPr>
              <w:tabs>
                <w:tab w:val="clear" w:pos="794"/>
                <w:tab w:val="left" w:pos="391"/>
              </w:tabs>
              <w:spacing w:before="40" w:after="40"/>
              <w:ind w:left="391" w:hanging="391"/>
            </w:pPr>
            <w:r>
              <w:t>–</w:t>
            </w:r>
            <w:r w:rsidRPr="007842E5">
              <w:tab/>
              <w:t>la Oficina Regional para las Américas de la</w:t>
            </w:r>
            <w:r w:rsidR="004D37A4">
              <w:t> </w:t>
            </w:r>
            <w:r w:rsidRPr="007842E5">
              <w:t xml:space="preserve">UIT, Brasilia </w:t>
            </w:r>
            <w:r w:rsidR="004D37A4">
              <w:t>(</w:t>
            </w:r>
            <w:r w:rsidRPr="007842E5">
              <w:t>Brasil</w:t>
            </w:r>
            <w:r w:rsidR="004D37A4">
              <w:t>)</w:t>
            </w:r>
          </w:p>
        </w:tc>
      </w:tr>
      <w:tr w:rsidR="002545AA" w:rsidRPr="00E35001" w14:paraId="2EF8A298" w14:textId="77777777" w:rsidTr="009113CD">
        <w:trPr>
          <w:cantSplit/>
          <w:trHeight w:val="390"/>
        </w:trPr>
        <w:tc>
          <w:tcPr>
            <w:tcW w:w="1135" w:type="dxa"/>
          </w:tcPr>
          <w:p w14:paraId="4157559E" w14:textId="77777777" w:rsidR="002545AA" w:rsidRPr="007842E5" w:rsidRDefault="002545AA" w:rsidP="007842E5">
            <w:pPr>
              <w:spacing w:before="40" w:after="40"/>
            </w:pPr>
            <w:r w:rsidRPr="007842E5">
              <w:t>Tel.:</w:t>
            </w:r>
          </w:p>
        </w:tc>
        <w:tc>
          <w:tcPr>
            <w:tcW w:w="3892" w:type="dxa"/>
          </w:tcPr>
          <w:p w14:paraId="4E7C6265" w14:textId="7F0CA44F" w:rsidR="002545AA" w:rsidRPr="00E35001" w:rsidRDefault="002545AA" w:rsidP="007842E5">
            <w:pPr>
              <w:spacing w:before="40" w:after="40"/>
            </w:pPr>
            <w:r w:rsidRPr="00E35001">
              <w:t>+</w:t>
            </w:r>
            <w:r w:rsidR="007842E5" w:rsidRPr="007842E5">
              <w:t>41 22 730 6828</w:t>
            </w:r>
          </w:p>
        </w:tc>
        <w:tc>
          <w:tcPr>
            <w:tcW w:w="4762" w:type="dxa"/>
            <w:vMerge/>
          </w:tcPr>
          <w:p w14:paraId="14D79EED" w14:textId="77777777" w:rsidR="002545AA" w:rsidRPr="00E35001" w:rsidRDefault="002545AA" w:rsidP="002C58A4">
            <w:pPr>
              <w:tabs>
                <w:tab w:val="left" w:pos="4111"/>
              </w:tabs>
              <w:spacing w:beforeLines="40" w:before="96" w:after="40"/>
              <w:ind w:left="57"/>
              <w:rPr>
                <w:bCs/>
              </w:rPr>
            </w:pPr>
          </w:p>
        </w:tc>
      </w:tr>
      <w:tr w:rsidR="002545AA" w:rsidRPr="00E35001" w14:paraId="00AB7670" w14:textId="77777777" w:rsidTr="009113CD">
        <w:trPr>
          <w:cantSplit/>
          <w:trHeight w:val="431"/>
        </w:trPr>
        <w:tc>
          <w:tcPr>
            <w:tcW w:w="1135" w:type="dxa"/>
          </w:tcPr>
          <w:p w14:paraId="1382796A" w14:textId="77777777" w:rsidR="002545AA" w:rsidRPr="007842E5" w:rsidRDefault="002545AA" w:rsidP="007842E5">
            <w:pPr>
              <w:spacing w:before="40" w:after="40"/>
            </w:pPr>
            <w:r w:rsidRPr="007842E5">
              <w:t>Fax:</w:t>
            </w:r>
          </w:p>
        </w:tc>
        <w:tc>
          <w:tcPr>
            <w:tcW w:w="3892" w:type="dxa"/>
          </w:tcPr>
          <w:p w14:paraId="0F7882F8" w14:textId="2B36C54E" w:rsidR="002545AA" w:rsidRPr="00E35001" w:rsidRDefault="002545AA" w:rsidP="007842E5">
            <w:pPr>
              <w:spacing w:before="40" w:after="40"/>
            </w:pPr>
            <w:r w:rsidRPr="00E35001">
              <w:t>+</w:t>
            </w:r>
            <w:r w:rsidR="007842E5" w:rsidRPr="007842E5">
              <w:t>41 22 730 5853</w:t>
            </w:r>
          </w:p>
        </w:tc>
        <w:tc>
          <w:tcPr>
            <w:tcW w:w="4762" w:type="dxa"/>
            <w:vMerge/>
          </w:tcPr>
          <w:p w14:paraId="1D45250F" w14:textId="77777777" w:rsidR="002545AA" w:rsidRPr="00E35001" w:rsidRDefault="002545AA" w:rsidP="002C58A4">
            <w:pPr>
              <w:tabs>
                <w:tab w:val="left" w:pos="4111"/>
              </w:tabs>
              <w:spacing w:beforeLines="40" w:before="96" w:after="40"/>
              <w:ind w:left="57"/>
              <w:rPr>
                <w:bCs/>
              </w:rPr>
            </w:pPr>
          </w:p>
        </w:tc>
      </w:tr>
      <w:tr w:rsidR="002545AA" w:rsidRPr="00E35001" w14:paraId="347CD68B" w14:textId="77777777" w:rsidTr="009113CD">
        <w:trPr>
          <w:cantSplit/>
        </w:trPr>
        <w:tc>
          <w:tcPr>
            <w:tcW w:w="1135" w:type="dxa"/>
          </w:tcPr>
          <w:p w14:paraId="4CEB4CD3" w14:textId="77777777" w:rsidR="002545AA" w:rsidRPr="007842E5" w:rsidRDefault="002545AA" w:rsidP="007842E5">
            <w:pPr>
              <w:spacing w:before="40" w:after="40"/>
            </w:pPr>
            <w:r w:rsidRPr="007842E5">
              <w:t>Correo-e:</w:t>
            </w:r>
          </w:p>
        </w:tc>
        <w:tc>
          <w:tcPr>
            <w:tcW w:w="3892" w:type="dxa"/>
          </w:tcPr>
          <w:p w14:paraId="79EF25F3" w14:textId="191DD5F8" w:rsidR="002545AA" w:rsidRPr="00E35001" w:rsidRDefault="000C1743" w:rsidP="007842E5">
            <w:pPr>
              <w:spacing w:before="40" w:after="40"/>
            </w:pPr>
            <w:hyperlink r:id="rId9" w:history="1">
              <w:r w:rsidR="00775189" w:rsidRPr="007D339C">
                <w:rPr>
                  <w:rStyle w:val="Hyperlink"/>
                </w:rPr>
                <w:t>tsbsg12@itu.int</w:t>
              </w:r>
            </w:hyperlink>
          </w:p>
        </w:tc>
        <w:tc>
          <w:tcPr>
            <w:tcW w:w="4762" w:type="dxa"/>
            <w:vMerge/>
          </w:tcPr>
          <w:p w14:paraId="668FC4C6" w14:textId="77777777" w:rsidR="002545AA" w:rsidRPr="00E35001" w:rsidRDefault="002545AA" w:rsidP="002C58A4">
            <w:pPr>
              <w:tabs>
                <w:tab w:val="left" w:pos="4111"/>
              </w:tabs>
              <w:spacing w:beforeLines="40" w:before="96" w:after="40"/>
              <w:ind w:left="57"/>
            </w:pPr>
          </w:p>
        </w:tc>
      </w:tr>
      <w:tr w:rsidR="002545AA" w:rsidRPr="00E35001" w14:paraId="2D49493A" w14:textId="77777777" w:rsidTr="009113CD">
        <w:trPr>
          <w:cantSplit/>
        </w:trPr>
        <w:tc>
          <w:tcPr>
            <w:tcW w:w="1135" w:type="dxa"/>
          </w:tcPr>
          <w:p w14:paraId="343F5A94" w14:textId="77777777" w:rsidR="002545AA" w:rsidRPr="007842E5" w:rsidRDefault="002545AA" w:rsidP="007842E5">
            <w:pPr>
              <w:spacing w:before="40" w:after="40"/>
            </w:pPr>
            <w:r w:rsidRPr="007842E5">
              <w:t>Web:</w:t>
            </w:r>
          </w:p>
        </w:tc>
        <w:tc>
          <w:tcPr>
            <w:tcW w:w="3892" w:type="dxa"/>
          </w:tcPr>
          <w:p w14:paraId="7D82AF90" w14:textId="4E551D8F" w:rsidR="002545AA" w:rsidRPr="00E35001" w:rsidRDefault="000C1743" w:rsidP="007842E5">
            <w:pPr>
              <w:spacing w:before="40" w:after="40"/>
            </w:pPr>
            <w:hyperlink r:id="rId10" w:history="1">
              <w:r w:rsidR="00775189" w:rsidRPr="007D339C">
                <w:rPr>
                  <w:rStyle w:val="Hyperlink"/>
                </w:rPr>
                <w:t>https://itu.int/en/ITU-T/regionalgroups/sg12-amr/</w:t>
              </w:r>
            </w:hyperlink>
          </w:p>
        </w:tc>
        <w:tc>
          <w:tcPr>
            <w:tcW w:w="4762" w:type="dxa"/>
            <w:vMerge/>
          </w:tcPr>
          <w:p w14:paraId="19961250" w14:textId="77777777" w:rsidR="002545AA" w:rsidRPr="00E35001" w:rsidRDefault="002545AA" w:rsidP="002C58A4">
            <w:pPr>
              <w:tabs>
                <w:tab w:val="left" w:pos="4111"/>
              </w:tabs>
              <w:spacing w:beforeLines="40" w:before="96" w:after="40"/>
              <w:ind w:left="57"/>
            </w:pPr>
          </w:p>
        </w:tc>
      </w:tr>
      <w:tr w:rsidR="002545AA" w:rsidRPr="00E35001" w14:paraId="2C82981D" w14:textId="77777777" w:rsidTr="009113CD">
        <w:trPr>
          <w:cantSplit/>
          <w:trHeight w:val="680"/>
        </w:trPr>
        <w:tc>
          <w:tcPr>
            <w:tcW w:w="1135" w:type="dxa"/>
          </w:tcPr>
          <w:p w14:paraId="6F8AF874" w14:textId="77777777" w:rsidR="002545AA" w:rsidRPr="007842E5" w:rsidRDefault="002545AA" w:rsidP="00775189">
            <w:r w:rsidRPr="009113CD">
              <w:rPr>
                <w:b/>
                <w:bCs/>
              </w:rPr>
              <w:t>Asunto</w:t>
            </w:r>
            <w:r w:rsidRPr="007842E5">
              <w:t>:</w:t>
            </w:r>
          </w:p>
        </w:tc>
        <w:tc>
          <w:tcPr>
            <w:tcW w:w="8654" w:type="dxa"/>
            <w:gridSpan w:val="2"/>
          </w:tcPr>
          <w:p w14:paraId="74B3306D" w14:textId="58F95958" w:rsidR="007842E5" w:rsidRPr="004D37A4" w:rsidRDefault="007842E5" w:rsidP="00775189">
            <w:pPr>
              <w:rPr>
                <w:b/>
                <w:bCs/>
              </w:rPr>
            </w:pPr>
            <w:r w:rsidRPr="004D37A4">
              <w:rPr>
                <w:b/>
                <w:bCs/>
              </w:rPr>
              <w:t>Reunión del Grupo Regional para las Américas de la Comisión de Estudio</w:t>
            </w:r>
            <w:r w:rsidR="004D37A4">
              <w:rPr>
                <w:b/>
                <w:bCs/>
              </w:rPr>
              <w:t> </w:t>
            </w:r>
            <w:r w:rsidRPr="004D37A4">
              <w:rPr>
                <w:b/>
                <w:bCs/>
              </w:rPr>
              <w:t>12 del UIT-T (GRCE12-AMR)</w:t>
            </w:r>
          </w:p>
          <w:p w14:paraId="416A77CC" w14:textId="1955AA74" w:rsidR="002545AA" w:rsidRPr="004D37A4" w:rsidRDefault="007842E5" w:rsidP="004D37A4">
            <w:pPr>
              <w:spacing w:before="40"/>
              <w:rPr>
                <w:b/>
                <w:bCs/>
              </w:rPr>
            </w:pPr>
            <w:r w:rsidRPr="004D37A4">
              <w:rPr>
                <w:b/>
                <w:bCs/>
              </w:rPr>
              <w:t>Ciudad de México (México), 20-21 de marzo de 2024</w:t>
            </w:r>
          </w:p>
        </w:tc>
      </w:tr>
    </w:tbl>
    <w:p w14:paraId="2912638F" w14:textId="1CED5738" w:rsidR="002545AA" w:rsidRPr="00E35001" w:rsidRDefault="002545AA" w:rsidP="007842E5">
      <w:pPr>
        <w:pStyle w:val="Normalaftertitle"/>
      </w:pPr>
      <w:bookmarkStart w:id="0" w:name="ditulogo"/>
      <w:bookmarkEnd w:id="0"/>
      <w:r w:rsidRPr="00E35001">
        <w:t>Muy Señora mía/Muy Señor mío</w:t>
      </w:r>
      <w:r w:rsidR="009113CD">
        <w:t>,</w:t>
      </w:r>
    </w:p>
    <w:p w14:paraId="105EDFA7" w14:textId="18BE7DBE" w:rsidR="007842E5" w:rsidRPr="007842E5" w:rsidRDefault="007842E5" w:rsidP="00775189">
      <w:pPr>
        <w:rPr>
          <w:lang w:val="es-ES"/>
        </w:rPr>
      </w:pPr>
      <w:r w:rsidRPr="007842E5">
        <w:rPr>
          <w:lang w:val="es-ES"/>
        </w:rPr>
        <w:t xml:space="preserve">Me complace comunicarle que, por amable invitación del Instituto Federal de Telecomunicaciones (IFT) de México, el </w:t>
      </w:r>
      <w:r w:rsidRPr="00775189">
        <w:rPr>
          <w:b/>
          <w:bCs/>
          <w:lang w:val="es-ES"/>
        </w:rPr>
        <w:t>Grupo Regional para las Américas de la Comisión de Estudio 12 del UIT-T</w:t>
      </w:r>
      <w:r w:rsidRPr="00775189">
        <w:rPr>
          <w:lang w:val="es-ES"/>
        </w:rPr>
        <w:t xml:space="preserve"> (</w:t>
      </w:r>
      <w:r w:rsidRPr="007842E5">
        <w:rPr>
          <w:lang w:val="es-ES"/>
        </w:rPr>
        <w:t xml:space="preserve">GRCE12-AMR) se reunirá en </w:t>
      </w:r>
      <w:r w:rsidRPr="00775189">
        <w:rPr>
          <w:b/>
          <w:bCs/>
          <w:lang w:val="es-ES"/>
        </w:rPr>
        <w:t>Ciudad de México (México), del 20 al 21 de marzo de 2024</w:t>
      </w:r>
      <w:r w:rsidRPr="007842E5">
        <w:rPr>
          <w:lang w:val="es-ES"/>
        </w:rPr>
        <w:t>.</w:t>
      </w:r>
    </w:p>
    <w:p w14:paraId="22B6C444" w14:textId="77777777" w:rsidR="007842E5" w:rsidRPr="007842E5" w:rsidRDefault="007842E5" w:rsidP="00775189">
      <w:pPr>
        <w:rPr>
          <w:lang w:val="es-ES"/>
        </w:rPr>
      </w:pPr>
      <w:r w:rsidRPr="007842E5">
        <w:rPr>
          <w:lang w:val="es-ES"/>
        </w:rPr>
        <w:t>Esta reunión se organiza junto con la reunión de la Comisión Técnica Regional de Telecomunicaciones (COMTELCA), que se celebrará durante la misma semana y en el mismo lugar.</w:t>
      </w:r>
    </w:p>
    <w:p w14:paraId="589419D3" w14:textId="034103B9" w:rsidR="007842E5" w:rsidRPr="007842E5" w:rsidRDefault="007842E5" w:rsidP="00775189">
      <w:pPr>
        <w:rPr>
          <w:lang w:val="es-ES"/>
        </w:rPr>
      </w:pPr>
      <w:r w:rsidRPr="007842E5">
        <w:rPr>
          <w:lang w:val="es-ES"/>
        </w:rPr>
        <w:t>Como información de antecedentes, cabe señalar que la Comisión de Estudio 12 del UIT-T, que es el grupo rector del GRCE12-AMR, es el principal foro para el desarrollo de normas internacionales en materia de rendimiento, calidad del servicio (QoS) y calidad percibida (QoE). Sus estudios se extienden a toda la gama de terminales, redes, servicios y aplicaciones, desde voz por redes fijas basadas en circuitos hasta aplicaciones multimedios a las que se accede por medios inalámbricos a través de redes por paquetes.</w:t>
      </w:r>
    </w:p>
    <w:p w14:paraId="44AFAB8A" w14:textId="77777777" w:rsidR="007842E5" w:rsidRPr="007842E5" w:rsidRDefault="007842E5" w:rsidP="00775189">
      <w:pPr>
        <w:rPr>
          <w:lang w:val="es-ES"/>
        </w:rPr>
      </w:pPr>
      <w:r w:rsidRPr="007842E5">
        <w:rPr>
          <w:lang w:val="es-ES"/>
        </w:rPr>
        <w:t>Las normas desarrolladas por la Comisión de Estudio 12 son muy pertinentes para que los operadores puedan ofrecer el nivel del servicio necesario para atraer y mantener clientes. Del mismo modo, los organismos reguladores se interesan por las orientaciones técnicas que ofrece la Comisión de Estudio 12 a la hora de orientar sus mercados nacionales hacia un nivel elevado de QoS y QoE.</w:t>
      </w:r>
    </w:p>
    <w:p w14:paraId="22549896" w14:textId="4323821F" w:rsidR="007842E5" w:rsidRPr="007842E5" w:rsidRDefault="007842E5" w:rsidP="00775189">
      <w:pPr>
        <w:rPr>
          <w:lang w:val="es-ES"/>
        </w:rPr>
      </w:pPr>
      <w:r w:rsidRPr="007842E5">
        <w:rPr>
          <w:lang w:val="es-ES"/>
        </w:rPr>
        <w:t>La reunión del GRCE12-AMR comenzará a las 09.30</w:t>
      </w:r>
      <w:r w:rsidR="004D37A4">
        <w:rPr>
          <w:lang w:val="es-ES"/>
        </w:rPr>
        <w:t> </w:t>
      </w:r>
      <w:r w:rsidRPr="007842E5">
        <w:rPr>
          <w:lang w:val="es-ES"/>
        </w:rPr>
        <w:t xml:space="preserve">horas (hora local) del 20 de marzo de 2024. En el </w:t>
      </w:r>
      <w:r w:rsidRPr="00775189">
        <w:rPr>
          <w:b/>
          <w:bCs/>
          <w:lang w:val="es-ES"/>
        </w:rPr>
        <w:t>Anexo</w:t>
      </w:r>
      <w:r w:rsidR="00775189" w:rsidRPr="00775189">
        <w:rPr>
          <w:b/>
          <w:bCs/>
          <w:lang w:val="es-ES"/>
        </w:rPr>
        <w:t> </w:t>
      </w:r>
      <w:r w:rsidRPr="00775189">
        <w:rPr>
          <w:b/>
          <w:bCs/>
          <w:lang w:val="es-ES"/>
        </w:rPr>
        <w:t>A</w:t>
      </w:r>
      <w:r w:rsidRPr="007842E5">
        <w:rPr>
          <w:lang w:val="es-ES"/>
        </w:rPr>
        <w:t xml:space="preserve"> se presenta información adicional sobre el evento y en el </w:t>
      </w:r>
      <w:r w:rsidRPr="00775189">
        <w:rPr>
          <w:b/>
          <w:bCs/>
          <w:lang w:val="es-ES"/>
        </w:rPr>
        <w:t>Anexo</w:t>
      </w:r>
      <w:r w:rsidR="00775189">
        <w:rPr>
          <w:b/>
          <w:bCs/>
          <w:lang w:val="es-ES"/>
        </w:rPr>
        <w:t> </w:t>
      </w:r>
      <w:r w:rsidRPr="00775189">
        <w:rPr>
          <w:b/>
          <w:bCs/>
          <w:lang w:val="es-ES"/>
        </w:rPr>
        <w:t>B</w:t>
      </w:r>
      <w:r w:rsidRPr="007842E5">
        <w:rPr>
          <w:lang w:val="es-ES"/>
        </w:rPr>
        <w:t xml:space="preserve"> figura un proyecto de orden del día, elaborado por el equipo de dirección del GRCE12-AMR.</w:t>
      </w:r>
    </w:p>
    <w:p w14:paraId="226E88F6" w14:textId="77777777" w:rsidR="007842E5" w:rsidRPr="007842E5" w:rsidRDefault="007842E5" w:rsidP="00775189">
      <w:pPr>
        <w:rPr>
          <w:lang w:val="es-ES"/>
        </w:rPr>
      </w:pPr>
      <w:r w:rsidRPr="007842E5">
        <w:rPr>
          <w:lang w:val="es-ES"/>
        </w:rPr>
        <w:t>En particular, para esta primera reunión del GRCE12-AMR, el equipo de dirección solicita a los Estados Miembros de la región que presenten contribuciones describiendo los enfoques de valoración de la calidad del servicio vigentes en sus territorios.</w:t>
      </w:r>
    </w:p>
    <w:p w14:paraId="05891060" w14:textId="14E95F4F" w:rsidR="007842E5" w:rsidRPr="007842E5" w:rsidRDefault="007842E5" w:rsidP="00775189">
      <w:pPr>
        <w:rPr>
          <w:lang w:val="es-ES"/>
        </w:rPr>
      </w:pPr>
      <w:r w:rsidRPr="007842E5">
        <w:rPr>
          <w:lang w:val="es-ES"/>
        </w:rPr>
        <w:t xml:space="preserve">Se publicará información práctica sobre la reunión en la página web del GRCE12-AMR, en </w:t>
      </w:r>
      <w:hyperlink r:id="rId11" w:history="1">
        <w:r w:rsidRPr="007842E5">
          <w:rPr>
            <w:rStyle w:val="Hyperlink"/>
            <w:lang w:val="es-ES"/>
          </w:rPr>
          <w:t>https://itu.int/en/ITU-T/regionalgroups/sg12-amr/</w:t>
        </w:r>
      </w:hyperlink>
      <w:r w:rsidRPr="007842E5">
        <w:rPr>
          <w:lang w:val="es-ES"/>
        </w:rPr>
        <w:t>.</w:t>
      </w:r>
    </w:p>
    <w:p w14:paraId="7645DF87" w14:textId="72DB3956" w:rsidR="007842E5" w:rsidRPr="007842E5" w:rsidRDefault="007842E5" w:rsidP="00CA30AA">
      <w:pPr>
        <w:keepNext/>
        <w:keepLines/>
        <w:rPr>
          <w:lang w:val="es-ES"/>
        </w:rPr>
      </w:pPr>
      <w:r w:rsidRPr="007842E5">
        <w:rPr>
          <w:lang w:val="es-ES"/>
        </w:rPr>
        <w:lastRenderedPageBreak/>
        <w:t xml:space="preserve">Los representantes de los Estados Miembros, Miembros de Sector e Instituciones Académicas de la región, así como los Asociados que pertenecen a la Comisión de Estudio responsable y a la región afectada, pueden participar en la reunión del GRCE12-AMR, junto con los participantes invitados por el Grupo Regional, según lo dispuesto en la </w:t>
      </w:r>
      <w:hyperlink r:id="rId12" w:history="1">
        <w:r w:rsidRPr="007842E5">
          <w:rPr>
            <w:rStyle w:val="Hyperlink"/>
            <w:lang w:val="es-ES"/>
          </w:rPr>
          <w:t>Resolución 54 (Rev. Ginebra, 2022) de la AMNT</w:t>
        </w:r>
      </w:hyperlink>
      <w:r w:rsidRPr="007842E5">
        <w:rPr>
          <w:lang w:val="es-ES"/>
        </w:rPr>
        <w:t xml:space="preserve"> (</w:t>
      </w:r>
      <w:r w:rsidRPr="007842E5">
        <w:rPr>
          <w:i/>
          <w:iCs/>
          <w:lang w:val="es-ES"/>
        </w:rPr>
        <w:t>resuelve</w:t>
      </w:r>
      <w:r w:rsidR="00CA30AA">
        <w:rPr>
          <w:i/>
          <w:iCs/>
          <w:lang w:val="es-ES"/>
        </w:rPr>
        <w:t>s</w:t>
      </w:r>
      <w:r w:rsidRPr="007842E5">
        <w:rPr>
          <w:lang w:val="es-ES"/>
        </w:rPr>
        <w:t xml:space="preserve"> 4 a 6). Sírvase tomar nota de que la continuidad en la representación resulta conveniente para los trabajos del Grupo. </w:t>
      </w:r>
    </w:p>
    <w:p w14:paraId="31FD387F" w14:textId="6A88B3F4" w:rsidR="002545AA" w:rsidRPr="00A31642" w:rsidRDefault="007842E5" w:rsidP="009113CD">
      <w:pPr>
        <w:keepNext/>
        <w:keepLines/>
        <w:spacing w:after="60"/>
        <w:rPr>
          <w:b/>
          <w:bCs/>
        </w:rPr>
      </w:pPr>
      <w:r w:rsidRPr="00A31642">
        <w:rPr>
          <w:b/>
          <w:bCs/>
        </w:rPr>
        <w:t>Plazos importantes:</w:t>
      </w:r>
    </w:p>
    <w:tbl>
      <w:tblPr>
        <w:tblStyle w:val="TableGrid"/>
        <w:tblW w:w="5000" w:type="pct"/>
        <w:jc w:val="center"/>
        <w:tblLook w:val="04A0" w:firstRow="1" w:lastRow="0" w:firstColumn="1" w:lastColumn="0" w:noHBand="0" w:noVBand="1"/>
      </w:tblPr>
      <w:tblGrid>
        <w:gridCol w:w="2417"/>
        <w:gridCol w:w="7212"/>
      </w:tblGrid>
      <w:tr w:rsidR="002545AA" w:rsidRPr="00E35001" w14:paraId="48B40F47" w14:textId="77777777" w:rsidTr="00775189">
        <w:trPr>
          <w:jc w:val="center"/>
        </w:trPr>
        <w:tc>
          <w:tcPr>
            <w:tcW w:w="2418" w:type="dxa"/>
          </w:tcPr>
          <w:p w14:paraId="5A6D2764" w14:textId="3ECED63A" w:rsidR="002545AA" w:rsidRPr="00CA30AA" w:rsidRDefault="007842E5" w:rsidP="00775189">
            <w:pPr>
              <w:pStyle w:val="Tabletext0"/>
            </w:pPr>
            <w:r w:rsidRPr="007842E5">
              <w:t>18 de febrero de 2024</w:t>
            </w:r>
          </w:p>
        </w:tc>
        <w:tc>
          <w:tcPr>
            <w:tcW w:w="7216" w:type="dxa"/>
          </w:tcPr>
          <w:p w14:paraId="288D1D91" w14:textId="764029E4" w:rsidR="002545AA" w:rsidRPr="00775189" w:rsidRDefault="00775189" w:rsidP="00775189">
            <w:pPr>
              <w:pStyle w:val="Tabletext0"/>
              <w:ind w:left="284" w:hanging="284"/>
            </w:pPr>
            <w:r>
              <w:t>–</w:t>
            </w:r>
            <w:r>
              <w:tab/>
            </w:r>
            <w:r w:rsidR="007842E5" w:rsidRPr="00775189">
              <w:t>Presentación de solicitudes de beca (a través del formulario de registro en línea, véanse los detalles en el Anexo</w:t>
            </w:r>
            <w:r w:rsidR="00A31642">
              <w:t> </w:t>
            </w:r>
            <w:r w:rsidR="007842E5" w:rsidRPr="00775189">
              <w:t>A)</w:t>
            </w:r>
          </w:p>
        </w:tc>
      </w:tr>
      <w:tr w:rsidR="002545AA" w:rsidRPr="00E35001" w14:paraId="5A60AB5A" w14:textId="77777777" w:rsidTr="00775189">
        <w:trPr>
          <w:jc w:val="center"/>
        </w:trPr>
        <w:tc>
          <w:tcPr>
            <w:tcW w:w="2418" w:type="dxa"/>
          </w:tcPr>
          <w:p w14:paraId="3EBAFB33" w14:textId="72C158FF" w:rsidR="002545AA" w:rsidRPr="00E35001" w:rsidRDefault="007842E5" w:rsidP="00775189">
            <w:pPr>
              <w:pStyle w:val="Tabletext0"/>
            </w:pPr>
            <w:r w:rsidRPr="007842E5">
              <w:rPr>
                <w:lang w:val="es-ES"/>
              </w:rPr>
              <w:t>20 de febrero de 2024</w:t>
            </w:r>
          </w:p>
        </w:tc>
        <w:tc>
          <w:tcPr>
            <w:tcW w:w="7216" w:type="dxa"/>
          </w:tcPr>
          <w:p w14:paraId="6857AE95" w14:textId="564DC02E" w:rsidR="007842E5" w:rsidRPr="007842E5" w:rsidRDefault="00775189" w:rsidP="00775189">
            <w:pPr>
              <w:pStyle w:val="Tabletext0"/>
            </w:pPr>
            <w:r>
              <w:t>–</w:t>
            </w:r>
            <w:r>
              <w:tab/>
            </w:r>
            <w:r w:rsidR="007842E5" w:rsidRPr="007842E5">
              <w:t>Preinscripción (en línea a través de la página principal del Grupo Regional)</w:t>
            </w:r>
          </w:p>
          <w:p w14:paraId="09E968A8" w14:textId="4C810B0A" w:rsidR="002545AA" w:rsidRPr="00E35001" w:rsidRDefault="00775189" w:rsidP="00775189">
            <w:pPr>
              <w:pStyle w:val="Tabletext0"/>
              <w:ind w:left="284" w:hanging="284"/>
            </w:pPr>
            <w:r>
              <w:t>–</w:t>
            </w:r>
            <w:r>
              <w:tab/>
            </w:r>
            <w:r w:rsidR="007842E5" w:rsidRPr="00775189">
              <w:t>Presentación de solicitudes de cartas para la obtención de visados (véanse los detalles en la nota de información práctica de la página principal del Grupo Regional)</w:t>
            </w:r>
          </w:p>
        </w:tc>
      </w:tr>
      <w:tr w:rsidR="002545AA" w:rsidRPr="00E35001" w14:paraId="4A2A26DA" w14:textId="77777777" w:rsidTr="00775189">
        <w:trPr>
          <w:jc w:val="center"/>
        </w:trPr>
        <w:tc>
          <w:tcPr>
            <w:tcW w:w="2418" w:type="dxa"/>
          </w:tcPr>
          <w:p w14:paraId="499A8FFC" w14:textId="584E32D0" w:rsidR="002545AA" w:rsidRPr="00E35001" w:rsidRDefault="007842E5" w:rsidP="00775189">
            <w:pPr>
              <w:pStyle w:val="Tabletext0"/>
            </w:pPr>
            <w:r w:rsidRPr="007842E5">
              <w:rPr>
                <w:lang w:val="es-ES"/>
              </w:rPr>
              <w:t>7 de marzo de 2024</w:t>
            </w:r>
          </w:p>
        </w:tc>
        <w:tc>
          <w:tcPr>
            <w:tcW w:w="7216" w:type="dxa"/>
          </w:tcPr>
          <w:p w14:paraId="162FFDD9" w14:textId="48493F50" w:rsidR="002545AA" w:rsidRPr="00E35001" w:rsidRDefault="00775189" w:rsidP="00775189">
            <w:pPr>
              <w:pStyle w:val="Tabletext0"/>
              <w:ind w:left="284" w:hanging="284"/>
            </w:pPr>
            <w:r>
              <w:t>–</w:t>
            </w:r>
            <w:r>
              <w:tab/>
            </w:r>
            <w:r w:rsidR="007842E5" w:rsidRPr="00775189">
              <w:t>Presentación de las contribuciones de los Miembros del UIT-T (por correo</w:t>
            </w:r>
            <w:r w:rsidR="00A31642">
              <w:noBreakHyphen/>
            </w:r>
            <w:r w:rsidR="007842E5" w:rsidRPr="00775189">
              <w:t xml:space="preserve">e a </w:t>
            </w:r>
            <w:hyperlink r:id="rId13" w:history="1">
              <w:r w:rsidRPr="007D339C">
                <w:rPr>
                  <w:rStyle w:val="Hyperlink"/>
                </w:rPr>
                <w:t>tsbsg12@itu.int</w:t>
              </w:r>
            </w:hyperlink>
            <w:r w:rsidR="007842E5" w:rsidRPr="00775189">
              <w:t>)</w:t>
            </w:r>
          </w:p>
        </w:tc>
      </w:tr>
    </w:tbl>
    <w:p w14:paraId="774CE699" w14:textId="77777777" w:rsidR="002545AA" w:rsidRPr="00E35001" w:rsidRDefault="002545AA" w:rsidP="00775189">
      <w:pPr>
        <w:pStyle w:val="Normalaftertitle"/>
      </w:pPr>
      <w:r w:rsidRPr="00E35001">
        <w:t>Le deseo una reunión agradable y productiva.</w:t>
      </w:r>
    </w:p>
    <w:tbl>
      <w:tblPr>
        <w:tblStyle w:val="TableGrid"/>
        <w:tblW w:w="5000" w:type="pct"/>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A30AA" w:rsidRPr="00E35001" w14:paraId="25D07492" w14:textId="77777777" w:rsidTr="003F5E3E">
        <w:tc>
          <w:tcPr>
            <w:tcW w:w="9629" w:type="dxa"/>
          </w:tcPr>
          <w:p w14:paraId="51FFD39B" w14:textId="5006A17F" w:rsidR="00CA30AA" w:rsidRDefault="00CA30AA" w:rsidP="00CA30AA">
            <w:r w:rsidRPr="00E35001">
              <w:t>Atentamente,</w:t>
            </w:r>
          </w:p>
          <w:p w14:paraId="355555FC" w14:textId="5EE2A6EA" w:rsidR="00CA30AA" w:rsidRPr="00E35001" w:rsidRDefault="00361E5B" w:rsidP="009113CD">
            <w:pPr>
              <w:spacing w:before="840"/>
              <w:rPr>
                <w:bCs/>
              </w:rPr>
            </w:pPr>
            <w:r>
              <w:rPr>
                <w:noProof/>
              </w:rPr>
              <w:drawing>
                <wp:anchor distT="0" distB="0" distL="114300" distR="114300" simplePos="0" relativeHeight="251658240" behindDoc="1" locked="0" layoutInCell="1" allowOverlap="1" wp14:anchorId="382A4D87" wp14:editId="7A040C9D">
                  <wp:simplePos x="0" y="0"/>
                  <wp:positionH relativeFrom="column">
                    <wp:posOffset>-31115</wp:posOffset>
                  </wp:positionH>
                  <wp:positionV relativeFrom="paragraph">
                    <wp:posOffset>124460</wp:posOffset>
                  </wp:positionV>
                  <wp:extent cx="754305" cy="339725"/>
                  <wp:effectExtent l="0" t="0" r="8255" b="3175"/>
                  <wp:wrapNone/>
                  <wp:docPr id="1221523551" name="Picture 2" descr="A black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523551" name="Picture 2" descr="A black and blue tex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754305" cy="339725"/>
                          </a:xfrm>
                          <a:prstGeom prst="rect">
                            <a:avLst/>
                          </a:prstGeom>
                        </pic:spPr>
                      </pic:pic>
                    </a:graphicData>
                  </a:graphic>
                  <wp14:sizeRelH relativeFrom="margin">
                    <wp14:pctWidth>0</wp14:pctWidth>
                  </wp14:sizeRelH>
                  <wp14:sizeRelV relativeFrom="margin">
                    <wp14:pctHeight>0</wp14:pctHeight>
                  </wp14:sizeRelV>
                </wp:anchor>
              </w:drawing>
            </w:r>
            <w:r w:rsidR="00A31642" w:rsidRPr="00A31642">
              <w:t>Seizo Onoe</w:t>
            </w:r>
            <w:r w:rsidR="00CA30AA" w:rsidRPr="00E35001">
              <w:br/>
              <w:t>Director de la Oficina de Normalización</w:t>
            </w:r>
            <w:r w:rsidR="00CA30AA" w:rsidRPr="00E35001">
              <w:br/>
              <w:t>de las Telecomunicaciones</w:t>
            </w:r>
          </w:p>
        </w:tc>
      </w:tr>
    </w:tbl>
    <w:p w14:paraId="4914DE94" w14:textId="2B5AE614" w:rsidR="002545AA" w:rsidRPr="00E35001" w:rsidRDefault="007842E5" w:rsidP="003F5E3E">
      <w:pPr>
        <w:spacing w:before="720"/>
      </w:pPr>
      <w:r w:rsidRPr="00CA30AA">
        <w:rPr>
          <w:b/>
          <w:bCs/>
        </w:rPr>
        <w:t>Anexos:</w:t>
      </w:r>
      <w:r w:rsidRPr="007842E5">
        <w:t xml:space="preserve"> 2</w:t>
      </w:r>
    </w:p>
    <w:p w14:paraId="40ABAFED" w14:textId="77777777" w:rsidR="002545AA" w:rsidRPr="00E35001" w:rsidRDefault="002545AA" w:rsidP="00775189">
      <w:r w:rsidRPr="00E35001">
        <w:br w:type="page"/>
      </w:r>
    </w:p>
    <w:p w14:paraId="0B93B6D7" w14:textId="77777777" w:rsidR="007842E5" w:rsidRPr="007842E5" w:rsidRDefault="007842E5" w:rsidP="00775189">
      <w:pPr>
        <w:pStyle w:val="AnnexNotitle"/>
        <w:rPr>
          <w:lang w:val="es-ES"/>
        </w:rPr>
      </w:pPr>
      <w:r w:rsidRPr="007842E5">
        <w:rPr>
          <w:lang w:val="es-ES"/>
        </w:rPr>
        <w:lastRenderedPageBreak/>
        <w:t>ANEXO A</w:t>
      </w:r>
      <w:r w:rsidRPr="007842E5">
        <w:rPr>
          <w:lang w:val="es-ES"/>
        </w:rPr>
        <w:br/>
        <w:t>Información adicional</w:t>
      </w:r>
    </w:p>
    <w:p w14:paraId="3CDA06E2" w14:textId="77777777" w:rsidR="007842E5" w:rsidRPr="00CA30AA" w:rsidRDefault="007842E5" w:rsidP="00CA30AA">
      <w:pPr>
        <w:spacing w:before="360"/>
        <w:jc w:val="center"/>
        <w:rPr>
          <w:rFonts w:cs="Times New Roman Bold"/>
          <w:b/>
          <w:bCs/>
          <w:lang w:val="es-ES"/>
        </w:rPr>
      </w:pPr>
      <w:r w:rsidRPr="00CA30AA">
        <w:rPr>
          <w:rFonts w:cs="Times New Roman Bold"/>
          <w:b/>
          <w:bCs/>
          <w:lang w:val="es-ES"/>
        </w:rPr>
        <w:t>MÉTODOS DE TRABAJO E INSTALACIONES</w:t>
      </w:r>
    </w:p>
    <w:p w14:paraId="1346EF76" w14:textId="77777777" w:rsidR="007842E5" w:rsidRPr="00CA30AA" w:rsidRDefault="007842E5" w:rsidP="00CA30AA">
      <w:pPr>
        <w:pStyle w:val="Normalaftertitle"/>
      </w:pPr>
      <w:r w:rsidRPr="007842E5">
        <w:rPr>
          <w:b/>
          <w:bCs/>
          <w:lang w:val="es-ES"/>
        </w:rPr>
        <w:t>PRESENTACIÓN Y ACCESO A LOS DOCUMENTOS</w:t>
      </w:r>
      <w:r w:rsidRPr="004D37A4">
        <w:rPr>
          <w:b/>
          <w:bCs/>
        </w:rPr>
        <w:t>:</w:t>
      </w:r>
      <w:r w:rsidRPr="00CA30AA">
        <w:t xml:space="preserve"> La reunión se celebrará sin hacer uso del papel. Las contribuciones de los Miembros y los proyectos de DT deben remitirse por correo-e a </w:t>
      </w:r>
      <w:hyperlink r:id="rId15" w:history="1">
        <w:r w:rsidRPr="007842E5">
          <w:rPr>
            <w:rStyle w:val="Hyperlink"/>
            <w:bCs/>
            <w:lang w:val="es-ES"/>
          </w:rPr>
          <w:t>tsbsg12@itu.int</w:t>
        </w:r>
      </w:hyperlink>
      <w:r w:rsidRPr="00CA30AA">
        <w:t xml:space="preserve"> utilizando la</w:t>
      </w:r>
      <w:r w:rsidRPr="007842E5">
        <w:rPr>
          <w:bCs/>
          <w:lang w:val="es-ES"/>
        </w:rPr>
        <w:t xml:space="preserve"> </w:t>
      </w:r>
      <w:hyperlink r:id="rId16" w:history="1">
        <w:r w:rsidRPr="007842E5">
          <w:rPr>
            <w:rStyle w:val="Hyperlink"/>
            <w:bCs/>
            <w:lang w:val="es-ES"/>
          </w:rPr>
          <w:t>plantilla correspondiente</w:t>
        </w:r>
      </w:hyperlink>
      <w:r w:rsidRPr="007842E5">
        <w:rPr>
          <w:lang w:val="es-ES"/>
        </w:rPr>
        <w:t>. El acceso a los documentos de la reunión se facilita a partir de la página web de la Comisión de Estudio, y está restringido a los Miembros del UIT-T/</w:t>
      </w:r>
      <w:hyperlink r:id="rId17" w:history="1">
        <w:r w:rsidRPr="007842E5">
          <w:rPr>
            <w:rStyle w:val="Hyperlink"/>
            <w:lang w:val="es-ES"/>
          </w:rPr>
          <w:t>titulares de cuenta TIES</w:t>
        </w:r>
      </w:hyperlink>
      <w:r w:rsidRPr="007842E5">
        <w:rPr>
          <w:lang w:val="es-ES"/>
        </w:rPr>
        <w:t>.</w:t>
      </w:r>
    </w:p>
    <w:p w14:paraId="235D2FCD" w14:textId="77777777" w:rsidR="007842E5" w:rsidRPr="007842E5" w:rsidRDefault="007842E5" w:rsidP="007842E5">
      <w:pPr>
        <w:rPr>
          <w:lang w:val="es-ES"/>
        </w:rPr>
      </w:pPr>
      <w:r w:rsidRPr="007842E5">
        <w:rPr>
          <w:b/>
          <w:bCs/>
          <w:lang w:val="es-ES"/>
        </w:rPr>
        <w:t>IDIOMAS DE TRABAJO:</w:t>
      </w:r>
      <w:r w:rsidRPr="007842E5">
        <w:rPr>
          <w:lang w:val="es-ES"/>
        </w:rPr>
        <w:t xml:space="preserve"> De acuerdo con la Presidencia del Grupo, los idiomas de trabajo de la reunión serán el inglés y el español.</w:t>
      </w:r>
    </w:p>
    <w:p w14:paraId="48FF8C36" w14:textId="1F5146DF" w:rsidR="007842E5" w:rsidRPr="007842E5" w:rsidRDefault="007842E5" w:rsidP="007842E5">
      <w:pPr>
        <w:rPr>
          <w:lang w:val="es-ES"/>
        </w:rPr>
      </w:pPr>
      <w:r w:rsidRPr="007842E5">
        <w:rPr>
          <w:b/>
          <w:bCs/>
          <w:lang w:val="es-ES"/>
        </w:rPr>
        <w:t>TRADUCCIÓN:</w:t>
      </w:r>
      <w:r w:rsidRPr="007842E5">
        <w:rPr>
          <w:lang w:val="es-ES"/>
        </w:rPr>
        <w:t xml:space="preserve"> Los documentos para esta reunión estarán disponibles en español e inglés. Le invitamos a presentar sus contribuciones lo antes posible para asegurar que haya tiempo suficiente para su traducción</w:t>
      </w:r>
      <w:r w:rsidRPr="007842E5">
        <w:rPr>
          <w:bCs/>
          <w:lang w:val="es-ES"/>
        </w:rPr>
        <w:t>.</w:t>
      </w:r>
    </w:p>
    <w:p w14:paraId="0EB2CB10" w14:textId="77777777" w:rsidR="007842E5" w:rsidRPr="007842E5" w:rsidRDefault="007842E5" w:rsidP="007842E5">
      <w:pPr>
        <w:rPr>
          <w:lang w:val="es-ES"/>
        </w:rPr>
      </w:pPr>
      <w:r w:rsidRPr="007842E5">
        <w:rPr>
          <w:b/>
          <w:bCs/>
          <w:lang w:val="es-ES"/>
        </w:rPr>
        <w:t>LAN INALÁMBRICA:</w:t>
      </w:r>
      <w:r w:rsidRPr="007842E5">
        <w:rPr>
          <w:lang w:val="es-ES"/>
        </w:rPr>
        <w:t xml:space="preserve"> El lugar de celebración del evento dispondrá de instalaciones de área local inalámbrica y de acceso a Internet.</w:t>
      </w:r>
    </w:p>
    <w:p w14:paraId="7C24D750" w14:textId="77777777" w:rsidR="007842E5" w:rsidRPr="007842E5" w:rsidRDefault="007842E5" w:rsidP="00CA30AA">
      <w:pPr>
        <w:spacing w:before="360"/>
        <w:jc w:val="center"/>
        <w:rPr>
          <w:rFonts w:cs="Times New Roman Bold"/>
          <w:b/>
          <w:bCs/>
          <w:lang w:val="es-ES"/>
        </w:rPr>
      </w:pPr>
      <w:r w:rsidRPr="007842E5">
        <w:rPr>
          <w:rFonts w:cs="Times New Roman Bold"/>
          <w:b/>
          <w:bCs/>
          <w:lang w:val="es-ES"/>
        </w:rPr>
        <w:t>PREINSCRIPCIÓN, BECAS Y APOYO PARA LA OBTENCIÓN DEL VISADO</w:t>
      </w:r>
    </w:p>
    <w:p w14:paraId="2C65023D" w14:textId="208A6BC2" w:rsidR="007842E5" w:rsidRPr="007842E5" w:rsidRDefault="007842E5" w:rsidP="00CA30AA">
      <w:pPr>
        <w:pStyle w:val="Normalaftertitle"/>
        <w:rPr>
          <w:lang w:val="es-ES"/>
        </w:rPr>
      </w:pPr>
      <w:r w:rsidRPr="007842E5">
        <w:rPr>
          <w:b/>
          <w:bCs/>
          <w:lang w:val="es-ES"/>
        </w:rPr>
        <w:t>PREINSCRIPCIÓN</w:t>
      </w:r>
      <w:r w:rsidRPr="004D37A4">
        <w:rPr>
          <w:b/>
          <w:bCs/>
        </w:rPr>
        <w:t>:</w:t>
      </w:r>
      <w:r w:rsidRPr="004D37A4">
        <w:t xml:space="preserve"> </w:t>
      </w:r>
      <w:r w:rsidRPr="007842E5">
        <w:rPr>
          <w:lang w:val="es-ES"/>
        </w:rPr>
        <w:t xml:space="preserve">La preinscripción es obligatoria y ha de hacerse en línea a través de la página principal de la Comisión de Estudio </w:t>
      </w:r>
      <w:r w:rsidRPr="007842E5">
        <w:rPr>
          <w:b/>
          <w:bCs/>
          <w:lang w:val="es-ES"/>
        </w:rPr>
        <w:t>a más tardar un mes antes del inicio de la reunión</w:t>
      </w:r>
      <w:r w:rsidRPr="007842E5">
        <w:rPr>
          <w:lang w:val="es-ES"/>
        </w:rPr>
        <w:t xml:space="preserve">. Según lo indicado en la </w:t>
      </w:r>
      <w:hyperlink r:id="rId18" w:history="1">
        <w:r w:rsidRPr="007842E5">
          <w:rPr>
            <w:rStyle w:val="Hyperlink"/>
            <w:lang w:val="es-ES"/>
          </w:rPr>
          <w:t>Circular</w:t>
        </w:r>
        <w:r w:rsidR="00A31642">
          <w:rPr>
            <w:rStyle w:val="Hyperlink"/>
            <w:lang w:val="es-ES"/>
          </w:rPr>
          <w:t> </w:t>
        </w:r>
        <w:r w:rsidRPr="007842E5">
          <w:rPr>
            <w:rStyle w:val="Hyperlink"/>
            <w:lang w:val="es-ES"/>
          </w:rPr>
          <w:t>TSB 68</w:t>
        </w:r>
      </w:hyperlink>
      <w:r w:rsidRPr="007842E5">
        <w:rPr>
          <w:lang w:val="es-ES"/>
        </w:rPr>
        <w:t>, el sistema de inscripción requiere la aprobación del coordinador de todas las solicitudes de inscripción. Se alienta a los Estados Miembros a tener en cuenta, en la medida de lo posible, el equilibrio entre hombres y mujeres y la inclusión de delegados con discapacidad y con necesidades especiales.</w:t>
      </w:r>
    </w:p>
    <w:p w14:paraId="3A13A079" w14:textId="3832D368" w:rsidR="007842E5" w:rsidRPr="007842E5" w:rsidRDefault="007842E5" w:rsidP="007842E5">
      <w:pPr>
        <w:rPr>
          <w:lang w:val="es-ES"/>
        </w:rPr>
      </w:pPr>
      <w:r w:rsidRPr="007842E5">
        <w:rPr>
          <w:b/>
          <w:bCs/>
          <w:lang w:val="es-ES"/>
        </w:rPr>
        <w:t>BECAS:</w:t>
      </w:r>
      <w:r w:rsidRPr="007842E5">
        <w:rPr>
          <w:lang w:val="es-ES"/>
        </w:rPr>
        <w:t xml:space="preserve"> Con objeto de facilitar la participación de los </w:t>
      </w:r>
      <w:hyperlink r:id="rId19" w:history="1">
        <w:r w:rsidRPr="007842E5">
          <w:rPr>
            <w:rStyle w:val="Hyperlink"/>
            <w:lang w:val="es-ES"/>
          </w:rPr>
          <w:t>países que reúnan los requisitos</w:t>
        </w:r>
      </w:hyperlink>
      <w:r w:rsidRPr="007842E5">
        <w:rPr>
          <w:lang w:val="es-ES"/>
        </w:rPr>
        <w:t xml:space="preserve">, podrán concederse hasta dos becas parciales por país, </w:t>
      </w:r>
      <w:r w:rsidRPr="007842E5">
        <w:rPr>
          <w:b/>
          <w:bCs/>
          <w:lang w:val="es-ES"/>
        </w:rPr>
        <w:t>dentro de la región de las Américas únicamente</w:t>
      </w:r>
      <w:r w:rsidRPr="007842E5">
        <w:rPr>
          <w:lang w:val="es-ES"/>
        </w:rPr>
        <w:t>, en función de la financiación disponible.</w:t>
      </w:r>
    </w:p>
    <w:p w14:paraId="1E001248" w14:textId="77777777" w:rsidR="007842E5" w:rsidRPr="007842E5" w:rsidRDefault="007842E5" w:rsidP="007842E5">
      <w:pPr>
        <w:rPr>
          <w:lang w:val="es-ES"/>
        </w:rPr>
      </w:pPr>
      <w:r w:rsidRPr="007842E5">
        <w:rPr>
          <w:lang w:val="es-ES"/>
        </w:rPr>
        <w:t xml:space="preserve">Una beca parcial comprende ya sea a) un </w:t>
      </w:r>
      <w:r w:rsidRPr="007842E5">
        <w:rPr>
          <w:b/>
          <w:bCs/>
          <w:lang w:val="es-ES"/>
        </w:rPr>
        <w:t>billete de avión</w:t>
      </w:r>
      <w:r w:rsidRPr="007842E5">
        <w:rPr>
          <w:lang w:val="es-ES"/>
        </w:rPr>
        <w:t xml:space="preserve"> (de ida y vuelta en clase económica por la ruta más directa y/o menos costosa del país de origen al lugar de celebración de la reunión) o b) </w:t>
      </w:r>
      <w:r w:rsidRPr="007842E5">
        <w:rPr>
          <w:b/>
          <w:bCs/>
          <w:lang w:val="es-ES"/>
        </w:rPr>
        <w:t>dietas</w:t>
      </w:r>
      <w:r w:rsidRPr="007842E5">
        <w:rPr>
          <w:lang w:val="es-ES"/>
        </w:rPr>
        <w:t xml:space="preserve"> adecuadas (para sufragar los costes de alojamiento, comidas y otros gastos). En caso de que se soliciten dos becas presenciales parciales, al menos una deberá cubrir el billete de avión. La organización del solicitante asumirá el resto del coste de la participación.</w:t>
      </w:r>
    </w:p>
    <w:p w14:paraId="03CA2336" w14:textId="10E4FF3F" w:rsidR="007842E5" w:rsidRPr="007842E5" w:rsidRDefault="007842E5" w:rsidP="007842E5">
      <w:pPr>
        <w:rPr>
          <w:lang w:val="es-ES"/>
        </w:rPr>
      </w:pPr>
      <w:r w:rsidRPr="007842E5">
        <w:rPr>
          <w:lang w:val="es-ES"/>
        </w:rPr>
        <w:t>En consonancia con la Resolución 213 (Dubái, 2018) de la Conferencia de Plenipotenciarios, se alienta a que se seleccione a los becarios atendiendo al equilibrio de género y a la inclusión de personas con discapacidad y con necesidades específicas. Los criterios aplicados a la concesión de becas incluyen el presupuesto disponible de la UIT; la participación activa, incluida la presentación de las contribuciones escritas pertinentes; la distribución equitativa entre países y regiones; las solicitudes presentadas por personas con discapacidad o necesidades especiales; y las cuestiones de género.</w:t>
      </w:r>
    </w:p>
    <w:p w14:paraId="7CB573EE" w14:textId="666395F0" w:rsidR="007842E5" w:rsidRPr="007842E5" w:rsidRDefault="007842E5" w:rsidP="007842E5">
      <w:pPr>
        <w:rPr>
          <w:lang w:val="es-ES"/>
        </w:rPr>
      </w:pPr>
      <w:r w:rsidRPr="007842E5">
        <w:rPr>
          <w:lang w:val="es-ES"/>
        </w:rPr>
        <w:t xml:space="preserve">Los formularios de solicitud están disponibles en la </w:t>
      </w:r>
      <w:hyperlink r:id="rId20">
        <w:r w:rsidRPr="007842E5">
          <w:rPr>
            <w:rStyle w:val="Hyperlink"/>
            <w:lang w:val="es-ES"/>
          </w:rPr>
          <w:t>página web del Grupo Regional</w:t>
        </w:r>
      </w:hyperlink>
      <w:r w:rsidRPr="007842E5">
        <w:rPr>
          <w:lang w:val="es-ES"/>
        </w:rPr>
        <w:t xml:space="preserve">. Las solicitudes de beca deben haberse recibido por correo electrónico en la dirección </w:t>
      </w:r>
      <w:hyperlink r:id="rId21" w:history="1">
        <w:r w:rsidRPr="007842E5">
          <w:rPr>
            <w:rStyle w:val="Hyperlink"/>
            <w:lang w:val="es-ES"/>
          </w:rPr>
          <w:t>fellowships@itu.int</w:t>
        </w:r>
      </w:hyperlink>
      <w:r w:rsidRPr="007842E5">
        <w:rPr>
          <w:lang w:val="es-ES"/>
        </w:rPr>
        <w:t xml:space="preserve"> o por fax: +41</w:t>
      </w:r>
      <w:r w:rsidR="004D37A4">
        <w:rPr>
          <w:lang w:val="es-ES"/>
        </w:rPr>
        <w:t> </w:t>
      </w:r>
      <w:r w:rsidRPr="007842E5">
        <w:rPr>
          <w:lang w:val="es-ES"/>
        </w:rPr>
        <w:t>22</w:t>
      </w:r>
      <w:r w:rsidR="004D37A4">
        <w:rPr>
          <w:lang w:val="es-ES"/>
        </w:rPr>
        <w:t> </w:t>
      </w:r>
      <w:r w:rsidRPr="007842E5">
        <w:rPr>
          <w:lang w:val="es-ES"/>
        </w:rPr>
        <w:t>730</w:t>
      </w:r>
      <w:r w:rsidR="004D37A4">
        <w:rPr>
          <w:lang w:val="es-ES"/>
        </w:rPr>
        <w:t> </w:t>
      </w:r>
      <w:r w:rsidRPr="007842E5">
        <w:rPr>
          <w:lang w:val="es-ES"/>
        </w:rPr>
        <w:t>57</w:t>
      </w:r>
      <w:r w:rsidR="004D37A4">
        <w:rPr>
          <w:lang w:val="es-ES"/>
        </w:rPr>
        <w:t> </w:t>
      </w:r>
      <w:r w:rsidRPr="007842E5">
        <w:rPr>
          <w:lang w:val="es-ES"/>
        </w:rPr>
        <w:t xml:space="preserve">78, </w:t>
      </w:r>
      <w:r w:rsidRPr="007842E5">
        <w:rPr>
          <w:b/>
          <w:bCs/>
          <w:lang w:val="es-ES"/>
        </w:rPr>
        <w:t>a más tardar el 18 de febrero de 2024</w:t>
      </w:r>
      <w:r w:rsidRPr="007842E5">
        <w:rPr>
          <w:lang w:val="es-ES"/>
        </w:rPr>
        <w:t>. Es necesario inscribirse (con la aprobación del coordinador) antes de presentar una solicitud de beca y se recomienda encarecidamente inscribirse en el evento e iniciar el proceso de solicitud al menos siete semanas antes de la reunión.</w:t>
      </w:r>
    </w:p>
    <w:p w14:paraId="582D5CD5" w14:textId="77777777" w:rsidR="007842E5" w:rsidRPr="007842E5" w:rsidRDefault="007842E5" w:rsidP="007842E5">
      <w:pPr>
        <w:rPr>
          <w:lang w:val="es-ES"/>
        </w:rPr>
      </w:pPr>
      <w:r w:rsidRPr="007842E5">
        <w:rPr>
          <w:lang w:val="es-ES"/>
        </w:rPr>
        <w:t>Nota: Es posible que COMTELCA ofrezca otras becas.</w:t>
      </w:r>
    </w:p>
    <w:p w14:paraId="5F4F3C75" w14:textId="77777777" w:rsidR="007842E5" w:rsidRPr="007842E5" w:rsidRDefault="007842E5" w:rsidP="00CA30AA">
      <w:pPr>
        <w:rPr>
          <w:lang w:val="es-ES"/>
        </w:rPr>
      </w:pPr>
      <w:r w:rsidRPr="00CA30AA">
        <w:rPr>
          <w:b/>
          <w:bCs/>
        </w:rPr>
        <w:t>AYUDA PARA LA SOLICITUD DE VISADOS</w:t>
      </w:r>
      <w:r w:rsidRPr="004D37A4">
        <w:rPr>
          <w:b/>
          <w:bCs/>
          <w:lang w:val="es-ES"/>
        </w:rPr>
        <w:t>:</w:t>
      </w:r>
      <w:r w:rsidRPr="007842E5">
        <w:rPr>
          <w:lang w:val="es-ES"/>
        </w:rPr>
        <w:t xml:space="preserve"> Dado que esta reunión se organiza fuera de Suiza, las solicitudes de apoyo para la obtención de visados deben dirigirse directamente al anfitrión del evento. Pueden encontrarse instrucciones en la sección "Información práctica" de la </w:t>
      </w:r>
      <w:hyperlink r:id="rId22" w:history="1">
        <w:r w:rsidRPr="007842E5">
          <w:rPr>
            <w:rStyle w:val="Hyperlink"/>
            <w:bCs/>
            <w:lang w:val="es-ES"/>
          </w:rPr>
          <w:t>página web del Grupo Regional</w:t>
        </w:r>
      </w:hyperlink>
      <w:r w:rsidRPr="007842E5">
        <w:rPr>
          <w:lang w:val="es-ES"/>
        </w:rPr>
        <w:t>.</w:t>
      </w:r>
    </w:p>
    <w:p w14:paraId="310BF02F" w14:textId="77777777" w:rsidR="007842E5" w:rsidRPr="007842E5" w:rsidRDefault="007842E5" w:rsidP="007842E5">
      <w:pPr>
        <w:rPr>
          <w:lang w:val="es-ES"/>
        </w:rPr>
      </w:pPr>
      <w:r w:rsidRPr="007842E5">
        <w:rPr>
          <w:lang w:val="es-ES"/>
        </w:rPr>
        <w:br w:type="page"/>
      </w:r>
    </w:p>
    <w:p w14:paraId="320A16A3" w14:textId="77777777" w:rsidR="007842E5" w:rsidRPr="007842E5" w:rsidRDefault="007842E5" w:rsidP="00775189">
      <w:pPr>
        <w:pStyle w:val="AnnexNotitle"/>
        <w:rPr>
          <w:lang w:val="es-ES"/>
        </w:rPr>
      </w:pPr>
      <w:r w:rsidRPr="007842E5">
        <w:rPr>
          <w:lang w:val="es-ES"/>
        </w:rPr>
        <w:lastRenderedPageBreak/>
        <w:t>ANEXO B</w:t>
      </w:r>
      <w:r w:rsidRPr="007842E5">
        <w:rPr>
          <w:lang w:val="es-ES"/>
        </w:rPr>
        <w:br/>
        <w:t>Proyecto de orden del día</w:t>
      </w:r>
    </w:p>
    <w:p w14:paraId="481343B4" w14:textId="77777777" w:rsidR="007842E5" w:rsidRPr="007842E5" w:rsidRDefault="007842E5" w:rsidP="004D37A4">
      <w:pPr>
        <w:pStyle w:val="AnnexTitle"/>
        <w:rPr>
          <w:lang w:val="es-ES"/>
        </w:rPr>
      </w:pPr>
      <w:r w:rsidRPr="007842E5">
        <w:rPr>
          <w:lang w:val="es-ES"/>
        </w:rPr>
        <w:t>Reunión del Grupo Regional para las Américas de la Comisión de Estudio 12 del UIT-T (GRCE12-AMR)</w:t>
      </w:r>
      <w:r w:rsidRPr="007842E5">
        <w:rPr>
          <w:lang w:val="es-ES"/>
        </w:rPr>
        <w:br/>
        <w:t>Ciudad de México (México), 20-21 de marzo de 2024</w:t>
      </w:r>
    </w:p>
    <w:p w14:paraId="26193E16" w14:textId="2C9F792E" w:rsidR="007842E5" w:rsidRPr="007842E5" w:rsidRDefault="007842E5" w:rsidP="004D37A4">
      <w:pPr>
        <w:pStyle w:val="enumlev1"/>
        <w:rPr>
          <w:lang w:val="es-ES"/>
        </w:rPr>
      </w:pPr>
      <w:r w:rsidRPr="007842E5">
        <w:rPr>
          <w:lang w:val="es-ES"/>
        </w:rPr>
        <w:t>1</w:t>
      </w:r>
      <w:r w:rsidRPr="007842E5">
        <w:rPr>
          <w:lang w:val="es-ES"/>
        </w:rPr>
        <w:tab/>
        <w:t>Apertura de la reunión</w:t>
      </w:r>
    </w:p>
    <w:p w14:paraId="316FA8D6" w14:textId="7CF89E91" w:rsidR="007842E5" w:rsidRPr="007842E5" w:rsidRDefault="007842E5" w:rsidP="004D37A4">
      <w:pPr>
        <w:pStyle w:val="enumlev1"/>
        <w:rPr>
          <w:lang w:val="es-ES"/>
        </w:rPr>
      </w:pPr>
      <w:r w:rsidRPr="007842E5">
        <w:rPr>
          <w:lang w:val="es-ES"/>
        </w:rPr>
        <w:t>2</w:t>
      </w:r>
      <w:r w:rsidRPr="007842E5">
        <w:rPr>
          <w:lang w:val="es-ES"/>
        </w:rPr>
        <w:tab/>
        <w:t>Adopción del orden del día</w:t>
      </w:r>
    </w:p>
    <w:p w14:paraId="23ACE13A" w14:textId="68E81E1B" w:rsidR="007842E5" w:rsidRPr="007842E5" w:rsidRDefault="007842E5" w:rsidP="004D37A4">
      <w:pPr>
        <w:pStyle w:val="enumlev1"/>
        <w:rPr>
          <w:lang w:val="es-ES"/>
        </w:rPr>
      </w:pPr>
      <w:r w:rsidRPr="007842E5">
        <w:rPr>
          <w:lang w:val="es-ES"/>
        </w:rPr>
        <w:t>3</w:t>
      </w:r>
      <w:r w:rsidRPr="007842E5">
        <w:rPr>
          <w:lang w:val="es-ES"/>
        </w:rPr>
        <w:tab/>
        <w:t>Nombramiento del equipo de dirección del GRCE12-AMR</w:t>
      </w:r>
    </w:p>
    <w:p w14:paraId="3A492C7C" w14:textId="2BD7CE59" w:rsidR="007842E5" w:rsidRPr="007842E5" w:rsidRDefault="007842E5" w:rsidP="004D37A4">
      <w:pPr>
        <w:pStyle w:val="enumlev1"/>
        <w:rPr>
          <w:lang w:val="es-ES"/>
        </w:rPr>
      </w:pPr>
      <w:r w:rsidRPr="007842E5">
        <w:rPr>
          <w:lang w:val="es-ES"/>
        </w:rPr>
        <w:t>4</w:t>
      </w:r>
      <w:r w:rsidRPr="007842E5">
        <w:rPr>
          <w:lang w:val="es-ES"/>
        </w:rPr>
        <w:tab/>
        <w:t>Revisión del mandato del GRCE12-AMR</w:t>
      </w:r>
    </w:p>
    <w:p w14:paraId="243C76A7" w14:textId="1113EC53" w:rsidR="007842E5" w:rsidRPr="007842E5" w:rsidRDefault="007842E5" w:rsidP="004D37A4">
      <w:pPr>
        <w:pStyle w:val="enumlev1"/>
        <w:rPr>
          <w:lang w:val="es-ES"/>
        </w:rPr>
      </w:pPr>
      <w:r w:rsidRPr="007842E5">
        <w:rPr>
          <w:lang w:val="es-ES"/>
        </w:rPr>
        <w:t>5</w:t>
      </w:r>
      <w:r w:rsidRPr="007842E5">
        <w:rPr>
          <w:lang w:val="es-ES"/>
        </w:rPr>
        <w:tab/>
        <w:t>Introducción a la Comisión de Estudio 12 (CE 12) del UIT-T, cómo contribuir a la CE 12</w:t>
      </w:r>
    </w:p>
    <w:p w14:paraId="3EA0A3D5" w14:textId="445DE446" w:rsidR="007842E5" w:rsidRPr="007842E5" w:rsidRDefault="007842E5" w:rsidP="004D37A4">
      <w:pPr>
        <w:pStyle w:val="enumlev1"/>
        <w:rPr>
          <w:lang w:val="es-ES"/>
        </w:rPr>
      </w:pPr>
      <w:r w:rsidRPr="007842E5">
        <w:rPr>
          <w:lang w:val="es-ES"/>
        </w:rPr>
        <w:t>6</w:t>
      </w:r>
      <w:r w:rsidRPr="007842E5">
        <w:rPr>
          <w:lang w:val="es-ES"/>
        </w:rPr>
        <w:tab/>
        <w:t>Debates de la CE 12 de interés para la región</w:t>
      </w:r>
    </w:p>
    <w:p w14:paraId="33BA00F1" w14:textId="610B2D24" w:rsidR="007842E5" w:rsidRPr="007842E5" w:rsidRDefault="007842E5" w:rsidP="004D37A4">
      <w:pPr>
        <w:pStyle w:val="enumlev1"/>
        <w:rPr>
          <w:lang w:val="es-ES"/>
        </w:rPr>
      </w:pPr>
      <w:r w:rsidRPr="007842E5">
        <w:rPr>
          <w:lang w:val="es-ES"/>
        </w:rPr>
        <w:t>7</w:t>
      </w:r>
      <w:r w:rsidRPr="007842E5">
        <w:rPr>
          <w:lang w:val="es-ES"/>
        </w:rPr>
        <w:tab/>
        <w:t>Estado de los preparativos de la CE 12 para la AMNT-24</w:t>
      </w:r>
    </w:p>
    <w:p w14:paraId="01C2D9DF" w14:textId="04CFA482" w:rsidR="007842E5" w:rsidRPr="007842E5" w:rsidRDefault="007842E5" w:rsidP="004D37A4">
      <w:pPr>
        <w:pStyle w:val="enumlev1"/>
        <w:rPr>
          <w:lang w:val="es-ES"/>
        </w:rPr>
      </w:pPr>
      <w:r w:rsidRPr="007842E5">
        <w:rPr>
          <w:lang w:val="es-ES"/>
        </w:rPr>
        <w:t>8</w:t>
      </w:r>
      <w:r w:rsidRPr="007842E5">
        <w:rPr>
          <w:lang w:val="es-ES"/>
        </w:rPr>
        <w:tab/>
        <w:t>Revisión de las contribuciones presentadas por el GRCE12-AMR</w:t>
      </w:r>
    </w:p>
    <w:p w14:paraId="2B2CFBF5" w14:textId="2CE6CE51" w:rsidR="007842E5" w:rsidRPr="007842E5" w:rsidRDefault="007842E5" w:rsidP="004D37A4">
      <w:pPr>
        <w:pStyle w:val="enumlev1"/>
        <w:rPr>
          <w:lang w:val="es-ES"/>
        </w:rPr>
      </w:pPr>
      <w:r w:rsidRPr="007842E5">
        <w:rPr>
          <w:lang w:val="es-ES"/>
        </w:rPr>
        <w:t>9</w:t>
      </w:r>
      <w:r w:rsidRPr="007842E5">
        <w:rPr>
          <w:lang w:val="es-ES"/>
        </w:rPr>
        <w:tab/>
        <w:t>Otros asuntos</w:t>
      </w:r>
    </w:p>
    <w:p w14:paraId="77CAA578" w14:textId="2D85D105" w:rsidR="007842E5" w:rsidRPr="007842E5" w:rsidRDefault="007842E5" w:rsidP="004D37A4">
      <w:pPr>
        <w:pStyle w:val="enumlev1"/>
        <w:rPr>
          <w:lang w:val="es-ES"/>
        </w:rPr>
      </w:pPr>
      <w:r w:rsidRPr="007842E5">
        <w:rPr>
          <w:lang w:val="es-ES"/>
        </w:rPr>
        <w:t>10</w:t>
      </w:r>
      <w:r w:rsidRPr="007842E5">
        <w:rPr>
          <w:lang w:val="es-ES"/>
        </w:rPr>
        <w:tab/>
        <w:t>Clausura de la reunión</w:t>
      </w:r>
    </w:p>
    <w:p w14:paraId="0369620F" w14:textId="77777777" w:rsidR="002545AA" w:rsidRPr="00E35001" w:rsidRDefault="002545AA" w:rsidP="002545AA">
      <w:pPr>
        <w:pStyle w:val="Reasons"/>
        <w:rPr>
          <w:lang w:val="es-ES_tradnl"/>
        </w:rPr>
      </w:pPr>
    </w:p>
    <w:p w14:paraId="7CE38AD3" w14:textId="77777777" w:rsidR="002545AA" w:rsidRPr="00E35001" w:rsidRDefault="002545AA" w:rsidP="002545AA">
      <w:pPr>
        <w:jc w:val="center"/>
      </w:pPr>
      <w:r w:rsidRPr="00E35001">
        <w:t>______________</w:t>
      </w:r>
    </w:p>
    <w:p w14:paraId="4051B564" w14:textId="77777777" w:rsidR="00C34772" w:rsidRPr="00D119EC" w:rsidRDefault="00C34772" w:rsidP="002545AA">
      <w:pPr>
        <w:tabs>
          <w:tab w:val="clear" w:pos="794"/>
          <w:tab w:val="clear" w:pos="1191"/>
          <w:tab w:val="clear" w:pos="1588"/>
          <w:tab w:val="clear" w:pos="1985"/>
          <w:tab w:val="left" w:pos="4962"/>
        </w:tabs>
        <w:rPr>
          <w:sz w:val="4"/>
          <w:szCs w:val="4"/>
          <w:lang w:val="en-US"/>
        </w:rPr>
      </w:pPr>
    </w:p>
    <w:sectPr w:rsidR="00C34772" w:rsidRPr="00D119EC" w:rsidSect="002545AA">
      <w:headerReference w:type="even" r:id="rId23"/>
      <w:headerReference w:type="default" r:id="rId24"/>
      <w:footerReference w:type="even" r:id="rId25"/>
      <w:footerReference w:type="default" r:id="rId26"/>
      <w:headerReference w:type="first" r:id="rId27"/>
      <w:footerReference w:type="first" r:id="rId28"/>
      <w:pgSz w:w="11907" w:h="16840" w:code="9"/>
      <w:pgMar w:top="1134" w:right="1134" w:bottom="1134" w:left="1134" w:header="567" w:footer="567" w:gutter="0"/>
      <w:paperSrc w:first="261" w:other="26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00BA5" w14:textId="77777777" w:rsidR="00141CB4" w:rsidRDefault="00141CB4">
      <w:r>
        <w:separator/>
      </w:r>
    </w:p>
  </w:endnote>
  <w:endnote w:type="continuationSeparator" w:id="0">
    <w:p w14:paraId="5BF76172" w14:textId="77777777" w:rsidR="00141CB4" w:rsidRDefault="0014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FD652" w14:textId="14796F04" w:rsidR="00141CB4" w:rsidRPr="0045401C" w:rsidRDefault="00141CB4" w:rsidP="004540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1A6C5" w14:textId="11A4A2DB" w:rsidR="00141CB4" w:rsidRPr="0045401C" w:rsidRDefault="00141CB4" w:rsidP="004540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B48E" w14:textId="3E604547" w:rsidR="005E67CA" w:rsidRPr="00F834B9" w:rsidRDefault="005E67CA" w:rsidP="005E67CA">
    <w:pPr>
      <w:pStyle w:val="FirstFooter"/>
      <w:ind w:left="-397" w:right="-397"/>
      <w:jc w:val="center"/>
      <w:rPr>
        <w:color w:val="0070C0"/>
        <w:szCs w:val="18"/>
        <w:lang w:val="es-ES"/>
      </w:rPr>
    </w:pPr>
    <w:r w:rsidRPr="00F834B9">
      <w:rPr>
        <w:color w:val="0070C0"/>
        <w:szCs w:val="18"/>
        <w:lang w:val="es-ES"/>
      </w:rPr>
      <w:t>Unión Internacional de Telecomunicaciones • Place des Nations, CH</w:t>
    </w:r>
    <w:r w:rsidRPr="00F834B9">
      <w:rPr>
        <w:color w:val="0070C0"/>
        <w:szCs w:val="18"/>
        <w:lang w:val="es-ES"/>
      </w:rPr>
      <w:noBreakHyphen/>
      <w:t xml:space="preserve">1211 Ginebra 20, Suiza </w:t>
    </w:r>
    <w:r w:rsidRPr="00F834B9">
      <w:rPr>
        <w:color w:val="0070C0"/>
        <w:szCs w:val="18"/>
        <w:lang w:val="es-ES"/>
      </w:rPr>
      <w:br/>
      <w:t>Tel</w:t>
    </w:r>
    <w:r w:rsidR="007842E5">
      <w:rPr>
        <w:color w:val="0070C0"/>
        <w:szCs w:val="18"/>
        <w:lang w:val="es-ES"/>
      </w:rPr>
      <w:t>.</w:t>
    </w:r>
    <w:r w:rsidRPr="00F834B9">
      <w:rPr>
        <w:color w:val="0070C0"/>
        <w:szCs w:val="18"/>
        <w:lang w:val="es-ES"/>
      </w:rPr>
      <w:t xml:space="preserve">: +41 22 730 5111 • Fax: +41 22 733 7256 • Correo-e: </w:t>
    </w:r>
    <w:hyperlink r:id="rId1" w:history="1">
      <w:r w:rsidRPr="00F834B9">
        <w:rPr>
          <w:rStyle w:val="Hyperlink"/>
          <w:color w:val="0070C0"/>
          <w:lang w:val="es-ES"/>
        </w:rPr>
        <w:t>itumail@itu.int</w:t>
      </w:r>
    </w:hyperlink>
    <w:r w:rsidRPr="00F834B9">
      <w:rPr>
        <w:color w:val="0070C0"/>
        <w:szCs w:val="18"/>
        <w:lang w:val="es-ES"/>
      </w:rPr>
      <w:t xml:space="preserve"> • </w:t>
    </w:r>
    <w:hyperlink r:id="rId2" w:history="1">
      <w:r w:rsidRPr="00F834B9">
        <w:rPr>
          <w:rStyle w:val="Hyperlink"/>
          <w:color w:val="0070C0"/>
          <w:lang w:val="es-ES"/>
        </w:rPr>
        <w:t>www.itu.int</w:t>
      </w:r>
    </w:hyperlink>
    <w:r w:rsidRPr="00F834B9">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2FCA3" w14:textId="77777777" w:rsidR="00141CB4" w:rsidRDefault="00141CB4">
      <w:r>
        <w:t>____________________</w:t>
      </w:r>
    </w:p>
  </w:footnote>
  <w:footnote w:type="continuationSeparator" w:id="0">
    <w:p w14:paraId="6AACE5AC" w14:textId="77777777" w:rsidR="00141CB4" w:rsidRDefault="00141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290009"/>
      <w:docPartObj>
        <w:docPartGallery w:val="Page Numbers (Top of Page)"/>
        <w:docPartUnique/>
      </w:docPartObj>
    </w:sdtPr>
    <w:sdtEndPr>
      <w:rPr>
        <w:noProof/>
        <w:sz w:val="18"/>
        <w:szCs w:val="18"/>
      </w:rPr>
    </w:sdtEndPr>
    <w:sdtContent>
      <w:p w14:paraId="22281329" w14:textId="43429C49" w:rsidR="00141CB4" w:rsidRPr="00BC1FB8" w:rsidRDefault="00BC1FB8"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2</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sidR="007842E5">
          <w:rPr>
            <w:bCs/>
            <w:sz w:val="18"/>
            <w:szCs w:val="18"/>
          </w:rPr>
          <w:t>1</w:t>
        </w:r>
        <w:r w:rsidRPr="001A50AB">
          <w:rPr>
            <w:bCs/>
            <w:sz w:val="18"/>
            <w:szCs w:val="18"/>
          </w:rPr>
          <w:t>/</w:t>
        </w:r>
        <w:r w:rsidR="007842E5" w:rsidRPr="007842E5">
          <w:rPr>
            <w:bCs/>
            <w:sz w:val="18"/>
            <w:szCs w:val="18"/>
          </w:rPr>
          <w:t>SG12RG-AMR</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141411"/>
      <w:docPartObj>
        <w:docPartGallery w:val="Page Numbers (Top of Page)"/>
        <w:docPartUnique/>
      </w:docPartObj>
    </w:sdtPr>
    <w:sdtEndPr>
      <w:rPr>
        <w:noProof/>
        <w:sz w:val="18"/>
        <w:szCs w:val="18"/>
      </w:rPr>
    </w:sdtEndPr>
    <w:sdtContent>
      <w:p w14:paraId="539DD8DF" w14:textId="4D99AB59" w:rsidR="00BC1FB8" w:rsidRPr="00BC1FB8" w:rsidRDefault="00BC1FB8" w:rsidP="007842E5">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3</w:t>
        </w:r>
        <w:r w:rsidRPr="00F55157">
          <w:rPr>
            <w:noProof/>
            <w:sz w:val="18"/>
            <w:szCs w:val="18"/>
          </w:rPr>
          <w:fldChar w:fldCharType="end"/>
        </w:r>
        <w:r>
          <w:rPr>
            <w:noProof/>
            <w:sz w:val="18"/>
            <w:szCs w:val="18"/>
          </w:rPr>
          <w:t xml:space="preserve"> -</w:t>
        </w:r>
        <w:r>
          <w:rPr>
            <w:noProof/>
            <w:sz w:val="18"/>
            <w:szCs w:val="18"/>
          </w:rPr>
          <w:br/>
        </w:r>
        <w:r w:rsidR="007842E5" w:rsidRPr="001A50AB">
          <w:rPr>
            <w:bCs/>
            <w:sz w:val="18"/>
            <w:szCs w:val="18"/>
          </w:rPr>
          <w:t xml:space="preserve">Carta Colectiva </w:t>
        </w:r>
        <w:r w:rsidR="007842E5">
          <w:rPr>
            <w:bCs/>
            <w:sz w:val="18"/>
            <w:szCs w:val="18"/>
          </w:rPr>
          <w:t>1</w:t>
        </w:r>
        <w:r w:rsidR="007842E5" w:rsidRPr="001A50AB">
          <w:rPr>
            <w:bCs/>
            <w:sz w:val="18"/>
            <w:szCs w:val="18"/>
          </w:rPr>
          <w:t>/</w:t>
        </w:r>
        <w:r w:rsidR="007842E5" w:rsidRPr="007842E5">
          <w:rPr>
            <w:bCs/>
            <w:sz w:val="18"/>
            <w:szCs w:val="18"/>
          </w:rPr>
          <w:t>SG12RG-AMR</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C01E5" w14:textId="77777777" w:rsidR="0045401C" w:rsidRDefault="00454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8F7012"/>
    <w:multiLevelType w:val="multilevel"/>
    <w:tmpl w:val="5CC6ABCA"/>
    <w:lvl w:ilvl="0">
      <w:start w:val="1"/>
      <w:numFmt w:val="decimal"/>
      <w:lvlText w:val="%1."/>
      <w:legacy w:legacy="1" w:legacySpace="0" w:legacyIndent="708"/>
      <w:lvlJc w:val="left"/>
      <w:pPr>
        <w:ind w:left="708" w:hanging="708"/>
      </w:pPr>
      <w:rPr>
        <w:rFonts w:asciiTheme="minorHAnsi" w:hAnsiTheme="minorHAnsi" w:cs="Times New Roman" w:hint="default"/>
        <w:b w:val="0"/>
        <w:bCs w:val="0"/>
        <w:sz w:val="24"/>
        <w:szCs w:val="24"/>
      </w:rPr>
    </w:lvl>
    <w:lvl w:ilvl="1">
      <w:start w:val="1"/>
      <w:numFmt w:val="lowerLetter"/>
      <w:lvlText w:val="%2)"/>
      <w:legacy w:legacy="1" w:legacySpace="0" w:legacyIndent="708"/>
      <w:lvlJc w:val="left"/>
      <w:pPr>
        <w:ind w:left="5670"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5"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1187404404">
    <w:abstractNumId w:val="0"/>
  </w:num>
  <w:num w:numId="2" w16cid:durableId="714814011">
    <w:abstractNumId w:val="6"/>
  </w:num>
  <w:num w:numId="3" w16cid:durableId="1548250544">
    <w:abstractNumId w:val="5"/>
  </w:num>
  <w:num w:numId="4" w16cid:durableId="536623672">
    <w:abstractNumId w:val="2"/>
  </w:num>
  <w:num w:numId="5" w16cid:durableId="1249653661">
    <w:abstractNumId w:val="3"/>
  </w:num>
  <w:num w:numId="6" w16cid:durableId="976300064">
    <w:abstractNumId w:val="4"/>
  </w:num>
  <w:num w:numId="7" w16cid:durableId="1161773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806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72"/>
    <w:rsid w:val="00002529"/>
    <w:rsid w:val="00002634"/>
    <w:rsid w:val="00043D90"/>
    <w:rsid w:val="000678BB"/>
    <w:rsid w:val="00080F6C"/>
    <w:rsid w:val="000C1743"/>
    <w:rsid w:val="000C375D"/>
    <w:rsid w:val="000C382F"/>
    <w:rsid w:val="000F67AE"/>
    <w:rsid w:val="00114963"/>
    <w:rsid w:val="001173CC"/>
    <w:rsid w:val="00126D02"/>
    <w:rsid w:val="001344C2"/>
    <w:rsid w:val="00136FC2"/>
    <w:rsid w:val="00141CB4"/>
    <w:rsid w:val="001671BC"/>
    <w:rsid w:val="001A2905"/>
    <w:rsid w:val="001A54CC"/>
    <w:rsid w:val="001C2FAD"/>
    <w:rsid w:val="001D1BA9"/>
    <w:rsid w:val="001F0D48"/>
    <w:rsid w:val="002021BB"/>
    <w:rsid w:val="00212668"/>
    <w:rsid w:val="00221C83"/>
    <w:rsid w:val="002545AA"/>
    <w:rsid w:val="00257FB4"/>
    <w:rsid w:val="00271D3E"/>
    <w:rsid w:val="0027571F"/>
    <w:rsid w:val="002C1570"/>
    <w:rsid w:val="00303D62"/>
    <w:rsid w:val="00313DBB"/>
    <w:rsid w:val="00324783"/>
    <w:rsid w:val="00327BC9"/>
    <w:rsid w:val="00335367"/>
    <w:rsid w:val="0033768F"/>
    <w:rsid w:val="00361E5B"/>
    <w:rsid w:val="00370C2D"/>
    <w:rsid w:val="003B60AA"/>
    <w:rsid w:val="003C00D3"/>
    <w:rsid w:val="003C2ECD"/>
    <w:rsid w:val="003D1E8D"/>
    <w:rsid w:val="003D4DFE"/>
    <w:rsid w:val="003D673B"/>
    <w:rsid w:val="003F0402"/>
    <w:rsid w:val="003F073D"/>
    <w:rsid w:val="003F2855"/>
    <w:rsid w:val="003F5E3E"/>
    <w:rsid w:val="00401C20"/>
    <w:rsid w:val="00402B00"/>
    <w:rsid w:val="00421116"/>
    <w:rsid w:val="00427EA6"/>
    <w:rsid w:val="00450C73"/>
    <w:rsid w:val="0045401C"/>
    <w:rsid w:val="004C1AD1"/>
    <w:rsid w:val="004C4144"/>
    <w:rsid w:val="004D37A4"/>
    <w:rsid w:val="004E26E4"/>
    <w:rsid w:val="004F0A81"/>
    <w:rsid w:val="004F5584"/>
    <w:rsid w:val="005003A0"/>
    <w:rsid w:val="00505119"/>
    <w:rsid w:val="005267F7"/>
    <w:rsid w:val="00535F99"/>
    <w:rsid w:val="005365E1"/>
    <w:rsid w:val="00545669"/>
    <w:rsid w:val="00551024"/>
    <w:rsid w:val="00555E45"/>
    <w:rsid w:val="00560EDA"/>
    <w:rsid w:val="00567B54"/>
    <w:rsid w:val="0057186B"/>
    <w:rsid w:val="005827E3"/>
    <w:rsid w:val="00586B1D"/>
    <w:rsid w:val="005B4854"/>
    <w:rsid w:val="005B6711"/>
    <w:rsid w:val="005E67CA"/>
    <w:rsid w:val="00607393"/>
    <w:rsid w:val="00622CE3"/>
    <w:rsid w:val="00635FA2"/>
    <w:rsid w:val="0064235A"/>
    <w:rsid w:val="00647213"/>
    <w:rsid w:val="00653A0E"/>
    <w:rsid w:val="00653B29"/>
    <w:rsid w:val="00667393"/>
    <w:rsid w:val="0067009C"/>
    <w:rsid w:val="006760CF"/>
    <w:rsid w:val="006969B4"/>
    <w:rsid w:val="006A0C05"/>
    <w:rsid w:val="006A335A"/>
    <w:rsid w:val="006B5061"/>
    <w:rsid w:val="006E24F0"/>
    <w:rsid w:val="006F6581"/>
    <w:rsid w:val="007128A1"/>
    <w:rsid w:val="00715D93"/>
    <w:rsid w:val="00720BA2"/>
    <w:rsid w:val="00775189"/>
    <w:rsid w:val="00781E2A"/>
    <w:rsid w:val="007842E5"/>
    <w:rsid w:val="007A6373"/>
    <w:rsid w:val="007B34FB"/>
    <w:rsid w:val="008134A7"/>
    <w:rsid w:val="00823E22"/>
    <w:rsid w:val="008258C2"/>
    <w:rsid w:val="00833CCA"/>
    <w:rsid w:val="00846D89"/>
    <w:rsid w:val="008505BD"/>
    <w:rsid w:val="00850C78"/>
    <w:rsid w:val="00855B98"/>
    <w:rsid w:val="008C17AD"/>
    <w:rsid w:val="008D02CD"/>
    <w:rsid w:val="008F29BD"/>
    <w:rsid w:val="009113CD"/>
    <w:rsid w:val="0091255A"/>
    <w:rsid w:val="00934054"/>
    <w:rsid w:val="0095172A"/>
    <w:rsid w:val="00963CD8"/>
    <w:rsid w:val="00975A06"/>
    <w:rsid w:val="009900B7"/>
    <w:rsid w:val="009D3E5C"/>
    <w:rsid w:val="009D4C42"/>
    <w:rsid w:val="009F0942"/>
    <w:rsid w:val="009F23BC"/>
    <w:rsid w:val="00A119A2"/>
    <w:rsid w:val="00A31642"/>
    <w:rsid w:val="00A41330"/>
    <w:rsid w:val="00A42718"/>
    <w:rsid w:val="00A54E47"/>
    <w:rsid w:val="00A6120F"/>
    <w:rsid w:val="00A85283"/>
    <w:rsid w:val="00AA30D4"/>
    <w:rsid w:val="00AD1512"/>
    <w:rsid w:val="00AE7093"/>
    <w:rsid w:val="00AF276D"/>
    <w:rsid w:val="00B00CEC"/>
    <w:rsid w:val="00B07A99"/>
    <w:rsid w:val="00B17920"/>
    <w:rsid w:val="00B321C3"/>
    <w:rsid w:val="00B422BC"/>
    <w:rsid w:val="00B43F77"/>
    <w:rsid w:val="00B44D9D"/>
    <w:rsid w:val="00B616C2"/>
    <w:rsid w:val="00B95F0A"/>
    <w:rsid w:val="00B96180"/>
    <w:rsid w:val="00BC172A"/>
    <w:rsid w:val="00BC1FB8"/>
    <w:rsid w:val="00C0097C"/>
    <w:rsid w:val="00C05882"/>
    <w:rsid w:val="00C17AC0"/>
    <w:rsid w:val="00C24BFC"/>
    <w:rsid w:val="00C31ED4"/>
    <w:rsid w:val="00C34772"/>
    <w:rsid w:val="00C36657"/>
    <w:rsid w:val="00C44C79"/>
    <w:rsid w:val="00C50A2D"/>
    <w:rsid w:val="00C71699"/>
    <w:rsid w:val="00C717E3"/>
    <w:rsid w:val="00CA30AA"/>
    <w:rsid w:val="00CB3300"/>
    <w:rsid w:val="00CC1DE4"/>
    <w:rsid w:val="00CD4AE3"/>
    <w:rsid w:val="00D027A3"/>
    <w:rsid w:val="00D119EC"/>
    <w:rsid w:val="00DA16FC"/>
    <w:rsid w:val="00DA7E46"/>
    <w:rsid w:val="00DD77C9"/>
    <w:rsid w:val="00DD7900"/>
    <w:rsid w:val="00DF4D66"/>
    <w:rsid w:val="00DF5926"/>
    <w:rsid w:val="00DF61F3"/>
    <w:rsid w:val="00E25441"/>
    <w:rsid w:val="00E5040E"/>
    <w:rsid w:val="00E764E2"/>
    <w:rsid w:val="00E81A56"/>
    <w:rsid w:val="00E839B0"/>
    <w:rsid w:val="00E85734"/>
    <w:rsid w:val="00E92C09"/>
    <w:rsid w:val="00EA3374"/>
    <w:rsid w:val="00EB4E19"/>
    <w:rsid w:val="00EC3E71"/>
    <w:rsid w:val="00EC74FD"/>
    <w:rsid w:val="00EF4FA4"/>
    <w:rsid w:val="00F40F4E"/>
    <w:rsid w:val="00F453C5"/>
    <w:rsid w:val="00F55157"/>
    <w:rsid w:val="00F6461F"/>
    <w:rsid w:val="00F81188"/>
    <w:rsid w:val="00F834B9"/>
    <w:rsid w:val="00F8524F"/>
    <w:rsid w:val="00F85832"/>
    <w:rsid w:val="00F904D8"/>
    <w:rsid w:val="00FA4A45"/>
    <w:rsid w:val="00FB1841"/>
    <w:rsid w:val="00FD2B2D"/>
    <w:rsid w:val="00FD2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5DEFE9AD"/>
  <w15:docId w15:val="{E80F4606-20FD-4547-8ADB-03D9C0C7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441"/>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uiPriority w:val="99"/>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91255A"/>
    <w:pPr>
      <w:spacing w:before="0"/>
    </w:pPr>
    <w:rPr>
      <w:rFonts w:ascii="Tahoma" w:hAnsi="Tahoma" w:cs="Tahoma"/>
      <w:sz w:val="16"/>
      <w:szCs w:val="16"/>
    </w:rPr>
  </w:style>
  <w:style w:type="character" w:customStyle="1" w:styleId="BalloonTextChar">
    <w:name w:val="Balloon Text Char"/>
    <w:basedOn w:val="DefaultParagraphFont"/>
    <w:link w:val="BalloonText"/>
    <w:rsid w:val="0091255A"/>
    <w:rPr>
      <w:rFonts w:ascii="Tahoma" w:hAnsi="Tahoma" w:cs="Tahoma"/>
      <w:sz w:val="16"/>
      <w:szCs w:val="16"/>
      <w:lang w:val="es-ES_tradnl" w:eastAsia="en-US"/>
    </w:rPr>
  </w:style>
  <w:style w:type="paragraph" w:styleId="ListParagraph">
    <w:name w:val="List Paragraph"/>
    <w:basedOn w:val="Normal"/>
    <w:uiPriority w:val="34"/>
    <w:qFormat/>
    <w:rsid w:val="00F8524F"/>
    <w:pPr>
      <w:ind w:left="720"/>
      <w:contextualSpacing/>
    </w:pPr>
  </w:style>
  <w:style w:type="paragraph" w:customStyle="1" w:styleId="AnnexNo">
    <w:name w:val="Annex_No"/>
    <w:basedOn w:val="Normal"/>
    <w:next w:val="Normal"/>
    <w:rsid w:val="005B4854"/>
    <w:pPr>
      <w:keepNext/>
      <w:keepLines/>
      <w:spacing w:before="480" w:after="80"/>
      <w:jc w:val="center"/>
      <w:textAlignment w:val="auto"/>
    </w:pPr>
    <w:rPr>
      <w:caps/>
      <w:sz w:val="28"/>
      <w:lang w:val="fr-FR"/>
    </w:rPr>
  </w:style>
  <w:style w:type="table" w:styleId="TableGrid">
    <w:name w:val="Table Grid"/>
    <w:basedOn w:val="TableNormal"/>
    <w:rsid w:val="002545A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2545AA"/>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character" w:styleId="UnresolvedMention">
    <w:name w:val="Unresolved Mention"/>
    <w:basedOn w:val="DefaultParagraphFont"/>
    <w:uiPriority w:val="99"/>
    <w:semiHidden/>
    <w:unhideWhenUsed/>
    <w:rsid w:val="00784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476161">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sbsg12@itu.int" TargetMode="External"/><Relationship Id="rId18" Type="http://schemas.openxmlformats.org/officeDocument/2006/relationships/hyperlink" Target="https://www.itu.int/md/T17-TSB-CIR-0068/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fellowships@itu.int" TargetMode="External"/><Relationship Id="rId7" Type="http://schemas.openxmlformats.org/officeDocument/2006/relationships/endnotes" Target="endnotes.xml"/><Relationship Id="rId12" Type="http://schemas.openxmlformats.org/officeDocument/2006/relationships/hyperlink" Target="https://www.itu.int/pub/T-RES-T.54-2022/es" TargetMode="External"/><Relationship Id="rId17" Type="http://schemas.openxmlformats.org/officeDocument/2006/relationships/hyperlink" Target="https://www.itu.int/en/ties-servic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tu.int/en/ITU-T/studygroups/Pages/templates.aspx" TargetMode="External"/><Relationship Id="rId20" Type="http://schemas.openxmlformats.org/officeDocument/2006/relationships/hyperlink" Target="https://itu.int/en/ITU-T/regionalgroups/sg12-am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u.int/en/ITU-T/regionalgroups/sg12-am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tsbsg12@itu.in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itu.int/en/ITU-T/regionalgroups/sg12-amr/" TargetMode="External"/><Relationship Id="rId19" Type="http://schemas.openxmlformats.org/officeDocument/2006/relationships/hyperlink" Target="https://www.itu.int/en/fellowships/Documents/2023/ListEligibleCountries2023.pdf" TargetMode="External"/><Relationship Id="rId4" Type="http://schemas.openxmlformats.org/officeDocument/2006/relationships/settings" Target="settings.xml"/><Relationship Id="rId9" Type="http://schemas.openxmlformats.org/officeDocument/2006/relationships/hyperlink" Target="mailto:tsbsg12@itu.int" TargetMode="External"/><Relationship Id="rId14" Type="http://schemas.openxmlformats.org/officeDocument/2006/relationships/image" Target="media/image2.PNG"/><Relationship Id="rId22" Type="http://schemas.openxmlformats.org/officeDocument/2006/relationships/hyperlink" Target="https://itu.int/en/ITU-T/regionalgroups/sg12-amr/" TargetMode="External"/><Relationship Id="rId27" Type="http://schemas.openxmlformats.org/officeDocument/2006/relationships/header" Target="header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l\AppData\Roaming\Microsoft\Templates\PS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58446-A7FA-4DB2-81C2-D7DAF5BB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PS_TSBCIRC1.dotm</Template>
  <TotalTime>3</TotalTime>
  <Pages>4</Pages>
  <Words>1330</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9101</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tello</dc:creator>
  <cp:lastModifiedBy>TSB</cp:lastModifiedBy>
  <cp:revision>3</cp:revision>
  <cp:lastPrinted>2024-02-06T13:39:00Z</cp:lastPrinted>
  <dcterms:created xsi:type="dcterms:W3CDTF">2024-02-07T09:20:00Z</dcterms:created>
  <dcterms:modified xsi:type="dcterms:W3CDTF">2024-02-07T10:51:00Z</dcterms:modified>
</cp:coreProperties>
</file>