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52F9E" w14:paraId="0DB28ACE" w14:textId="77777777" w:rsidTr="00427EA6">
        <w:trPr>
          <w:cantSplit/>
        </w:trPr>
        <w:tc>
          <w:tcPr>
            <w:tcW w:w="1418" w:type="dxa"/>
            <w:vAlign w:val="center"/>
          </w:tcPr>
          <w:p w14:paraId="6FD7EA0E" w14:textId="77777777" w:rsidR="00427EA6" w:rsidRPr="00852F9E" w:rsidRDefault="00CD4AE3" w:rsidP="00427EA6">
            <w:pPr>
              <w:tabs>
                <w:tab w:val="right" w:pos="8732"/>
              </w:tabs>
              <w:spacing w:before="0"/>
              <w:rPr>
                <w:b/>
                <w:bCs/>
                <w:iCs/>
                <w:color w:val="FFFFFF"/>
                <w:sz w:val="30"/>
                <w:szCs w:val="30"/>
              </w:rPr>
            </w:pPr>
            <w:r w:rsidRPr="00852F9E">
              <w:rPr>
                <w:noProof/>
                <w:lang w:eastAsia="es-ES_tradnl"/>
              </w:rPr>
              <w:drawing>
                <wp:inline distT="0" distB="0" distL="0" distR="0" wp14:anchorId="4979C0FF" wp14:editId="5EEDD21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493AFC91" w14:textId="77777777" w:rsidR="00427EA6" w:rsidRPr="00852F9E" w:rsidRDefault="00427EA6" w:rsidP="00427EA6">
            <w:pPr>
              <w:spacing w:before="0"/>
              <w:rPr>
                <w:rFonts w:cs="Times New Roman Bold"/>
                <w:b/>
                <w:bCs/>
                <w:smallCaps/>
                <w:sz w:val="26"/>
                <w:szCs w:val="26"/>
              </w:rPr>
            </w:pPr>
            <w:r w:rsidRPr="00852F9E">
              <w:rPr>
                <w:rFonts w:cs="Times New Roman Bold"/>
                <w:b/>
                <w:bCs/>
                <w:smallCaps/>
                <w:sz w:val="36"/>
                <w:szCs w:val="36"/>
              </w:rPr>
              <w:t>Unión Internacional de Telecomunicaciones</w:t>
            </w:r>
          </w:p>
          <w:p w14:paraId="76F82CA6" w14:textId="77777777" w:rsidR="00427EA6" w:rsidRPr="00852F9E" w:rsidRDefault="00427EA6" w:rsidP="00427EA6">
            <w:pPr>
              <w:tabs>
                <w:tab w:val="right" w:pos="8732"/>
              </w:tabs>
              <w:spacing w:before="0"/>
              <w:rPr>
                <w:b/>
                <w:bCs/>
                <w:iCs/>
                <w:color w:val="FFFFFF"/>
                <w:sz w:val="30"/>
                <w:szCs w:val="30"/>
              </w:rPr>
            </w:pPr>
            <w:r w:rsidRPr="00852F9E">
              <w:rPr>
                <w:rFonts w:cs="Times New Roman Bold"/>
                <w:b/>
                <w:bCs/>
                <w:iCs/>
                <w:smallCaps/>
                <w:sz w:val="28"/>
                <w:szCs w:val="28"/>
              </w:rPr>
              <w:t>Oficina de Normalización de las Telecomunicaciones</w:t>
            </w:r>
          </w:p>
        </w:tc>
        <w:tc>
          <w:tcPr>
            <w:tcW w:w="1984" w:type="dxa"/>
            <w:vAlign w:val="center"/>
          </w:tcPr>
          <w:p w14:paraId="29D5E4AD" w14:textId="77777777" w:rsidR="00427EA6" w:rsidRPr="00852F9E" w:rsidRDefault="00427EA6" w:rsidP="00427EA6">
            <w:pPr>
              <w:spacing w:before="0"/>
              <w:jc w:val="right"/>
              <w:rPr>
                <w:color w:val="FFFFFF"/>
                <w:sz w:val="26"/>
                <w:szCs w:val="26"/>
              </w:rPr>
            </w:pPr>
          </w:p>
        </w:tc>
      </w:tr>
    </w:tbl>
    <w:p w14:paraId="1583BF08" w14:textId="77777777" w:rsidR="002545AA" w:rsidRPr="00852F9E"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852F9E" w14:paraId="143F01C8" w14:textId="77777777" w:rsidTr="002C58A4">
        <w:trPr>
          <w:cantSplit/>
          <w:trHeight w:val="649"/>
        </w:trPr>
        <w:tc>
          <w:tcPr>
            <w:tcW w:w="1084" w:type="dxa"/>
            <w:gridSpan w:val="2"/>
          </w:tcPr>
          <w:p w14:paraId="7A44403D" w14:textId="77777777" w:rsidR="002545AA" w:rsidRPr="00852F9E" w:rsidRDefault="002545AA" w:rsidP="002C58A4">
            <w:pPr>
              <w:tabs>
                <w:tab w:val="left" w:pos="4111"/>
              </w:tabs>
              <w:spacing w:before="10"/>
              <w:ind w:left="57"/>
              <w:rPr>
                <w:szCs w:val="24"/>
              </w:rPr>
            </w:pPr>
          </w:p>
        </w:tc>
        <w:tc>
          <w:tcPr>
            <w:tcW w:w="3793" w:type="dxa"/>
          </w:tcPr>
          <w:p w14:paraId="2761560E" w14:textId="77777777" w:rsidR="002545AA" w:rsidRPr="00852F9E" w:rsidRDefault="002545AA" w:rsidP="002C58A4">
            <w:pPr>
              <w:tabs>
                <w:tab w:val="left" w:pos="4111"/>
              </w:tabs>
              <w:spacing w:before="10"/>
              <w:ind w:left="57"/>
              <w:rPr>
                <w:b/>
              </w:rPr>
            </w:pPr>
          </w:p>
        </w:tc>
        <w:tc>
          <w:tcPr>
            <w:tcW w:w="4762" w:type="dxa"/>
          </w:tcPr>
          <w:p w14:paraId="5C2F0E28" w14:textId="69CD860E" w:rsidR="002545AA" w:rsidRPr="00852F9E" w:rsidRDefault="009970E0" w:rsidP="002C58A4">
            <w:pPr>
              <w:pStyle w:val="Tabletext0"/>
              <w:tabs>
                <w:tab w:val="clear" w:pos="1134"/>
                <w:tab w:val="clear" w:pos="2268"/>
                <w:tab w:val="left" w:pos="794"/>
                <w:tab w:val="left" w:pos="1191"/>
                <w:tab w:val="left" w:pos="1588"/>
              </w:tabs>
              <w:spacing w:before="240" w:after="120"/>
              <w:rPr>
                <w:bCs/>
              </w:rPr>
            </w:pPr>
            <w:r w:rsidRPr="00852F9E">
              <w:t>Ginebra, 26 de agosto de 2022</w:t>
            </w:r>
          </w:p>
        </w:tc>
      </w:tr>
      <w:tr w:rsidR="002545AA" w:rsidRPr="00852F9E" w14:paraId="2A7C431A" w14:textId="77777777" w:rsidTr="002C58A4">
        <w:trPr>
          <w:cantSplit/>
          <w:trHeight w:val="649"/>
        </w:trPr>
        <w:tc>
          <w:tcPr>
            <w:tcW w:w="1084" w:type="dxa"/>
            <w:gridSpan w:val="2"/>
          </w:tcPr>
          <w:p w14:paraId="503402B0" w14:textId="77777777" w:rsidR="002545AA" w:rsidRPr="00852F9E" w:rsidRDefault="002545AA" w:rsidP="002C58A4">
            <w:pPr>
              <w:tabs>
                <w:tab w:val="left" w:pos="4111"/>
              </w:tabs>
              <w:spacing w:before="40" w:after="40"/>
              <w:ind w:left="57"/>
              <w:rPr>
                <w:szCs w:val="24"/>
              </w:rPr>
            </w:pPr>
            <w:r w:rsidRPr="00852F9E">
              <w:rPr>
                <w:szCs w:val="24"/>
              </w:rPr>
              <w:t>Ref.:</w:t>
            </w:r>
          </w:p>
        </w:tc>
        <w:tc>
          <w:tcPr>
            <w:tcW w:w="3793" w:type="dxa"/>
          </w:tcPr>
          <w:p w14:paraId="74CE87BB" w14:textId="77777777" w:rsidR="009970E0" w:rsidRPr="00852F9E" w:rsidRDefault="009970E0" w:rsidP="009970E0">
            <w:pPr>
              <w:pStyle w:val="Tabletext0"/>
              <w:rPr>
                <w:rFonts w:cstheme="minorHAnsi"/>
                <w:b/>
                <w:szCs w:val="22"/>
              </w:rPr>
            </w:pPr>
            <w:r w:rsidRPr="00852F9E">
              <w:rPr>
                <w:rFonts w:cstheme="minorHAnsi"/>
                <w:b/>
                <w:szCs w:val="22"/>
              </w:rPr>
              <w:t>Carta Colectiva TSB 2/11</w:t>
            </w:r>
          </w:p>
          <w:p w14:paraId="28243FF9" w14:textId="323A018D" w:rsidR="002545AA" w:rsidRPr="00852F9E" w:rsidRDefault="009970E0" w:rsidP="009970E0">
            <w:pPr>
              <w:tabs>
                <w:tab w:val="left" w:pos="4111"/>
              </w:tabs>
              <w:spacing w:before="0" w:after="40"/>
              <w:ind w:left="57"/>
              <w:rPr>
                <w:u w:val="single"/>
              </w:rPr>
            </w:pPr>
            <w:r w:rsidRPr="00852F9E">
              <w:rPr>
                <w:rFonts w:cstheme="minorHAnsi"/>
                <w:szCs w:val="22"/>
              </w:rPr>
              <w:t>SG11/DA</w:t>
            </w:r>
          </w:p>
        </w:tc>
        <w:tc>
          <w:tcPr>
            <w:tcW w:w="4762" w:type="dxa"/>
            <w:vMerge w:val="restart"/>
          </w:tcPr>
          <w:p w14:paraId="35B6F798" w14:textId="434C9EA0" w:rsidR="002545AA" w:rsidRPr="00852F9E" w:rsidRDefault="009970E0" w:rsidP="002C58A4">
            <w:pPr>
              <w:tabs>
                <w:tab w:val="clear" w:pos="794"/>
                <w:tab w:val="left" w:pos="218"/>
              </w:tabs>
              <w:spacing w:before="0" w:after="40"/>
              <w:ind w:left="218" w:hanging="161"/>
            </w:pPr>
            <w:r w:rsidRPr="00852F9E">
              <w:t>–</w:t>
            </w:r>
            <w:r w:rsidR="002545AA" w:rsidRPr="00852F9E">
              <w:tab/>
            </w:r>
            <w:r w:rsidR="002C5D0A">
              <w:t>A l</w:t>
            </w:r>
            <w:r w:rsidRPr="00852F9E">
              <w:t>as Administr</w:t>
            </w:r>
            <w:r w:rsidR="002C5D0A">
              <w:t>aciones de los Estados Miembros</w:t>
            </w:r>
            <w:r w:rsidR="002C5D0A">
              <w:br/>
            </w:r>
            <w:r w:rsidRPr="00852F9E">
              <w:t>de la Unión;</w:t>
            </w:r>
          </w:p>
          <w:p w14:paraId="4745516B" w14:textId="59E777C2" w:rsidR="002545AA" w:rsidRPr="00852F9E" w:rsidRDefault="009970E0" w:rsidP="002C58A4">
            <w:pPr>
              <w:tabs>
                <w:tab w:val="clear" w:pos="794"/>
                <w:tab w:val="left" w:pos="218"/>
              </w:tabs>
              <w:spacing w:before="0" w:after="40"/>
              <w:ind w:left="57"/>
            </w:pPr>
            <w:r w:rsidRPr="00852F9E">
              <w:t>–</w:t>
            </w:r>
            <w:r w:rsidR="002545AA" w:rsidRPr="00852F9E">
              <w:tab/>
            </w:r>
            <w:r w:rsidR="002C5D0A">
              <w:t>A l</w:t>
            </w:r>
            <w:r w:rsidRPr="00852F9E">
              <w:t>os Miembros de Sector del UIT-T;</w:t>
            </w:r>
          </w:p>
          <w:p w14:paraId="49514F7C" w14:textId="1CCC2DBB" w:rsidR="002545AA" w:rsidRPr="00852F9E" w:rsidRDefault="009970E0" w:rsidP="002C58A4">
            <w:pPr>
              <w:tabs>
                <w:tab w:val="clear" w:pos="794"/>
                <w:tab w:val="left" w:pos="218"/>
              </w:tabs>
              <w:spacing w:before="0" w:after="40"/>
              <w:ind w:left="218" w:hanging="161"/>
            </w:pPr>
            <w:r w:rsidRPr="00852F9E">
              <w:t>–</w:t>
            </w:r>
            <w:r w:rsidR="002545AA" w:rsidRPr="00852F9E">
              <w:tab/>
            </w:r>
            <w:r w:rsidR="002C5D0A">
              <w:t>A l</w:t>
            </w:r>
            <w:r w:rsidRPr="00852F9E">
              <w:t>os asociad</w:t>
            </w:r>
            <w:r w:rsidR="002C5D0A">
              <w:t>os de la Comisión de Estudio 11</w:t>
            </w:r>
            <w:r w:rsidR="002C5D0A">
              <w:br/>
            </w:r>
            <w:r w:rsidRPr="00852F9E">
              <w:t>del UIT-T;</w:t>
            </w:r>
          </w:p>
          <w:p w14:paraId="4F632B2D" w14:textId="2704BAD6" w:rsidR="002545AA" w:rsidRPr="00852F9E" w:rsidRDefault="009970E0" w:rsidP="002C58A4">
            <w:pPr>
              <w:tabs>
                <w:tab w:val="clear" w:pos="794"/>
                <w:tab w:val="left" w:pos="218"/>
              </w:tabs>
              <w:spacing w:before="0" w:after="40"/>
              <w:ind w:left="57"/>
              <w:rPr>
                <w:bCs/>
              </w:rPr>
            </w:pPr>
            <w:r w:rsidRPr="00852F9E">
              <w:t>–</w:t>
            </w:r>
            <w:r w:rsidR="002C5D0A">
              <w:tab/>
              <w:t>A l</w:t>
            </w:r>
            <w:r w:rsidR="002545AA" w:rsidRPr="00852F9E">
              <w:t>as Instituciones Académicas de la UIT</w:t>
            </w:r>
          </w:p>
        </w:tc>
      </w:tr>
      <w:tr w:rsidR="002545AA" w:rsidRPr="00852F9E" w14:paraId="65D7708E" w14:textId="77777777" w:rsidTr="002C58A4">
        <w:trPr>
          <w:cantSplit/>
          <w:trHeight w:val="390"/>
        </w:trPr>
        <w:tc>
          <w:tcPr>
            <w:tcW w:w="1084" w:type="dxa"/>
            <w:gridSpan w:val="2"/>
          </w:tcPr>
          <w:p w14:paraId="7C27098B" w14:textId="77777777" w:rsidR="002545AA" w:rsidRPr="00852F9E" w:rsidRDefault="002545AA" w:rsidP="002C58A4">
            <w:pPr>
              <w:tabs>
                <w:tab w:val="left" w:pos="4111"/>
              </w:tabs>
              <w:spacing w:before="40" w:after="40"/>
              <w:ind w:left="57"/>
              <w:rPr>
                <w:szCs w:val="24"/>
              </w:rPr>
            </w:pPr>
            <w:r w:rsidRPr="00852F9E">
              <w:rPr>
                <w:szCs w:val="24"/>
              </w:rPr>
              <w:t>Tel.:</w:t>
            </w:r>
          </w:p>
        </w:tc>
        <w:tc>
          <w:tcPr>
            <w:tcW w:w="3793" w:type="dxa"/>
          </w:tcPr>
          <w:p w14:paraId="00A6162E" w14:textId="7D0C58C5" w:rsidR="002545AA" w:rsidRPr="00852F9E" w:rsidRDefault="009970E0" w:rsidP="002C58A4">
            <w:pPr>
              <w:tabs>
                <w:tab w:val="left" w:pos="4111"/>
              </w:tabs>
              <w:spacing w:before="40" w:after="40"/>
              <w:ind w:left="57"/>
            </w:pPr>
            <w:r w:rsidRPr="00852F9E">
              <w:t>+41 22 730 5780</w:t>
            </w:r>
          </w:p>
        </w:tc>
        <w:tc>
          <w:tcPr>
            <w:tcW w:w="4762" w:type="dxa"/>
            <w:vMerge/>
          </w:tcPr>
          <w:p w14:paraId="7EAD9FC6" w14:textId="77777777" w:rsidR="002545AA" w:rsidRPr="00852F9E" w:rsidRDefault="002545AA" w:rsidP="002C58A4">
            <w:pPr>
              <w:tabs>
                <w:tab w:val="left" w:pos="4111"/>
              </w:tabs>
              <w:spacing w:beforeLines="40" w:before="96" w:after="40"/>
              <w:ind w:left="57"/>
              <w:rPr>
                <w:bCs/>
              </w:rPr>
            </w:pPr>
          </w:p>
        </w:tc>
      </w:tr>
      <w:tr w:rsidR="002545AA" w:rsidRPr="00852F9E" w14:paraId="1204F2B2" w14:textId="77777777" w:rsidTr="002C58A4">
        <w:trPr>
          <w:cantSplit/>
          <w:trHeight w:val="431"/>
        </w:trPr>
        <w:tc>
          <w:tcPr>
            <w:tcW w:w="1084" w:type="dxa"/>
            <w:gridSpan w:val="2"/>
          </w:tcPr>
          <w:p w14:paraId="1505E61C" w14:textId="77777777" w:rsidR="002545AA" w:rsidRPr="00852F9E" w:rsidRDefault="002545AA" w:rsidP="002C58A4">
            <w:pPr>
              <w:tabs>
                <w:tab w:val="left" w:pos="4111"/>
              </w:tabs>
              <w:spacing w:before="40" w:after="40"/>
              <w:ind w:left="57"/>
              <w:rPr>
                <w:szCs w:val="24"/>
              </w:rPr>
            </w:pPr>
            <w:r w:rsidRPr="00852F9E">
              <w:rPr>
                <w:szCs w:val="24"/>
              </w:rPr>
              <w:t>Fax:</w:t>
            </w:r>
          </w:p>
        </w:tc>
        <w:tc>
          <w:tcPr>
            <w:tcW w:w="3793" w:type="dxa"/>
          </w:tcPr>
          <w:p w14:paraId="1E597094" w14:textId="0CBA4CB2" w:rsidR="002545AA" w:rsidRPr="00852F9E" w:rsidRDefault="009970E0" w:rsidP="002C58A4">
            <w:pPr>
              <w:tabs>
                <w:tab w:val="left" w:pos="4111"/>
              </w:tabs>
              <w:spacing w:before="40" w:after="40"/>
              <w:ind w:left="57"/>
            </w:pPr>
            <w:r w:rsidRPr="00852F9E">
              <w:t>+41 22 730 5853</w:t>
            </w:r>
          </w:p>
        </w:tc>
        <w:tc>
          <w:tcPr>
            <w:tcW w:w="4762" w:type="dxa"/>
            <w:vMerge/>
          </w:tcPr>
          <w:p w14:paraId="68409E47" w14:textId="77777777" w:rsidR="002545AA" w:rsidRPr="00852F9E" w:rsidRDefault="002545AA" w:rsidP="002C58A4">
            <w:pPr>
              <w:tabs>
                <w:tab w:val="left" w:pos="4111"/>
              </w:tabs>
              <w:spacing w:beforeLines="40" w:before="96" w:after="40"/>
              <w:ind w:left="57"/>
              <w:rPr>
                <w:bCs/>
              </w:rPr>
            </w:pPr>
          </w:p>
        </w:tc>
      </w:tr>
      <w:tr w:rsidR="002545AA" w:rsidRPr="00852F9E" w14:paraId="77716D1F" w14:textId="77777777" w:rsidTr="002C58A4">
        <w:trPr>
          <w:cantSplit/>
        </w:trPr>
        <w:tc>
          <w:tcPr>
            <w:tcW w:w="1084" w:type="dxa"/>
            <w:gridSpan w:val="2"/>
          </w:tcPr>
          <w:p w14:paraId="62DF5587" w14:textId="77777777" w:rsidR="002545AA" w:rsidRPr="00852F9E" w:rsidRDefault="002545AA" w:rsidP="002C58A4">
            <w:pPr>
              <w:tabs>
                <w:tab w:val="left" w:pos="4111"/>
              </w:tabs>
              <w:spacing w:before="40" w:after="40"/>
              <w:ind w:left="57"/>
              <w:rPr>
                <w:szCs w:val="24"/>
              </w:rPr>
            </w:pPr>
            <w:r w:rsidRPr="00852F9E">
              <w:rPr>
                <w:szCs w:val="24"/>
              </w:rPr>
              <w:t>Correo-e:</w:t>
            </w:r>
          </w:p>
        </w:tc>
        <w:tc>
          <w:tcPr>
            <w:tcW w:w="3793" w:type="dxa"/>
          </w:tcPr>
          <w:p w14:paraId="2CE10518" w14:textId="2922F675" w:rsidR="002545AA" w:rsidRPr="00852F9E" w:rsidRDefault="00B405F9" w:rsidP="002C58A4">
            <w:pPr>
              <w:tabs>
                <w:tab w:val="left" w:pos="4111"/>
              </w:tabs>
              <w:spacing w:before="40" w:after="40"/>
              <w:ind w:left="57"/>
            </w:pPr>
            <w:hyperlink r:id="rId9" w:history="1">
              <w:r w:rsidR="009970E0" w:rsidRPr="00852F9E">
                <w:rPr>
                  <w:rStyle w:val="Hyperlink"/>
                </w:rPr>
                <w:t>tsbsg11@itu.int</w:t>
              </w:r>
            </w:hyperlink>
          </w:p>
        </w:tc>
        <w:tc>
          <w:tcPr>
            <w:tcW w:w="4762" w:type="dxa"/>
            <w:vMerge/>
          </w:tcPr>
          <w:p w14:paraId="4F8D3685" w14:textId="77777777" w:rsidR="002545AA" w:rsidRPr="00852F9E" w:rsidRDefault="002545AA" w:rsidP="002C58A4">
            <w:pPr>
              <w:tabs>
                <w:tab w:val="left" w:pos="4111"/>
              </w:tabs>
              <w:spacing w:beforeLines="40" w:before="96" w:after="40"/>
              <w:ind w:left="57"/>
            </w:pPr>
          </w:p>
        </w:tc>
      </w:tr>
      <w:tr w:rsidR="002545AA" w:rsidRPr="00852F9E" w14:paraId="33B77490" w14:textId="77777777" w:rsidTr="002C58A4">
        <w:trPr>
          <w:cantSplit/>
        </w:trPr>
        <w:tc>
          <w:tcPr>
            <w:tcW w:w="1084" w:type="dxa"/>
            <w:gridSpan w:val="2"/>
          </w:tcPr>
          <w:p w14:paraId="5574322D" w14:textId="77777777" w:rsidR="002545AA" w:rsidRPr="00852F9E" w:rsidRDefault="002545AA" w:rsidP="002C5D0A">
            <w:pPr>
              <w:tabs>
                <w:tab w:val="left" w:pos="4111"/>
              </w:tabs>
              <w:spacing w:before="40" w:after="480"/>
              <w:ind w:left="57"/>
              <w:rPr>
                <w:szCs w:val="24"/>
              </w:rPr>
            </w:pPr>
            <w:r w:rsidRPr="00852F9E">
              <w:rPr>
                <w:szCs w:val="24"/>
              </w:rPr>
              <w:t>Web:</w:t>
            </w:r>
          </w:p>
        </w:tc>
        <w:tc>
          <w:tcPr>
            <w:tcW w:w="3793" w:type="dxa"/>
          </w:tcPr>
          <w:p w14:paraId="65B5C22F" w14:textId="18351FD2" w:rsidR="002545AA" w:rsidRPr="00852F9E" w:rsidRDefault="00B405F9" w:rsidP="002C5D0A">
            <w:pPr>
              <w:tabs>
                <w:tab w:val="left" w:pos="4111"/>
              </w:tabs>
              <w:spacing w:before="40" w:after="480"/>
              <w:ind w:left="57"/>
            </w:pPr>
            <w:hyperlink r:id="rId10" w:history="1">
              <w:r w:rsidR="009970E0" w:rsidRPr="00852F9E">
                <w:rPr>
                  <w:rStyle w:val="Hyperlink"/>
                </w:rPr>
                <w:t>https://itu.int/go/tsg11</w:t>
              </w:r>
            </w:hyperlink>
          </w:p>
        </w:tc>
        <w:tc>
          <w:tcPr>
            <w:tcW w:w="4762" w:type="dxa"/>
            <w:vMerge/>
          </w:tcPr>
          <w:p w14:paraId="08E77D1D" w14:textId="77777777" w:rsidR="002545AA" w:rsidRPr="00852F9E" w:rsidRDefault="002545AA" w:rsidP="002C58A4">
            <w:pPr>
              <w:tabs>
                <w:tab w:val="left" w:pos="4111"/>
              </w:tabs>
              <w:spacing w:beforeLines="40" w:before="96" w:after="40"/>
              <w:ind w:left="57"/>
            </w:pPr>
          </w:p>
        </w:tc>
      </w:tr>
      <w:tr w:rsidR="002545AA" w:rsidRPr="00852F9E" w14:paraId="2DDBFB72" w14:textId="77777777" w:rsidTr="002C5D0A">
        <w:trPr>
          <w:cantSplit/>
          <w:trHeight w:val="214"/>
        </w:trPr>
        <w:tc>
          <w:tcPr>
            <w:tcW w:w="1070" w:type="dxa"/>
          </w:tcPr>
          <w:p w14:paraId="1FFF868A" w14:textId="77777777" w:rsidR="002545AA" w:rsidRPr="00852F9E" w:rsidRDefault="002545AA" w:rsidP="002C58A4">
            <w:pPr>
              <w:tabs>
                <w:tab w:val="left" w:pos="4111"/>
              </w:tabs>
              <w:spacing w:before="40" w:after="40"/>
              <w:ind w:left="57"/>
              <w:rPr>
                <w:szCs w:val="24"/>
              </w:rPr>
            </w:pPr>
            <w:r w:rsidRPr="00852F9E">
              <w:rPr>
                <w:szCs w:val="24"/>
              </w:rPr>
              <w:t>Asunto:</w:t>
            </w:r>
          </w:p>
        </w:tc>
        <w:tc>
          <w:tcPr>
            <w:tcW w:w="8569" w:type="dxa"/>
            <w:gridSpan w:val="3"/>
          </w:tcPr>
          <w:p w14:paraId="28D927E3" w14:textId="53D6F819" w:rsidR="002545AA" w:rsidRPr="00852F9E" w:rsidRDefault="009970E0" w:rsidP="002C58A4">
            <w:pPr>
              <w:tabs>
                <w:tab w:val="left" w:pos="4111"/>
              </w:tabs>
              <w:spacing w:before="40" w:after="40"/>
              <w:ind w:left="57"/>
              <w:rPr>
                <w:b/>
                <w:bCs/>
              </w:rPr>
            </w:pPr>
            <w:r w:rsidRPr="00852F9E">
              <w:rPr>
                <w:b/>
                <w:bCs/>
                <w:szCs w:val="24"/>
              </w:rPr>
              <w:t>Reuniones de los Grupos de Trabajo 1, 2 y 3/11; Ginebra, 7 de diciembre de 2022</w:t>
            </w:r>
          </w:p>
        </w:tc>
      </w:tr>
    </w:tbl>
    <w:p w14:paraId="678538A2" w14:textId="77777777" w:rsidR="009970E0" w:rsidRPr="00852F9E" w:rsidRDefault="009970E0" w:rsidP="002C5D0A">
      <w:pPr>
        <w:pStyle w:val="Normalaftertitle0"/>
      </w:pPr>
      <w:bookmarkStart w:id="0" w:name="ditulogo"/>
      <w:bookmarkEnd w:id="0"/>
      <w:r w:rsidRPr="00852F9E">
        <w:t>Muy Señora mía/Muy Señor mío:</w:t>
      </w:r>
    </w:p>
    <w:p w14:paraId="7CDA90BD" w14:textId="77777777" w:rsidR="009970E0" w:rsidRPr="00852F9E" w:rsidRDefault="009970E0" w:rsidP="009970E0">
      <w:pPr>
        <w:rPr>
          <w:rFonts w:cstheme="minorHAnsi"/>
          <w:szCs w:val="22"/>
        </w:rPr>
      </w:pPr>
      <w:r w:rsidRPr="00852F9E">
        <w:rPr>
          <w:rFonts w:cstheme="minorHAnsi"/>
          <w:szCs w:val="22"/>
        </w:rPr>
        <w:t xml:space="preserve">Me complace invitarle a asistir a las próximas reuniones del </w:t>
      </w:r>
      <w:r w:rsidRPr="00852F9E">
        <w:t>Grupo de Trabajo 1/11 (</w:t>
      </w:r>
      <w:r w:rsidRPr="00852F9E">
        <w:rPr>
          <w:i/>
          <w:iCs/>
        </w:rPr>
        <w:t>Protocolos y requisitos de señalización para redes de telecomunicaciones incipientes</w:t>
      </w:r>
      <w:r w:rsidRPr="00852F9E">
        <w:t>), del Grupo de Trabajo 2/11 (</w:t>
      </w:r>
      <w:r w:rsidRPr="00852F9E">
        <w:rPr>
          <w:i/>
          <w:iCs/>
        </w:rPr>
        <w:t>Protocolos de control y gestión para las IMT-2020 y tecnologías posteriores</w:t>
      </w:r>
      <w:r w:rsidRPr="00852F9E">
        <w:t>) y del Grupo de Trabajo 3/11 (</w:t>
      </w:r>
      <w:r w:rsidRPr="00852F9E">
        <w:rPr>
          <w:i/>
          <w:iCs/>
        </w:rPr>
        <w:t>Pruebas de conformidad e interoperabilidad</w:t>
      </w:r>
      <w:r w:rsidRPr="00852F9E">
        <w:t>)</w:t>
      </w:r>
      <w:r w:rsidRPr="00852F9E">
        <w:rPr>
          <w:rFonts w:cstheme="minorHAnsi"/>
          <w:szCs w:val="22"/>
        </w:rPr>
        <w:t>, que se celebrarán en la sede de la UIT en Ginebra el 7 de diciembre de 2022. La invitación obedece a mi acuerdo con</w:t>
      </w:r>
      <w:r w:rsidRPr="00852F9E">
        <w:t xml:space="preserve"> la solicitud del Presidente de la Comisión de Estudio 11 (Sr. Ritu Ranjan Mittar, India), y a tenor de lo aprobado en la reunión de la Comisión de Estudio 11 (Ginebra, 6-15 de julio de 2022).</w:t>
      </w:r>
    </w:p>
    <w:p w14:paraId="67EFA675" w14:textId="77777777" w:rsidR="009970E0" w:rsidRPr="00852F9E" w:rsidRDefault="009970E0" w:rsidP="009970E0">
      <w:pPr>
        <w:rPr>
          <w:rFonts w:cstheme="minorBidi"/>
        </w:rPr>
      </w:pPr>
      <w:r w:rsidRPr="00852F9E">
        <w:rPr>
          <w:rFonts w:cstheme="minorBidi"/>
        </w:rPr>
        <w:t>Las disposiciones logísticas definitivas relativas a esta reunión vendrán dadas por la evolución de la pandemia de COVID-19 y sus efectos en los viajes internacionales. El equipo de gestión de la Comisión de Estudio, en estrecha colaboración con la Secretaría de la TSB, seguirá estrechamente la evolución de la situación. En caso de que fuera necesario introducir cambios en la organización de la reunión, se informará a los expertos del UIT-T a través de la página web de la Comisión de Estudio, las listas de correo electrónico y las actualizaciones de la presente Carta Colectiva, según proceda.</w:t>
      </w:r>
    </w:p>
    <w:p w14:paraId="6FD1C3D2" w14:textId="24B432B7" w:rsidR="009970E0" w:rsidRPr="00852F9E" w:rsidRDefault="009970E0" w:rsidP="009970E0">
      <w:pPr>
        <w:rPr>
          <w:szCs w:val="22"/>
        </w:rPr>
      </w:pPr>
      <w:r w:rsidRPr="00852F9E">
        <w:rPr>
          <w:szCs w:val="22"/>
        </w:rPr>
        <w:t>La reunión del GT 1/11 se inaugurará a las 11.15 horas, y posteriormente tendrán lugar las reuniones del GT</w:t>
      </w:r>
      <w:r w:rsidR="002C5D0A">
        <w:rPr>
          <w:szCs w:val="22"/>
        </w:rPr>
        <w:t> </w:t>
      </w:r>
      <w:r w:rsidRPr="00852F9E">
        <w:rPr>
          <w:szCs w:val="22"/>
        </w:rPr>
        <w:t>2/11 y del GT</w:t>
      </w:r>
      <w:r w:rsidR="002C5D0A">
        <w:rPr>
          <w:szCs w:val="22"/>
        </w:rPr>
        <w:t> </w:t>
      </w:r>
      <w:r w:rsidRPr="00852F9E">
        <w:rPr>
          <w:szCs w:val="22"/>
        </w:rPr>
        <w:t xml:space="preserve">3/11. La inscripción de los participantes comenzará a las 8.30 horas en la </w:t>
      </w:r>
      <w:hyperlink r:id="rId11" w:history="1">
        <w:r w:rsidRPr="00852F9E">
          <w:rPr>
            <w:rStyle w:val="Hyperlink"/>
            <w:szCs w:val="22"/>
          </w:rPr>
          <w:t>entrada del edificio Montbrillant</w:t>
        </w:r>
      </w:hyperlink>
      <w:r w:rsidRPr="00852F9E">
        <w:rPr>
          <w:szCs w:val="22"/>
        </w:rPr>
        <w:t xml:space="preserve">. La asignación de salas de reunión se mostrará en pantallas en toda la sede de la UIT, así como en línea a través de </w:t>
      </w:r>
      <w:hyperlink r:id="rId12" w:history="1">
        <w:r w:rsidRPr="00852F9E">
          <w:rPr>
            <w:rStyle w:val="Hyperlink"/>
            <w:szCs w:val="22"/>
          </w:rPr>
          <w:t>este enlace</w:t>
        </w:r>
      </w:hyperlink>
      <w:r w:rsidRPr="00852F9E">
        <w:rPr>
          <w:szCs w:val="22"/>
        </w:rPr>
        <w:t>.</w:t>
      </w:r>
    </w:p>
    <w:p w14:paraId="5D525004" w14:textId="5134720E" w:rsidR="009970E0" w:rsidRPr="00852F9E" w:rsidRDefault="009970E0" w:rsidP="009970E0">
      <w:pPr>
        <w:rPr>
          <w:szCs w:val="22"/>
          <w:highlight w:val="yellow"/>
        </w:rPr>
      </w:pPr>
      <w:r w:rsidRPr="00852F9E">
        <w:rPr>
          <w:szCs w:val="22"/>
        </w:rPr>
        <w:t>Se facili</w:t>
      </w:r>
      <w:r w:rsidR="00852F9E">
        <w:rPr>
          <w:szCs w:val="22"/>
        </w:rPr>
        <w:t>t</w:t>
      </w:r>
      <w:r w:rsidRPr="00852F9E">
        <w:rPr>
          <w:szCs w:val="22"/>
        </w:rPr>
        <w:t xml:space="preserve">ará la participación a distancia a través de </w:t>
      </w:r>
      <w:hyperlink r:id="rId13" w:history="1">
        <w:r w:rsidRPr="00852F9E">
          <w:rPr>
            <w:rStyle w:val="Hyperlink"/>
            <w:szCs w:val="22"/>
          </w:rPr>
          <w:t>MyMeetings</w:t>
        </w:r>
      </w:hyperlink>
      <w:r w:rsidRPr="00852F9E">
        <w:rPr>
          <w:szCs w:val="22"/>
        </w:rPr>
        <w:t>. La documentación y los pormenores de la participación a distancia, entre otra información conexa, figuran en la página de i</w:t>
      </w:r>
      <w:r w:rsidR="002C5D0A">
        <w:rPr>
          <w:szCs w:val="22"/>
        </w:rPr>
        <w:t>nicio de la Comisión de Estudio </w:t>
      </w:r>
      <w:r w:rsidRPr="00852F9E">
        <w:rPr>
          <w:szCs w:val="22"/>
        </w:rPr>
        <w:t xml:space="preserve">11 </w:t>
      </w:r>
      <w:r w:rsidRPr="002C5D0A">
        <w:rPr>
          <w:szCs w:val="22"/>
        </w:rPr>
        <w:t>(</w:t>
      </w:r>
      <w:hyperlink r:id="rId14" w:history="1">
        <w:r w:rsidRPr="002C5D0A">
          <w:rPr>
            <w:rStyle w:val="Hyperlink"/>
            <w:szCs w:val="22"/>
          </w:rPr>
          <w:t>https://itu.int/go/tsg11</w:t>
        </w:r>
      </w:hyperlink>
      <w:r w:rsidRPr="00852F9E">
        <w:rPr>
          <w:szCs w:val="22"/>
        </w:rPr>
        <w:t>).</w:t>
      </w:r>
    </w:p>
    <w:p w14:paraId="39D485B1" w14:textId="77777777" w:rsidR="009970E0" w:rsidRPr="00852F9E" w:rsidRDefault="009970E0" w:rsidP="009970E0">
      <w:pPr>
        <w:rPr>
          <w:rFonts w:eastAsia="Calibri"/>
        </w:rPr>
      </w:pPr>
      <w:r w:rsidRPr="00852F9E">
        <w:rPr>
          <w:rFonts w:eastAsia="Calibri"/>
        </w:rPr>
        <w:t>No se concederán becas para esta reunión de un día, y las sesiones tendrán lugar únicamente en inglés, sin servicios de interpretación.</w:t>
      </w:r>
    </w:p>
    <w:p w14:paraId="2919A1C8" w14:textId="77777777" w:rsidR="009970E0" w:rsidRPr="00852F9E" w:rsidRDefault="009970E0" w:rsidP="009970E0">
      <w:pPr>
        <w:rPr>
          <w:szCs w:val="22"/>
        </w:rPr>
      </w:pPr>
      <w:r w:rsidRPr="00852F9E">
        <w:rPr>
          <w:szCs w:val="22"/>
        </w:rPr>
        <w:t xml:space="preserve">Los principales objetivos de las reuniones son estudiar el inicio del proceso de aprobación de los siguientes proyectos de Recomendación UIT-T, según proceda, en función de los resultados de las </w:t>
      </w:r>
      <w:hyperlink r:id="rId15" w:history="1">
        <w:r w:rsidRPr="00852F9E">
          <w:rPr>
            <w:rStyle w:val="Hyperlink"/>
            <w:szCs w:val="22"/>
          </w:rPr>
          <w:t>reuniones del Grupo de Relator</w:t>
        </w:r>
      </w:hyperlink>
      <w:r w:rsidRPr="00852F9E">
        <w:rPr>
          <w:szCs w:val="22"/>
        </w:rPr>
        <w:t xml:space="preserve"> que se celebrarán en la </w:t>
      </w:r>
      <w:r w:rsidRPr="00852F9E">
        <w:rPr>
          <w:rFonts w:cstheme="minorHAnsi"/>
          <w:szCs w:val="22"/>
        </w:rPr>
        <w:t xml:space="preserve">sede de la UIT, Ginebra, </w:t>
      </w:r>
      <w:r w:rsidRPr="00852F9E">
        <w:rPr>
          <w:szCs w:val="22"/>
        </w:rPr>
        <w:t>del 28 de noviembre al 7 de diciembre de 2022:</w:t>
      </w:r>
    </w:p>
    <w:p w14:paraId="57603E43" w14:textId="77777777" w:rsidR="009970E0" w:rsidRPr="00852F9E" w:rsidRDefault="009970E0" w:rsidP="009970E0">
      <w:pPr>
        <w:rPr>
          <w:rFonts w:cstheme="minorBidi"/>
          <w:u w:val="single"/>
        </w:rPr>
      </w:pPr>
      <w:r w:rsidRPr="00852F9E">
        <w:rPr>
          <w:rFonts w:cstheme="minorBidi"/>
          <w:u w:val="single"/>
        </w:rPr>
        <w:t>GT1/11:</w:t>
      </w:r>
    </w:p>
    <w:p w14:paraId="22416A8E" w14:textId="64086E4E" w:rsidR="009970E0" w:rsidRPr="00852F9E" w:rsidRDefault="009970E0" w:rsidP="009970E0">
      <w:pPr>
        <w:pStyle w:val="enumlev1"/>
        <w:rPr>
          <w:rFonts w:cstheme="minorBidi"/>
        </w:rPr>
      </w:pPr>
      <w:r w:rsidRPr="00852F9E">
        <w:rPr>
          <w:rFonts w:cstheme="minorBidi"/>
        </w:rPr>
        <w:t>–</w:t>
      </w:r>
      <w:r w:rsidRPr="00852F9E">
        <w:rPr>
          <w:rFonts w:cstheme="minorBidi"/>
        </w:rPr>
        <w:tab/>
      </w:r>
      <w:r w:rsidRPr="00852F9E">
        <w:t xml:space="preserve">Q.LiteIMS-SA: Arquitectura de señalización </w:t>
      </w:r>
      <w:r w:rsidRPr="00852F9E">
        <w:rPr>
          <w:i/>
          <w:iCs/>
        </w:rPr>
        <w:t>Lite IMS</w:t>
      </w:r>
      <w:r w:rsidRPr="00852F9E">
        <w:t xml:space="preserve"> para redes IMT-2020 avanzadas (C1/11)</w:t>
      </w:r>
      <w:r w:rsidR="002C5D0A">
        <w:t>.</w:t>
      </w:r>
    </w:p>
    <w:p w14:paraId="42A197BC" w14:textId="327CA3C4" w:rsidR="009970E0" w:rsidRPr="00852F9E" w:rsidRDefault="009970E0" w:rsidP="009970E0">
      <w:pPr>
        <w:pStyle w:val="enumlev1"/>
      </w:pPr>
      <w:r w:rsidRPr="00852F9E">
        <w:rPr>
          <w:rFonts w:cstheme="minorBidi"/>
        </w:rPr>
        <w:t>–</w:t>
      </w:r>
      <w:r w:rsidRPr="00852F9E">
        <w:rPr>
          <w:rFonts w:cstheme="minorBidi"/>
        </w:rPr>
        <w:tab/>
      </w:r>
      <w:r w:rsidRPr="00852F9E">
        <w:t xml:space="preserve">Q.IMT 2020-SAO: </w:t>
      </w:r>
      <w:r w:rsidRPr="00852F9E">
        <w:rPr>
          <w:szCs w:val="22"/>
        </w:rPr>
        <w:t>Requisitos, marco y protocolos para el análisis y la optimización de redes de señalización en las IMT-2020 (2/11)</w:t>
      </w:r>
      <w:r w:rsidR="002C5D0A">
        <w:rPr>
          <w:szCs w:val="22"/>
        </w:rPr>
        <w:t>.</w:t>
      </w:r>
    </w:p>
    <w:p w14:paraId="4C46F272" w14:textId="72A37296" w:rsidR="009970E0" w:rsidRPr="00852F9E" w:rsidRDefault="009970E0" w:rsidP="009970E0">
      <w:pPr>
        <w:pStyle w:val="enumlev1"/>
      </w:pPr>
      <w:r w:rsidRPr="00852F9E">
        <w:t>–</w:t>
      </w:r>
      <w:r w:rsidRPr="00852F9E">
        <w:tab/>
        <w:t xml:space="preserve">Q.QKDN_profr: </w:t>
      </w:r>
      <w:r w:rsidRPr="00852F9E">
        <w:rPr>
          <w:color w:val="000000" w:themeColor="text1"/>
          <w:szCs w:val="22"/>
        </w:rPr>
        <w:t>Redes de distribución de claves cuánticas – Protocolo marco (2/11)</w:t>
      </w:r>
      <w:r w:rsidR="002C5D0A">
        <w:rPr>
          <w:color w:val="000000" w:themeColor="text1"/>
          <w:szCs w:val="22"/>
        </w:rPr>
        <w:t>.</w:t>
      </w:r>
    </w:p>
    <w:p w14:paraId="58CFCF83" w14:textId="036FE346" w:rsidR="009970E0" w:rsidRPr="00852F9E" w:rsidRDefault="009970E0" w:rsidP="009970E0">
      <w:pPr>
        <w:pStyle w:val="enumlev1"/>
      </w:pPr>
      <w:r w:rsidRPr="00852F9E">
        <w:lastRenderedPageBreak/>
        <w:t>–</w:t>
      </w:r>
      <w:r w:rsidRPr="00852F9E">
        <w:tab/>
        <w:t xml:space="preserve">Q.QKDN_Ak: </w:t>
      </w:r>
      <w:r w:rsidRPr="00852F9E">
        <w:rPr>
          <w:bCs/>
          <w:szCs w:val="22"/>
          <w:lang w:eastAsia="zh-CN"/>
        </w:rPr>
        <w:t>Protocolos de la interfaz Ak para QKDN (2/11)</w:t>
      </w:r>
      <w:r w:rsidR="002C5D0A">
        <w:rPr>
          <w:bCs/>
          <w:szCs w:val="22"/>
          <w:lang w:eastAsia="zh-CN"/>
        </w:rPr>
        <w:t>.</w:t>
      </w:r>
    </w:p>
    <w:p w14:paraId="3758B519" w14:textId="766EB4CA" w:rsidR="009970E0" w:rsidRPr="00852F9E" w:rsidRDefault="009970E0" w:rsidP="009970E0">
      <w:pPr>
        <w:pStyle w:val="enumlev1"/>
      </w:pPr>
      <w:r w:rsidRPr="00852F9E">
        <w:t>–</w:t>
      </w:r>
      <w:r w:rsidRPr="00852F9E">
        <w:tab/>
        <w:t xml:space="preserve">Q.QKDN_Kq-1: </w:t>
      </w:r>
      <w:r w:rsidRPr="00852F9E">
        <w:rPr>
          <w:bCs/>
          <w:szCs w:val="22"/>
          <w:lang w:eastAsia="zh-CN"/>
        </w:rPr>
        <w:t>Protocolos de la interfaz Kq-1 para QKDN (2/11)</w:t>
      </w:r>
      <w:r w:rsidR="002C5D0A">
        <w:rPr>
          <w:bCs/>
          <w:szCs w:val="22"/>
          <w:lang w:eastAsia="zh-CN"/>
        </w:rPr>
        <w:t>.</w:t>
      </w:r>
    </w:p>
    <w:p w14:paraId="6128581F" w14:textId="101AAAB6" w:rsidR="009970E0" w:rsidRPr="00852F9E" w:rsidRDefault="009970E0" w:rsidP="009970E0">
      <w:pPr>
        <w:pStyle w:val="enumlev1"/>
      </w:pPr>
      <w:r w:rsidRPr="00852F9E">
        <w:t>–</w:t>
      </w:r>
      <w:r w:rsidRPr="00852F9E">
        <w:tab/>
        <w:t xml:space="preserve">Q.QKDN_Ck: </w:t>
      </w:r>
      <w:r w:rsidRPr="00852F9E">
        <w:rPr>
          <w:bCs/>
          <w:szCs w:val="22"/>
          <w:lang w:eastAsia="zh-CN"/>
        </w:rPr>
        <w:t>Protocolos de la interfaz Ck para QKDN (2/11)</w:t>
      </w:r>
      <w:r w:rsidR="002C5D0A">
        <w:rPr>
          <w:bCs/>
          <w:szCs w:val="22"/>
          <w:lang w:eastAsia="zh-CN"/>
        </w:rPr>
        <w:t>.</w:t>
      </w:r>
    </w:p>
    <w:p w14:paraId="63C98782" w14:textId="6A13CF5F" w:rsidR="009970E0" w:rsidRPr="00852F9E" w:rsidRDefault="009970E0" w:rsidP="009970E0">
      <w:pPr>
        <w:pStyle w:val="enumlev1"/>
        <w:rPr>
          <w:bCs/>
          <w:szCs w:val="22"/>
          <w:lang w:eastAsia="zh-CN"/>
        </w:rPr>
      </w:pPr>
      <w:r w:rsidRPr="00852F9E">
        <w:t>–</w:t>
      </w:r>
      <w:r w:rsidRPr="00852F9E">
        <w:tab/>
        <w:t xml:space="preserve">Q.QKDN_Kx: </w:t>
      </w:r>
      <w:r w:rsidRPr="00852F9E">
        <w:rPr>
          <w:bCs/>
          <w:szCs w:val="22"/>
          <w:lang w:eastAsia="zh-CN"/>
        </w:rPr>
        <w:t>Protocolos de la interfaz Kx para QKDN (2/11)</w:t>
      </w:r>
      <w:r w:rsidR="002C5D0A">
        <w:rPr>
          <w:bCs/>
          <w:szCs w:val="22"/>
          <w:lang w:eastAsia="zh-CN"/>
        </w:rPr>
        <w:t>.</w:t>
      </w:r>
    </w:p>
    <w:p w14:paraId="456075CB" w14:textId="150765C0" w:rsidR="009970E0" w:rsidRPr="00852F9E" w:rsidRDefault="009970E0" w:rsidP="009970E0">
      <w:pPr>
        <w:pStyle w:val="enumlev1"/>
      </w:pPr>
      <w:r w:rsidRPr="00852F9E">
        <w:rPr>
          <w:rFonts w:cstheme="minorBidi"/>
        </w:rPr>
        <w:t>–</w:t>
      </w:r>
      <w:r w:rsidRPr="00852F9E">
        <w:rPr>
          <w:rFonts w:cstheme="minorBidi"/>
        </w:rPr>
        <w:tab/>
        <w:t>Q.Sig_Req_ETS_IMS_roaming: Requisitos de señalización para el servicio de telecomunicaciones de</w:t>
      </w:r>
      <w:r w:rsidRPr="00852F9E">
        <w:t xml:space="preserve"> emergencia en entornos de itinerancia IMS (3/11)</w:t>
      </w:r>
      <w:r w:rsidR="002C5D0A">
        <w:t>.</w:t>
      </w:r>
    </w:p>
    <w:p w14:paraId="2093D858" w14:textId="57D7425A" w:rsidR="009970E0" w:rsidRPr="00852F9E" w:rsidRDefault="009970E0" w:rsidP="009970E0">
      <w:pPr>
        <w:pStyle w:val="enumlev1"/>
      </w:pPr>
      <w:r w:rsidRPr="00852F9E">
        <w:t>–</w:t>
      </w:r>
      <w:r w:rsidRPr="00852F9E">
        <w:tab/>
        <w:t>Q.CPN: Requisitos de señalización para redes de potencia de computación (4/11)</w:t>
      </w:r>
      <w:r w:rsidR="002C5D0A">
        <w:t>.</w:t>
      </w:r>
    </w:p>
    <w:p w14:paraId="62DF7B83" w14:textId="78195B19" w:rsidR="009970E0" w:rsidRPr="00852F9E" w:rsidRDefault="009970E0" w:rsidP="009970E0">
      <w:pPr>
        <w:pStyle w:val="enumlev1"/>
      </w:pPr>
      <w:r w:rsidRPr="00852F9E">
        <w:t>–</w:t>
      </w:r>
      <w:r w:rsidRPr="00852F9E">
        <w:tab/>
        <w:t>Q.hns: Requisitos de señalización para servicios de segmentación jerárquica de red (4/11)</w:t>
      </w:r>
      <w:r w:rsidR="002C5D0A">
        <w:t>.</w:t>
      </w:r>
    </w:p>
    <w:p w14:paraId="32923EBC" w14:textId="7FC8B734" w:rsidR="009970E0" w:rsidRPr="00852F9E" w:rsidRDefault="009970E0" w:rsidP="009970E0">
      <w:pPr>
        <w:pStyle w:val="enumlev1"/>
      </w:pPr>
      <w:r w:rsidRPr="00852F9E">
        <w:t>–</w:t>
      </w:r>
      <w:r w:rsidRPr="00852F9E">
        <w:tab/>
        <w:t>Q.BNG-INC: Requisitos y señalización del control de inteligencia para pasarelas de redes limítrofes en redes de potencia de computación (5/11)</w:t>
      </w:r>
      <w:r w:rsidR="002C5D0A">
        <w:t>.</w:t>
      </w:r>
    </w:p>
    <w:p w14:paraId="2F7D8C96" w14:textId="77777777" w:rsidR="009970E0" w:rsidRPr="00852F9E" w:rsidRDefault="009970E0" w:rsidP="009970E0">
      <w:pPr>
        <w:rPr>
          <w:rFonts w:cstheme="minorBidi"/>
          <w:u w:val="single"/>
        </w:rPr>
      </w:pPr>
      <w:r w:rsidRPr="00852F9E">
        <w:rPr>
          <w:rFonts w:cstheme="minorBidi"/>
          <w:u w:val="single"/>
        </w:rPr>
        <w:t>GT2/11:</w:t>
      </w:r>
    </w:p>
    <w:p w14:paraId="7E872B9B" w14:textId="1EE61656" w:rsidR="009970E0" w:rsidRPr="00852F9E" w:rsidRDefault="009970E0" w:rsidP="009970E0">
      <w:pPr>
        <w:pStyle w:val="enumlev1"/>
      </w:pPr>
      <w:r w:rsidRPr="00852F9E">
        <w:rPr>
          <w:rFonts w:cstheme="minorBidi"/>
        </w:rPr>
        <w:t>–</w:t>
      </w:r>
      <w:r w:rsidRPr="00852F9E">
        <w:rPr>
          <w:rFonts w:cstheme="minorBidi"/>
        </w:rPr>
        <w:tab/>
      </w:r>
      <w:r w:rsidRPr="00852F9E">
        <w:t xml:space="preserve">Q.IEC-PRO: </w:t>
      </w:r>
      <w:r w:rsidRPr="00852F9E">
        <w:rPr>
          <w:color w:val="000000" w:themeColor="text1"/>
          <w:lang w:eastAsia="ko-KR"/>
        </w:rPr>
        <w:t>Protocolos de computación periférica inteligente basada en microservicios (7/11)</w:t>
      </w:r>
      <w:r w:rsidR="002C5D0A">
        <w:rPr>
          <w:color w:val="000000" w:themeColor="text1"/>
          <w:lang w:eastAsia="ko-KR"/>
        </w:rPr>
        <w:t>.</w:t>
      </w:r>
    </w:p>
    <w:p w14:paraId="22A0E6B3" w14:textId="77777777" w:rsidR="009970E0" w:rsidRPr="00852F9E" w:rsidRDefault="009970E0" w:rsidP="009970E0">
      <w:pPr>
        <w:rPr>
          <w:rFonts w:cstheme="minorBidi"/>
          <w:u w:val="single"/>
        </w:rPr>
      </w:pPr>
      <w:r w:rsidRPr="00852F9E">
        <w:rPr>
          <w:rFonts w:cstheme="minorBidi"/>
          <w:u w:val="single"/>
        </w:rPr>
        <w:t>GT3/11:</w:t>
      </w:r>
    </w:p>
    <w:p w14:paraId="11BF3194" w14:textId="7BF3B3BC" w:rsidR="009970E0" w:rsidRPr="00852F9E" w:rsidRDefault="009970E0" w:rsidP="009970E0">
      <w:pPr>
        <w:pStyle w:val="enumlev1"/>
      </w:pPr>
      <w:r w:rsidRPr="00852F9E">
        <w:rPr>
          <w:rFonts w:cstheme="minorBidi"/>
        </w:rPr>
        <w:t>–</w:t>
      </w:r>
      <w:r w:rsidRPr="00852F9E">
        <w:rPr>
          <w:rFonts w:cstheme="minorBidi"/>
        </w:rPr>
        <w:tab/>
      </w:r>
      <w:r w:rsidRPr="00852F9E">
        <w:t xml:space="preserve">Q.vbng-iop-ts: </w:t>
      </w:r>
      <w:r w:rsidRPr="00852F9E">
        <w:rPr>
          <w:rFonts w:eastAsia="DengXian"/>
          <w:szCs w:val="22"/>
        </w:rPr>
        <w:t>Conjunto de ensayos sobre pruebas de interoperabilidad de BNG virtuales (14/11)</w:t>
      </w:r>
      <w:r w:rsidR="002C5D0A">
        <w:rPr>
          <w:rFonts w:eastAsia="DengXian"/>
          <w:szCs w:val="22"/>
        </w:rPr>
        <w:t>.</w:t>
      </w:r>
    </w:p>
    <w:p w14:paraId="6EDDB85B" w14:textId="17309724" w:rsidR="009970E0" w:rsidRPr="00852F9E" w:rsidRDefault="009970E0" w:rsidP="009970E0">
      <w:pPr>
        <w:rPr>
          <w:szCs w:val="22"/>
        </w:rPr>
      </w:pPr>
      <w:r w:rsidRPr="00852F9E">
        <w:rPr>
          <w:szCs w:val="22"/>
        </w:rPr>
        <w:t>El estudio de los nuevos temas de trabajo, el envío de declaraciones de coordinación y los planes futuros forman parte asimismo del orden del día de las reuniones de los GT</w:t>
      </w:r>
      <w:r w:rsidR="002C5D0A">
        <w:rPr>
          <w:szCs w:val="22"/>
        </w:rPr>
        <w:t> </w:t>
      </w:r>
      <w:r w:rsidRPr="00852F9E">
        <w:rPr>
          <w:szCs w:val="22"/>
        </w:rPr>
        <w:t>1/11, GT</w:t>
      </w:r>
      <w:r w:rsidR="002C5D0A">
        <w:rPr>
          <w:szCs w:val="22"/>
        </w:rPr>
        <w:t> </w:t>
      </w:r>
      <w:r w:rsidRPr="00852F9E">
        <w:rPr>
          <w:szCs w:val="22"/>
        </w:rPr>
        <w:t>2/11 y GT</w:t>
      </w:r>
      <w:r w:rsidR="002C5D0A">
        <w:rPr>
          <w:szCs w:val="22"/>
        </w:rPr>
        <w:t> </w:t>
      </w:r>
      <w:r w:rsidRPr="00852F9E">
        <w:rPr>
          <w:szCs w:val="22"/>
        </w:rPr>
        <w:t>3/11.</w:t>
      </w:r>
    </w:p>
    <w:p w14:paraId="4AF660BC" w14:textId="77777777" w:rsidR="009970E0" w:rsidRPr="00852F9E" w:rsidRDefault="009970E0" w:rsidP="009970E0">
      <w:pPr>
        <w:spacing w:after="120"/>
        <w:rPr>
          <w:b/>
          <w:bCs/>
        </w:rPr>
      </w:pPr>
      <w:r w:rsidRPr="00852F9E">
        <w:rPr>
          <w:b/>
          <w:bCs/>
        </w:rPr>
        <w:t>Plazos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90"/>
      </w:tblGrid>
      <w:tr w:rsidR="009970E0" w:rsidRPr="00852F9E" w14:paraId="78427E04" w14:textId="77777777" w:rsidTr="0040257E">
        <w:trPr>
          <w:trHeight w:val="835"/>
        </w:trPr>
        <w:tc>
          <w:tcPr>
            <w:tcW w:w="2547" w:type="dxa"/>
            <w:shd w:val="clear" w:color="auto" w:fill="auto"/>
          </w:tcPr>
          <w:p w14:paraId="68E9F8DE" w14:textId="77777777" w:rsidR="009970E0" w:rsidRPr="00852F9E" w:rsidRDefault="009970E0" w:rsidP="009970E0">
            <w:pPr>
              <w:spacing w:before="40" w:after="40"/>
              <w:rPr>
                <w:rFonts w:cstheme="minorHAnsi"/>
                <w:szCs w:val="22"/>
              </w:rPr>
            </w:pPr>
            <w:r w:rsidRPr="00852F9E">
              <w:rPr>
                <w:rFonts w:cstheme="minorHAnsi"/>
                <w:szCs w:val="22"/>
              </w:rPr>
              <w:t xml:space="preserve">7 </w:t>
            </w:r>
            <w:r w:rsidRPr="00852F9E">
              <w:rPr>
                <w:rFonts w:cstheme="minorHAnsi"/>
              </w:rPr>
              <w:t>de octubre de 2022</w:t>
            </w:r>
          </w:p>
        </w:tc>
        <w:tc>
          <w:tcPr>
            <w:tcW w:w="7290" w:type="dxa"/>
            <w:shd w:val="clear" w:color="auto" w:fill="auto"/>
          </w:tcPr>
          <w:p w14:paraId="72FD3E0D" w14:textId="77777777" w:rsidR="009970E0" w:rsidRPr="00852F9E" w:rsidRDefault="009970E0" w:rsidP="009970E0">
            <w:pPr>
              <w:pStyle w:val="enumlev1"/>
              <w:tabs>
                <w:tab w:val="clear" w:pos="794"/>
                <w:tab w:val="left" w:pos="318"/>
              </w:tabs>
              <w:spacing w:before="40" w:after="40"/>
              <w:ind w:left="318" w:hanging="318"/>
              <w:rPr>
                <w:rFonts w:cstheme="minorHAnsi"/>
                <w:szCs w:val="22"/>
              </w:rPr>
            </w:pPr>
            <w:r w:rsidRPr="00852F9E">
              <w:rPr>
                <w:rFonts w:cstheme="minorHAnsi"/>
                <w:szCs w:val="22"/>
              </w:rPr>
              <w:t>–</w:t>
            </w:r>
            <w:r w:rsidRPr="00852F9E">
              <w:rPr>
                <w:rFonts w:cstheme="minorHAnsi"/>
                <w:szCs w:val="22"/>
              </w:rPr>
              <w:tab/>
            </w:r>
            <w:hyperlink r:id="rId16" w:history="1">
              <w:r w:rsidRPr="00852F9E">
                <w:rPr>
                  <w:rStyle w:val="Hyperlink"/>
                  <w:rFonts w:cstheme="minorHAnsi"/>
                  <w:szCs w:val="22"/>
                </w:rPr>
                <w:t>Presentac</w:t>
              </w:r>
              <w:r w:rsidRPr="00852F9E">
                <w:rPr>
                  <w:rStyle w:val="Hyperlink"/>
                  <w:rFonts w:cstheme="minorHAnsi"/>
                </w:rPr>
                <w:t>ión de</w:t>
              </w:r>
              <w:r w:rsidRPr="00852F9E">
                <w:rPr>
                  <w:rStyle w:val="Hyperlink"/>
                  <w:rFonts w:cstheme="minorHAnsi"/>
                  <w:szCs w:val="22"/>
                </w:rPr>
                <w:t xml:space="preserve"> las contribuciones de los Miembros del UIT-T</w:t>
              </w:r>
            </w:hyperlink>
            <w:r w:rsidRPr="00852F9E">
              <w:rPr>
                <w:rFonts w:cstheme="minorHAnsi"/>
                <w:szCs w:val="22"/>
              </w:rPr>
              <w:t xml:space="preserve"> a</w:t>
            </w:r>
            <w:r w:rsidRPr="00852F9E">
              <w:t xml:space="preserve"> los GT</w:t>
            </w:r>
            <w:r w:rsidRPr="00852F9E">
              <w:rPr>
                <w:rFonts w:cstheme="minorHAnsi"/>
                <w:szCs w:val="22"/>
              </w:rPr>
              <w:t>1/11, GT2/11 y GT3/11 para las que se haya solicitado su traducción</w:t>
            </w:r>
          </w:p>
        </w:tc>
      </w:tr>
      <w:tr w:rsidR="009970E0" w:rsidRPr="00852F9E" w14:paraId="0DAC5286" w14:textId="77777777" w:rsidTr="0040257E">
        <w:trPr>
          <w:trHeight w:val="1438"/>
        </w:trPr>
        <w:tc>
          <w:tcPr>
            <w:tcW w:w="2547" w:type="dxa"/>
            <w:shd w:val="clear" w:color="auto" w:fill="auto"/>
          </w:tcPr>
          <w:p w14:paraId="29E9650D" w14:textId="77777777" w:rsidR="009970E0" w:rsidRPr="00852F9E" w:rsidRDefault="009970E0" w:rsidP="009970E0">
            <w:pPr>
              <w:spacing w:before="40" w:after="40"/>
              <w:rPr>
                <w:rFonts w:cstheme="minorHAnsi"/>
                <w:szCs w:val="22"/>
              </w:rPr>
            </w:pPr>
            <w:r w:rsidRPr="00852F9E">
              <w:rPr>
                <w:rFonts w:cstheme="minorHAnsi"/>
                <w:szCs w:val="22"/>
              </w:rPr>
              <w:t xml:space="preserve">7 </w:t>
            </w:r>
            <w:r w:rsidRPr="00852F9E">
              <w:rPr>
                <w:rFonts w:cstheme="minorHAnsi"/>
              </w:rPr>
              <w:t>de noviembre de 2022</w:t>
            </w:r>
          </w:p>
        </w:tc>
        <w:tc>
          <w:tcPr>
            <w:tcW w:w="7290" w:type="dxa"/>
            <w:shd w:val="clear" w:color="auto" w:fill="auto"/>
          </w:tcPr>
          <w:p w14:paraId="79D67877" w14:textId="6183F69D" w:rsidR="009970E0" w:rsidRPr="00852F9E" w:rsidRDefault="009970E0" w:rsidP="009970E0">
            <w:pPr>
              <w:pStyle w:val="enumlev1"/>
              <w:tabs>
                <w:tab w:val="clear" w:pos="794"/>
                <w:tab w:val="left" w:pos="318"/>
              </w:tabs>
              <w:spacing w:before="40" w:after="40"/>
              <w:ind w:left="318" w:hanging="318"/>
              <w:rPr>
                <w:rFonts w:cstheme="minorHAnsi"/>
                <w:szCs w:val="22"/>
              </w:rPr>
            </w:pPr>
            <w:r w:rsidRPr="00852F9E">
              <w:rPr>
                <w:rFonts w:cstheme="minorHAnsi"/>
                <w:szCs w:val="22"/>
              </w:rPr>
              <w:t>–</w:t>
            </w:r>
            <w:r w:rsidRPr="00852F9E">
              <w:rPr>
                <w:rFonts w:cstheme="minorHAnsi"/>
                <w:szCs w:val="22"/>
              </w:rPr>
              <w:tab/>
              <w:t xml:space="preserve">Inscripción previa (a través del formulario de inscripción en línea de la página web del Grupo de estudio, </w:t>
            </w:r>
            <w:hyperlink r:id="rId17" w:history="1">
              <w:r w:rsidRPr="00852F9E">
                <w:rPr>
                  <w:rStyle w:val="Hyperlink"/>
                  <w:rFonts w:cstheme="minorHAnsi"/>
                  <w:szCs w:val="22"/>
                </w:rPr>
                <w:t>https://itu.int/go/tsg11</w:t>
              </w:r>
            </w:hyperlink>
            <w:r w:rsidRPr="00852F9E">
              <w:rPr>
                <w:rFonts w:cstheme="minorHAnsi"/>
                <w:szCs w:val="22"/>
              </w:rPr>
              <w:t>)</w:t>
            </w:r>
          </w:p>
          <w:p w14:paraId="33D857C8" w14:textId="77777777" w:rsidR="009970E0" w:rsidRPr="00852F9E" w:rsidRDefault="009970E0" w:rsidP="009970E0">
            <w:pPr>
              <w:pStyle w:val="enumlev1"/>
              <w:tabs>
                <w:tab w:val="clear" w:pos="794"/>
                <w:tab w:val="left" w:pos="318"/>
              </w:tabs>
              <w:spacing w:before="40" w:after="40"/>
              <w:ind w:left="318" w:hanging="318"/>
              <w:rPr>
                <w:rFonts w:cstheme="minorHAnsi"/>
                <w:szCs w:val="22"/>
              </w:rPr>
            </w:pPr>
            <w:r w:rsidRPr="00852F9E">
              <w:rPr>
                <w:rFonts w:cstheme="minorHAnsi"/>
                <w:szCs w:val="22"/>
              </w:rPr>
              <w:t>–</w:t>
            </w:r>
            <w:r w:rsidRPr="00852F9E">
              <w:rPr>
                <w:rFonts w:cstheme="minorHAnsi"/>
                <w:szCs w:val="22"/>
              </w:rPr>
              <w:tab/>
              <w:t>Presentación de solicitudes de cartas de apoyo para la obtención de visado (por medio del formulario de inscripción en línea; véase a tal efecto la información pormenorizada que figura en el Anexo A)</w:t>
            </w:r>
          </w:p>
        </w:tc>
      </w:tr>
      <w:tr w:rsidR="009970E0" w:rsidRPr="00852F9E" w14:paraId="2F58EF8B" w14:textId="77777777" w:rsidTr="0040257E">
        <w:trPr>
          <w:trHeight w:val="1519"/>
        </w:trPr>
        <w:tc>
          <w:tcPr>
            <w:tcW w:w="2547" w:type="dxa"/>
            <w:shd w:val="clear" w:color="auto" w:fill="auto"/>
          </w:tcPr>
          <w:p w14:paraId="26E6A15E" w14:textId="77777777" w:rsidR="009970E0" w:rsidRPr="00852F9E" w:rsidRDefault="009970E0" w:rsidP="009970E0">
            <w:pPr>
              <w:spacing w:before="40" w:after="40"/>
              <w:rPr>
                <w:rFonts w:cstheme="minorHAnsi"/>
                <w:szCs w:val="22"/>
              </w:rPr>
            </w:pPr>
            <w:r w:rsidRPr="00852F9E">
              <w:rPr>
                <w:rFonts w:cstheme="minorHAnsi"/>
                <w:szCs w:val="22"/>
              </w:rPr>
              <w:t xml:space="preserve">15 </w:t>
            </w:r>
            <w:r w:rsidRPr="00852F9E">
              <w:rPr>
                <w:rFonts w:cstheme="minorHAnsi"/>
              </w:rPr>
              <w:t>de noviembre de 2022</w:t>
            </w:r>
          </w:p>
        </w:tc>
        <w:tc>
          <w:tcPr>
            <w:tcW w:w="7290" w:type="dxa"/>
            <w:shd w:val="clear" w:color="auto" w:fill="auto"/>
          </w:tcPr>
          <w:p w14:paraId="78C95FF2" w14:textId="77777777" w:rsidR="009970E0" w:rsidRPr="00852F9E" w:rsidRDefault="009970E0" w:rsidP="009970E0">
            <w:pPr>
              <w:pStyle w:val="enumlev1"/>
              <w:tabs>
                <w:tab w:val="clear" w:pos="794"/>
                <w:tab w:val="left" w:pos="318"/>
              </w:tabs>
              <w:spacing w:before="40" w:after="40"/>
              <w:ind w:left="318" w:hanging="318"/>
              <w:rPr>
                <w:rFonts w:cstheme="minorHAnsi"/>
                <w:szCs w:val="22"/>
              </w:rPr>
            </w:pPr>
            <w:r w:rsidRPr="00852F9E">
              <w:rPr>
                <w:rFonts w:cstheme="minorHAnsi"/>
                <w:szCs w:val="22"/>
              </w:rPr>
              <w:t>–</w:t>
            </w:r>
            <w:r w:rsidRPr="00852F9E">
              <w:rPr>
                <w:rFonts w:cstheme="minorHAnsi"/>
                <w:szCs w:val="22"/>
              </w:rPr>
              <w:tab/>
              <w:t xml:space="preserve">Presentación de contribuciones de los Miembros del UIT-T a los GT1/11, GT2/11 y GT3/11 </w:t>
            </w:r>
            <w:r w:rsidRPr="00852F9E">
              <w:rPr>
                <w:rFonts w:cstheme="minorHAnsi"/>
                <w:szCs w:val="22"/>
              </w:rPr>
              <w:br/>
              <w:t xml:space="preserve">(por medio del sistema </w:t>
            </w:r>
            <w:hyperlink r:id="rId18" w:history="1">
              <w:r w:rsidRPr="00852F9E">
                <w:rPr>
                  <w:rStyle w:val="Hyperlink"/>
                  <w:rFonts w:cstheme="minorHAnsi"/>
                </w:rPr>
                <w:t>de Publicación directa de documentos</w:t>
              </w:r>
            </w:hyperlink>
            <w:r w:rsidRPr="00852F9E">
              <w:rPr>
                <w:rFonts w:cstheme="minorHAnsi"/>
                <w:szCs w:val="22"/>
              </w:rPr>
              <w:t>)</w:t>
            </w:r>
          </w:p>
          <w:p w14:paraId="6072CE15" w14:textId="77777777" w:rsidR="009970E0" w:rsidRPr="00852F9E" w:rsidRDefault="009970E0" w:rsidP="009970E0">
            <w:pPr>
              <w:pStyle w:val="enumlev1"/>
              <w:tabs>
                <w:tab w:val="clear" w:pos="794"/>
                <w:tab w:val="left" w:pos="318"/>
              </w:tabs>
              <w:spacing w:before="40" w:after="40"/>
              <w:ind w:left="318" w:hanging="318"/>
              <w:rPr>
                <w:rFonts w:cstheme="minorHAnsi"/>
                <w:szCs w:val="22"/>
              </w:rPr>
            </w:pPr>
            <w:r w:rsidRPr="00852F9E">
              <w:rPr>
                <w:rFonts w:cstheme="minorHAnsi"/>
                <w:szCs w:val="22"/>
              </w:rPr>
              <w:t>–</w:t>
            </w:r>
            <w:r w:rsidRPr="00852F9E">
              <w:rPr>
                <w:rFonts w:cstheme="minorHAnsi"/>
                <w:szCs w:val="22"/>
              </w:rPr>
              <w:tab/>
              <w:t>Presentación de contribuciones a las reuniones electrónicas intermedias del Grupo de Relator</w:t>
            </w:r>
            <w:r w:rsidRPr="00852F9E">
              <w:rPr>
                <w:rFonts w:cstheme="minorHAnsi"/>
                <w:szCs w:val="22"/>
              </w:rPr>
              <w:br/>
              <w:t xml:space="preserve">(a través del </w:t>
            </w:r>
            <w:hyperlink r:id="rId19" w:history="1">
              <w:r w:rsidRPr="00852F9E">
                <w:rPr>
                  <w:rStyle w:val="Hyperlink"/>
                  <w:rFonts w:cstheme="minorHAnsi"/>
                </w:rPr>
                <w:t xml:space="preserve">sitio de colaboración </w:t>
              </w:r>
              <w:r w:rsidRPr="00852F9E">
                <w:rPr>
                  <w:rStyle w:val="Hyperlink"/>
                  <w:rFonts w:cstheme="minorHAnsi"/>
                  <w:i/>
                  <w:iCs/>
                </w:rPr>
                <w:t>SharePoint</w:t>
              </w:r>
              <w:r w:rsidRPr="00852F9E">
                <w:rPr>
                  <w:rStyle w:val="Hyperlink"/>
                  <w:rFonts w:cstheme="minorHAnsi"/>
                </w:rPr>
                <w:t xml:space="preserve"> de la CE11</w:t>
              </w:r>
            </w:hyperlink>
            <w:r w:rsidRPr="00852F9E">
              <w:rPr>
                <w:rFonts w:cstheme="minorHAnsi"/>
                <w:szCs w:val="22"/>
              </w:rPr>
              <w:t>)</w:t>
            </w:r>
          </w:p>
        </w:tc>
      </w:tr>
    </w:tbl>
    <w:p w14:paraId="01EA8144" w14:textId="7E694EBE" w:rsidR="009970E0" w:rsidRPr="00852F9E" w:rsidRDefault="009970E0" w:rsidP="009970E0">
      <w:pPr>
        <w:rPr>
          <w:rFonts w:cstheme="minorHAnsi"/>
          <w:szCs w:val="22"/>
        </w:rPr>
      </w:pPr>
      <w:r w:rsidRPr="00852F9E">
        <w:rPr>
          <w:rFonts w:cstheme="minorHAnsi"/>
          <w:szCs w:val="22"/>
        </w:rPr>
        <w:t>En el Anexo A</w:t>
      </w:r>
      <w:r w:rsidRPr="00852F9E">
        <w:rPr>
          <w:rFonts w:cstheme="minorHAnsi"/>
          <w:b/>
          <w:bCs/>
          <w:szCs w:val="22"/>
        </w:rPr>
        <w:t xml:space="preserve"> se proporciona información de índole práctica sobre las reuniones</w:t>
      </w:r>
      <w:r w:rsidRPr="00852F9E">
        <w:rPr>
          <w:rFonts w:cstheme="minorHAnsi"/>
          <w:szCs w:val="22"/>
        </w:rPr>
        <w:t xml:space="preserve">. El Anexo B contiene el proyecto de </w:t>
      </w:r>
      <w:r w:rsidRPr="00852F9E">
        <w:rPr>
          <w:rFonts w:cstheme="minorHAnsi"/>
          <w:b/>
          <w:bCs/>
          <w:szCs w:val="22"/>
        </w:rPr>
        <w:t xml:space="preserve">orden del día </w:t>
      </w:r>
      <w:r w:rsidRPr="00852F9E">
        <w:rPr>
          <w:rFonts w:cstheme="minorHAnsi"/>
          <w:szCs w:val="22"/>
        </w:rPr>
        <w:t xml:space="preserve">de las reuniones de los Grupos de trabajo y en el Anexo C figura un proyecto de </w:t>
      </w:r>
      <w:r w:rsidRPr="00852F9E">
        <w:rPr>
          <w:rFonts w:cstheme="minorHAnsi"/>
          <w:b/>
          <w:bCs/>
          <w:szCs w:val="22"/>
        </w:rPr>
        <w:t xml:space="preserve">plan de trabajo </w:t>
      </w:r>
      <w:r w:rsidRPr="00852F9E">
        <w:rPr>
          <w:rFonts w:cstheme="minorHAnsi"/>
          <w:szCs w:val="22"/>
        </w:rPr>
        <w:t>de la RGR anterior a las reuniones de los Grupos de trabajo, así como de las propias reuniones de los Grupos de trabajo (elaborado por los presidentes de los Grupos de trabajo 1, 2 y 3/11).</w:t>
      </w:r>
    </w:p>
    <w:p w14:paraId="1C6DB20C" w14:textId="77777777" w:rsidR="009970E0" w:rsidRPr="00852F9E" w:rsidRDefault="009970E0" w:rsidP="009970E0">
      <w:r w:rsidRPr="00852F9E">
        <w:t>Les deseo una reunión productiva y fructífera.</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9970E0" w:rsidRPr="00852F9E" w14:paraId="05A32EB1" w14:textId="77777777" w:rsidTr="0040257E">
        <w:trPr>
          <w:cantSplit/>
          <w:trHeight w:val="1955"/>
        </w:trPr>
        <w:tc>
          <w:tcPr>
            <w:tcW w:w="6663" w:type="dxa"/>
            <w:vMerge w:val="restart"/>
            <w:tcBorders>
              <w:right w:val="single" w:sz="4" w:space="0" w:color="auto"/>
            </w:tcBorders>
          </w:tcPr>
          <w:p w14:paraId="17ECF7BE" w14:textId="539E9605" w:rsidR="009970E0" w:rsidRPr="00E34563" w:rsidRDefault="009970E0" w:rsidP="00E34563">
            <w:r w:rsidRPr="00852F9E">
              <w:t>Atentamente,</w:t>
            </w:r>
          </w:p>
          <w:p w14:paraId="78E8ECD1" w14:textId="05EE0EF8" w:rsidR="009970E0" w:rsidRPr="00852F9E" w:rsidRDefault="00B405F9" w:rsidP="00E34563">
            <w:pPr>
              <w:keepNext/>
              <w:keepLines/>
              <w:spacing w:before="960"/>
              <w:rPr>
                <w:rFonts w:cstheme="minorHAnsi"/>
                <w:szCs w:val="22"/>
              </w:rPr>
            </w:pPr>
            <w:r>
              <w:rPr>
                <w:noProof/>
              </w:rPr>
              <w:drawing>
                <wp:anchor distT="0" distB="0" distL="114300" distR="114300" simplePos="0" relativeHeight="251658240" behindDoc="1" locked="0" layoutInCell="1" allowOverlap="1" wp14:anchorId="0C1FC16A" wp14:editId="140D4489">
                  <wp:simplePos x="0" y="0"/>
                  <wp:positionH relativeFrom="column">
                    <wp:posOffset>-4445</wp:posOffset>
                  </wp:positionH>
                  <wp:positionV relativeFrom="paragraph">
                    <wp:posOffset>158750</wp:posOffset>
                  </wp:positionV>
                  <wp:extent cx="719057" cy="323850"/>
                  <wp:effectExtent l="0" t="0" r="508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19057" cy="323850"/>
                          </a:xfrm>
                          <a:prstGeom prst="rect">
                            <a:avLst/>
                          </a:prstGeom>
                        </pic:spPr>
                      </pic:pic>
                    </a:graphicData>
                  </a:graphic>
                  <wp14:sizeRelH relativeFrom="margin">
                    <wp14:pctWidth>0</wp14:pctWidth>
                  </wp14:sizeRelH>
                  <wp14:sizeRelV relativeFrom="margin">
                    <wp14:pctHeight>0</wp14:pctHeight>
                  </wp14:sizeRelV>
                </wp:anchor>
              </w:drawing>
            </w:r>
            <w:r w:rsidR="009970E0" w:rsidRPr="00852F9E">
              <w:rPr>
                <w:rFonts w:cstheme="minorHAnsi"/>
                <w:szCs w:val="22"/>
              </w:rPr>
              <w:t xml:space="preserve">Chaesub Lee </w:t>
            </w:r>
            <w:r w:rsidR="009970E0" w:rsidRPr="00852F9E">
              <w:rPr>
                <w:rFonts w:cstheme="minorHAnsi"/>
                <w:szCs w:val="22"/>
              </w:rPr>
              <w:br/>
            </w:r>
            <w:proofErr w:type="gramStart"/>
            <w:r w:rsidR="009970E0" w:rsidRPr="00852F9E">
              <w:rPr>
                <w:rFonts w:cstheme="minorHAnsi"/>
                <w:szCs w:val="22"/>
              </w:rPr>
              <w:t>Director</w:t>
            </w:r>
            <w:proofErr w:type="gramEnd"/>
            <w:r w:rsidR="009970E0" w:rsidRPr="00852F9E">
              <w:rPr>
                <w:rFonts w:cstheme="minorHAnsi"/>
                <w:szCs w:val="22"/>
              </w:rPr>
              <w:t xml:space="preserve"> de la Oficina de Normalización de </w:t>
            </w:r>
            <w:r w:rsidR="009970E0" w:rsidRPr="00852F9E">
              <w:rPr>
                <w:rFonts w:cstheme="minorHAnsi"/>
                <w:szCs w:val="22"/>
              </w:rPr>
              <w:br/>
              <w:t xml:space="preserve">las Telecomunicaciones </w:t>
            </w:r>
          </w:p>
        </w:tc>
        <w:tc>
          <w:tcPr>
            <w:tcW w:w="3118" w:type="dxa"/>
            <w:tcBorders>
              <w:top w:val="single" w:sz="4" w:space="0" w:color="auto"/>
              <w:left w:val="single" w:sz="4" w:space="0" w:color="auto"/>
              <w:right w:val="single" w:sz="4" w:space="0" w:color="auto"/>
            </w:tcBorders>
            <w:textDirection w:val="btLr"/>
            <w:vAlign w:val="center"/>
          </w:tcPr>
          <w:p w14:paraId="1AD201FE" w14:textId="77777777" w:rsidR="009970E0" w:rsidRPr="00852F9E" w:rsidRDefault="009970E0" w:rsidP="0040257E">
            <w:pPr>
              <w:keepNext/>
              <w:keepLines/>
              <w:spacing w:before="0"/>
              <w:ind w:left="113" w:right="113"/>
              <w:jc w:val="center"/>
              <w:rPr>
                <w:rFonts w:cstheme="minorBidi"/>
              </w:rPr>
            </w:pPr>
            <w:r w:rsidRPr="00852F9E">
              <w:rPr>
                <w:rFonts w:cstheme="minorHAnsi"/>
                <w:noProof/>
                <w:sz w:val="16"/>
                <w:szCs w:val="16"/>
                <w:lang w:eastAsia="es-ES_tradnl"/>
              </w:rPr>
              <w:drawing>
                <wp:inline distT="0" distB="0" distL="0" distR="0" wp14:anchorId="5FD12E08" wp14:editId="76DFDF11">
                  <wp:extent cx="1207477" cy="1207477"/>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852F9E">
              <w:rPr>
                <w:rFonts w:eastAsia="SimSun" w:cstheme="minorBidi"/>
                <w:lang w:eastAsia="zh-CN"/>
              </w:rPr>
              <w:t xml:space="preserve"> CE 11 DEL UIT-T</w:t>
            </w:r>
          </w:p>
        </w:tc>
      </w:tr>
      <w:tr w:rsidR="009970E0" w:rsidRPr="00852F9E" w14:paraId="47A52511" w14:textId="77777777" w:rsidTr="0040257E">
        <w:trPr>
          <w:cantSplit/>
          <w:trHeight w:val="227"/>
        </w:trPr>
        <w:tc>
          <w:tcPr>
            <w:tcW w:w="6663" w:type="dxa"/>
            <w:vMerge/>
          </w:tcPr>
          <w:p w14:paraId="6042DF5E" w14:textId="77777777" w:rsidR="009970E0" w:rsidRPr="00852F9E" w:rsidRDefault="009970E0" w:rsidP="0040257E">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007FF34B" w14:textId="77777777" w:rsidR="009970E0" w:rsidRPr="00852F9E" w:rsidRDefault="009970E0" w:rsidP="0040257E">
            <w:pPr>
              <w:spacing w:before="0"/>
              <w:jc w:val="center"/>
              <w:rPr>
                <w:rFonts w:eastAsia="SimSun" w:cstheme="minorHAnsi"/>
                <w:noProof/>
                <w:szCs w:val="22"/>
                <w:lang w:eastAsia="zh-CN"/>
              </w:rPr>
            </w:pPr>
            <w:r w:rsidRPr="00852F9E">
              <w:rPr>
                <w:rFonts w:cstheme="minorHAnsi"/>
                <w:szCs w:val="22"/>
              </w:rPr>
              <w:t>Información más reciente sobre las reuniones</w:t>
            </w:r>
          </w:p>
        </w:tc>
      </w:tr>
    </w:tbl>
    <w:p w14:paraId="258BC616" w14:textId="77777777" w:rsidR="009970E0" w:rsidRPr="00852F9E" w:rsidRDefault="009970E0" w:rsidP="009970E0">
      <w:pPr>
        <w:spacing w:before="240"/>
      </w:pPr>
      <w:r w:rsidRPr="00852F9E">
        <w:rPr>
          <w:rFonts w:cstheme="minorHAnsi"/>
          <w:b/>
          <w:bCs/>
          <w:szCs w:val="22"/>
        </w:rPr>
        <w:t>Anexos</w:t>
      </w:r>
      <w:r w:rsidRPr="00852F9E">
        <w:rPr>
          <w:rFonts w:cstheme="minorHAnsi"/>
          <w:szCs w:val="22"/>
        </w:rPr>
        <w:t>: 3</w:t>
      </w:r>
      <w:r w:rsidRPr="00852F9E">
        <w:br w:type="page"/>
      </w:r>
    </w:p>
    <w:p w14:paraId="7E3AEED0" w14:textId="77777777" w:rsidR="009970E0" w:rsidRPr="00852F9E" w:rsidRDefault="009970E0" w:rsidP="009970E0">
      <w:pPr>
        <w:pStyle w:val="Annextitle0"/>
        <w:rPr>
          <w:lang w:val="es-ES_tradnl"/>
        </w:rPr>
      </w:pPr>
      <w:r w:rsidRPr="00852F9E">
        <w:rPr>
          <w:lang w:val="es-ES_tradnl"/>
        </w:rPr>
        <w:lastRenderedPageBreak/>
        <w:t xml:space="preserve">ANEXO A </w:t>
      </w:r>
      <w:r w:rsidRPr="00852F9E">
        <w:rPr>
          <w:lang w:val="es-ES_tradnl"/>
        </w:rPr>
        <w:br/>
        <w:t>Información práctica sobre las reuniones</w:t>
      </w:r>
    </w:p>
    <w:p w14:paraId="35E8A3F0" w14:textId="77777777" w:rsidR="009970E0" w:rsidRPr="00852F9E" w:rsidRDefault="009970E0" w:rsidP="009970E0">
      <w:pPr>
        <w:pStyle w:val="AnnexTitle"/>
        <w:spacing w:after="200"/>
        <w:rPr>
          <w:bCs/>
          <w:szCs w:val="24"/>
        </w:rPr>
      </w:pPr>
      <w:r w:rsidRPr="00852F9E">
        <w:rPr>
          <w:bCs/>
          <w:szCs w:val="24"/>
        </w:rPr>
        <w:t>MÉTODOS E INSTALACIONES DE TRABAJO</w:t>
      </w:r>
    </w:p>
    <w:p w14:paraId="38E60A20" w14:textId="0BCEAA6B" w:rsidR="009970E0" w:rsidRPr="00852F9E" w:rsidRDefault="009970E0" w:rsidP="009970E0">
      <w:pPr>
        <w:pStyle w:val="Normalaftertitle"/>
        <w:spacing w:before="240"/>
        <w:rPr>
          <w:rFonts w:eastAsia="SimSun"/>
          <w:szCs w:val="22"/>
          <w:lang w:eastAsia="zh-CN"/>
        </w:rPr>
      </w:pPr>
      <w:r w:rsidRPr="00852F9E">
        <w:rPr>
          <w:rFonts w:eastAsia="SimSun"/>
          <w:b/>
          <w:bCs/>
          <w:szCs w:val="22"/>
          <w:lang w:eastAsia="zh-CN"/>
        </w:rPr>
        <w:t>PRESENTACIÓN DE DOCUMENTOS Y ACCESO A LOS MISMOS</w:t>
      </w:r>
      <w:r w:rsidRPr="00852F9E">
        <w:rPr>
          <w:rFonts w:eastAsia="SimSun"/>
          <w:szCs w:val="22"/>
          <w:lang w:eastAsia="zh-CN"/>
        </w:rPr>
        <w:t>: La reunión tendrá lugar sin utilizar papel. Las contribuciones de los Miembros destinadas al GT</w:t>
      </w:r>
      <w:r w:rsidR="002C5D0A">
        <w:rPr>
          <w:rFonts w:eastAsia="SimSun"/>
          <w:szCs w:val="22"/>
          <w:lang w:eastAsia="zh-CN"/>
        </w:rPr>
        <w:t> </w:t>
      </w:r>
      <w:r w:rsidRPr="00852F9E">
        <w:rPr>
          <w:rFonts w:eastAsia="SimSun"/>
          <w:szCs w:val="22"/>
          <w:lang w:eastAsia="zh-CN"/>
        </w:rPr>
        <w:t>1/11, al GT</w:t>
      </w:r>
      <w:r w:rsidR="002C5D0A">
        <w:rPr>
          <w:rFonts w:eastAsia="SimSun"/>
          <w:szCs w:val="22"/>
          <w:lang w:eastAsia="zh-CN"/>
        </w:rPr>
        <w:t> </w:t>
      </w:r>
      <w:r w:rsidRPr="00852F9E">
        <w:rPr>
          <w:rFonts w:eastAsia="SimSun"/>
          <w:szCs w:val="22"/>
          <w:lang w:eastAsia="zh-CN"/>
        </w:rPr>
        <w:t>2/11 y al GT</w:t>
      </w:r>
      <w:r w:rsidR="002C5D0A">
        <w:rPr>
          <w:rFonts w:eastAsia="SimSun"/>
          <w:szCs w:val="22"/>
          <w:lang w:eastAsia="zh-CN"/>
        </w:rPr>
        <w:t> </w:t>
      </w:r>
      <w:r w:rsidRPr="00852F9E">
        <w:rPr>
          <w:rFonts w:eastAsia="SimSun"/>
          <w:szCs w:val="22"/>
          <w:lang w:eastAsia="zh-CN"/>
        </w:rPr>
        <w:t xml:space="preserve">3/11 deben presentarse mediante el sistema de </w:t>
      </w:r>
      <w:hyperlink r:id="rId22" w:history="1">
        <w:r w:rsidRPr="00852F9E">
          <w:rPr>
            <w:rStyle w:val="Hyperlink"/>
            <w:rFonts w:eastAsia="SimSun"/>
            <w:szCs w:val="22"/>
            <w:lang w:eastAsia="zh-CN"/>
          </w:rPr>
          <w:t>Publicación directa de documentos</w:t>
        </w:r>
      </w:hyperlink>
      <w:r w:rsidRPr="00852F9E">
        <w:rPr>
          <w:rFonts w:eastAsia="SimSun"/>
          <w:szCs w:val="22"/>
          <w:lang w:eastAsia="zh-CN"/>
        </w:rPr>
        <w:t xml:space="preserve">; los proyectos de DT deben presentarse por correo electrónico a la secretaría de la Comisión de Estudio mediante la </w:t>
      </w:r>
      <w:hyperlink r:id="rId23" w:history="1">
        <w:r w:rsidRPr="00852F9E">
          <w:rPr>
            <w:rStyle w:val="Hyperlink"/>
            <w:rFonts w:eastAsia="SimSun"/>
            <w:szCs w:val="22"/>
            <w:lang w:eastAsia="zh-CN"/>
          </w:rPr>
          <w:t>plantilla correspondiente</w:t>
        </w:r>
      </w:hyperlink>
      <w:r w:rsidRPr="00852F9E">
        <w:rPr>
          <w:rFonts w:eastAsia="SimSun"/>
          <w:szCs w:val="22"/>
          <w:lang w:eastAsia="zh-CN"/>
        </w:rPr>
        <w:t xml:space="preserve">. El acceso a los documentos de la reunión se realiza a través de la página web de la Comisión de Estudio y está restringido a los Miembros del UIT-T que poseen una </w:t>
      </w:r>
      <w:hyperlink r:id="rId24" w:history="1">
        <w:r w:rsidRPr="00852F9E">
          <w:rPr>
            <w:rStyle w:val="Hyperlink"/>
            <w:rFonts w:eastAsia="SimSun"/>
            <w:szCs w:val="22"/>
            <w:lang w:eastAsia="zh-CN"/>
          </w:rPr>
          <w:t>cuenta de usuario de la UIT</w:t>
        </w:r>
      </w:hyperlink>
      <w:r w:rsidRPr="00852F9E">
        <w:rPr>
          <w:rFonts w:eastAsia="SimSun"/>
          <w:szCs w:val="22"/>
          <w:lang w:eastAsia="zh-CN"/>
        </w:rPr>
        <w:t xml:space="preserve"> con acceso TIES.</w:t>
      </w:r>
    </w:p>
    <w:p w14:paraId="6C1F4297" w14:textId="77777777" w:rsidR="009970E0" w:rsidRPr="00852F9E" w:rsidRDefault="009970E0" w:rsidP="009970E0">
      <w:pPr>
        <w:spacing w:after="120"/>
        <w:rPr>
          <w:rFonts w:eastAsia="SimSun"/>
          <w:b/>
          <w:bCs/>
          <w:szCs w:val="22"/>
          <w:lang w:eastAsia="zh-CN"/>
        </w:rPr>
      </w:pPr>
      <w:r w:rsidRPr="00852F9E">
        <w:rPr>
          <w:rFonts w:eastAsia="SimSun"/>
          <w:szCs w:val="22"/>
          <w:lang w:eastAsia="zh-CN"/>
        </w:rPr>
        <w:t xml:space="preserve">Las contribuciones destinadas a las reuniones electrónicas intermedias del Grupo de Relator de la CE 11 (28 de noviembre – 7 de diciembre de 2022) deben presentarse a través del </w:t>
      </w:r>
      <w:hyperlink r:id="rId25" w:history="1">
        <w:r w:rsidRPr="00852F9E">
          <w:rPr>
            <w:rStyle w:val="Hyperlink"/>
            <w:rFonts w:cstheme="minorHAnsi"/>
            <w:szCs w:val="22"/>
          </w:rPr>
          <w:t xml:space="preserve">sitio de colaboración </w:t>
        </w:r>
        <w:r w:rsidRPr="00852F9E">
          <w:rPr>
            <w:rStyle w:val="Hyperlink"/>
            <w:rFonts w:cstheme="minorHAnsi"/>
            <w:i/>
            <w:iCs/>
            <w:szCs w:val="22"/>
          </w:rPr>
          <w:t>SharePoint</w:t>
        </w:r>
        <w:r w:rsidRPr="00852F9E">
          <w:rPr>
            <w:rStyle w:val="Hyperlink"/>
            <w:rFonts w:cstheme="minorHAnsi"/>
            <w:szCs w:val="22"/>
          </w:rPr>
          <w:t xml:space="preserve"> de la CE11</w:t>
        </w:r>
      </w:hyperlink>
      <w:r w:rsidRPr="00852F9E">
        <w:t xml:space="preserve">, </w:t>
      </w:r>
      <w:r w:rsidRPr="00852F9E">
        <w:rPr>
          <w:rFonts w:eastAsia="SimSun"/>
          <w:szCs w:val="22"/>
          <w:lang w:eastAsia="zh-CN"/>
        </w:rPr>
        <w:t>respectivamente.</w:t>
      </w:r>
    </w:p>
    <w:p w14:paraId="064A9A50" w14:textId="77777777" w:rsidR="009970E0" w:rsidRPr="00852F9E" w:rsidRDefault="009970E0" w:rsidP="009970E0">
      <w:pPr>
        <w:rPr>
          <w:rFonts w:eastAsia="SimSun"/>
          <w:szCs w:val="22"/>
          <w:lang w:eastAsia="zh-CN"/>
        </w:rPr>
      </w:pPr>
      <w:r w:rsidRPr="00852F9E">
        <w:rPr>
          <w:rFonts w:cstheme="majorBidi"/>
          <w:b/>
          <w:bCs/>
          <w:szCs w:val="22"/>
        </w:rPr>
        <w:t>INTERPRETACIÓN</w:t>
      </w:r>
      <w:r w:rsidRPr="00852F9E">
        <w:rPr>
          <w:rFonts w:cstheme="majorBidi"/>
          <w:szCs w:val="22"/>
        </w:rPr>
        <w:t xml:space="preserve">: </w:t>
      </w:r>
      <w:r w:rsidRPr="00852F9E">
        <w:rPr>
          <w:rFonts w:eastAsia="SimSun"/>
          <w:szCs w:val="22"/>
          <w:lang w:eastAsia="zh-CN"/>
        </w:rPr>
        <w:t>Las reuniones tendrán lugar únicamente en inglés, sin servicios de interpretación.</w:t>
      </w:r>
    </w:p>
    <w:p w14:paraId="770EA17C" w14:textId="77777777" w:rsidR="009970E0" w:rsidRPr="00852F9E" w:rsidRDefault="009970E0" w:rsidP="009970E0">
      <w:pPr>
        <w:rPr>
          <w:szCs w:val="22"/>
        </w:rPr>
      </w:pPr>
      <w:r w:rsidRPr="00852F9E">
        <w:rPr>
          <w:b/>
          <w:bCs/>
          <w:szCs w:val="22"/>
        </w:rPr>
        <w:t>LAN INALÁMBRICA:</w:t>
      </w:r>
      <w:r w:rsidRPr="00852F9E">
        <w:rPr>
          <w:szCs w:val="22"/>
        </w:rPr>
        <w:t xml:space="preserve"> Los delegados dispondrán de instalaciones de red de área local inalámbrica en todas las salas de reunión de la UIT. Se dispondrá de la información pertinente </w:t>
      </w:r>
      <w:r w:rsidRPr="00852F9E">
        <w:rPr>
          <w:i/>
          <w:iCs/>
          <w:szCs w:val="22"/>
        </w:rPr>
        <w:t>in situ</w:t>
      </w:r>
      <w:r w:rsidRPr="00852F9E">
        <w:rPr>
          <w:szCs w:val="22"/>
        </w:rPr>
        <w:t xml:space="preserve"> y a través del sitio web de la UIT</w:t>
      </w:r>
      <w:r w:rsidRPr="00852F9E">
        <w:rPr>
          <w:szCs w:val="22"/>
        </w:rPr>
        <w:noBreakHyphen/>
        <w:t xml:space="preserve">T </w:t>
      </w:r>
      <w:hyperlink r:id="rId26" w:history="1">
        <w:r w:rsidRPr="00852F9E">
          <w:rPr>
            <w:rStyle w:val="Hyperlink"/>
            <w:szCs w:val="22"/>
          </w:rPr>
          <w:t>(</w:t>
        </w:r>
      </w:hyperlink>
      <w:hyperlink r:id="rId27" w:history="1">
        <w:r w:rsidRPr="00852F9E">
          <w:rPr>
            <w:rStyle w:val="Hyperlink"/>
            <w:szCs w:val="22"/>
          </w:rPr>
          <w:t>https://itu.int/en/ITU-T/ewm/Pages/ITU-Internet-Printer-Services.aspx</w:t>
        </w:r>
      </w:hyperlink>
      <w:r w:rsidRPr="00852F9E">
        <w:rPr>
          <w:szCs w:val="22"/>
        </w:rPr>
        <w:t xml:space="preserve"> ).</w:t>
      </w:r>
    </w:p>
    <w:p w14:paraId="07561B9E" w14:textId="77777777" w:rsidR="009970E0" w:rsidRPr="00852F9E" w:rsidRDefault="009970E0" w:rsidP="009970E0">
      <w:pPr>
        <w:spacing w:after="120"/>
        <w:rPr>
          <w:rFonts w:eastAsia="SimSun"/>
          <w:szCs w:val="22"/>
          <w:lang w:eastAsia="zh-CN"/>
        </w:rPr>
      </w:pPr>
      <w:r w:rsidRPr="00852F9E">
        <w:rPr>
          <w:rFonts w:eastAsia="SimSun"/>
          <w:b/>
          <w:bCs/>
          <w:szCs w:val="22"/>
          <w:lang w:eastAsia="zh-CN"/>
        </w:rPr>
        <w:t xml:space="preserve">TAQUILLAS ELECTRÓNICAS: </w:t>
      </w:r>
      <w:r w:rsidRPr="00852F9E">
        <w:rPr>
          <w:rFonts w:eastAsia="SimSun"/>
          <w:szCs w:val="22"/>
          <w:lang w:eastAsia="zh-CN"/>
        </w:rPr>
        <w:t xml:space="preserve">Durante toda la reunión, los delegados dispondrán de taquillas electrónicas que podrán utilizar con la tarjeta de identificación RFID del UIT. Las taquillas electrónicas están situadas justo detrás del mostrador de inscripción en la planta baja del </w:t>
      </w:r>
      <w:hyperlink r:id="rId28" w:history="1">
        <w:r w:rsidRPr="00852F9E">
          <w:rPr>
            <w:rStyle w:val="Hyperlink"/>
            <w:rFonts w:eastAsia="SimSun"/>
            <w:szCs w:val="22"/>
            <w:lang w:eastAsia="zh-CN"/>
          </w:rPr>
          <w:t>edificio Montbrillant</w:t>
        </w:r>
      </w:hyperlink>
      <w:r w:rsidRPr="00852F9E">
        <w:rPr>
          <w:rFonts w:eastAsia="SimSun"/>
          <w:szCs w:val="22"/>
          <w:lang w:eastAsia="zh-CN"/>
        </w:rPr>
        <w:t>.</w:t>
      </w:r>
    </w:p>
    <w:p w14:paraId="0D6E42C2" w14:textId="77777777" w:rsidR="009970E0" w:rsidRPr="00852F9E" w:rsidRDefault="009970E0" w:rsidP="009970E0">
      <w:pPr>
        <w:rPr>
          <w:szCs w:val="22"/>
        </w:rPr>
      </w:pPr>
      <w:r w:rsidRPr="00852F9E">
        <w:rPr>
          <w:b/>
          <w:bCs/>
          <w:szCs w:val="22"/>
        </w:rPr>
        <w:t>IMPRESORAS:</w:t>
      </w:r>
      <w:r w:rsidRPr="00852F9E">
        <w:rPr>
          <w:szCs w:val="22"/>
        </w:rPr>
        <w:t xml:space="preserve"> En las salas para los delegados y en las proximidades de </w:t>
      </w:r>
      <w:hyperlink r:id="rId29" w:history="1">
        <w:r w:rsidRPr="00852F9E">
          <w:rPr>
            <w:rStyle w:val="Hyperlink"/>
            <w:szCs w:val="22"/>
          </w:rPr>
          <w:t>las principales salas de reuniones</w:t>
        </w:r>
      </w:hyperlink>
      <w:r w:rsidRPr="00852F9E">
        <w:rPr>
          <w:szCs w:val="22"/>
        </w:rPr>
        <w:t xml:space="preserve"> se han puesto a disposición impresoras. Para no tener que instalar controladores en las computadoras de los delegados, los documentos pueden imprimirse directamente "de forma electrónica" enviándolos por correo electrónico a la impresora deseada. Puede ampliarse información al respecto en </w:t>
      </w:r>
      <w:bookmarkStart w:id="1" w:name="_Hlk94878660"/>
      <w:r w:rsidRPr="00852F9E">
        <w:rPr>
          <w:szCs w:val="22"/>
        </w:rPr>
        <w:fldChar w:fldCharType="begin"/>
      </w:r>
      <w:r w:rsidRPr="00852F9E">
        <w:rPr>
          <w:szCs w:val="22"/>
        </w:rPr>
        <w:instrText xml:space="preserve"> HYPERLINK "https://itu.int/go/e-print" </w:instrText>
      </w:r>
      <w:r w:rsidRPr="00852F9E">
        <w:rPr>
          <w:szCs w:val="22"/>
        </w:rPr>
        <w:fldChar w:fldCharType="separate"/>
      </w:r>
      <w:r w:rsidRPr="00852F9E">
        <w:rPr>
          <w:rStyle w:val="Hyperlink"/>
          <w:szCs w:val="22"/>
        </w:rPr>
        <w:t>https://itu.int/go/e-print</w:t>
      </w:r>
      <w:r w:rsidRPr="00852F9E">
        <w:rPr>
          <w:szCs w:val="22"/>
        </w:rPr>
        <w:fldChar w:fldCharType="end"/>
      </w:r>
      <w:r w:rsidRPr="00852F9E">
        <w:rPr>
          <w:szCs w:val="22"/>
        </w:rPr>
        <w:t>.</w:t>
      </w:r>
      <w:bookmarkEnd w:id="1"/>
    </w:p>
    <w:p w14:paraId="5A03D575" w14:textId="77777777" w:rsidR="009970E0" w:rsidRPr="00852F9E" w:rsidRDefault="009970E0" w:rsidP="009970E0">
      <w:pPr>
        <w:rPr>
          <w:szCs w:val="22"/>
        </w:rPr>
      </w:pPr>
      <w:r w:rsidRPr="00852F9E">
        <w:rPr>
          <w:b/>
          <w:bCs/>
          <w:szCs w:val="22"/>
        </w:rPr>
        <w:t>COMPUTADORAS PORTÁTILES:</w:t>
      </w:r>
      <w:r w:rsidRPr="00852F9E">
        <w:rPr>
          <w:szCs w:val="22"/>
        </w:rPr>
        <w:t xml:space="preserve"> Se dispone de computadoras portátiles para los delegados en el Servicio de Asistencia de la UIT (</w:t>
      </w:r>
      <w:hyperlink r:id="rId30" w:history="1">
        <w:r w:rsidRPr="00852F9E">
          <w:rPr>
            <w:rStyle w:val="Hyperlink"/>
            <w:szCs w:val="22"/>
          </w:rPr>
          <w:t>servicedesk@itu.int</w:t>
        </w:r>
      </w:hyperlink>
      <w:r w:rsidRPr="00852F9E">
        <w:rPr>
          <w:szCs w:val="22"/>
        </w:rPr>
        <w:t xml:space="preserve"> ); se atenderán las solicitudes por orden de llegada.</w:t>
      </w:r>
    </w:p>
    <w:p w14:paraId="6020C032" w14:textId="77777777" w:rsidR="009970E0" w:rsidRPr="00852F9E" w:rsidRDefault="009970E0" w:rsidP="009970E0">
      <w:pPr>
        <w:rPr>
          <w:szCs w:val="22"/>
        </w:rPr>
      </w:pPr>
      <w:r w:rsidRPr="00852F9E">
        <w:rPr>
          <w:b/>
          <w:szCs w:val="22"/>
        </w:rPr>
        <w:t>PARTICIPACIÓN A DISTANCIA INTERACTIVA</w:t>
      </w:r>
      <w:r w:rsidRPr="00852F9E">
        <w:rPr>
          <w:szCs w:val="22"/>
        </w:rPr>
        <w:t>: La participación a distancia se facilitará con la mayor diligencia posible para todas las reuniones para las que se reciba una solicitud a tal efecto con al menos 72 horas de antelación. Con objeto de acceder a las reuniones a distancia, los delegados deberán inscribirse previamente. Los participantes deben tener presente que la reunión no se aplazará ni se interrumpirá porque un participante a distancia no pueda conectarse, escuchar o ser escuchado, a tenor del criterio del Presidente. Si la calidad de voz de un participante a distancia se considera deficiente, el Presidente podrá interrumpirlo y abstenerse de concederle la palabra hasta que haya indicios de que el problema se ha resuelto. Se alienta a utilizar el sistema de mensajería de la reunión forma parte de la reunión para facilitar una gestión eficaz del tiempo durante las sesiones, a discreción del Presidente.</w:t>
      </w:r>
    </w:p>
    <w:p w14:paraId="637A1E12" w14:textId="77777777" w:rsidR="009970E0" w:rsidRPr="00852F9E" w:rsidRDefault="009970E0" w:rsidP="009970E0">
      <w:pPr>
        <w:pStyle w:val="AnnexTitle"/>
        <w:spacing w:after="200"/>
        <w:rPr>
          <w:b w:val="0"/>
          <w:bCs/>
          <w:szCs w:val="22"/>
        </w:rPr>
      </w:pPr>
      <w:r w:rsidRPr="00852F9E">
        <w:rPr>
          <w:bCs/>
          <w:szCs w:val="24"/>
        </w:rPr>
        <w:t>INSCRIPCIÓN</w:t>
      </w:r>
      <w:r w:rsidRPr="00852F9E">
        <w:rPr>
          <w:bCs/>
          <w:szCs w:val="22"/>
        </w:rPr>
        <w:t xml:space="preserve"> PREVIA, NUEVOS DELEGADOS, BECAS Y APOYO PARA LA SOLICITUD DE VISADOS</w:t>
      </w:r>
    </w:p>
    <w:p w14:paraId="5EE0858F" w14:textId="77777777" w:rsidR="009970E0" w:rsidRPr="002C5D0A" w:rsidRDefault="009970E0" w:rsidP="009970E0">
      <w:pPr>
        <w:pStyle w:val="Normalaftertitle"/>
        <w:spacing w:before="240"/>
        <w:rPr>
          <w:bCs/>
          <w:szCs w:val="22"/>
        </w:rPr>
      </w:pPr>
      <w:r w:rsidRPr="00852F9E">
        <w:rPr>
          <w:b/>
          <w:bCs/>
          <w:szCs w:val="22"/>
        </w:rPr>
        <w:t>INSCRIPCIÓN PREVIA</w:t>
      </w:r>
      <w:r w:rsidRPr="00852F9E">
        <w:rPr>
          <w:szCs w:val="22"/>
        </w:rPr>
        <w:t xml:space="preserve">: La inscripción previa es obligatoria y se efectúa en línea a través de la página web de inicio </w:t>
      </w:r>
      <w:r w:rsidRPr="00852F9E">
        <w:rPr>
          <w:b/>
          <w:bCs/>
          <w:szCs w:val="22"/>
        </w:rPr>
        <w:t>a más tardar un mes antes del comienzo de la reunión</w:t>
      </w:r>
      <w:r w:rsidRPr="00852F9E">
        <w:rPr>
          <w:szCs w:val="22"/>
        </w:rPr>
        <w:t xml:space="preserve">. Según se describe en </w:t>
      </w:r>
      <w:hyperlink r:id="rId31" w:history="1">
        <w:r w:rsidRPr="00852F9E">
          <w:rPr>
            <w:rStyle w:val="Hyperlink"/>
            <w:szCs w:val="22"/>
          </w:rPr>
          <w:t>la Circular 68 de la TS</w:t>
        </w:r>
      </w:hyperlink>
      <w:r w:rsidRPr="00852F9E">
        <w:rPr>
          <w:rStyle w:val="Hyperlink"/>
          <w:szCs w:val="22"/>
        </w:rPr>
        <w:t>B</w:t>
      </w:r>
      <w:r w:rsidRPr="00852F9E">
        <w:rPr>
          <w:szCs w:val="22"/>
        </w:rPr>
        <w:t xml:space="preserve">, el sistema de inscripción del UIT-T requiere la aprobación del coordinador para todas las solicitudes de inscripción; en la </w:t>
      </w:r>
      <w:hyperlink r:id="rId32" w:history="1">
        <w:r w:rsidRPr="00852F9E">
          <w:rPr>
            <w:rStyle w:val="Hyperlink"/>
            <w:szCs w:val="22"/>
          </w:rPr>
          <w:t>Circular 118 de la TSB</w:t>
        </w:r>
      </w:hyperlink>
      <w:r w:rsidRPr="00852F9E">
        <w:rPr>
          <w:rStyle w:val="Hyperlink"/>
          <w:szCs w:val="22"/>
        </w:rPr>
        <w:t xml:space="preserve"> </w:t>
      </w:r>
      <w:r w:rsidRPr="00852F9E">
        <w:rPr>
          <w:szCs w:val="22"/>
        </w:rPr>
        <w:t>se describe la manera de facilitar la autorización automática de dichas solicitudes. Determinadas opciones del formulario de inscripción son aplicables únicamente a los Estados Miembros (entre ellas, la función de que se trate). Se invita a los miembros a incluir mujeres en sus delegaciones siempre que sea posible.</w:t>
      </w:r>
    </w:p>
    <w:p w14:paraId="6670A3CD" w14:textId="77777777" w:rsidR="009970E0" w:rsidRPr="00852F9E" w:rsidRDefault="009970E0" w:rsidP="009970E0">
      <w:pPr>
        <w:spacing w:before="60"/>
        <w:rPr>
          <w:bCs/>
          <w:szCs w:val="22"/>
        </w:rPr>
      </w:pPr>
      <w:r w:rsidRPr="00852F9E">
        <w:rPr>
          <w:b/>
          <w:bCs/>
          <w:szCs w:val="22"/>
        </w:rPr>
        <w:t>APOYO PARA LA SOLICITUD DE VISADOS</w:t>
      </w:r>
      <w:r w:rsidRPr="00852F9E">
        <w:rPr>
          <w:bCs/>
          <w:szCs w:val="22"/>
        </w:rPr>
        <w:t xml:space="preserve">: En su caso, los visados deben solicitarse antes de la fecha de llegada a Suiza en la embajada o el consulado que represente a Suiza en su país o, en su defecto, en la más próxima a su país de partida. Habida cuenta de que los plazos aplicables pueden variar, se recomienda consultar directamente a la representación adecuada y presentar la solicitud con antelación. </w:t>
      </w:r>
    </w:p>
    <w:p w14:paraId="0A48DC0C" w14:textId="5D277E26" w:rsidR="009970E0" w:rsidRPr="00852F9E" w:rsidRDefault="009970E0" w:rsidP="009970E0">
      <w:pPr>
        <w:spacing w:before="60"/>
        <w:rPr>
          <w:szCs w:val="22"/>
        </w:rPr>
      </w:pPr>
      <w:r w:rsidRPr="00852F9E">
        <w:rPr>
          <w:bCs/>
          <w:szCs w:val="22"/>
        </w:rPr>
        <w:t xml:space="preserve">En caso de problemas, previa solicitud oficial de la administración o la entidad que usted represente, la Unión puede intervenir ante las autoridades suizas competentes para facilitar la expedición del visado de que se trate. </w:t>
      </w:r>
      <w:r w:rsidRPr="00852F9E">
        <w:rPr>
          <w:bCs/>
          <w:szCs w:val="22"/>
        </w:rPr>
        <w:lastRenderedPageBreak/>
        <w:t xml:space="preserve">Una vez que el coordinador de inscripciones de su organización haya aprobado su inscripción, por lo general transcurren 15 días antes de que se emita la carta de solicitud de visado. En consecuencia, las solicitudes deben formularse marcando la casilla correspondiente en el formulario de inscripción, </w:t>
      </w:r>
      <w:r w:rsidRPr="00852F9E">
        <w:rPr>
          <w:b/>
          <w:szCs w:val="22"/>
        </w:rPr>
        <w:t>a más tardar un mes antes de la reunión</w:t>
      </w:r>
      <w:r w:rsidRPr="00852F9E">
        <w:rPr>
          <w:bCs/>
          <w:szCs w:val="22"/>
        </w:rPr>
        <w:t>. Las peticiones deberán enviarse a la Sección de Viajes de la UIT</w:t>
      </w:r>
      <w:r w:rsidR="002C5D0A">
        <w:rPr>
          <w:bCs/>
          <w:szCs w:val="22"/>
        </w:rPr>
        <w:t xml:space="preserve"> (</w:t>
      </w:r>
      <w:hyperlink r:id="rId33" w:history="1">
        <w:r w:rsidRPr="002C5D0A">
          <w:rPr>
            <w:rStyle w:val="Hyperlink"/>
            <w:bCs/>
            <w:szCs w:val="22"/>
          </w:rPr>
          <w:t>travel@itu.int</w:t>
        </w:r>
      </w:hyperlink>
      <w:r w:rsidRPr="00852F9E">
        <w:rPr>
          <w:bCs/>
          <w:szCs w:val="22"/>
        </w:rPr>
        <w:t>), con la mención "</w:t>
      </w:r>
      <w:r w:rsidRPr="00852F9E">
        <w:rPr>
          <w:b/>
          <w:bCs/>
          <w:i/>
          <w:iCs/>
          <w:szCs w:val="22"/>
        </w:rPr>
        <w:t>visa support</w:t>
      </w:r>
      <w:r w:rsidRPr="00852F9E">
        <w:rPr>
          <w:bCs/>
          <w:szCs w:val="22"/>
        </w:rPr>
        <w:t>".</w:t>
      </w:r>
    </w:p>
    <w:p w14:paraId="282E7368" w14:textId="77777777" w:rsidR="009970E0" w:rsidRPr="00852F9E" w:rsidRDefault="009970E0" w:rsidP="009970E0">
      <w:pPr>
        <w:pStyle w:val="AnnexTitle"/>
        <w:spacing w:after="200"/>
        <w:rPr>
          <w:b w:val="0"/>
          <w:bCs/>
          <w:szCs w:val="22"/>
        </w:rPr>
      </w:pPr>
      <w:r w:rsidRPr="00852F9E">
        <w:rPr>
          <w:bCs/>
          <w:szCs w:val="22"/>
        </w:rPr>
        <w:t>VISITAS A GINEBRA: HOTELES Y TRANSPORTE PÚBLICO</w:t>
      </w:r>
    </w:p>
    <w:p w14:paraId="190E155B" w14:textId="7DCCEEEA" w:rsidR="009970E0" w:rsidRPr="00852F9E" w:rsidRDefault="009970E0" w:rsidP="009970E0">
      <w:pPr>
        <w:pStyle w:val="Normalaftertitle"/>
        <w:spacing w:before="120"/>
        <w:rPr>
          <w:szCs w:val="22"/>
        </w:rPr>
      </w:pPr>
      <w:r w:rsidRPr="00852F9E">
        <w:rPr>
          <w:b/>
          <w:bCs/>
          <w:szCs w:val="22"/>
        </w:rPr>
        <w:t>PERSONAS QUE VISITEN GINEBRA:</w:t>
      </w:r>
      <w:r w:rsidRPr="00852F9E">
        <w:rPr>
          <w:szCs w:val="22"/>
        </w:rPr>
        <w:t xml:space="preserve"> Los delegados que asistan a reuniones de la UIT en Ginebra pueden consultar información de índole práctica a través de la página web siguiente</w:t>
      </w:r>
      <w:r w:rsidRPr="00852F9E">
        <w:rPr>
          <w:rStyle w:val="normaltextrun"/>
          <w:color w:val="000000"/>
          <w:shd w:val="clear" w:color="auto" w:fill="FFFFFF"/>
        </w:rPr>
        <w:t xml:space="preserve">: </w:t>
      </w:r>
      <w:hyperlink r:id="rId34" w:history="1">
        <w:r w:rsidR="002C5D0A" w:rsidRPr="00B312E3">
          <w:rPr>
            <w:rStyle w:val="Hyperlink"/>
            <w:shd w:val="clear" w:color="auto" w:fill="FFFFFF"/>
          </w:rPr>
          <w:t>https://www.itu.int/es/delegates-corner</w:t>
        </w:r>
      </w:hyperlink>
      <w:r w:rsidRPr="00852F9E">
        <w:rPr>
          <w:rStyle w:val="normaltextrun"/>
          <w:color w:val="000000"/>
          <w:shd w:val="clear" w:color="auto" w:fill="FFFFFF"/>
        </w:rPr>
        <w:t xml:space="preserve">. En la página web </w:t>
      </w:r>
      <w:hyperlink r:id="rId35" w:history="1">
        <w:r w:rsidRPr="00852F9E">
          <w:rPr>
            <w:rStyle w:val="Hyperlink"/>
            <w:shd w:val="clear" w:color="auto" w:fill="FFFFFF"/>
          </w:rPr>
          <w:t>https://www.ge.ch/en/covid-19-travelling-and-entry-switzerland</w:t>
        </w:r>
      </w:hyperlink>
      <w:r w:rsidRPr="00852F9E">
        <w:rPr>
          <w:rStyle w:val="normaltextrun"/>
          <w:color w:val="000000"/>
          <w:shd w:val="clear" w:color="auto" w:fill="FFFFFF"/>
        </w:rPr>
        <w:t xml:space="preserve"> se proporciona información específica sobre COVID-19 en relación con el viaje y la entrada a Suiza.</w:t>
      </w:r>
    </w:p>
    <w:p w14:paraId="4C55FCDB" w14:textId="77777777" w:rsidR="009970E0" w:rsidRPr="00852F9E" w:rsidRDefault="009970E0" w:rsidP="009970E0">
      <w:pPr>
        <w:spacing w:after="120"/>
        <w:rPr>
          <w:szCs w:val="22"/>
        </w:rPr>
      </w:pPr>
      <w:r w:rsidRPr="00852F9E">
        <w:rPr>
          <w:b/>
          <w:bCs/>
          <w:szCs w:val="22"/>
        </w:rPr>
        <w:t>DESCUENTOS EN HOTELES</w:t>
      </w:r>
      <w:r w:rsidRPr="00852F9E">
        <w:rPr>
          <w:szCs w:val="22"/>
        </w:rPr>
        <w:t>: Varios</w:t>
      </w:r>
      <w:r w:rsidRPr="00852F9E">
        <w:t xml:space="preserve"> </w:t>
      </w:r>
      <w:r w:rsidRPr="00852F9E">
        <w:rPr>
          <w:szCs w:val="22"/>
        </w:rPr>
        <w:t xml:space="preserve">hoteles de Ginebra ofrecen precios especiales para los delegados que asisten a reuniones de la UIT, y regalan un abono gratuito para los transportes públicos de la ciudad. Puede consultar una lista de esos hoteles, e información sobre cómo solicitar los descuentos, a través de la dirección siguiente: </w:t>
      </w:r>
      <w:hyperlink r:id="rId36" w:history="1">
        <w:r w:rsidRPr="00852F9E">
          <w:rPr>
            <w:rStyle w:val="Hyperlink"/>
          </w:rPr>
          <w:t>https://itu.int/travel/.</w:t>
        </w:r>
      </w:hyperlink>
    </w:p>
    <w:p w14:paraId="19D22B43" w14:textId="77777777" w:rsidR="009970E0" w:rsidRPr="00852F9E" w:rsidRDefault="009970E0" w:rsidP="009970E0">
      <w:pPr>
        <w:spacing w:before="60"/>
        <w:rPr>
          <w:b/>
          <w:bCs/>
          <w:szCs w:val="22"/>
        </w:rPr>
      </w:pPr>
      <w:r w:rsidRPr="00852F9E">
        <w:rPr>
          <w:b/>
          <w:bCs/>
          <w:szCs w:val="22"/>
        </w:rPr>
        <w:br w:type="page"/>
      </w:r>
    </w:p>
    <w:p w14:paraId="2ED26AAE" w14:textId="77777777" w:rsidR="009970E0" w:rsidRPr="002C5D0A" w:rsidRDefault="009970E0" w:rsidP="009970E0">
      <w:pPr>
        <w:pStyle w:val="Annextitle0"/>
        <w:rPr>
          <w:sz w:val="22"/>
          <w:szCs w:val="22"/>
          <w:lang w:val="en-US"/>
        </w:rPr>
      </w:pPr>
      <w:r w:rsidRPr="002C5D0A">
        <w:rPr>
          <w:sz w:val="22"/>
          <w:szCs w:val="22"/>
          <w:lang w:val="en-US"/>
        </w:rPr>
        <w:lastRenderedPageBreak/>
        <w:t>ANNEX B</w:t>
      </w:r>
      <w:r w:rsidRPr="002C5D0A">
        <w:rPr>
          <w:sz w:val="22"/>
          <w:szCs w:val="22"/>
          <w:lang w:val="en-US"/>
        </w:rPr>
        <w:br/>
        <w:t>Draft agenda for the meetings of WP1/11, WP2/11 and WP3/11</w:t>
      </w:r>
    </w:p>
    <w:p w14:paraId="595357AC" w14:textId="77777777" w:rsidR="009970E0" w:rsidRPr="00852F9E" w:rsidRDefault="009970E0" w:rsidP="009970E0">
      <w:pPr>
        <w:pStyle w:val="enumlev1"/>
        <w:numPr>
          <w:ilvl w:val="0"/>
          <w:numId w:val="22"/>
        </w:numPr>
        <w:spacing w:before="360"/>
      </w:pPr>
      <w:r w:rsidRPr="00852F9E">
        <w:t>Opening remarks</w:t>
      </w:r>
    </w:p>
    <w:p w14:paraId="6D573FBE" w14:textId="77777777" w:rsidR="009970E0" w:rsidRPr="00852F9E" w:rsidRDefault="009970E0" w:rsidP="009970E0">
      <w:pPr>
        <w:pStyle w:val="enumlev1"/>
        <w:numPr>
          <w:ilvl w:val="0"/>
          <w:numId w:val="22"/>
        </w:numPr>
      </w:pPr>
      <w:r w:rsidRPr="00852F9E">
        <w:t>Adoption of the agenda</w:t>
      </w:r>
    </w:p>
    <w:p w14:paraId="47354932" w14:textId="77777777" w:rsidR="009970E0" w:rsidRPr="00852F9E" w:rsidRDefault="009970E0" w:rsidP="009970E0">
      <w:pPr>
        <w:pStyle w:val="enumlev1"/>
        <w:numPr>
          <w:ilvl w:val="0"/>
          <w:numId w:val="22"/>
        </w:numPr>
      </w:pPr>
      <w:r w:rsidRPr="00852F9E">
        <w:t>Documents allocation</w:t>
      </w:r>
    </w:p>
    <w:p w14:paraId="6245CFAA" w14:textId="77777777" w:rsidR="009970E0" w:rsidRPr="00852F9E" w:rsidRDefault="009970E0" w:rsidP="009970E0">
      <w:pPr>
        <w:pStyle w:val="enumlev1"/>
        <w:numPr>
          <w:ilvl w:val="0"/>
          <w:numId w:val="22"/>
        </w:numPr>
      </w:pPr>
      <w:r w:rsidRPr="00852F9E">
        <w:t>Discussion of received contributions</w:t>
      </w:r>
    </w:p>
    <w:p w14:paraId="2B3C980F" w14:textId="77777777" w:rsidR="009970E0" w:rsidRPr="002C5D0A" w:rsidRDefault="009970E0" w:rsidP="009970E0">
      <w:pPr>
        <w:pStyle w:val="enumlev1"/>
        <w:numPr>
          <w:ilvl w:val="0"/>
          <w:numId w:val="22"/>
        </w:numPr>
        <w:rPr>
          <w:lang w:val="en-US"/>
        </w:rPr>
      </w:pPr>
      <w:r w:rsidRPr="002C5D0A">
        <w:rPr>
          <w:lang w:val="en-US"/>
        </w:rPr>
        <w:t>Review and approve the reports and outputs of Rapporteur Group meetings</w:t>
      </w:r>
    </w:p>
    <w:p w14:paraId="4EA22F1F" w14:textId="77777777" w:rsidR="009970E0" w:rsidRPr="00852F9E" w:rsidRDefault="009970E0" w:rsidP="009970E0">
      <w:pPr>
        <w:pStyle w:val="enumlev1"/>
        <w:numPr>
          <w:ilvl w:val="0"/>
          <w:numId w:val="22"/>
        </w:numPr>
      </w:pPr>
      <w:r w:rsidRPr="00852F9E">
        <w:t>Consent of draft Recommendations</w:t>
      </w:r>
    </w:p>
    <w:p w14:paraId="3EF69087" w14:textId="77777777" w:rsidR="009970E0" w:rsidRPr="00852F9E" w:rsidRDefault="009970E0" w:rsidP="009970E0">
      <w:pPr>
        <w:pStyle w:val="enumlev1"/>
        <w:numPr>
          <w:ilvl w:val="0"/>
          <w:numId w:val="22"/>
        </w:numPr>
      </w:pPr>
      <w:r w:rsidRPr="00852F9E">
        <w:t>Agreement on other deliverables</w:t>
      </w:r>
    </w:p>
    <w:p w14:paraId="141363D6" w14:textId="77777777" w:rsidR="009970E0" w:rsidRPr="00852F9E" w:rsidRDefault="009970E0" w:rsidP="009970E0">
      <w:pPr>
        <w:pStyle w:val="enumlev1"/>
        <w:numPr>
          <w:ilvl w:val="0"/>
          <w:numId w:val="22"/>
        </w:numPr>
      </w:pPr>
      <w:r w:rsidRPr="00852F9E">
        <w:t>Agreement on new work items</w:t>
      </w:r>
    </w:p>
    <w:p w14:paraId="46E9C595" w14:textId="77777777" w:rsidR="009970E0" w:rsidRPr="00852F9E" w:rsidRDefault="009970E0" w:rsidP="009970E0">
      <w:pPr>
        <w:pStyle w:val="enumlev1"/>
        <w:numPr>
          <w:ilvl w:val="0"/>
          <w:numId w:val="22"/>
        </w:numPr>
      </w:pPr>
      <w:r w:rsidRPr="00852F9E">
        <w:t>Agreement on future activities</w:t>
      </w:r>
    </w:p>
    <w:p w14:paraId="114DD1DA" w14:textId="77777777" w:rsidR="009970E0" w:rsidRPr="00852F9E" w:rsidRDefault="009970E0" w:rsidP="009970E0">
      <w:pPr>
        <w:pStyle w:val="enumlev1"/>
        <w:numPr>
          <w:ilvl w:val="0"/>
          <w:numId w:val="22"/>
        </w:numPr>
      </w:pPr>
      <w:r w:rsidRPr="00852F9E">
        <w:t>Approval of outgoing liaison statements</w:t>
      </w:r>
    </w:p>
    <w:p w14:paraId="7178612C" w14:textId="77777777" w:rsidR="009970E0" w:rsidRPr="00852F9E" w:rsidRDefault="009970E0" w:rsidP="009970E0">
      <w:pPr>
        <w:pStyle w:val="enumlev1"/>
        <w:numPr>
          <w:ilvl w:val="0"/>
          <w:numId w:val="22"/>
        </w:numPr>
      </w:pPr>
      <w:r w:rsidRPr="00852F9E">
        <w:t>Work Programme</w:t>
      </w:r>
    </w:p>
    <w:p w14:paraId="3234D20A" w14:textId="77777777" w:rsidR="009970E0" w:rsidRPr="00852F9E" w:rsidRDefault="009970E0" w:rsidP="009970E0">
      <w:pPr>
        <w:pStyle w:val="enumlev1"/>
        <w:numPr>
          <w:ilvl w:val="0"/>
          <w:numId w:val="22"/>
        </w:numPr>
      </w:pPr>
      <w:r w:rsidRPr="00852F9E">
        <w:t>Future meetings</w:t>
      </w:r>
    </w:p>
    <w:p w14:paraId="2F6AA99E" w14:textId="77777777" w:rsidR="009970E0" w:rsidRPr="00852F9E" w:rsidRDefault="009970E0" w:rsidP="009970E0">
      <w:pPr>
        <w:pStyle w:val="enumlev1"/>
        <w:numPr>
          <w:ilvl w:val="0"/>
          <w:numId w:val="22"/>
        </w:numPr>
      </w:pPr>
      <w:r w:rsidRPr="00852F9E">
        <w:t>AOB</w:t>
      </w:r>
    </w:p>
    <w:p w14:paraId="29F9E007" w14:textId="77777777" w:rsidR="009970E0" w:rsidRPr="00852F9E" w:rsidRDefault="009970E0" w:rsidP="009970E0">
      <w:pPr>
        <w:pStyle w:val="enumlev1"/>
        <w:numPr>
          <w:ilvl w:val="0"/>
          <w:numId w:val="22"/>
        </w:numPr>
      </w:pPr>
      <w:r w:rsidRPr="00852F9E">
        <w:t>Closure of the meeting</w:t>
      </w:r>
    </w:p>
    <w:p w14:paraId="721426E9" w14:textId="77777777" w:rsidR="009970E0" w:rsidRPr="002C5D0A" w:rsidRDefault="009970E0" w:rsidP="009970E0">
      <w:pPr>
        <w:rPr>
          <w:szCs w:val="22"/>
          <w:lang w:val="en-US"/>
        </w:rPr>
      </w:pPr>
      <w:r w:rsidRPr="002C5D0A">
        <w:rPr>
          <w:szCs w:val="22"/>
          <w:lang w:val="en-US"/>
        </w:rPr>
        <w:t>NOTE ‒ Updates to the draft agendas can be found in relevant TDs, as follows: SG11-TD1/WP1, SG11-TD1/WP2 and SG11-TD1/WP3.</w:t>
      </w:r>
    </w:p>
    <w:p w14:paraId="0A25A598" w14:textId="77777777" w:rsidR="009970E0" w:rsidRPr="002C5D0A" w:rsidRDefault="009970E0" w:rsidP="009970E0">
      <w:pPr>
        <w:pStyle w:val="Normalaftertitle"/>
        <w:pageBreakBefore/>
        <w:tabs>
          <w:tab w:val="clear" w:pos="794"/>
          <w:tab w:val="clear" w:pos="1191"/>
          <w:tab w:val="clear" w:pos="1588"/>
          <w:tab w:val="clear" w:pos="1985"/>
        </w:tabs>
        <w:jc w:val="center"/>
        <w:rPr>
          <w:b/>
          <w:bCs/>
          <w:szCs w:val="22"/>
          <w:lang w:val="en-US"/>
        </w:rPr>
        <w:sectPr w:rsidR="009970E0" w:rsidRPr="002C5D0A" w:rsidSect="009970E0">
          <w:headerReference w:type="even" r:id="rId37"/>
          <w:headerReference w:type="default" r:id="rId38"/>
          <w:footerReference w:type="first" r:id="rId39"/>
          <w:pgSz w:w="11907" w:h="16834" w:code="9"/>
          <w:pgMar w:top="1134" w:right="851" w:bottom="567" w:left="851" w:header="425" w:footer="567" w:gutter="0"/>
          <w:paperSrc w:first="15" w:other="15"/>
          <w:cols w:space="720"/>
          <w:titlePg/>
          <w:docGrid w:linePitch="299"/>
        </w:sectPr>
      </w:pPr>
    </w:p>
    <w:p w14:paraId="614E6FE4" w14:textId="77777777" w:rsidR="009970E0" w:rsidRPr="002C5D0A" w:rsidRDefault="009970E0" w:rsidP="009970E0">
      <w:pPr>
        <w:pStyle w:val="Normalaftertitle"/>
        <w:pageBreakBefore/>
        <w:tabs>
          <w:tab w:val="clear" w:pos="794"/>
          <w:tab w:val="clear" w:pos="1191"/>
          <w:tab w:val="clear" w:pos="1588"/>
          <w:tab w:val="clear" w:pos="1985"/>
        </w:tabs>
        <w:jc w:val="center"/>
        <w:rPr>
          <w:b/>
          <w:bCs/>
          <w:szCs w:val="22"/>
          <w:lang w:val="en-US"/>
        </w:rPr>
      </w:pPr>
      <w:r w:rsidRPr="002C5D0A">
        <w:rPr>
          <w:b/>
          <w:bCs/>
          <w:szCs w:val="22"/>
          <w:lang w:val="en-US"/>
        </w:rPr>
        <w:lastRenderedPageBreak/>
        <w:t>ANNEX C</w:t>
      </w:r>
      <w:r w:rsidRPr="002C5D0A">
        <w:rPr>
          <w:b/>
          <w:bCs/>
          <w:szCs w:val="22"/>
          <w:lang w:val="en-US"/>
        </w:rPr>
        <w:br/>
        <w:t xml:space="preserve">Draft time plan of </w:t>
      </w:r>
      <w:r w:rsidRPr="002C5D0A">
        <w:rPr>
          <w:b/>
          <w:lang w:val="en-US"/>
        </w:rPr>
        <w:t xml:space="preserve">interim RGM meetings followed by </w:t>
      </w:r>
      <w:r w:rsidRPr="002C5D0A">
        <w:rPr>
          <w:b/>
          <w:bCs/>
          <w:szCs w:val="22"/>
          <w:lang w:val="en-US"/>
        </w:rPr>
        <w:t>WP1/11, WP2/11 and WP3/11 meetings</w:t>
      </w:r>
      <w:r w:rsidRPr="002C5D0A">
        <w:rPr>
          <w:b/>
          <w:bCs/>
          <w:szCs w:val="22"/>
          <w:lang w:val="en-US"/>
        </w:rPr>
        <w:br/>
        <w:t>(Geneva, 28 November – 7 December 2022)</w:t>
      </w:r>
    </w:p>
    <w:p w14:paraId="19275619" w14:textId="77777777" w:rsidR="009970E0" w:rsidRPr="00852F9E" w:rsidRDefault="009970E0" w:rsidP="009970E0">
      <w:pPr>
        <w:spacing w:before="240" w:after="240"/>
        <w:jc w:val="center"/>
        <w:rPr>
          <w:rFonts w:eastAsia="Calibri"/>
          <w:b/>
        </w:rPr>
      </w:pPr>
      <w:r w:rsidRPr="00852F9E">
        <w:rPr>
          <w:rFonts w:eastAsia="Calibri"/>
          <w:b/>
        </w:rPr>
        <w:t>(First week)</w:t>
      </w:r>
    </w:p>
    <w:tbl>
      <w:tblPr>
        <w:tblpPr w:leftFromText="180" w:rightFromText="180" w:vertAnchor="text" w:horzAnchor="margin" w:tblpXSpec="center" w:tblpY="376"/>
        <w:tblW w:w="1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352"/>
        <w:gridCol w:w="351"/>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tblGrid>
      <w:tr w:rsidR="009970E0" w:rsidRPr="00852F9E" w14:paraId="1E6EF40D" w14:textId="77777777" w:rsidTr="0040257E">
        <w:trPr>
          <w:trHeight w:val="270"/>
        </w:trPr>
        <w:tc>
          <w:tcPr>
            <w:tcW w:w="1282" w:type="dxa"/>
            <w:vMerge w:val="restart"/>
            <w:tcBorders>
              <w:top w:val="nil"/>
              <w:left w:val="nil"/>
              <w:right w:val="single" w:sz="12" w:space="0" w:color="auto"/>
            </w:tcBorders>
            <w:shd w:val="clear" w:color="auto" w:fill="auto"/>
            <w:vAlign w:val="center"/>
          </w:tcPr>
          <w:p w14:paraId="151EAF83" w14:textId="77777777" w:rsidR="009970E0" w:rsidRPr="00852F9E" w:rsidRDefault="009970E0" w:rsidP="0040257E">
            <w:pPr>
              <w:spacing w:before="40" w:after="40"/>
              <w:jc w:val="center"/>
              <w:rPr>
                <w:b/>
                <w:sz w:val="16"/>
                <w:szCs w:val="16"/>
                <w:highlight w:val="yellow"/>
              </w:rPr>
            </w:pP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53FF16E" w14:textId="77777777" w:rsidR="009970E0" w:rsidRPr="00852F9E" w:rsidRDefault="009970E0" w:rsidP="0040257E">
            <w:pPr>
              <w:spacing w:before="40" w:after="40"/>
              <w:jc w:val="center"/>
              <w:rPr>
                <w:sz w:val="16"/>
                <w:szCs w:val="16"/>
              </w:rPr>
            </w:pPr>
            <w:r w:rsidRPr="00852F9E">
              <w:rPr>
                <w:b/>
                <w:bCs/>
                <w:sz w:val="16"/>
                <w:szCs w:val="16"/>
              </w:rPr>
              <w:t>Monday, 28 November 2022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11DF5AF" w14:textId="77777777" w:rsidR="009970E0" w:rsidRPr="00852F9E" w:rsidRDefault="009970E0" w:rsidP="0040257E">
            <w:pPr>
              <w:spacing w:before="40" w:after="40"/>
              <w:jc w:val="center"/>
              <w:rPr>
                <w:sz w:val="16"/>
                <w:szCs w:val="16"/>
              </w:rPr>
            </w:pPr>
            <w:r w:rsidRPr="00852F9E">
              <w:rPr>
                <w:b/>
                <w:bCs/>
                <w:sz w:val="16"/>
                <w:szCs w:val="16"/>
              </w:rPr>
              <w:t>Tuesday, 29 November 2022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567038E" w14:textId="77777777" w:rsidR="009970E0" w:rsidRPr="00852F9E" w:rsidRDefault="009970E0" w:rsidP="0040257E">
            <w:pPr>
              <w:spacing w:before="40" w:after="40"/>
              <w:jc w:val="center"/>
              <w:rPr>
                <w:sz w:val="16"/>
                <w:szCs w:val="16"/>
              </w:rPr>
            </w:pPr>
            <w:r w:rsidRPr="00852F9E">
              <w:rPr>
                <w:b/>
                <w:bCs/>
                <w:sz w:val="16"/>
                <w:szCs w:val="16"/>
              </w:rPr>
              <w:t>Wednesday, 30 November 2022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C003548" w14:textId="77777777" w:rsidR="009970E0" w:rsidRPr="00852F9E" w:rsidRDefault="009970E0" w:rsidP="0040257E">
            <w:pPr>
              <w:spacing w:before="40" w:after="40"/>
              <w:jc w:val="center"/>
              <w:rPr>
                <w:sz w:val="16"/>
                <w:szCs w:val="16"/>
              </w:rPr>
            </w:pPr>
            <w:r w:rsidRPr="00852F9E">
              <w:rPr>
                <w:b/>
                <w:bCs/>
                <w:sz w:val="16"/>
                <w:szCs w:val="16"/>
              </w:rPr>
              <w:t>Thursday, 1 December 2022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F08C4B3" w14:textId="77777777" w:rsidR="009970E0" w:rsidRPr="00852F9E" w:rsidRDefault="009970E0" w:rsidP="0040257E">
            <w:pPr>
              <w:spacing w:before="40" w:after="40"/>
              <w:jc w:val="center"/>
              <w:rPr>
                <w:sz w:val="16"/>
                <w:szCs w:val="16"/>
              </w:rPr>
            </w:pPr>
            <w:r w:rsidRPr="00852F9E">
              <w:rPr>
                <w:b/>
                <w:bCs/>
                <w:sz w:val="16"/>
                <w:szCs w:val="16"/>
              </w:rPr>
              <w:t>Friday, 2 December 2022</w:t>
            </w:r>
          </w:p>
        </w:tc>
      </w:tr>
      <w:tr w:rsidR="009970E0" w:rsidRPr="00852F9E" w14:paraId="76F520FD" w14:textId="77777777" w:rsidTr="0040257E">
        <w:trPr>
          <w:trHeight w:val="270"/>
        </w:trPr>
        <w:tc>
          <w:tcPr>
            <w:tcW w:w="1282" w:type="dxa"/>
            <w:vMerge/>
            <w:tcBorders>
              <w:left w:val="nil"/>
              <w:bottom w:val="single" w:sz="8" w:space="0" w:color="auto"/>
              <w:right w:val="single" w:sz="12" w:space="0" w:color="auto"/>
            </w:tcBorders>
            <w:shd w:val="clear" w:color="auto" w:fill="auto"/>
            <w:vAlign w:val="center"/>
          </w:tcPr>
          <w:p w14:paraId="21955537" w14:textId="77777777" w:rsidR="009970E0" w:rsidRPr="00852F9E" w:rsidRDefault="009970E0" w:rsidP="0040257E">
            <w:pPr>
              <w:spacing w:before="40" w:after="40"/>
              <w:jc w:val="center"/>
              <w:rPr>
                <w:b/>
                <w:sz w:val="16"/>
                <w:szCs w:val="16"/>
                <w:highlight w:val="yellow"/>
              </w:rPr>
            </w:pP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78F2E52F" w14:textId="77777777" w:rsidR="009970E0" w:rsidRPr="00852F9E" w:rsidRDefault="009970E0" w:rsidP="0040257E">
            <w:pPr>
              <w:spacing w:before="40" w:after="40"/>
              <w:jc w:val="center"/>
              <w:rPr>
                <w:sz w:val="16"/>
                <w:szCs w:val="16"/>
              </w:rPr>
            </w:pPr>
            <w:r w:rsidRPr="00852F9E">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4F43D9" w14:textId="77777777" w:rsidR="009970E0" w:rsidRPr="00852F9E" w:rsidRDefault="009970E0" w:rsidP="0040257E">
            <w:pPr>
              <w:spacing w:before="40" w:after="40"/>
              <w:jc w:val="center"/>
              <w:rPr>
                <w:sz w:val="16"/>
                <w:szCs w:val="16"/>
              </w:rPr>
            </w:pPr>
            <w:r w:rsidRPr="00852F9E">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EA9468" w14:textId="77777777" w:rsidR="009970E0" w:rsidRPr="00852F9E" w:rsidRDefault="009970E0" w:rsidP="0040257E">
            <w:pPr>
              <w:spacing w:before="40" w:after="40"/>
              <w:jc w:val="center"/>
              <w:rPr>
                <w:sz w:val="16"/>
                <w:szCs w:val="16"/>
              </w:rPr>
            </w:pPr>
            <w:r w:rsidRPr="00852F9E">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4C1294" w14:textId="77777777" w:rsidR="009970E0" w:rsidRPr="00852F9E" w:rsidRDefault="009970E0" w:rsidP="0040257E">
            <w:pPr>
              <w:spacing w:before="40" w:after="40"/>
              <w:jc w:val="center"/>
              <w:rPr>
                <w:sz w:val="16"/>
                <w:szCs w:val="16"/>
              </w:rPr>
            </w:pPr>
            <w:r w:rsidRPr="00852F9E">
              <w:rPr>
                <w:noProof/>
                <w:lang w:eastAsia="es-ES_tradnl"/>
              </w:rPr>
              <w:drawing>
                <wp:inline distT="0" distB="0" distL="0" distR="0" wp14:anchorId="057D7A2D" wp14:editId="39C4D283">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718578" w14:textId="77777777" w:rsidR="009970E0" w:rsidRPr="00852F9E" w:rsidRDefault="009970E0" w:rsidP="0040257E">
            <w:pPr>
              <w:spacing w:before="40" w:after="40"/>
              <w:jc w:val="center"/>
              <w:rPr>
                <w:sz w:val="16"/>
                <w:szCs w:val="16"/>
              </w:rPr>
            </w:pPr>
            <w:r w:rsidRPr="00852F9E">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D1A0DEF" w14:textId="77777777" w:rsidR="009970E0" w:rsidRPr="00852F9E" w:rsidRDefault="009970E0" w:rsidP="0040257E">
            <w:pPr>
              <w:spacing w:before="40" w:after="40"/>
              <w:jc w:val="center"/>
              <w:rPr>
                <w:sz w:val="16"/>
                <w:szCs w:val="16"/>
              </w:rPr>
            </w:pPr>
            <w:r w:rsidRPr="00852F9E">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0B954C4A" w14:textId="77777777" w:rsidR="009970E0" w:rsidRPr="00852F9E" w:rsidRDefault="009970E0" w:rsidP="0040257E">
            <w:pPr>
              <w:spacing w:before="40" w:after="40"/>
              <w:jc w:val="center"/>
              <w:rPr>
                <w:sz w:val="16"/>
                <w:szCs w:val="16"/>
              </w:rPr>
            </w:pPr>
            <w:r w:rsidRPr="00852F9E">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799C6AC7" w14:textId="77777777" w:rsidR="009970E0" w:rsidRPr="00852F9E" w:rsidRDefault="009970E0" w:rsidP="0040257E">
            <w:pPr>
              <w:spacing w:before="40" w:after="40"/>
              <w:jc w:val="center"/>
              <w:rPr>
                <w:sz w:val="16"/>
                <w:szCs w:val="16"/>
              </w:rPr>
            </w:pPr>
            <w:r w:rsidRPr="00852F9E">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B94178" w14:textId="77777777" w:rsidR="009970E0" w:rsidRPr="00852F9E" w:rsidRDefault="009970E0" w:rsidP="0040257E">
            <w:pPr>
              <w:spacing w:before="40" w:after="40"/>
              <w:jc w:val="center"/>
              <w:rPr>
                <w:sz w:val="16"/>
                <w:szCs w:val="16"/>
              </w:rPr>
            </w:pPr>
            <w:r w:rsidRPr="00852F9E">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113EBB" w14:textId="77777777" w:rsidR="009970E0" w:rsidRPr="00852F9E" w:rsidRDefault="009970E0" w:rsidP="0040257E">
            <w:pPr>
              <w:spacing w:before="40" w:after="40"/>
              <w:jc w:val="center"/>
              <w:rPr>
                <w:sz w:val="16"/>
                <w:szCs w:val="16"/>
              </w:rPr>
            </w:pPr>
            <w:r w:rsidRPr="00852F9E">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A0773B" w14:textId="77777777" w:rsidR="009970E0" w:rsidRPr="00852F9E" w:rsidRDefault="009970E0" w:rsidP="0040257E">
            <w:pPr>
              <w:spacing w:before="40" w:after="40"/>
              <w:jc w:val="center"/>
              <w:rPr>
                <w:sz w:val="16"/>
                <w:szCs w:val="16"/>
              </w:rPr>
            </w:pPr>
            <w:r w:rsidRPr="00852F9E">
              <w:rPr>
                <w:noProof/>
                <w:lang w:eastAsia="es-ES_tradnl"/>
              </w:rPr>
              <w:drawing>
                <wp:inline distT="0" distB="0" distL="0" distR="0" wp14:anchorId="4ECCADFA" wp14:editId="1D3B271D">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0AFBEE" w14:textId="77777777" w:rsidR="009970E0" w:rsidRPr="00852F9E" w:rsidRDefault="009970E0" w:rsidP="0040257E">
            <w:pPr>
              <w:spacing w:before="40" w:after="40"/>
              <w:jc w:val="center"/>
              <w:rPr>
                <w:sz w:val="16"/>
                <w:szCs w:val="16"/>
              </w:rPr>
            </w:pPr>
            <w:r w:rsidRPr="00852F9E">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6FD012" w14:textId="77777777" w:rsidR="009970E0" w:rsidRPr="00852F9E" w:rsidRDefault="009970E0" w:rsidP="0040257E">
            <w:pPr>
              <w:spacing w:before="40" w:after="40"/>
              <w:jc w:val="center"/>
              <w:rPr>
                <w:sz w:val="16"/>
                <w:szCs w:val="16"/>
              </w:rPr>
            </w:pPr>
            <w:r w:rsidRPr="00852F9E">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698E30FB" w14:textId="77777777" w:rsidR="009970E0" w:rsidRPr="00852F9E" w:rsidRDefault="009970E0" w:rsidP="0040257E">
            <w:pPr>
              <w:spacing w:before="40" w:after="40"/>
              <w:jc w:val="center"/>
              <w:rPr>
                <w:sz w:val="16"/>
                <w:szCs w:val="16"/>
              </w:rPr>
            </w:pPr>
            <w:r w:rsidRPr="00852F9E">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0EFA0380" w14:textId="77777777" w:rsidR="009970E0" w:rsidRPr="00852F9E" w:rsidRDefault="009970E0" w:rsidP="0040257E">
            <w:pPr>
              <w:spacing w:before="40" w:after="40"/>
              <w:jc w:val="center"/>
              <w:rPr>
                <w:sz w:val="16"/>
                <w:szCs w:val="16"/>
              </w:rPr>
            </w:pPr>
            <w:r w:rsidRPr="00852F9E">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64F1B6" w14:textId="77777777" w:rsidR="009970E0" w:rsidRPr="00852F9E" w:rsidRDefault="009970E0" w:rsidP="0040257E">
            <w:pPr>
              <w:spacing w:before="40" w:after="40"/>
              <w:jc w:val="center"/>
              <w:rPr>
                <w:sz w:val="16"/>
                <w:szCs w:val="16"/>
              </w:rPr>
            </w:pPr>
            <w:r w:rsidRPr="00852F9E">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998D09" w14:textId="77777777" w:rsidR="009970E0" w:rsidRPr="00852F9E" w:rsidRDefault="009970E0" w:rsidP="0040257E">
            <w:pPr>
              <w:spacing w:before="40" w:after="40"/>
              <w:jc w:val="center"/>
              <w:rPr>
                <w:sz w:val="16"/>
                <w:szCs w:val="16"/>
              </w:rPr>
            </w:pPr>
            <w:r w:rsidRPr="00852F9E">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C47BC4" w14:textId="77777777" w:rsidR="009970E0" w:rsidRPr="00852F9E" w:rsidRDefault="009970E0" w:rsidP="0040257E">
            <w:pPr>
              <w:spacing w:before="40" w:after="40"/>
              <w:jc w:val="center"/>
              <w:rPr>
                <w:sz w:val="16"/>
                <w:szCs w:val="16"/>
              </w:rPr>
            </w:pPr>
            <w:r w:rsidRPr="00852F9E">
              <w:rPr>
                <w:noProof/>
                <w:lang w:eastAsia="es-ES_tradnl"/>
              </w:rPr>
              <w:drawing>
                <wp:inline distT="0" distB="0" distL="0" distR="0" wp14:anchorId="01584E78" wp14:editId="33C6F749">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CD04D1" w14:textId="77777777" w:rsidR="009970E0" w:rsidRPr="00852F9E" w:rsidRDefault="009970E0" w:rsidP="0040257E">
            <w:pPr>
              <w:spacing w:before="40" w:after="40"/>
              <w:jc w:val="center"/>
              <w:rPr>
                <w:sz w:val="16"/>
                <w:szCs w:val="16"/>
              </w:rPr>
            </w:pPr>
            <w:r w:rsidRPr="00852F9E">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3E8E15" w14:textId="77777777" w:rsidR="009970E0" w:rsidRPr="00852F9E" w:rsidRDefault="009970E0" w:rsidP="0040257E">
            <w:pPr>
              <w:spacing w:before="40" w:after="40"/>
              <w:jc w:val="center"/>
              <w:rPr>
                <w:sz w:val="16"/>
                <w:szCs w:val="16"/>
              </w:rPr>
            </w:pPr>
            <w:r w:rsidRPr="00852F9E">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EDD9266" w14:textId="77777777" w:rsidR="009970E0" w:rsidRPr="00852F9E" w:rsidRDefault="009970E0" w:rsidP="0040257E">
            <w:pPr>
              <w:spacing w:before="40" w:after="40"/>
              <w:jc w:val="center"/>
              <w:rPr>
                <w:sz w:val="16"/>
                <w:szCs w:val="16"/>
              </w:rPr>
            </w:pPr>
            <w:r w:rsidRPr="00852F9E">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05461392" w14:textId="77777777" w:rsidR="009970E0" w:rsidRPr="00852F9E" w:rsidRDefault="009970E0" w:rsidP="0040257E">
            <w:pPr>
              <w:spacing w:before="40" w:after="40"/>
              <w:jc w:val="center"/>
              <w:rPr>
                <w:sz w:val="16"/>
                <w:szCs w:val="16"/>
              </w:rPr>
            </w:pPr>
            <w:r w:rsidRPr="00852F9E">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698A93" w14:textId="77777777" w:rsidR="009970E0" w:rsidRPr="00852F9E" w:rsidRDefault="009970E0" w:rsidP="0040257E">
            <w:pPr>
              <w:spacing w:before="40" w:after="40"/>
              <w:jc w:val="center"/>
              <w:rPr>
                <w:sz w:val="16"/>
                <w:szCs w:val="16"/>
              </w:rPr>
            </w:pPr>
            <w:r w:rsidRPr="00852F9E">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F60EA2" w14:textId="77777777" w:rsidR="009970E0" w:rsidRPr="00852F9E" w:rsidRDefault="009970E0" w:rsidP="0040257E">
            <w:pPr>
              <w:spacing w:before="40" w:after="40"/>
              <w:jc w:val="center"/>
              <w:rPr>
                <w:sz w:val="16"/>
                <w:szCs w:val="16"/>
              </w:rPr>
            </w:pPr>
            <w:r w:rsidRPr="00852F9E">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9C1F9D" w14:textId="77777777" w:rsidR="009970E0" w:rsidRPr="00852F9E" w:rsidRDefault="009970E0" w:rsidP="0040257E">
            <w:pPr>
              <w:spacing w:before="40" w:after="40"/>
              <w:jc w:val="center"/>
              <w:rPr>
                <w:sz w:val="16"/>
                <w:szCs w:val="16"/>
              </w:rPr>
            </w:pPr>
            <w:r w:rsidRPr="00852F9E">
              <w:rPr>
                <w:noProof/>
                <w:lang w:eastAsia="es-ES_tradnl"/>
              </w:rPr>
              <w:drawing>
                <wp:inline distT="0" distB="0" distL="0" distR="0" wp14:anchorId="73096D01" wp14:editId="4BA7C1A0">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759DCD" w14:textId="77777777" w:rsidR="009970E0" w:rsidRPr="00852F9E" w:rsidRDefault="009970E0" w:rsidP="0040257E">
            <w:pPr>
              <w:spacing w:before="40" w:after="40"/>
              <w:jc w:val="center"/>
              <w:rPr>
                <w:sz w:val="16"/>
                <w:szCs w:val="16"/>
              </w:rPr>
            </w:pPr>
            <w:r w:rsidRPr="00852F9E">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33C486" w14:textId="77777777" w:rsidR="009970E0" w:rsidRPr="00852F9E" w:rsidRDefault="009970E0" w:rsidP="0040257E">
            <w:pPr>
              <w:spacing w:before="40" w:after="40"/>
              <w:jc w:val="center"/>
              <w:rPr>
                <w:sz w:val="16"/>
                <w:szCs w:val="16"/>
              </w:rPr>
            </w:pPr>
            <w:r w:rsidRPr="00852F9E">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050716AF" w14:textId="77777777" w:rsidR="009970E0" w:rsidRPr="00852F9E" w:rsidRDefault="009970E0" w:rsidP="0040257E">
            <w:pPr>
              <w:spacing w:before="40" w:after="40"/>
              <w:jc w:val="center"/>
              <w:rPr>
                <w:sz w:val="16"/>
                <w:szCs w:val="16"/>
              </w:rPr>
            </w:pPr>
            <w:r w:rsidRPr="00852F9E">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7BFDEE6B" w14:textId="77777777" w:rsidR="009970E0" w:rsidRPr="00852F9E" w:rsidRDefault="009970E0" w:rsidP="0040257E">
            <w:pPr>
              <w:spacing w:before="40" w:after="40"/>
              <w:jc w:val="center"/>
              <w:rPr>
                <w:sz w:val="16"/>
                <w:szCs w:val="16"/>
              </w:rPr>
            </w:pPr>
            <w:r w:rsidRPr="00852F9E">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B07D93" w14:textId="77777777" w:rsidR="009970E0" w:rsidRPr="00852F9E" w:rsidRDefault="009970E0" w:rsidP="0040257E">
            <w:pPr>
              <w:spacing w:before="40" w:after="40"/>
              <w:jc w:val="center"/>
              <w:rPr>
                <w:sz w:val="16"/>
                <w:szCs w:val="16"/>
              </w:rPr>
            </w:pPr>
            <w:r w:rsidRPr="00852F9E">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CE503D" w14:textId="77777777" w:rsidR="009970E0" w:rsidRPr="00852F9E" w:rsidRDefault="009970E0" w:rsidP="0040257E">
            <w:pPr>
              <w:spacing w:before="40" w:after="40"/>
              <w:jc w:val="center"/>
              <w:rPr>
                <w:sz w:val="16"/>
                <w:szCs w:val="16"/>
              </w:rPr>
            </w:pPr>
            <w:r w:rsidRPr="00852F9E">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E8F3DA" w14:textId="77777777" w:rsidR="009970E0" w:rsidRPr="00852F9E" w:rsidRDefault="009970E0" w:rsidP="0040257E">
            <w:pPr>
              <w:spacing w:before="40" w:after="40"/>
              <w:jc w:val="center"/>
              <w:rPr>
                <w:sz w:val="16"/>
                <w:szCs w:val="16"/>
              </w:rPr>
            </w:pPr>
            <w:r w:rsidRPr="00852F9E">
              <w:rPr>
                <w:noProof/>
                <w:lang w:eastAsia="es-ES_tradnl"/>
              </w:rPr>
              <w:drawing>
                <wp:inline distT="0" distB="0" distL="0" distR="0" wp14:anchorId="7DBBFBE6" wp14:editId="2FBBB286">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DFB4CF" w14:textId="77777777" w:rsidR="009970E0" w:rsidRPr="00852F9E" w:rsidRDefault="009970E0" w:rsidP="0040257E">
            <w:pPr>
              <w:spacing w:before="40" w:after="40"/>
              <w:jc w:val="center"/>
              <w:rPr>
                <w:sz w:val="16"/>
                <w:szCs w:val="16"/>
              </w:rPr>
            </w:pPr>
            <w:r w:rsidRPr="00852F9E">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282F08" w14:textId="77777777" w:rsidR="009970E0" w:rsidRPr="00852F9E" w:rsidRDefault="009970E0" w:rsidP="0040257E">
            <w:pPr>
              <w:spacing w:before="40" w:after="40"/>
              <w:jc w:val="center"/>
              <w:rPr>
                <w:sz w:val="16"/>
                <w:szCs w:val="16"/>
              </w:rPr>
            </w:pPr>
            <w:r w:rsidRPr="00852F9E">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39A12AD6" w14:textId="77777777" w:rsidR="009970E0" w:rsidRPr="00852F9E" w:rsidRDefault="009970E0" w:rsidP="0040257E">
            <w:pPr>
              <w:spacing w:before="40" w:after="40"/>
              <w:jc w:val="center"/>
              <w:rPr>
                <w:sz w:val="16"/>
                <w:szCs w:val="16"/>
              </w:rPr>
            </w:pPr>
            <w:r w:rsidRPr="00852F9E">
              <w:rPr>
                <w:sz w:val="16"/>
                <w:szCs w:val="16"/>
              </w:rPr>
              <w:t>5</w:t>
            </w:r>
          </w:p>
        </w:tc>
      </w:tr>
      <w:tr w:rsidR="009970E0" w:rsidRPr="00852F9E" w14:paraId="3BF45881" w14:textId="77777777" w:rsidTr="0040257E">
        <w:trPr>
          <w:trHeight w:val="270"/>
        </w:trPr>
        <w:tc>
          <w:tcPr>
            <w:tcW w:w="1282" w:type="dxa"/>
            <w:tcBorders>
              <w:left w:val="single" w:sz="8" w:space="0" w:color="auto"/>
              <w:right w:val="single" w:sz="12" w:space="0" w:color="auto"/>
            </w:tcBorders>
            <w:shd w:val="clear" w:color="auto" w:fill="FFFFFF"/>
            <w:vAlign w:val="center"/>
          </w:tcPr>
          <w:p w14:paraId="34FF9487" w14:textId="77777777" w:rsidR="009970E0" w:rsidRPr="00852F9E" w:rsidRDefault="009970E0" w:rsidP="0040257E">
            <w:pPr>
              <w:spacing w:before="40" w:after="40"/>
              <w:jc w:val="center"/>
              <w:rPr>
                <w:b/>
                <w:sz w:val="16"/>
                <w:szCs w:val="16"/>
                <w:highlight w:val="yellow"/>
              </w:rPr>
            </w:pPr>
            <w:r w:rsidRPr="00852F9E">
              <w:rPr>
                <w:b/>
                <w:sz w:val="16"/>
                <w:szCs w:val="16"/>
              </w:rPr>
              <w:t>Q1/11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F1DA6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853A53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F4F62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934C1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DA209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20F05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B1D96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EE386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F6CE8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5D648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E6B9C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72EC2D"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DB5A2E"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1F7CC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022DF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AA308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7137B3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69AE5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52FC0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9B750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E486C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122FF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C7FE9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F7F909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DBF77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B1194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2451A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5C38E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FEA35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CE3D9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71EA29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50BD5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7DADA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7C4FE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119E58" w14:textId="77777777" w:rsidR="009970E0" w:rsidRPr="00852F9E" w:rsidRDefault="009970E0" w:rsidP="0040257E">
            <w:pPr>
              <w:spacing w:before="40" w:after="40"/>
              <w:jc w:val="center"/>
              <w:rPr>
                <w:b/>
                <w:bCs/>
                <w:sz w:val="16"/>
                <w:szCs w:val="16"/>
              </w:rPr>
            </w:pPr>
          </w:p>
        </w:tc>
      </w:tr>
      <w:tr w:rsidR="009970E0" w:rsidRPr="00852F9E" w14:paraId="62D7264E" w14:textId="77777777" w:rsidTr="0040257E">
        <w:trPr>
          <w:trHeight w:val="270"/>
        </w:trPr>
        <w:tc>
          <w:tcPr>
            <w:tcW w:w="1282" w:type="dxa"/>
            <w:tcBorders>
              <w:left w:val="single" w:sz="8" w:space="0" w:color="auto"/>
              <w:right w:val="single" w:sz="12" w:space="0" w:color="auto"/>
            </w:tcBorders>
            <w:shd w:val="clear" w:color="auto" w:fill="FFFFFF"/>
            <w:vAlign w:val="center"/>
          </w:tcPr>
          <w:p w14:paraId="27F43218" w14:textId="77777777" w:rsidR="009970E0" w:rsidRPr="00852F9E" w:rsidRDefault="009970E0" w:rsidP="0040257E">
            <w:pPr>
              <w:spacing w:before="40" w:after="40"/>
              <w:jc w:val="center"/>
              <w:rPr>
                <w:b/>
                <w:sz w:val="16"/>
                <w:szCs w:val="16"/>
                <w:highlight w:val="yellow"/>
              </w:rPr>
            </w:pPr>
            <w:r w:rsidRPr="00852F9E">
              <w:rPr>
                <w:b/>
                <w:sz w:val="16"/>
                <w:szCs w:val="16"/>
              </w:rPr>
              <w:t>Q2/11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32856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34B39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DA3BF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3A33B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DFB36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1F3277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3D523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8840A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26233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228E55"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BB556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C83A7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76DBC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DAACF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29B49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01647C"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7578D743"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E72CF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B4AA8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FE58E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A6672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D0CC1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33592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EF077E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35868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275E0A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39103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2FA66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0FDCF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9BD860"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12C8B804"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481C7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78BEC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3A841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EA7D55" w14:textId="77777777" w:rsidR="009970E0" w:rsidRPr="00852F9E" w:rsidRDefault="009970E0" w:rsidP="0040257E">
            <w:pPr>
              <w:spacing w:before="40" w:after="40"/>
              <w:jc w:val="center"/>
              <w:rPr>
                <w:b/>
                <w:bCs/>
                <w:sz w:val="16"/>
                <w:szCs w:val="16"/>
              </w:rPr>
            </w:pPr>
          </w:p>
        </w:tc>
      </w:tr>
      <w:tr w:rsidR="009970E0" w:rsidRPr="00852F9E" w14:paraId="6819A0F0" w14:textId="77777777" w:rsidTr="0040257E">
        <w:trPr>
          <w:trHeight w:val="270"/>
        </w:trPr>
        <w:tc>
          <w:tcPr>
            <w:tcW w:w="1282" w:type="dxa"/>
            <w:tcBorders>
              <w:left w:val="single" w:sz="8" w:space="0" w:color="auto"/>
              <w:right w:val="single" w:sz="12" w:space="0" w:color="auto"/>
            </w:tcBorders>
            <w:shd w:val="clear" w:color="auto" w:fill="FFFFFF"/>
            <w:vAlign w:val="center"/>
          </w:tcPr>
          <w:p w14:paraId="72E5650F" w14:textId="77777777" w:rsidR="009970E0" w:rsidRPr="00852F9E" w:rsidRDefault="009970E0" w:rsidP="0040257E">
            <w:pPr>
              <w:spacing w:before="40" w:after="40"/>
              <w:jc w:val="center"/>
              <w:rPr>
                <w:b/>
                <w:sz w:val="16"/>
                <w:szCs w:val="16"/>
                <w:highlight w:val="yellow"/>
              </w:rPr>
            </w:pPr>
            <w:r w:rsidRPr="00852F9E">
              <w:rPr>
                <w:b/>
                <w:sz w:val="16"/>
                <w:szCs w:val="16"/>
              </w:rPr>
              <w:t>Q3/11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62F1C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FE2268D"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EDBF19"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C8EDA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5336F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70FDF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CB00A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E6164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F0D64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58C4F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88546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19C64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D7B49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37937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21262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C2866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8AB1993"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00F56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D3DB9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9D1CC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65089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07085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D7744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D959C7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A1648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9AE90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E9DAA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75115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2792B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35763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103F05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274E4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F4025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0AB50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D06759" w14:textId="77777777" w:rsidR="009970E0" w:rsidRPr="00852F9E" w:rsidRDefault="009970E0" w:rsidP="0040257E">
            <w:pPr>
              <w:spacing w:before="40" w:after="40"/>
              <w:jc w:val="center"/>
              <w:rPr>
                <w:b/>
                <w:bCs/>
                <w:sz w:val="16"/>
                <w:szCs w:val="16"/>
              </w:rPr>
            </w:pPr>
          </w:p>
        </w:tc>
      </w:tr>
      <w:tr w:rsidR="009970E0" w:rsidRPr="00852F9E" w14:paraId="29E6A7AC" w14:textId="77777777" w:rsidTr="0040257E">
        <w:trPr>
          <w:trHeight w:val="270"/>
        </w:trPr>
        <w:tc>
          <w:tcPr>
            <w:tcW w:w="1282" w:type="dxa"/>
            <w:tcBorders>
              <w:left w:val="single" w:sz="8" w:space="0" w:color="auto"/>
              <w:right w:val="single" w:sz="12" w:space="0" w:color="auto"/>
            </w:tcBorders>
            <w:shd w:val="clear" w:color="auto" w:fill="FFFFFF"/>
            <w:vAlign w:val="center"/>
          </w:tcPr>
          <w:p w14:paraId="3A400EB3" w14:textId="77777777" w:rsidR="009970E0" w:rsidRPr="00852F9E" w:rsidRDefault="009970E0" w:rsidP="0040257E">
            <w:pPr>
              <w:spacing w:before="40" w:after="40"/>
              <w:jc w:val="center"/>
              <w:rPr>
                <w:b/>
                <w:sz w:val="16"/>
                <w:szCs w:val="16"/>
                <w:highlight w:val="yellow"/>
              </w:rPr>
            </w:pPr>
            <w:r w:rsidRPr="00852F9E">
              <w:rPr>
                <w:b/>
                <w:sz w:val="16"/>
                <w:szCs w:val="16"/>
              </w:rPr>
              <w:t>Q4/11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80B80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1FC31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48B790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F0C8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80BB6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A37F4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55594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4E8D8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992543"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376507"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2B8C1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A94FC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674D5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0E71E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344AF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2D9BDC"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51C1197E"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FBD70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761D9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59D3B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1CE81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01239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BFDC4E"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537384DC"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BCD4A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37A1C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461A3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68C8C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EAA25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6240EA"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17612707"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22FF1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A14DD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339F8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7AB10B" w14:textId="77777777" w:rsidR="009970E0" w:rsidRPr="00852F9E" w:rsidRDefault="009970E0" w:rsidP="0040257E">
            <w:pPr>
              <w:spacing w:before="40" w:after="40"/>
              <w:jc w:val="center"/>
              <w:rPr>
                <w:b/>
                <w:bCs/>
                <w:sz w:val="16"/>
                <w:szCs w:val="16"/>
              </w:rPr>
            </w:pPr>
          </w:p>
        </w:tc>
      </w:tr>
      <w:tr w:rsidR="009970E0" w:rsidRPr="00852F9E" w14:paraId="0B19B26B" w14:textId="77777777" w:rsidTr="0040257E">
        <w:trPr>
          <w:trHeight w:val="270"/>
        </w:trPr>
        <w:tc>
          <w:tcPr>
            <w:tcW w:w="1282" w:type="dxa"/>
            <w:tcBorders>
              <w:left w:val="single" w:sz="8" w:space="0" w:color="auto"/>
              <w:right w:val="single" w:sz="12" w:space="0" w:color="auto"/>
            </w:tcBorders>
            <w:shd w:val="clear" w:color="auto" w:fill="FFFFFF"/>
            <w:vAlign w:val="center"/>
          </w:tcPr>
          <w:p w14:paraId="10BB3F90" w14:textId="77777777" w:rsidR="009970E0" w:rsidRPr="00852F9E" w:rsidRDefault="009970E0" w:rsidP="0040257E">
            <w:pPr>
              <w:spacing w:before="40" w:after="40"/>
              <w:jc w:val="center"/>
              <w:rPr>
                <w:b/>
                <w:sz w:val="16"/>
                <w:szCs w:val="16"/>
                <w:highlight w:val="yellow"/>
              </w:rPr>
            </w:pPr>
            <w:r w:rsidRPr="00852F9E">
              <w:rPr>
                <w:b/>
                <w:sz w:val="16"/>
                <w:szCs w:val="16"/>
              </w:rPr>
              <w:t>Q5/11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82352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3D073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4A5C6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C71D9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C77C7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FF44F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04854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78CED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A3680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DB3D58"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CD408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310934"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3AF66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0B46B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A6073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6FD68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6858AB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27D65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55A59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BF36B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A43ED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0C795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976B9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606BB2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4664F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9D22FD"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541F0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36FE3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C3B0C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6123C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AA725C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61D10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9D1C84"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5BAA0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97941C" w14:textId="77777777" w:rsidR="009970E0" w:rsidRPr="00852F9E" w:rsidRDefault="009970E0" w:rsidP="0040257E">
            <w:pPr>
              <w:spacing w:before="40" w:after="40"/>
              <w:jc w:val="center"/>
              <w:rPr>
                <w:b/>
                <w:bCs/>
                <w:sz w:val="16"/>
                <w:szCs w:val="16"/>
              </w:rPr>
            </w:pPr>
          </w:p>
        </w:tc>
      </w:tr>
      <w:tr w:rsidR="009970E0" w:rsidRPr="00852F9E" w14:paraId="28013E52" w14:textId="77777777" w:rsidTr="0040257E">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73DE67D8" w14:textId="77777777" w:rsidR="009970E0" w:rsidRPr="00852F9E" w:rsidRDefault="009970E0" w:rsidP="0040257E">
            <w:pPr>
              <w:spacing w:before="40" w:after="40"/>
              <w:jc w:val="center"/>
              <w:rPr>
                <w:b/>
                <w:sz w:val="16"/>
                <w:szCs w:val="16"/>
                <w:highlight w:val="yellow"/>
              </w:rPr>
            </w:pPr>
            <w:r w:rsidRPr="00852F9E">
              <w:rPr>
                <w:b/>
                <w:sz w:val="16"/>
                <w:szCs w:val="16"/>
              </w:rPr>
              <w:t>Q6/11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42B36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7E9E3B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D1C72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D1538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7DEBE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D108C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4A11F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A0AED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5F393B"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2353D6"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543CE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B1C6B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21D91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92033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92809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5B12D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2EFA07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EC02E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38DDC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A1884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F66D0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C17FD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51E37F"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6F916629"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929B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92C81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122BE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2B6D8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158C6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B7A29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DE50832"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78266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652443"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2D140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671E45" w14:textId="77777777" w:rsidR="009970E0" w:rsidRPr="00852F9E" w:rsidRDefault="009970E0" w:rsidP="0040257E">
            <w:pPr>
              <w:spacing w:before="40" w:after="40"/>
              <w:jc w:val="center"/>
              <w:rPr>
                <w:b/>
                <w:bCs/>
                <w:sz w:val="16"/>
                <w:szCs w:val="16"/>
              </w:rPr>
            </w:pPr>
          </w:p>
        </w:tc>
      </w:tr>
      <w:tr w:rsidR="009970E0" w:rsidRPr="00852F9E" w14:paraId="0DC0BBFD" w14:textId="77777777" w:rsidTr="0040257E">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52C09000" w14:textId="77777777" w:rsidR="009970E0" w:rsidRPr="00852F9E" w:rsidRDefault="009970E0" w:rsidP="0040257E">
            <w:pPr>
              <w:spacing w:before="40" w:after="40"/>
              <w:jc w:val="center"/>
              <w:rPr>
                <w:b/>
                <w:sz w:val="16"/>
                <w:szCs w:val="16"/>
                <w:highlight w:val="yellow"/>
              </w:rPr>
            </w:pPr>
            <w:r w:rsidRPr="00852F9E">
              <w:rPr>
                <w:b/>
                <w:sz w:val="16"/>
                <w:szCs w:val="16"/>
              </w:rPr>
              <w:t>Q7/11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61436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E6322A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362E6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9EDA1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2198DE"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F267DF"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87AD1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07B4A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AA431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DC635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DC750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822E49"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368ED3"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11E22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1D160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E2148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C3A7C0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B4E22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53A77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4D334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B55F4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15B00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0F49C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D8DF81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74397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7CC73C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8256F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4EE1B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3665A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E588C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ABD62C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84663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52C6C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A0252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BEC60E" w14:textId="77777777" w:rsidR="009970E0" w:rsidRPr="00852F9E" w:rsidRDefault="009970E0" w:rsidP="0040257E">
            <w:pPr>
              <w:spacing w:before="40" w:after="40"/>
              <w:jc w:val="center"/>
              <w:rPr>
                <w:b/>
                <w:bCs/>
                <w:sz w:val="16"/>
                <w:szCs w:val="16"/>
              </w:rPr>
            </w:pPr>
          </w:p>
        </w:tc>
      </w:tr>
      <w:tr w:rsidR="009970E0" w:rsidRPr="00852F9E" w14:paraId="7EDAEA66" w14:textId="77777777" w:rsidTr="0040257E">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35F89587" w14:textId="77777777" w:rsidR="009970E0" w:rsidRPr="00852F9E" w:rsidRDefault="009970E0" w:rsidP="0040257E">
            <w:pPr>
              <w:spacing w:before="40" w:after="40"/>
              <w:jc w:val="center"/>
              <w:rPr>
                <w:b/>
                <w:sz w:val="16"/>
                <w:szCs w:val="16"/>
                <w:highlight w:val="yellow"/>
              </w:rPr>
            </w:pPr>
            <w:r w:rsidRPr="00852F9E">
              <w:rPr>
                <w:b/>
                <w:sz w:val="16"/>
                <w:szCs w:val="16"/>
              </w:rPr>
              <w:t>Q8/11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8D33D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0B544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AC8A4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4163B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9A430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0B746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7DB17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0D18F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83783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A7066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ADA15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14680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E8401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F09BB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93572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838DE4"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75E76766"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76B2C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B49C4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DD68C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0876B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BF836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20EB5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3F1828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28928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898AE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5A2753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76B84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87A5B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ECA942"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19260BA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9A458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6B5FC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45630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F4DD4E" w14:textId="77777777" w:rsidR="009970E0" w:rsidRPr="00852F9E" w:rsidRDefault="009970E0" w:rsidP="0040257E">
            <w:pPr>
              <w:spacing w:before="40" w:after="40"/>
              <w:jc w:val="center"/>
              <w:rPr>
                <w:b/>
                <w:bCs/>
                <w:sz w:val="16"/>
                <w:szCs w:val="16"/>
              </w:rPr>
            </w:pPr>
          </w:p>
        </w:tc>
      </w:tr>
      <w:tr w:rsidR="009970E0" w:rsidRPr="00852F9E" w14:paraId="64F80632" w14:textId="77777777" w:rsidTr="0040257E">
        <w:trPr>
          <w:trHeight w:val="270"/>
        </w:trPr>
        <w:tc>
          <w:tcPr>
            <w:tcW w:w="1282" w:type="dxa"/>
            <w:tcBorders>
              <w:left w:val="single" w:sz="8" w:space="0" w:color="auto"/>
              <w:right w:val="single" w:sz="12" w:space="0" w:color="auto"/>
            </w:tcBorders>
            <w:shd w:val="clear" w:color="auto" w:fill="FFFFFF"/>
            <w:vAlign w:val="center"/>
          </w:tcPr>
          <w:p w14:paraId="2F5F4EEE" w14:textId="77777777" w:rsidR="009970E0" w:rsidRPr="00852F9E" w:rsidRDefault="009970E0" w:rsidP="0040257E">
            <w:pPr>
              <w:spacing w:before="40" w:after="40"/>
              <w:jc w:val="center"/>
              <w:rPr>
                <w:b/>
                <w:sz w:val="16"/>
                <w:szCs w:val="16"/>
                <w:highlight w:val="yellow"/>
              </w:rPr>
            </w:pPr>
            <w:r w:rsidRPr="00852F9E">
              <w:rPr>
                <w:b/>
                <w:sz w:val="16"/>
                <w:szCs w:val="16"/>
              </w:rPr>
              <w:t>Q12/11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63CE4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EEA256"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D69DF9"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77467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D79B3F"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6BB36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CF39E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EC727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F0E1A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0D9F01" w14:textId="77777777" w:rsidR="009970E0" w:rsidRPr="00852F9E" w:rsidRDefault="009970E0" w:rsidP="0040257E">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99D35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4C77C1" w14:textId="77777777" w:rsidR="009970E0" w:rsidRPr="00852F9E" w:rsidRDefault="009970E0" w:rsidP="0040257E">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9B233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A2073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FB787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4A0D0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7E2B988"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F4772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8B66A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EEE3F4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FE777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3AB11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A82EB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6153C9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C2F880"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C4197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11072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4D1E6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93C26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95248F" w14:textId="77777777" w:rsidR="009970E0" w:rsidRPr="00852F9E" w:rsidRDefault="009970E0" w:rsidP="0040257E">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vAlign w:val="center"/>
          </w:tcPr>
          <w:p w14:paraId="17A8759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B2F9A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1FEAB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7D063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633BBF" w14:textId="77777777" w:rsidR="009970E0" w:rsidRPr="00852F9E" w:rsidRDefault="009970E0" w:rsidP="0040257E">
            <w:pPr>
              <w:spacing w:before="40" w:after="40"/>
              <w:jc w:val="center"/>
              <w:rPr>
                <w:b/>
                <w:bCs/>
                <w:sz w:val="16"/>
                <w:szCs w:val="16"/>
              </w:rPr>
            </w:pPr>
          </w:p>
        </w:tc>
      </w:tr>
      <w:tr w:rsidR="009970E0" w:rsidRPr="00852F9E" w14:paraId="04BC613B" w14:textId="77777777" w:rsidTr="0040257E">
        <w:trPr>
          <w:trHeight w:val="270"/>
        </w:trPr>
        <w:tc>
          <w:tcPr>
            <w:tcW w:w="1282" w:type="dxa"/>
            <w:tcBorders>
              <w:left w:val="single" w:sz="8" w:space="0" w:color="auto"/>
              <w:right w:val="single" w:sz="12" w:space="0" w:color="auto"/>
            </w:tcBorders>
            <w:shd w:val="clear" w:color="auto" w:fill="FFFFFF"/>
            <w:vAlign w:val="center"/>
          </w:tcPr>
          <w:p w14:paraId="1A129704" w14:textId="77777777" w:rsidR="009970E0" w:rsidRPr="00852F9E" w:rsidRDefault="009970E0" w:rsidP="0040257E">
            <w:pPr>
              <w:spacing w:before="40" w:after="40"/>
              <w:jc w:val="center"/>
              <w:rPr>
                <w:b/>
                <w:sz w:val="16"/>
                <w:szCs w:val="16"/>
              </w:rPr>
            </w:pPr>
            <w:r w:rsidRPr="00852F9E">
              <w:rPr>
                <w:b/>
                <w:sz w:val="16"/>
                <w:szCs w:val="16"/>
              </w:rPr>
              <w:t>Q13/11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3828A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37D65D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B8BFA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9D154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4613B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6E516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35D00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7AA72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6BAB3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94E062"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70E34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CCB053"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95589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73622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8A5EB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5FA04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695179D"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B7CEF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8C5112"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0EE9D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2ED63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DB93E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C6D68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B217E7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FD919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C833F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7D5A6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02D21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42120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BA31F8"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2D1BBD01"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2E94E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13049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A4B25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5A42AB" w14:textId="77777777" w:rsidR="009970E0" w:rsidRPr="00852F9E" w:rsidRDefault="009970E0" w:rsidP="0040257E">
            <w:pPr>
              <w:spacing w:before="40" w:after="40"/>
              <w:jc w:val="center"/>
              <w:rPr>
                <w:b/>
                <w:bCs/>
                <w:sz w:val="16"/>
                <w:szCs w:val="16"/>
              </w:rPr>
            </w:pPr>
          </w:p>
        </w:tc>
      </w:tr>
      <w:tr w:rsidR="009970E0" w:rsidRPr="00852F9E" w14:paraId="32482254" w14:textId="77777777" w:rsidTr="0040257E">
        <w:trPr>
          <w:trHeight w:val="270"/>
        </w:trPr>
        <w:tc>
          <w:tcPr>
            <w:tcW w:w="1282" w:type="dxa"/>
            <w:tcBorders>
              <w:left w:val="single" w:sz="8" w:space="0" w:color="auto"/>
              <w:right w:val="single" w:sz="12" w:space="0" w:color="auto"/>
            </w:tcBorders>
            <w:shd w:val="clear" w:color="auto" w:fill="FFFFFF"/>
            <w:vAlign w:val="center"/>
          </w:tcPr>
          <w:p w14:paraId="49EAD65F" w14:textId="77777777" w:rsidR="009970E0" w:rsidRPr="00852F9E" w:rsidRDefault="009970E0" w:rsidP="0040257E">
            <w:pPr>
              <w:spacing w:before="40" w:after="40"/>
              <w:jc w:val="center"/>
              <w:rPr>
                <w:b/>
                <w:sz w:val="16"/>
                <w:szCs w:val="16"/>
              </w:rPr>
            </w:pPr>
            <w:r w:rsidRPr="00852F9E">
              <w:rPr>
                <w:b/>
                <w:sz w:val="16"/>
                <w:szCs w:val="16"/>
              </w:rPr>
              <w:t>Q14/11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2ECE5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BAF5CB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184A24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52A12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FC94A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DFBBC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34D8A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69550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EF5113"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05F87B"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1A517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B40058" w14:textId="77777777" w:rsidR="009970E0" w:rsidRPr="00852F9E" w:rsidRDefault="009970E0" w:rsidP="0040257E">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7E201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A0D57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29ECE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7330DE"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3A267649"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94ACDA"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B81B56"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FD7AB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58F14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2E13B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B7B0F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10CF13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8F6E2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81A27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426FF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CE548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8DF01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40D13D" w14:textId="77777777" w:rsidR="009970E0" w:rsidRPr="00852F9E" w:rsidRDefault="009970E0" w:rsidP="0040257E">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vAlign w:val="center"/>
          </w:tcPr>
          <w:p w14:paraId="27A7E90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A4740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044EB8"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4CAD6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A529FA" w14:textId="77777777" w:rsidR="009970E0" w:rsidRPr="00852F9E" w:rsidRDefault="009970E0" w:rsidP="0040257E">
            <w:pPr>
              <w:spacing w:before="40" w:after="40"/>
              <w:jc w:val="center"/>
              <w:rPr>
                <w:b/>
                <w:bCs/>
                <w:sz w:val="16"/>
                <w:szCs w:val="16"/>
              </w:rPr>
            </w:pPr>
          </w:p>
        </w:tc>
      </w:tr>
      <w:tr w:rsidR="009970E0" w:rsidRPr="00852F9E" w14:paraId="0EE47B97" w14:textId="77777777" w:rsidTr="0040257E">
        <w:trPr>
          <w:trHeight w:val="714"/>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1459C76F" w14:textId="77777777" w:rsidR="009970E0" w:rsidRPr="00852F9E" w:rsidRDefault="009970E0" w:rsidP="0040257E">
            <w:pPr>
              <w:spacing w:before="40" w:after="40"/>
              <w:jc w:val="center"/>
              <w:rPr>
                <w:b/>
                <w:bCs/>
                <w:sz w:val="16"/>
                <w:szCs w:val="16"/>
              </w:rPr>
            </w:pPr>
            <w:r w:rsidRPr="00852F9E">
              <w:rPr>
                <w:b/>
                <w:bCs/>
                <w:sz w:val="16"/>
                <w:szCs w:val="16"/>
              </w:rPr>
              <w:t>Sessions times:</w:t>
            </w:r>
          </w:p>
          <w:p w14:paraId="5344BBC6" w14:textId="77777777" w:rsidR="009970E0" w:rsidRPr="00852F9E" w:rsidRDefault="009970E0" w:rsidP="0040257E">
            <w:pPr>
              <w:spacing w:before="40" w:after="40"/>
              <w:jc w:val="center"/>
              <w:rPr>
                <w:b/>
                <w:bCs/>
                <w:sz w:val="16"/>
                <w:szCs w:val="16"/>
              </w:rPr>
            </w:pPr>
            <w:r w:rsidRPr="00852F9E">
              <w:rPr>
                <w:b/>
                <w:bCs/>
                <w:sz w:val="16"/>
                <w:szCs w:val="16"/>
              </w:rPr>
              <w:t xml:space="preserve">0 – 0830-0930;      1 – 0930-1045;      2 – 1115-1230;      Lunch </w:t>
            </w:r>
            <w:r w:rsidRPr="00852F9E">
              <w:rPr>
                <w:b/>
                <w:bCs/>
                <w:noProof/>
                <w:color w:val="1F497D"/>
                <w:lang w:eastAsia="es-ES_tradnl"/>
              </w:rPr>
              <w:drawing>
                <wp:inline distT="0" distB="0" distL="0" distR="0" wp14:anchorId="4EBC7DD8" wp14:editId="3034A608">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852F9E">
              <w:rPr>
                <w:b/>
                <w:bCs/>
                <w:sz w:val="16"/>
                <w:szCs w:val="16"/>
              </w:rPr>
              <w:t xml:space="preserve"> 1230-1430;      3 – 1430-1545;      4 – 1615-1730;      5 – 1800-1915</w:t>
            </w:r>
          </w:p>
        </w:tc>
      </w:tr>
      <w:tr w:rsidR="009970E0" w:rsidRPr="002C5D0A" w14:paraId="5C6C5099" w14:textId="77777777" w:rsidTr="0040257E">
        <w:trPr>
          <w:trHeight w:val="367"/>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6E660F78" w14:textId="77777777" w:rsidR="009970E0" w:rsidRPr="002C5D0A" w:rsidRDefault="009970E0" w:rsidP="0040257E">
            <w:pPr>
              <w:spacing w:before="40" w:after="40"/>
              <w:jc w:val="center"/>
              <w:rPr>
                <w:b/>
                <w:bCs/>
                <w:sz w:val="16"/>
                <w:szCs w:val="16"/>
                <w:lang w:val="en-US"/>
              </w:rPr>
            </w:pPr>
            <w:r w:rsidRPr="002C5D0A">
              <w:rPr>
                <w:b/>
                <w:bCs/>
                <w:sz w:val="16"/>
                <w:szCs w:val="16"/>
                <w:lang w:val="en-US"/>
              </w:rPr>
              <w:t>Keys: R – remote participation via ITU MyMeetings</w:t>
            </w:r>
          </w:p>
        </w:tc>
      </w:tr>
    </w:tbl>
    <w:p w14:paraId="6C2F4CAE" w14:textId="77777777" w:rsidR="009970E0" w:rsidRPr="002C5D0A" w:rsidRDefault="009970E0" w:rsidP="009970E0">
      <w:pPr>
        <w:spacing w:before="240" w:after="240"/>
        <w:jc w:val="center"/>
        <w:rPr>
          <w:rFonts w:eastAsia="Calibri"/>
          <w:b/>
          <w:lang w:val="en-US"/>
        </w:rPr>
      </w:pPr>
    </w:p>
    <w:p w14:paraId="6D9DAF09" w14:textId="77777777" w:rsidR="009970E0" w:rsidRPr="002C5D0A" w:rsidRDefault="009970E0" w:rsidP="009970E0">
      <w:pPr>
        <w:tabs>
          <w:tab w:val="clear" w:pos="794"/>
          <w:tab w:val="clear" w:pos="1191"/>
          <w:tab w:val="clear" w:pos="1588"/>
          <w:tab w:val="clear" w:pos="1985"/>
        </w:tabs>
        <w:overflowPunct/>
        <w:autoSpaceDE/>
        <w:autoSpaceDN/>
        <w:adjustRightInd/>
        <w:spacing w:before="0"/>
        <w:textAlignment w:val="auto"/>
        <w:rPr>
          <w:rFonts w:eastAsia="Calibri"/>
          <w:b/>
          <w:lang w:val="en-US"/>
        </w:rPr>
      </w:pPr>
    </w:p>
    <w:p w14:paraId="5550E7FA" w14:textId="0EE18EA7" w:rsidR="002F3E33" w:rsidRDefault="002F3E33">
      <w:pPr>
        <w:tabs>
          <w:tab w:val="clear" w:pos="794"/>
          <w:tab w:val="clear" w:pos="1191"/>
          <w:tab w:val="clear" w:pos="1588"/>
          <w:tab w:val="clear" w:pos="1985"/>
        </w:tabs>
        <w:overflowPunct/>
        <w:autoSpaceDE/>
        <w:autoSpaceDN/>
        <w:adjustRightInd/>
        <w:spacing w:before="0"/>
        <w:textAlignment w:val="auto"/>
        <w:rPr>
          <w:rFonts w:eastAsia="Calibri"/>
          <w:b/>
          <w:lang w:val="en-US"/>
        </w:rPr>
      </w:pPr>
      <w:r>
        <w:rPr>
          <w:rFonts w:eastAsia="Calibri"/>
          <w:b/>
          <w:lang w:val="en-US"/>
        </w:rPr>
        <w:br w:type="page"/>
      </w:r>
    </w:p>
    <w:p w14:paraId="1BE03777" w14:textId="77777777" w:rsidR="009970E0" w:rsidRPr="00852F9E" w:rsidRDefault="009970E0" w:rsidP="009970E0">
      <w:pPr>
        <w:pageBreakBefore/>
        <w:snapToGrid w:val="0"/>
        <w:spacing w:before="240" w:after="240"/>
        <w:jc w:val="center"/>
        <w:rPr>
          <w:rFonts w:eastAsia="Calibri"/>
          <w:b/>
          <w:szCs w:val="22"/>
        </w:rPr>
      </w:pPr>
      <w:r w:rsidRPr="00852F9E">
        <w:rPr>
          <w:rFonts w:eastAsia="Calibri"/>
          <w:b/>
          <w:szCs w:val="22"/>
        </w:rPr>
        <w:lastRenderedPageBreak/>
        <w:t>(</w:t>
      </w:r>
      <w:proofErr w:type="spellStart"/>
      <w:r w:rsidRPr="00852F9E">
        <w:rPr>
          <w:rFonts w:eastAsia="Calibri"/>
          <w:b/>
          <w:szCs w:val="22"/>
        </w:rPr>
        <w:t>Second</w:t>
      </w:r>
      <w:proofErr w:type="spellEnd"/>
      <w:r w:rsidRPr="00852F9E">
        <w:rPr>
          <w:rFonts w:eastAsia="Calibri"/>
          <w:b/>
          <w:szCs w:val="22"/>
        </w:rPr>
        <w:t xml:space="preserve"> </w:t>
      </w:r>
      <w:proofErr w:type="spellStart"/>
      <w:r w:rsidRPr="00852F9E">
        <w:rPr>
          <w:rFonts w:eastAsia="Calibri"/>
          <w:b/>
          <w:szCs w:val="22"/>
        </w:rPr>
        <w:t>week</w:t>
      </w:r>
      <w:proofErr w:type="spellEnd"/>
      <w:r w:rsidRPr="00852F9E">
        <w:rPr>
          <w:rFonts w:eastAsia="Calibri"/>
          <w:b/>
          <w:szCs w:val="22"/>
        </w:rPr>
        <w:t>)</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350"/>
        <w:gridCol w:w="350"/>
        <w:gridCol w:w="351"/>
        <w:gridCol w:w="351"/>
        <w:gridCol w:w="351"/>
        <w:gridCol w:w="351"/>
        <w:gridCol w:w="351"/>
        <w:gridCol w:w="351"/>
        <w:gridCol w:w="351"/>
        <w:gridCol w:w="351"/>
        <w:gridCol w:w="351"/>
        <w:gridCol w:w="351"/>
        <w:gridCol w:w="351"/>
        <w:gridCol w:w="368"/>
        <w:gridCol w:w="351"/>
        <w:gridCol w:w="351"/>
        <w:gridCol w:w="351"/>
        <w:gridCol w:w="351"/>
        <w:gridCol w:w="351"/>
        <w:gridCol w:w="351"/>
        <w:gridCol w:w="375"/>
      </w:tblGrid>
      <w:tr w:rsidR="009970E0" w:rsidRPr="00852F9E" w14:paraId="7742A9C6" w14:textId="77777777" w:rsidTr="0040257E">
        <w:trPr>
          <w:trHeight w:val="270"/>
          <w:jc w:val="center"/>
        </w:trPr>
        <w:tc>
          <w:tcPr>
            <w:tcW w:w="1531" w:type="dxa"/>
            <w:vMerge w:val="restart"/>
            <w:tcBorders>
              <w:top w:val="nil"/>
              <w:left w:val="nil"/>
              <w:right w:val="single" w:sz="12" w:space="0" w:color="auto"/>
            </w:tcBorders>
            <w:shd w:val="clear" w:color="auto" w:fill="auto"/>
            <w:vAlign w:val="center"/>
          </w:tcPr>
          <w:p w14:paraId="03BC9B50" w14:textId="77777777" w:rsidR="009970E0" w:rsidRPr="00852F9E" w:rsidRDefault="009970E0" w:rsidP="0040257E">
            <w:pPr>
              <w:spacing w:before="40" w:after="40"/>
              <w:jc w:val="center"/>
              <w:rPr>
                <w:b/>
                <w:sz w:val="16"/>
                <w:szCs w:val="16"/>
                <w:highlight w:val="yellow"/>
              </w:rPr>
            </w:pPr>
          </w:p>
        </w:tc>
        <w:tc>
          <w:tcPr>
            <w:tcW w:w="2455"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59EFFAF" w14:textId="77777777" w:rsidR="009970E0" w:rsidRPr="00852F9E" w:rsidRDefault="009970E0" w:rsidP="0040257E">
            <w:pPr>
              <w:spacing w:before="40" w:after="40"/>
              <w:jc w:val="center"/>
              <w:rPr>
                <w:sz w:val="16"/>
                <w:szCs w:val="16"/>
              </w:rPr>
            </w:pPr>
            <w:r w:rsidRPr="00852F9E">
              <w:rPr>
                <w:b/>
                <w:bCs/>
                <w:sz w:val="16"/>
                <w:szCs w:val="16"/>
              </w:rPr>
              <w:t>Monday, 5 December 2022</w:t>
            </w:r>
          </w:p>
        </w:tc>
        <w:tc>
          <w:tcPr>
            <w:tcW w:w="247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FC3E28B" w14:textId="77777777" w:rsidR="009970E0" w:rsidRPr="00852F9E" w:rsidRDefault="009970E0" w:rsidP="0040257E">
            <w:pPr>
              <w:spacing w:before="40" w:after="40"/>
              <w:jc w:val="center"/>
              <w:rPr>
                <w:sz w:val="16"/>
                <w:szCs w:val="16"/>
              </w:rPr>
            </w:pPr>
            <w:r w:rsidRPr="00852F9E">
              <w:rPr>
                <w:b/>
                <w:bCs/>
                <w:sz w:val="16"/>
                <w:szCs w:val="16"/>
              </w:rPr>
              <w:t>Tuesday, 6 December 2022</w:t>
            </w:r>
          </w:p>
        </w:tc>
        <w:tc>
          <w:tcPr>
            <w:tcW w:w="248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8D6E602" w14:textId="77777777" w:rsidR="009970E0" w:rsidRPr="00852F9E" w:rsidRDefault="009970E0" w:rsidP="0040257E">
            <w:pPr>
              <w:spacing w:before="40" w:after="40"/>
              <w:jc w:val="center"/>
              <w:rPr>
                <w:sz w:val="16"/>
                <w:szCs w:val="16"/>
              </w:rPr>
            </w:pPr>
            <w:r w:rsidRPr="00852F9E">
              <w:rPr>
                <w:b/>
                <w:bCs/>
                <w:sz w:val="16"/>
                <w:szCs w:val="16"/>
              </w:rPr>
              <w:t>Wednesday, 7 December 2022</w:t>
            </w:r>
          </w:p>
        </w:tc>
      </w:tr>
      <w:tr w:rsidR="009970E0" w:rsidRPr="00852F9E" w14:paraId="385A111F" w14:textId="77777777" w:rsidTr="0040257E">
        <w:trPr>
          <w:trHeight w:val="270"/>
          <w:jc w:val="center"/>
        </w:trPr>
        <w:tc>
          <w:tcPr>
            <w:tcW w:w="1531" w:type="dxa"/>
            <w:vMerge/>
            <w:tcBorders>
              <w:left w:val="nil"/>
              <w:bottom w:val="single" w:sz="8" w:space="0" w:color="auto"/>
              <w:right w:val="single" w:sz="12" w:space="0" w:color="auto"/>
            </w:tcBorders>
            <w:shd w:val="clear" w:color="auto" w:fill="auto"/>
            <w:vAlign w:val="center"/>
          </w:tcPr>
          <w:p w14:paraId="537802F8" w14:textId="77777777" w:rsidR="009970E0" w:rsidRPr="00852F9E" w:rsidRDefault="009970E0" w:rsidP="0040257E">
            <w:pPr>
              <w:spacing w:before="40" w:after="40"/>
              <w:jc w:val="center"/>
              <w:rPr>
                <w:b/>
                <w:sz w:val="16"/>
                <w:szCs w:val="16"/>
                <w:highlight w:val="yellow"/>
              </w:rPr>
            </w:pP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3E16CF9E" w14:textId="77777777" w:rsidR="009970E0" w:rsidRPr="00852F9E" w:rsidRDefault="009970E0" w:rsidP="0040257E">
            <w:pPr>
              <w:spacing w:before="40" w:after="40"/>
              <w:jc w:val="center"/>
              <w:rPr>
                <w:sz w:val="16"/>
                <w:szCs w:val="16"/>
              </w:rPr>
            </w:pPr>
            <w:r w:rsidRPr="00852F9E">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27ACFB" w14:textId="77777777" w:rsidR="009970E0" w:rsidRPr="00852F9E" w:rsidRDefault="009970E0" w:rsidP="0040257E">
            <w:pPr>
              <w:spacing w:before="40" w:after="40"/>
              <w:jc w:val="center"/>
              <w:rPr>
                <w:sz w:val="16"/>
                <w:szCs w:val="16"/>
              </w:rPr>
            </w:pPr>
            <w:r w:rsidRPr="00852F9E">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923BEB8" w14:textId="77777777" w:rsidR="009970E0" w:rsidRPr="00852F9E" w:rsidRDefault="009970E0" w:rsidP="0040257E">
            <w:pPr>
              <w:spacing w:before="40" w:after="40"/>
              <w:jc w:val="center"/>
              <w:rPr>
                <w:sz w:val="16"/>
                <w:szCs w:val="16"/>
              </w:rPr>
            </w:pPr>
            <w:r w:rsidRPr="00852F9E">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B589920" w14:textId="77777777" w:rsidR="009970E0" w:rsidRPr="00852F9E" w:rsidRDefault="009970E0" w:rsidP="0040257E">
            <w:pPr>
              <w:spacing w:before="40" w:after="40"/>
              <w:jc w:val="center"/>
              <w:rPr>
                <w:sz w:val="16"/>
                <w:szCs w:val="16"/>
              </w:rPr>
            </w:pPr>
            <w:r w:rsidRPr="00852F9E">
              <w:rPr>
                <w:noProof/>
                <w:color w:val="1F497D"/>
                <w:lang w:eastAsia="es-ES_tradnl"/>
              </w:rPr>
              <w:drawing>
                <wp:inline distT="0" distB="0" distL="0" distR="0" wp14:anchorId="6ED23D39" wp14:editId="12839604">
                  <wp:extent cx="156740" cy="15107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F712E7" w14:textId="77777777" w:rsidR="009970E0" w:rsidRPr="00852F9E" w:rsidRDefault="009970E0" w:rsidP="0040257E">
            <w:pPr>
              <w:spacing w:before="40" w:after="40"/>
              <w:jc w:val="center"/>
              <w:rPr>
                <w:sz w:val="16"/>
                <w:szCs w:val="16"/>
              </w:rPr>
            </w:pPr>
            <w:r w:rsidRPr="00852F9E">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19CFD31" w14:textId="77777777" w:rsidR="009970E0" w:rsidRPr="00852F9E" w:rsidRDefault="009970E0" w:rsidP="0040257E">
            <w:pPr>
              <w:spacing w:before="40" w:after="40"/>
              <w:jc w:val="center"/>
              <w:rPr>
                <w:sz w:val="16"/>
                <w:szCs w:val="16"/>
              </w:rPr>
            </w:pPr>
            <w:r w:rsidRPr="00852F9E">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4EA9E909" w14:textId="77777777" w:rsidR="009970E0" w:rsidRPr="00852F9E" w:rsidRDefault="009970E0" w:rsidP="0040257E">
            <w:pPr>
              <w:spacing w:before="40" w:after="40"/>
              <w:jc w:val="center"/>
              <w:rPr>
                <w:sz w:val="16"/>
                <w:szCs w:val="16"/>
              </w:rPr>
            </w:pPr>
            <w:r w:rsidRPr="00852F9E">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675DECDD" w14:textId="77777777" w:rsidR="009970E0" w:rsidRPr="00852F9E" w:rsidRDefault="009970E0" w:rsidP="0040257E">
            <w:pPr>
              <w:spacing w:before="40" w:after="40"/>
              <w:jc w:val="center"/>
              <w:rPr>
                <w:sz w:val="16"/>
                <w:szCs w:val="16"/>
              </w:rPr>
            </w:pPr>
            <w:r w:rsidRPr="00852F9E">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54B806" w14:textId="77777777" w:rsidR="009970E0" w:rsidRPr="00852F9E" w:rsidRDefault="009970E0" w:rsidP="0040257E">
            <w:pPr>
              <w:spacing w:before="40" w:after="40"/>
              <w:jc w:val="center"/>
              <w:rPr>
                <w:sz w:val="16"/>
                <w:szCs w:val="16"/>
              </w:rPr>
            </w:pPr>
            <w:r w:rsidRPr="00852F9E">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2247A92" w14:textId="77777777" w:rsidR="009970E0" w:rsidRPr="00852F9E" w:rsidRDefault="009970E0" w:rsidP="0040257E">
            <w:pPr>
              <w:spacing w:before="40" w:after="40"/>
              <w:jc w:val="center"/>
              <w:rPr>
                <w:sz w:val="16"/>
                <w:szCs w:val="16"/>
              </w:rPr>
            </w:pPr>
            <w:r w:rsidRPr="00852F9E">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C7F1C51" w14:textId="77777777" w:rsidR="009970E0" w:rsidRPr="00852F9E" w:rsidRDefault="009970E0" w:rsidP="0040257E">
            <w:pPr>
              <w:spacing w:before="40" w:after="40"/>
              <w:jc w:val="center"/>
              <w:rPr>
                <w:sz w:val="16"/>
                <w:szCs w:val="16"/>
              </w:rPr>
            </w:pPr>
            <w:r w:rsidRPr="00852F9E">
              <w:rPr>
                <w:noProof/>
                <w:color w:val="1F497D"/>
                <w:lang w:eastAsia="es-ES_tradnl"/>
              </w:rPr>
              <w:drawing>
                <wp:inline distT="0" distB="0" distL="0" distR="0" wp14:anchorId="5D1ED6EA" wp14:editId="0327C972">
                  <wp:extent cx="156740" cy="15107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36E0AC5" w14:textId="77777777" w:rsidR="009970E0" w:rsidRPr="00852F9E" w:rsidRDefault="009970E0" w:rsidP="0040257E">
            <w:pPr>
              <w:spacing w:before="40" w:after="40"/>
              <w:jc w:val="center"/>
              <w:rPr>
                <w:sz w:val="16"/>
                <w:szCs w:val="16"/>
              </w:rPr>
            </w:pPr>
            <w:r w:rsidRPr="00852F9E">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F9FFC03" w14:textId="77777777" w:rsidR="009970E0" w:rsidRPr="00852F9E" w:rsidRDefault="009970E0" w:rsidP="0040257E">
            <w:pPr>
              <w:spacing w:before="40" w:after="40"/>
              <w:jc w:val="center"/>
              <w:rPr>
                <w:sz w:val="16"/>
                <w:szCs w:val="16"/>
              </w:rPr>
            </w:pPr>
            <w:r w:rsidRPr="00852F9E">
              <w:rPr>
                <w:sz w:val="16"/>
                <w:szCs w:val="16"/>
              </w:rPr>
              <w:t>4</w:t>
            </w:r>
          </w:p>
        </w:tc>
        <w:tc>
          <w:tcPr>
            <w:tcW w:w="368" w:type="dxa"/>
            <w:tcBorders>
              <w:top w:val="single" w:sz="6" w:space="0" w:color="auto"/>
              <w:left w:val="single" w:sz="6" w:space="0" w:color="auto"/>
              <w:bottom w:val="single" w:sz="6" w:space="0" w:color="auto"/>
              <w:right w:val="single" w:sz="12" w:space="0" w:color="auto"/>
            </w:tcBorders>
            <w:shd w:val="clear" w:color="auto" w:fill="auto"/>
            <w:vAlign w:val="center"/>
          </w:tcPr>
          <w:p w14:paraId="4793CDC4" w14:textId="77777777" w:rsidR="009970E0" w:rsidRPr="00852F9E" w:rsidRDefault="009970E0" w:rsidP="0040257E">
            <w:pPr>
              <w:spacing w:before="40" w:after="40"/>
              <w:jc w:val="center"/>
              <w:rPr>
                <w:sz w:val="16"/>
                <w:szCs w:val="16"/>
              </w:rPr>
            </w:pPr>
            <w:r w:rsidRPr="00852F9E">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0C49A768" w14:textId="77777777" w:rsidR="009970E0" w:rsidRPr="00852F9E" w:rsidRDefault="009970E0" w:rsidP="0040257E">
            <w:pPr>
              <w:spacing w:before="40" w:after="40"/>
              <w:jc w:val="center"/>
              <w:rPr>
                <w:sz w:val="16"/>
                <w:szCs w:val="16"/>
              </w:rPr>
            </w:pPr>
            <w:r w:rsidRPr="00852F9E">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0A7F409" w14:textId="77777777" w:rsidR="009970E0" w:rsidRPr="00852F9E" w:rsidRDefault="009970E0" w:rsidP="0040257E">
            <w:pPr>
              <w:spacing w:before="40" w:after="40"/>
              <w:jc w:val="center"/>
              <w:rPr>
                <w:sz w:val="16"/>
                <w:szCs w:val="16"/>
              </w:rPr>
            </w:pPr>
            <w:r w:rsidRPr="00852F9E">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649BA09" w14:textId="77777777" w:rsidR="009970E0" w:rsidRPr="00852F9E" w:rsidRDefault="009970E0" w:rsidP="0040257E">
            <w:pPr>
              <w:spacing w:before="40" w:after="40"/>
              <w:jc w:val="center"/>
              <w:rPr>
                <w:sz w:val="16"/>
                <w:szCs w:val="16"/>
              </w:rPr>
            </w:pPr>
            <w:r w:rsidRPr="00852F9E">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72D107" w14:textId="77777777" w:rsidR="009970E0" w:rsidRPr="00852F9E" w:rsidRDefault="009970E0" w:rsidP="0040257E">
            <w:pPr>
              <w:spacing w:before="40" w:after="40"/>
              <w:jc w:val="center"/>
              <w:rPr>
                <w:sz w:val="16"/>
                <w:szCs w:val="16"/>
              </w:rPr>
            </w:pPr>
            <w:r w:rsidRPr="00852F9E">
              <w:rPr>
                <w:noProof/>
                <w:color w:val="1F497D"/>
                <w:lang w:eastAsia="es-ES_tradnl"/>
              </w:rPr>
              <w:drawing>
                <wp:inline distT="0" distB="0" distL="0" distR="0" wp14:anchorId="2867C640" wp14:editId="302D42B2">
                  <wp:extent cx="156740" cy="15107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C9ABBE" w14:textId="77777777" w:rsidR="009970E0" w:rsidRPr="00852F9E" w:rsidRDefault="009970E0" w:rsidP="0040257E">
            <w:pPr>
              <w:spacing w:before="40" w:after="40"/>
              <w:jc w:val="center"/>
              <w:rPr>
                <w:sz w:val="16"/>
                <w:szCs w:val="16"/>
              </w:rPr>
            </w:pPr>
            <w:r w:rsidRPr="00852F9E">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CE8CB1" w14:textId="77777777" w:rsidR="009970E0" w:rsidRPr="00852F9E" w:rsidRDefault="009970E0" w:rsidP="0040257E">
            <w:pPr>
              <w:spacing w:before="40" w:after="40"/>
              <w:jc w:val="center"/>
              <w:rPr>
                <w:sz w:val="16"/>
                <w:szCs w:val="16"/>
              </w:rPr>
            </w:pPr>
            <w:r w:rsidRPr="00852F9E">
              <w:rPr>
                <w:sz w:val="16"/>
                <w:szCs w:val="16"/>
              </w:rPr>
              <w:t>4</w:t>
            </w:r>
          </w:p>
        </w:tc>
        <w:tc>
          <w:tcPr>
            <w:tcW w:w="375" w:type="dxa"/>
            <w:tcBorders>
              <w:top w:val="single" w:sz="6" w:space="0" w:color="auto"/>
              <w:left w:val="single" w:sz="6" w:space="0" w:color="auto"/>
              <w:bottom w:val="single" w:sz="6" w:space="0" w:color="auto"/>
              <w:right w:val="single" w:sz="12" w:space="0" w:color="auto"/>
            </w:tcBorders>
            <w:shd w:val="clear" w:color="auto" w:fill="auto"/>
            <w:vAlign w:val="center"/>
          </w:tcPr>
          <w:p w14:paraId="25F80EBC" w14:textId="77777777" w:rsidR="009970E0" w:rsidRPr="00852F9E" w:rsidRDefault="009970E0" w:rsidP="0040257E">
            <w:pPr>
              <w:spacing w:before="40" w:after="40"/>
              <w:jc w:val="center"/>
              <w:rPr>
                <w:sz w:val="16"/>
                <w:szCs w:val="16"/>
              </w:rPr>
            </w:pPr>
            <w:r w:rsidRPr="00852F9E">
              <w:rPr>
                <w:sz w:val="16"/>
                <w:szCs w:val="16"/>
              </w:rPr>
              <w:t>5</w:t>
            </w:r>
          </w:p>
        </w:tc>
      </w:tr>
      <w:tr w:rsidR="009970E0" w:rsidRPr="00852F9E" w14:paraId="128CAB13"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724FAF65" w14:textId="77777777" w:rsidR="009970E0" w:rsidRPr="00852F9E" w:rsidRDefault="009970E0" w:rsidP="0040257E">
            <w:pPr>
              <w:spacing w:before="40" w:after="40"/>
              <w:jc w:val="center"/>
              <w:rPr>
                <w:b/>
                <w:sz w:val="16"/>
                <w:szCs w:val="16"/>
              </w:rPr>
            </w:pPr>
            <w:r w:rsidRPr="00852F9E">
              <w:rPr>
                <w:b/>
                <w:sz w:val="16"/>
                <w:szCs w:val="16"/>
              </w:rPr>
              <w:t>WP1/11; WP2/11; WP3/11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608AD6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F212A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72C170D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212FDD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D9FEB6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B16BC4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241521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EF84BC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680B77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0B088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952002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DC8FF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D8CC31D"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C26001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8DE099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227EC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7B679154"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F3F445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2CBA8E"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FDBF56" w14:textId="77777777" w:rsidR="009970E0" w:rsidRPr="00852F9E" w:rsidRDefault="009970E0" w:rsidP="0040257E">
            <w:pPr>
              <w:spacing w:before="40" w:after="40"/>
              <w:jc w:val="center"/>
              <w:rPr>
                <w:b/>
                <w:bCs/>
                <w:sz w:val="16"/>
                <w:szCs w:val="16"/>
              </w:rPr>
            </w:pPr>
            <w:r w:rsidRPr="00852F9E">
              <w:rPr>
                <w:b/>
                <w:bCs/>
                <w:sz w:val="16"/>
                <w:szCs w:val="16"/>
              </w:rPr>
              <w:t>R</w:t>
            </w: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48A239B5" w14:textId="77777777" w:rsidR="009970E0" w:rsidRPr="00852F9E" w:rsidRDefault="009970E0" w:rsidP="0040257E">
            <w:pPr>
              <w:spacing w:before="40" w:after="40"/>
              <w:jc w:val="center"/>
              <w:rPr>
                <w:b/>
                <w:bCs/>
                <w:sz w:val="16"/>
                <w:szCs w:val="16"/>
              </w:rPr>
            </w:pPr>
          </w:p>
        </w:tc>
      </w:tr>
      <w:tr w:rsidR="009970E0" w:rsidRPr="00852F9E" w14:paraId="76768CE6"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398BB4F8" w14:textId="77777777" w:rsidR="009970E0" w:rsidRPr="00852F9E" w:rsidRDefault="009970E0" w:rsidP="0040257E">
            <w:pPr>
              <w:spacing w:before="40" w:after="40"/>
              <w:jc w:val="center"/>
              <w:rPr>
                <w:b/>
                <w:sz w:val="16"/>
                <w:szCs w:val="16"/>
                <w:highlight w:val="yellow"/>
              </w:rPr>
            </w:pPr>
            <w:r w:rsidRPr="00852F9E">
              <w:rPr>
                <w:b/>
                <w:sz w:val="16"/>
                <w:szCs w:val="16"/>
              </w:rPr>
              <w:t>Q1/11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FAA695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798AB0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6E6767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25AEF1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5944DD5"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7AA87E"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D9EA18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9A74A8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1E3D7F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CE1095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030ADB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686290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E053DF"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2FFE6E8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EE3D73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C4111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DD0EE2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34D5AF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A74E7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279B63F"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32515D56" w14:textId="77777777" w:rsidR="009970E0" w:rsidRPr="00852F9E" w:rsidRDefault="009970E0" w:rsidP="0040257E">
            <w:pPr>
              <w:spacing w:before="40" w:after="40"/>
              <w:jc w:val="center"/>
              <w:rPr>
                <w:b/>
                <w:bCs/>
                <w:sz w:val="16"/>
                <w:szCs w:val="16"/>
              </w:rPr>
            </w:pPr>
          </w:p>
        </w:tc>
      </w:tr>
      <w:tr w:rsidR="009970E0" w:rsidRPr="00852F9E" w14:paraId="29E81870"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3D083988" w14:textId="77777777" w:rsidR="009970E0" w:rsidRPr="00852F9E" w:rsidRDefault="009970E0" w:rsidP="0040257E">
            <w:pPr>
              <w:spacing w:before="40" w:after="40"/>
              <w:jc w:val="center"/>
              <w:rPr>
                <w:b/>
                <w:sz w:val="16"/>
                <w:szCs w:val="16"/>
                <w:highlight w:val="yellow"/>
              </w:rPr>
            </w:pPr>
            <w:r w:rsidRPr="00852F9E">
              <w:rPr>
                <w:b/>
                <w:sz w:val="16"/>
                <w:szCs w:val="16"/>
              </w:rPr>
              <w:t>Q2/11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F93F87C"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B0A45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59D3151"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A799B2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64155B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82630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C1E3F6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F72A11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B9BC1C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166E7C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3D7C03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F6244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BD9610C"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6D6CF33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7BC118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4F91B8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73A18EF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7F7594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729AD4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E92926"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5FDC8506" w14:textId="77777777" w:rsidR="009970E0" w:rsidRPr="00852F9E" w:rsidRDefault="009970E0" w:rsidP="0040257E">
            <w:pPr>
              <w:spacing w:before="40" w:after="40"/>
              <w:jc w:val="center"/>
              <w:rPr>
                <w:b/>
                <w:bCs/>
                <w:sz w:val="16"/>
                <w:szCs w:val="16"/>
              </w:rPr>
            </w:pPr>
          </w:p>
        </w:tc>
      </w:tr>
      <w:tr w:rsidR="009970E0" w:rsidRPr="00852F9E" w14:paraId="05B4AA3C"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47FE51AF" w14:textId="77777777" w:rsidR="009970E0" w:rsidRPr="00852F9E" w:rsidRDefault="009970E0" w:rsidP="0040257E">
            <w:pPr>
              <w:spacing w:before="40" w:after="40"/>
              <w:jc w:val="center"/>
              <w:rPr>
                <w:b/>
                <w:sz w:val="16"/>
                <w:szCs w:val="16"/>
                <w:highlight w:val="yellow"/>
              </w:rPr>
            </w:pPr>
            <w:r w:rsidRPr="00852F9E">
              <w:rPr>
                <w:b/>
                <w:sz w:val="16"/>
                <w:szCs w:val="16"/>
              </w:rPr>
              <w:t>Q3/11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2908DF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A37CC5"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60F6805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BA5597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165693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A81638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0D40D0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203CCD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6D5EFA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858C58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09E5AF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614221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D6D02A7"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A0BBE5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F91412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7D6E8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106FAF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3D6336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B7F3C0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2DCBC0"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06EE796B" w14:textId="77777777" w:rsidR="009970E0" w:rsidRPr="00852F9E" w:rsidRDefault="009970E0" w:rsidP="0040257E">
            <w:pPr>
              <w:spacing w:before="40" w:after="40"/>
              <w:jc w:val="center"/>
              <w:rPr>
                <w:b/>
                <w:bCs/>
                <w:sz w:val="16"/>
                <w:szCs w:val="16"/>
              </w:rPr>
            </w:pPr>
          </w:p>
        </w:tc>
      </w:tr>
      <w:tr w:rsidR="009970E0" w:rsidRPr="00852F9E" w14:paraId="14AA21E1"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7EF36149" w14:textId="77777777" w:rsidR="009970E0" w:rsidRPr="00852F9E" w:rsidRDefault="009970E0" w:rsidP="0040257E">
            <w:pPr>
              <w:spacing w:before="40" w:after="40"/>
              <w:jc w:val="center"/>
              <w:rPr>
                <w:b/>
                <w:sz w:val="16"/>
                <w:szCs w:val="16"/>
                <w:highlight w:val="yellow"/>
              </w:rPr>
            </w:pPr>
            <w:r w:rsidRPr="00852F9E">
              <w:rPr>
                <w:b/>
                <w:sz w:val="16"/>
                <w:szCs w:val="16"/>
              </w:rPr>
              <w:t>Q4/11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9E83523"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4B773A"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vAlign w:val="center"/>
          </w:tcPr>
          <w:p w14:paraId="3629BB0C"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9F9801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3B2FBA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46DB3C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F95A47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AD4442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C473FA5"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4616E9C"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8DD566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E4961E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03D8747"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737B76A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2839F8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E8D287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85605D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72AF45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EC119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6B5D83"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6DEF695E" w14:textId="77777777" w:rsidR="009970E0" w:rsidRPr="00852F9E" w:rsidRDefault="009970E0" w:rsidP="0040257E">
            <w:pPr>
              <w:spacing w:before="40" w:after="40"/>
              <w:jc w:val="center"/>
              <w:rPr>
                <w:b/>
                <w:bCs/>
                <w:sz w:val="16"/>
                <w:szCs w:val="16"/>
              </w:rPr>
            </w:pPr>
          </w:p>
        </w:tc>
      </w:tr>
      <w:tr w:rsidR="009970E0" w:rsidRPr="00852F9E" w14:paraId="1C58F2BF"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5DE26969" w14:textId="77777777" w:rsidR="009970E0" w:rsidRPr="00852F9E" w:rsidRDefault="009970E0" w:rsidP="0040257E">
            <w:pPr>
              <w:spacing w:before="40" w:after="40"/>
              <w:jc w:val="center"/>
              <w:rPr>
                <w:b/>
                <w:sz w:val="16"/>
                <w:szCs w:val="16"/>
                <w:highlight w:val="yellow"/>
              </w:rPr>
            </w:pPr>
            <w:r w:rsidRPr="00852F9E">
              <w:rPr>
                <w:b/>
                <w:sz w:val="16"/>
                <w:szCs w:val="16"/>
              </w:rPr>
              <w:t>Q5/11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1F2D595"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F8994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B1E3FEB"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286FA8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F45026D"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57AE81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072681B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B4A13C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3E5A72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49CEA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6895D1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EC6255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931B20"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70846E0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37D960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3F146B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7A32887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FAAEB1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0AB14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4406A87"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7643A68A" w14:textId="77777777" w:rsidR="009970E0" w:rsidRPr="00852F9E" w:rsidRDefault="009970E0" w:rsidP="0040257E">
            <w:pPr>
              <w:spacing w:before="40" w:after="40"/>
              <w:jc w:val="center"/>
              <w:rPr>
                <w:b/>
                <w:bCs/>
                <w:sz w:val="16"/>
                <w:szCs w:val="16"/>
              </w:rPr>
            </w:pPr>
          </w:p>
        </w:tc>
      </w:tr>
      <w:tr w:rsidR="009970E0" w:rsidRPr="00852F9E" w14:paraId="196F50FD" w14:textId="77777777" w:rsidTr="0040257E">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1B65518C" w14:textId="77777777" w:rsidR="009970E0" w:rsidRPr="00852F9E" w:rsidRDefault="009970E0" w:rsidP="0040257E">
            <w:pPr>
              <w:spacing w:before="40" w:after="40"/>
              <w:jc w:val="center"/>
              <w:rPr>
                <w:b/>
                <w:sz w:val="16"/>
                <w:szCs w:val="16"/>
              </w:rPr>
            </w:pPr>
            <w:r w:rsidRPr="00852F9E">
              <w:rPr>
                <w:b/>
                <w:sz w:val="16"/>
                <w:szCs w:val="16"/>
              </w:rPr>
              <w:t>Q6/11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8F61844"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0DA93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B218BE2"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1001BF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C3DBBC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759B47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176CCD5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40D439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BE7B7C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382FE2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35DE1D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AE82C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DBB534"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FC36C7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7253CF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A0B5D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26D828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E34509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803FCB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027568"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355F05D3" w14:textId="77777777" w:rsidR="009970E0" w:rsidRPr="00852F9E" w:rsidRDefault="009970E0" w:rsidP="0040257E">
            <w:pPr>
              <w:spacing w:before="40" w:after="40"/>
              <w:jc w:val="center"/>
              <w:rPr>
                <w:b/>
                <w:bCs/>
                <w:sz w:val="16"/>
                <w:szCs w:val="16"/>
              </w:rPr>
            </w:pPr>
          </w:p>
        </w:tc>
      </w:tr>
      <w:tr w:rsidR="009970E0" w:rsidRPr="00852F9E" w14:paraId="3F612C23" w14:textId="77777777" w:rsidTr="0040257E">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5E82AB83" w14:textId="77777777" w:rsidR="009970E0" w:rsidRPr="00852F9E" w:rsidRDefault="009970E0" w:rsidP="0040257E">
            <w:pPr>
              <w:spacing w:before="40" w:after="40"/>
              <w:jc w:val="center"/>
              <w:rPr>
                <w:b/>
                <w:sz w:val="16"/>
                <w:szCs w:val="16"/>
              </w:rPr>
            </w:pPr>
            <w:r w:rsidRPr="00852F9E">
              <w:rPr>
                <w:b/>
                <w:sz w:val="16"/>
                <w:szCs w:val="16"/>
              </w:rPr>
              <w:t>Q7/11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5FAA3DE"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6D6F57"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0055217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CF1A94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DF8A4F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6DEB17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849F79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8AD51C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25F50F"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737372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C4B08C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9C12E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F8D2D43"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060E2FE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951164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6D0555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166E99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41CDAF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2081E2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C798666"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4D25D4CA" w14:textId="77777777" w:rsidR="009970E0" w:rsidRPr="00852F9E" w:rsidRDefault="009970E0" w:rsidP="0040257E">
            <w:pPr>
              <w:spacing w:before="40" w:after="40"/>
              <w:jc w:val="center"/>
              <w:rPr>
                <w:b/>
                <w:bCs/>
                <w:sz w:val="16"/>
                <w:szCs w:val="16"/>
              </w:rPr>
            </w:pPr>
          </w:p>
        </w:tc>
      </w:tr>
      <w:tr w:rsidR="009970E0" w:rsidRPr="00852F9E" w14:paraId="5B7B327B" w14:textId="77777777" w:rsidTr="0040257E">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0DE723FE" w14:textId="77777777" w:rsidR="009970E0" w:rsidRPr="00852F9E" w:rsidRDefault="009970E0" w:rsidP="0040257E">
            <w:pPr>
              <w:spacing w:before="40" w:after="40"/>
              <w:jc w:val="center"/>
              <w:rPr>
                <w:b/>
                <w:sz w:val="16"/>
                <w:szCs w:val="16"/>
                <w:highlight w:val="yellow"/>
              </w:rPr>
            </w:pPr>
            <w:r w:rsidRPr="00852F9E">
              <w:rPr>
                <w:b/>
                <w:sz w:val="16"/>
                <w:szCs w:val="16"/>
              </w:rPr>
              <w:t>Q8/11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75C829D"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0BBBD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4321C3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171668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76851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BDC5A3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F7D8C7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E8218E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01484D"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C3FA6A2" w14:textId="77777777" w:rsidR="009970E0" w:rsidRPr="00852F9E" w:rsidRDefault="009970E0" w:rsidP="0040257E">
            <w:pPr>
              <w:spacing w:before="40" w:after="40"/>
              <w:jc w:val="center"/>
              <w:rPr>
                <w:b/>
                <w:bCs/>
                <w:sz w:val="16"/>
                <w:szCs w:val="16"/>
              </w:rPr>
            </w:pPr>
            <w:r w:rsidRPr="00852F9E">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0E88E0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9CD7F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16E903"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39F60BB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F2BDCB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0BF610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8F914E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6A34B2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86758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E578087"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6DEA95A1" w14:textId="77777777" w:rsidR="009970E0" w:rsidRPr="00852F9E" w:rsidRDefault="009970E0" w:rsidP="0040257E">
            <w:pPr>
              <w:spacing w:before="40" w:after="40"/>
              <w:jc w:val="center"/>
              <w:rPr>
                <w:b/>
                <w:bCs/>
                <w:sz w:val="16"/>
                <w:szCs w:val="16"/>
              </w:rPr>
            </w:pPr>
          </w:p>
        </w:tc>
      </w:tr>
      <w:tr w:rsidR="009970E0" w:rsidRPr="00852F9E" w14:paraId="351E1342"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204C6F3A" w14:textId="77777777" w:rsidR="009970E0" w:rsidRPr="00852F9E" w:rsidRDefault="009970E0" w:rsidP="0040257E">
            <w:pPr>
              <w:spacing w:before="40" w:after="40"/>
              <w:jc w:val="center"/>
              <w:rPr>
                <w:b/>
                <w:sz w:val="16"/>
                <w:szCs w:val="16"/>
              </w:rPr>
            </w:pPr>
            <w:r w:rsidRPr="00852F9E">
              <w:rPr>
                <w:b/>
                <w:sz w:val="16"/>
                <w:szCs w:val="16"/>
              </w:rPr>
              <w:t>Q12/11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2F53D60B"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E4732E5"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4C785F4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0ECB3D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BCE32D" w14:textId="77777777" w:rsidR="009970E0" w:rsidRPr="00852F9E" w:rsidRDefault="009970E0" w:rsidP="0040257E">
            <w:pPr>
              <w:spacing w:before="40" w:after="40"/>
              <w:jc w:val="center"/>
              <w:rPr>
                <w:b/>
                <w:bCs/>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064108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9DB33C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95E5B9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ECAB3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70298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EF5F8C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D5506B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1EF64F6"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7800F9F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8829FA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3457A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112CD00"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94F491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1B4249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6EC8CE6"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2BE61771" w14:textId="77777777" w:rsidR="009970E0" w:rsidRPr="00852F9E" w:rsidRDefault="009970E0" w:rsidP="0040257E">
            <w:pPr>
              <w:spacing w:before="40" w:after="40"/>
              <w:jc w:val="center"/>
              <w:rPr>
                <w:b/>
                <w:bCs/>
                <w:sz w:val="16"/>
                <w:szCs w:val="16"/>
              </w:rPr>
            </w:pPr>
          </w:p>
        </w:tc>
      </w:tr>
      <w:tr w:rsidR="009970E0" w:rsidRPr="00852F9E" w14:paraId="54175317"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5DD59035" w14:textId="77777777" w:rsidR="009970E0" w:rsidRPr="00852F9E" w:rsidRDefault="009970E0" w:rsidP="0040257E">
            <w:pPr>
              <w:spacing w:before="40" w:after="40"/>
              <w:jc w:val="center"/>
              <w:rPr>
                <w:b/>
                <w:sz w:val="16"/>
                <w:szCs w:val="16"/>
              </w:rPr>
            </w:pPr>
            <w:r w:rsidRPr="00852F9E">
              <w:rPr>
                <w:b/>
                <w:sz w:val="16"/>
                <w:szCs w:val="16"/>
              </w:rPr>
              <w:t>Q13/11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50A3B29"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8C820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D6593E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CE899DB"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2632738" w14:textId="77777777" w:rsidR="009970E0" w:rsidRPr="00852F9E" w:rsidRDefault="009970E0" w:rsidP="0040257E">
            <w:pPr>
              <w:spacing w:before="40" w:after="40"/>
              <w:jc w:val="center"/>
              <w:rPr>
                <w:b/>
                <w:bCs/>
                <w:sz w:val="16"/>
                <w:szCs w:val="16"/>
                <w:lang w:eastAsia="zh-CN"/>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E4862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9FC6FD9"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45BA93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B7713C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3E4B4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ADAAD0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22D7F6C"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67E38CF"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435650A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1616013"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FAF9C5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F0D442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AFBFC34"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07630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6E10FB"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678E2B13" w14:textId="77777777" w:rsidR="009970E0" w:rsidRPr="00852F9E" w:rsidRDefault="009970E0" w:rsidP="0040257E">
            <w:pPr>
              <w:spacing w:before="40" w:after="40"/>
              <w:jc w:val="center"/>
              <w:rPr>
                <w:b/>
                <w:bCs/>
                <w:sz w:val="16"/>
                <w:szCs w:val="16"/>
              </w:rPr>
            </w:pPr>
          </w:p>
        </w:tc>
      </w:tr>
      <w:tr w:rsidR="009970E0" w:rsidRPr="00852F9E" w14:paraId="52707ACF" w14:textId="77777777" w:rsidTr="0040257E">
        <w:trPr>
          <w:trHeight w:val="270"/>
          <w:jc w:val="center"/>
        </w:trPr>
        <w:tc>
          <w:tcPr>
            <w:tcW w:w="1531" w:type="dxa"/>
            <w:tcBorders>
              <w:left w:val="single" w:sz="8" w:space="0" w:color="auto"/>
              <w:right w:val="single" w:sz="12" w:space="0" w:color="auto"/>
            </w:tcBorders>
            <w:shd w:val="clear" w:color="auto" w:fill="FFFFFF"/>
            <w:vAlign w:val="center"/>
          </w:tcPr>
          <w:p w14:paraId="1DDB755F" w14:textId="77777777" w:rsidR="009970E0" w:rsidRPr="00852F9E" w:rsidRDefault="009970E0" w:rsidP="0040257E">
            <w:pPr>
              <w:spacing w:before="40" w:after="40"/>
              <w:jc w:val="center"/>
              <w:rPr>
                <w:b/>
                <w:sz w:val="16"/>
                <w:szCs w:val="16"/>
              </w:rPr>
            </w:pPr>
            <w:r w:rsidRPr="00852F9E">
              <w:rPr>
                <w:b/>
                <w:sz w:val="16"/>
                <w:szCs w:val="16"/>
              </w:rPr>
              <w:t>Q14/11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7327317" w14:textId="77777777" w:rsidR="009970E0" w:rsidRPr="00852F9E" w:rsidRDefault="009970E0" w:rsidP="0040257E">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75E7F6" w14:textId="77777777" w:rsidR="009970E0" w:rsidRPr="00852F9E" w:rsidRDefault="009970E0" w:rsidP="0040257E">
            <w:pPr>
              <w:spacing w:before="40" w:after="40"/>
              <w:jc w:val="center"/>
              <w:rPr>
                <w:b/>
                <w:bCs/>
                <w:sz w:val="16"/>
                <w:szCs w:val="16"/>
              </w:rPr>
            </w:pPr>
            <w:r w:rsidRPr="00852F9E">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0750A176"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B4EDE3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AFE694" w14:textId="77777777" w:rsidR="009970E0" w:rsidRPr="00852F9E" w:rsidRDefault="009970E0" w:rsidP="0040257E">
            <w:pPr>
              <w:spacing w:before="40" w:after="40"/>
              <w:jc w:val="center"/>
              <w:rPr>
                <w:b/>
                <w:bCs/>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62DAC9D"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143A548"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B286F02"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376DE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E7F1585"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C6985C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73E03E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1278776" w14:textId="77777777" w:rsidR="009970E0" w:rsidRPr="00852F9E" w:rsidRDefault="009970E0" w:rsidP="0040257E">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3484809A"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A465967"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7E0ACD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154A26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6E83161"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4BAFA6E" w14:textId="77777777" w:rsidR="009970E0" w:rsidRPr="00852F9E" w:rsidRDefault="009970E0" w:rsidP="0040257E">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261D88" w14:textId="77777777" w:rsidR="009970E0" w:rsidRPr="00852F9E" w:rsidRDefault="009970E0" w:rsidP="0040257E">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2547E6DD" w14:textId="77777777" w:rsidR="009970E0" w:rsidRPr="00852F9E" w:rsidRDefault="009970E0" w:rsidP="0040257E">
            <w:pPr>
              <w:spacing w:before="40" w:after="40"/>
              <w:jc w:val="center"/>
              <w:rPr>
                <w:b/>
                <w:bCs/>
                <w:sz w:val="16"/>
                <w:szCs w:val="16"/>
              </w:rPr>
            </w:pPr>
          </w:p>
        </w:tc>
      </w:tr>
      <w:tr w:rsidR="009970E0" w:rsidRPr="00852F9E" w14:paraId="75858B9B" w14:textId="77777777" w:rsidTr="0040257E">
        <w:trPr>
          <w:trHeight w:val="732"/>
          <w:jc w:val="center"/>
        </w:trPr>
        <w:tc>
          <w:tcPr>
            <w:tcW w:w="894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40243ED3" w14:textId="77777777" w:rsidR="009970E0" w:rsidRPr="00852F9E" w:rsidRDefault="009970E0" w:rsidP="0040257E">
            <w:pPr>
              <w:spacing w:before="40" w:after="40"/>
              <w:jc w:val="center"/>
              <w:rPr>
                <w:b/>
                <w:bCs/>
                <w:sz w:val="16"/>
                <w:szCs w:val="16"/>
              </w:rPr>
            </w:pPr>
            <w:r w:rsidRPr="00852F9E">
              <w:rPr>
                <w:b/>
                <w:bCs/>
                <w:sz w:val="16"/>
                <w:szCs w:val="16"/>
              </w:rPr>
              <w:t>Sessions times:</w:t>
            </w:r>
          </w:p>
          <w:p w14:paraId="498B0682" w14:textId="77777777" w:rsidR="009970E0" w:rsidRPr="00852F9E" w:rsidRDefault="009970E0" w:rsidP="0040257E">
            <w:pPr>
              <w:spacing w:before="0"/>
              <w:jc w:val="center"/>
              <w:rPr>
                <w:b/>
                <w:bCs/>
                <w:sz w:val="16"/>
                <w:szCs w:val="16"/>
              </w:rPr>
            </w:pPr>
            <w:r w:rsidRPr="00852F9E">
              <w:rPr>
                <w:b/>
                <w:bCs/>
                <w:sz w:val="16"/>
                <w:szCs w:val="16"/>
              </w:rPr>
              <w:t xml:space="preserve">0 – 0830-0930;      1 – 0930-1045;      2 – 1115-1230;      Lunch </w:t>
            </w:r>
            <w:r w:rsidRPr="00852F9E">
              <w:rPr>
                <w:b/>
                <w:bCs/>
                <w:noProof/>
                <w:color w:val="1F497D"/>
                <w:lang w:eastAsia="es-ES_tradnl"/>
              </w:rPr>
              <w:drawing>
                <wp:inline distT="0" distB="0" distL="0" distR="0" wp14:anchorId="53646F0B" wp14:editId="4F04E4AB">
                  <wp:extent cx="156740" cy="15107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852F9E">
              <w:rPr>
                <w:b/>
                <w:bCs/>
                <w:sz w:val="16"/>
                <w:szCs w:val="16"/>
              </w:rPr>
              <w:t xml:space="preserve"> 1230-1430;      3 – 1430-1545;      4 – 1615-1730;      5 – 1800-1915</w:t>
            </w:r>
          </w:p>
        </w:tc>
      </w:tr>
      <w:tr w:rsidR="009970E0" w:rsidRPr="002C5D0A" w14:paraId="677629C1" w14:textId="77777777" w:rsidTr="0040257E">
        <w:trPr>
          <w:trHeight w:val="356"/>
          <w:jc w:val="center"/>
        </w:trPr>
        <w:tc>
          <w:tcPr>
            <w:tcW w:w="894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1F49A61B" w14:textId="77777777" w:rsidR="009970E0" w:rsidRPr="002C5D0A" w:rsidRDefault="009970E0" w:rsidP="0040257E">
            <w:pPr>
              <w:spacing w:before="40" w:after="40"/>
              <w:jc w:val="center"/>
              <w:rPr>
                <w:b/>
                <w:bCs/>
                <w:sz w:val="16"/>
                <w:szCs w:val="16"/>
                <w:lang w:val="en-US"/>
              </w:rPr>
            </w:pPr>
            <w:r w:rsidRPr="002C5D0A">
              <w:rPr>
                <w:b/>
                <w:bCs/>
                <w:sz w:val="16"/>
                <w:szCs w:val="16"/>
                <w:lang w:val="en-US"/>
              </w:rPr>
              <w:t>Keys: R – remote participation via ITU MyMeetings</w:t>
            </w:r>
          </w:p>
        </w:tc>
      </w:tr>
    </w:tbl>
    <w:p w14:paraId="3B2CCA0C" w14:textId="77777777" w:rsidR="009970E0" w:rsidRPr="002C5D0A" w:rsidRDefault="009970E0" w:rsidP="009970E0">
      <w:pPr>
        <w:rPr>
          <w:szCs w:val="22"/>
          <w:lang w:val="en-US"/>
        </w:rPr>
      </w:pPr>
    </w:p>
    <w:p w14:paraId="40500EA4" w14:textId="77777777" w:rsidR="009970E0" w:rsidRPr="002C5D0A" w:rsidRDefault="009970E0" w:rsidP="009970E0">
      <w:pPr>
        <w:rPr>
          <w:lang w:val="en-US"/>
        </w:rPr>
      </w:pPr>
      <w:r w:rsidRPr="002C5D0A">
        <w:rPr>
          <w:szCs w:val="22"/>
          <w:lang w:val="en-US"/>
        </w:rPr>
        <w:t xml:space="preserve">NOTE ‒ Updates to the timetable can be found on the SG11 webpage, </w:t>
      </w:r>
      <w:hyperlink r:id="rId42" w:history="1">
        <w:r w:rsidRPr="002C5D0A">
          <w:rPr>
            <w:rStyle w:val="Hyperlink"/>
            <w:szCs w:val="22"/>
            <w:lang w:val="en-US"/>
          </w:rPr>
          <w:t>https://itu.int/go/tsg11</w:t>
        </w:r>
      </w:hyperlink>
      <w:r w:rsidRPr="002C5D0A">
        <w:rPr>
          <w:szCs w:val="22"/>
          <w:lang w:val="en-US"/>
        </w:rPr>
        <w:t>.</w:t>
      </w:r>
    </w:p>
    <w:p w14:paraId="5A4E9313" w14:textId="77777777" w:rsidR="009970E0" w:rsidRPr="002C5D0A" w:rsidRDefault="009970E0" w:rsidP="009970E0">
      <w:pPr>
        <w:pStyle w:val="Reasons"/>
      </w:pPr>
    </w:p>
    <w:p w14:paraId="136D3684" w14:textId="77777777" w:rsidR="009970E0" w:rsidRPr="00852F9E" w:rsidRDefault="009970E0" w:rsidP="009970E0">
      <w:pPr>
        <w:jc w:val="center"/>
      </w:pPr>
      <w:r w:rsidRPr="00852F9E">
        <w:t>______________</w:t>
      </w:r>
    </w:p>
    <w:p w14:paraId="6F3B1AA3" w14:textId="77777777" w:rsidR="00C34772" w:rsidRPr="00852F9E" w:rsidRDefault="00C34772" w:rsidP="009970E0">
      <w:pPr>
        <w:pStyle w:val="ITUintr"/>
        <w:tabs>
          <w:tab w:val="clear" w:pos="737"/>
          <w:tab w:val="clear" w:pos="1134"/>
          <w:tab w:val="left" w:pos="794"/>
        </w:tabs>
        <w:spacing w:before="240" w:after="0"/>
        <w:ind w:right="91"/>
        <w:rPr>
          <w:sz w:val="4"/>
          <w:szCs w:val="4"/>
        </w:rPr>
      </w:pPr>
    </w:p>
    <w:sectPr w:rsidR="00C34772" w:rsidRPr="00852F9E" w:rsidSect="002F3E33">
      <w:headerReference w:type="even" r:id="rId43"/>
      <w:headerReference w:type="default" r:id="rId44"/>
      <w:footerReference w:type="even" r:id="rId45"/>
      <w:footerReference w:type="default" r:id="rId46"/>
      <w:headerReference w:type="first" r:id="rId47"/>
      <w:footerReference w:type="first" r:id="rId48"/>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4DE4" w14:textId="77777777" w:rsidR="009970E0" w:rsidRDefault="009970E0">
      <w:r>
        <w:separator/>
      </w:r>
    </w:p>
  </w:endnote>
  <w:endnote w:type="continuationSeparator" w:id="0">
    <w:p w14:paraId="4120C9B9" w14:textId="77777777" w:rsidR="009970E0" w:rsidRDefault="0099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F7B0" w14:textId="03D44798" w:rsidR="009970E0" w:rsidRPr="002C5D0A" w:rsidRDefault="009970E0" w:rsidP="00713CDB">
    <w:pPr>
      <w:pStyle w:val="Footer"/>
      <w:spacing w:before="120"/>
      <w:jc w:val="center"/>
      <w:rPr>
        <w:lang w:val="en-US"/>
      </w:rP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00852F9E">
      <w:rPr>
        <w:rFonts w:ascii="Calibri" w:hAnsi="Calibri" w:cs="Calibri"/>
        <w:caps w:val="0"/>
        <w:color w:val="0070C0"/>
        <w:szCs w:val="18"/>
        <w:lang w:val="fr-CH"/>
      </w:rPr>
      <w:t>.</w:t>
    </w:r>
    <w:r w:rsidR="00852F9E"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EB49"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27ED" w14:textId="3F254481" w:rsidR="00141CB4" w:rsidRPr="002F3E33" w:rsidRDefault="00141CB4" w:rsidP="002F3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9C11" w14:textId="1327CD84" w:rsidR="005E67CA" w:rsidRPr="00D41CCA" w:rsidRDefault="005E67CA" w:rsidP="00D4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E725" w14:textId="77777777" w:rsidR="009970E0" w:rsidRDefault="009970E0">
      <w:r>
        <w:t>____________________</w:t>
      </w:r>
    </w:p>
  </w:footnote>
  <w:footnote w:type="continuationSeparator" w:id="0">
    <w:p w14:paraId="50CE8271" w14:textId="77777777" w:rsidR="009970E0" w:rsidRDefault="0099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6B93" w14:textId="617F08CB" w:rsidR="00712FA3" w:rsidRDefault="00B405F9" w:rsidP="00712FA3">
    <w:pPr>
      <w:pStyle w:val="Header"/>
      <w:rPr>
        <w:noProof/>
      </w:rPr>
    </w:pPr>
    <w:sdt>
      <w:sdtPr>
        <w:id w:val="472876362"/>
        <w:docPartObj>
          <w:docPartGallery w:val="Page Numbers (Top of Page)"/>
          <w:docPartUnique/>
        </w:docPartObj>
      </w:sdtPr>
      <w:sdtEndPr>
        <w:rPr>
          <w:noProof/>
        </w:rPr>
      </w:sdtEndPr>
      <w:sdtContent>
        <w:r w:rsidR="00712FA3">
          <w:rPr>
            <w:noProof/>
          </w:rPr>
          <w:t>-</w:t>
        </w:r>
      </w:sdtContent>
    </w:sdt>
    <w:r w:rsidR="00712FA3">
      <w:rPr>
        <w:noProof/>
      </w:rPr>
      <w:t xml:space="preserve"> 2 -</w:t>
    </w:r>
  </w:p>
  <w:p w14:paraId="097EAA5F" w14:textId="77777777" w:rsidR="00712FA3" w:rsidRPr="00C740E1" w:rsidRDefault="00712FA3" w:rsidP="00712FA3">
    <w:pPr>
      <w:pStyle w:val="Header"/>
      <w:rPr>
        <w:lang w:val="en-US"/>
      </w:rPr>
    </w:pPr>
    <w:r>
      <w:rPr>
        <w:noProof/>
      </w:rPr>
      <w:t>Carta Colectiva 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4EA3" w14:textId="226360E4" w:rsidR="009970E0" w:rsidRDefault="00B405F9" w:rsidP="0024485F">
    <w:pPr>
      <w:pStyle w:val="Header"/>
      <w:rPr>
        <w:noProof/>
      </w:rPr>
    </w:pPr>
    <w:sdt>
      <w:sdtPr>
        <w:id w:val="586744840"/>
        <w:docPartObj>
          <w:docPartGallery w:val="Page Numbers (Top of Page)"/>
          <w:docPartUnique/>
        </w:docPartObj>
      </w:sdtPr>
      <w:sdtEndPr>
        <w:rPr>
          <w:noProof/>
        </w:rPr>
      </w:sdtEndPr>
      <w:sdtContent>
        <w:r w:rsidR="009970E0">
          <w:rPr>
            <w:noProof/>
          </w:rPr>
          <w:t>-</w:t>
        </w:r>
        <w:r w:rsidR="009970E0">
          <w:t xml:space="preserve"> </w:t>
        </w:r>
        <w:r w:rsidR="009970E0">
          <w:fldChar w:fldCharType="begin"/>
        </w:r>
        <w:r w:rsidR="009970E0">
          <w:instrText xml:space="preserve"> PAGE   \* MERGEFORMAT </w:instrText>
        </w:r>
        <w:r w:rsidR="009970E0">
          <w:fldChar w:fldCharType="separate"/>
        </w:r>
        <w:r w:rsidR="00E671C5">
          <w:rPr>
            <w:noProof/>
          </w:rPr>
          <w:t>5</w:t>
        </w:r>
        <w:r w:rsidR="009970E0">
          <w:rPr>
            <w:noProof/>
          </w:rPr>
          <w:fldChar w:fldCharType="end"/>
        </w:r>
      </w:sdtContent>
    </w:sdt>
    <w:r w:rsidR="009970E0">
      <w:rPr>
        <w:noProof/>
      </w:rPr>
      <w:t xml:space="preserve"> -</w:t>
    </w:r>
  </w:p>
  <w:p w14:paraId="716686DF" w14:textId="48864D84" w:rsidR="009970E0" w:rsidRPr="00C740E1" w:rsidRDefault="00712FA3" w:rsidP="00453805">
    <w:pPr>
      <w:pStyle w:val="Header"/>
      <w:rPr>
        <w:lang w:val="en-US"/>
      </w:rPr>
    </w:pPr>
    <w:r>
      <w:rPr>
        <w:noProof/>
      </w:rPr>
      <w:t>Carta Colectiva</w:t>
    </w:r>
    <w:r w:rsidR="009970E0">
      <w:rPr>
        <w:noProof/>
      </w:rPr>
      <w:t xml:space="preserve">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4BA722B4"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0D29DFF8"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CB3" w14:textId="7C81794F" w:rsidR="00712FA3" w:rsidRDefault="00B405F9" w:rsidP="00712FA3">
    <w:pPr>
      <w:pStyle w:val="Header"/>
      <w:rPr>
        <w:noProof/>
      </w:rPr>
    </w:pPr>
    <w:sdt>
      <w:sdtPr>
        <w:id w:val="-1628929776"/>
        <w:docPartObj>
          <w:docPartGallery w:val="Page Numbers (Top of Page)"/>
          <w:docPartUnique/>
        </w:docPartObj>
      </w:sdtPr>
      <w:sdtEndPr>
        <w:rPr>
          <w:noProof/>
        </w:rPr>
      </w:sdtEndPr>
      <w:sdtContent>
        <w:r w:rsidR="00712FA3">
          <w:rPr>
            <w:noProof/>
          </w:rPr>
          <w:t>-</w:t>
        </w:r>
      </w:sdtContent>
    </w:sdt>
    <w:r w:rsidR="00712FA3">
      <w:rPr>
        <w:noProof/>
      </w:rPr>
      <w:t xml:space="preserve"> 7 -</w:t>
    </w:r>
  </w:p>
  <w:p w14:paraId="0B0153DC" w14:textId="77777777" w:rsidR="00712FA3" w:rsidRPr="00C740E1" w:rsidRDefault="00712FA3" w:rsidP="00712FA3">
    <w:pPr>
      <w:pStyle w:val="Header"/>
      <w:rPr>
        <w:lang w:val="en-US"/>
      </w:rPr>
    </w:pPr>
    <w:r>
      <w:rPr>
        <w:noProof/>
      </w:rPr>
      <w:t>Carta Colectiva 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8C6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54F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9E9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AC6D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CAC1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54D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8E4B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B0B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3237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DACE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673948217">
    <w:abstractNumId w:val="11"/>
  </w:num>
  <w:num w:numId="2" w16cid:durableId="657392082">
    <w:abstractNumId w:val="21"/>
  </w:num>
  <w:num w:numId="3" w16cid:durableId="1438476602">
    <w:abstractNumId w:val="17"/>
  </w:num>
  <w:num w:numId="4" w16cid:durableId="1394086206">
    <w:abstractNumId w:val="14"/>
  </w:num>
  <w:num w:numId="5" w16cid:durableId="1927567154">
    <w:abstractNumId w:val="15"/>
  </w:num>
  <w:num w:numId="6" w16cid:durableId="1958559249">
    <w:abstractNumId w:val="16"/>
  </w:num>
  <w:num w:numId="7" w16cid:durableId="1737315028">
    <w:abstractNumId w:val="13"/>
  </w:num>
  <w:num w:numId="8" w16cid:durableId="776409703">
    <w:abstractNumId w:val="9"/>
  </w:num>
  <w:num w:numId="9" w16cid:durableId="218826515">
    <w:abstractNumId w:val="7"/>
  </w:num>
  <w:num w:numId="10" w16cid:durableId="2107142761">
    <w:abstractNumId w:val="6"/>
  </w:num>
  <w:num w:numId="11" w16cid:durableId="877084781">
    <w:abstractNumId w:val="5"/>
  </w:num>
  <w:num w:numId="12" w16cid:durableId="1619264166">
    <w:abstractNumId w:val="4"/>
  </w:num>
  <w:num w:numId="13" w16cid:durableId="1477913951">
    <w:abstractNumId w:val="8"/>
  </w:num>
  <w:num w:numId="14" w16cid:durableId="851915414">
    <w:abstractNumId w:val="3"/>
  </w:num>
  <w:num w:numId="15" w16cid:durableId="1490319859">
    <w:abstractNumId w:val="2"/>
  </w:num>
  <w:num w:numId="16" w16cid:durableId="1492067193">
    <w:abstractNumId w:val="1"/>
  </w:num>
  <w:num w:numId="17" w16cid:durableId="2127383473">
    <w:abstractNumId w:val="0"/>
  </w:num>
  <w:num w:numId="18" w16cid:durableId="1931154862">
    <w:abstractNumId w:val="19"/>
  </w:num>
  <w:num w:numId="19" w16cid:durableId="1768310204">
    <w:abstractNumId w:val="10"/>
  </w:num>
  <w:num w:numId="20" w16cid:durableId="315108616">
    <w:abstractNumId w:val="18"/>
  </w:num>
  <w:num w:numId="21" w16cid:durableId="623343685">
    <w:abstractNumId w:val="20"/>
  </w:num>
  <w:num w:numId="22" w16cid:durableId="421072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45976"/>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C5D0A"/>
    <w:rsid w:val="002F3E33"/>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2FA3"/>
    <w:rsid w:val="00715D93"/>
    <w:rsid w:val="00720BA2"/>
    <w:rsid w:val="00781E2A"/>
    <w:rsid w:val="007A6373"/>
    <w:rsid w:val="007B34FB"/>
    <w:rsid w:val="008134A7"/>
    <w:rsid w:val="00823E22"/>
    <w:rsid w:val="008258C2"/>
    <w:rsid w:val="00833CCA"/>
    <w:rsid w:val="00846D89"/>
    <w:rsid w:val="008505BD"/>
    <w:rsid w:val="00850C78"/>
    <w:rsid w:val="00852F9E"/>
    <w:rsid w:val="00855B98"/>
    <w:rsid w:val="00883A1B"/>
    <w:rsid w:val="008C17AD"/>
    <w:rsid w:val="008D02CD"/>
    <w:rsid w:val="008F29BD"/>
    <w:rsid w:val="0091255A"/>
    <w:rsid w:val="00934054"/>
    <w:rsid w:val="0095172A"/>
    <w:rsid w:val="00963CD8"/>
    <w:rsid w:val="00975A06"/>
    <w:rsid w:val="009900B7"/>
    <w:rsid w:val="009970E0"/>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05F9"/>
    <w:rsid w:val="00B422BC"/>
    <w:rsid w:val="00B43F77"/>
    <w:rsid w:val="00B44D9D"/>
    <w:rsid w:val="00B616C2"/>
    <w:rsid w:val="00B95E51"/>
    <w:rsid w:val="00B95F0A"/>
    <w:rsid w:val="00B96180"/>
    <w:rsid w:val="00BC172A"/>
    <w:rsid w:val="00BC1FB8"/>
    <w:rsid w:val="00C0097C"/>
    <w:rsid w:val="00C04EF8"/>
    <w:rsid w:val="00C05882"/>
    <w:rsid w:val="00C17AC0"/>
    <w:rsid w:val="00C24BFC"/>
    <w:rsid w:val="00C31ED4"/>
    <w:rsid w:val="00C3229E"/>
    <w:rsid w:val="00C34772"/>
    <w:rsid w:val="00C36657"/>
    <w:rsid w:val="00C44C79"/>
    <w:rsid w:val="00C50A2D"/>
    <w:rsid w:val="00C71699"/>
    <w:rsid w:val="00C717E3"/>
    <w:rsid w:val="00CB3300"/>
    <w:rsid w:val="00CC1DE4"/>
    <w:rsid w:val="00CD4AE3"/>
    <w:rsid w:val="00D027A3"/>
    <w:rsid w:val="00D119EC"/>
    <w:rsid w:val="00D41CCA"/>
    <w:rsid w:val="00DA16FC"/>
    <w:rsid w:val="00DA7E46"/>
    <w:rsid w:val="00DD77C9"/>
    <w:rsid w:val="00DD7900"/>
    <w:rsid w:val="00DF4D66"/>
    <w:rsid w:val="00DF5926"/>
    <w:rsid w:val="00DF61F3"/>
    <w:rsid w:val="00E25441"/>
    <w:rsid w:val="00E34563"/>
    <w:rsid w:val="00E5040E"/>
    <w:rsid w:val="00E671C5"/>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018"/>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unhideWhenUsed/>
    <w:rsid w:val="009970E0"/>
    <w:rPr>
      <w:color w:val="605E5C"/>
      <w:shd w:val="clear" w:color="auto" w:fill="E1DFDD"/>
    </w:rPr>
  </w:style>
  <w:style w:type="paragraph" w:customStyle="1" w:styleId="TableNo">
    <w:name w:val="Table_No"/>
    <w:basedOn w:val="Normal"/>
    <w:next w:val="Tabletitle0"/>
    <w:rsid w:val="009970E0"/>
    <w:pPr>
      <w:keepNext/>
      <w:spacing w:before="560" w:after="120"/>
      <w:jc w:val="center"/>
    </w:pPr>
    <w:rPr>
      <w:caps/>
      <w:sz w:val="20"/>
      <w:lang w:val="en-GB"/>
    </w:rPr>
  </w:style>
  <w:style w:type="paragraph" w:customStyle="1" w:styleId="Tabletitle0">
    <w:name w:val="Table_title"/>
    <w:basedOn w:val="Normal"/>
    <w:next w:val="Tabletext0"/>
    <w:rsid w:val="009970E0"/>
    <w:pPr>
      <w:keepNext/>
      <w:keepLines/>
      <w:spacing w:before="0" w:after="120"/>
      <w:jc w:val="center"/>
    </w:pPr>
    <w:rPr>
      <w:b/>
      <w:sz w:val="20"/>
      <w:lang w:val="en-GB"/>
    </w:rPr>
  </w:style>
  <w:style w:type="paragraph" w:customStyle="1" w:styleId="Figuretitle0">
    <w:name w:val="Figure_title"/>
    <w:basedOn w:val="Tabletitle0"/>
    <w:next w:val="Normal"/>
    <w:rsid w:val="009970E0"/>
    <w:pPr>
      <w:spacing w:after="480"/>
    </w:pPr>
  </w:style>
  <w:style w:type="paragraph" w:customStyle="1" w:styleId="FigureNo">
    <w:name w:val="Figure_No"/>
    <w:basedOn w:val="Normal"/>
    <w:next w:val="Figuretitle0"/>
    <w:rsid w:val="009970E0"/>
    <w:pPr>
      <w:keepNext/>
      <w:keepLines/>
      <w:spacing w:before="480" w:after="120"/>
      <w:jc w:val="center"/>
    </w:pPr>
    <w:rPr>
      <w:caps/>
      <w:sz w:val="20"/>
      <w:lang w:val="en-GB"/>
    </w:rPr>
  </w:style>
  <w:style w:type="paragraph" w:customStyle="1" w:styleId="Annexref0">
    <w:name w:val="Annex_ref"/>
    <w:basedOn w:val="Normal"/>
    <w:next w:val="Normal"/>
    <w:rsid w:val="009970E0"/>
    <w:pPr>
      <w:keepNext/>
      <w:keepLines/>
      <w:spacing w:before="100" w:after="280"/>
      <w:jc w:val="center"/>
    </w:pPr>
    <w:rPr>
      <w:lang w:val="en-GB"/>
    </w:rPr>
  </w:style>
  <w:style w:type="paragraph" w:customStyle="1" w:styleId="Annextitle0">
    <w:name w:val="Annex_title"/>
    <w:basedOn w:val="Normal"/>
    <w:next w:val="Normal"/>
    <w:rsid w:val="009970E0"/>
    <w:pPr>
      <w:keepNext/>
      <w:keepLines/>
      <w:spacing w:before="240" w:after="280"/>
      <w:jc w:val="center"/>
    </w:pPr>
    <w:rPr>
      <w:b/>
      <w:sz w:val="28"/>
      <w:lang w:val="en-GB"/>
    </w:rPr>
  </w:style>
  <w:style w:type="paragraph" w:customStyle="1" w:styleId="AppendixNo">
    <w:name w:val="Appendix_No"/>
    <w:basedOn w:val="AnnexNo"/>
    <w:next w:val="Annexref0"/>
    <w:rsid w:val="009970E0"/>
    <w:pPr>
      <w:textAlignment w:val="baseline"/>
    </w:pPr>
    <w:rPr>
      <w:bCs/>
      <w:caps w:val="0"/>
      <w:lang w:val="en-GB"/>
    </w:rPr>
  </w:style>
  <w:style w:type="paragraph" w:customStyle="1" w:styleId="Appendixref0">
    <w:name w:val="Appendix_ref"/>
    <w:basedOn w:val="Annexref0"/>
    <w:next w:val="Annextitle0"/>
    <w:rsid w:val="009970E0"/>
  </w:style>
  <w:style w:type="paragraph" w:customStyle="1" w:styleId="Appendixtitle0">
    <w:name w:val="Appendix_title"/>
    <w:basedOn w:val="Annextitle0"/>
    <w:next w:val="Normal"/>
    <w:rsid w:val="009970E0"/>
  </w:style>
  <w:style w:type="paragraph" w:customStyle="1" w:styleId="Border">
    <w:name w:val="Border"/>
    <w:basedOn w:val="Tabletext0"/>
    <w:rsid w:val="009970E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9970E0"/>
    <w:pPr>
      <w:keepNext/>
      <w:spacing w:before="240"/>
    </w:pPr>
    <w:rPr>
      <w:rFonts w:hAnsi="Times New Roman Bold"/>
      <w:lang w:val="en-GB"/>
    </w:rPr>
  </w:style>
  <w:style w:type="paragraph" w:customStyle="1" w:styleId="Section3">
    <w:name w:val="Section_3"/>
    <w:basedOn w:val="Section1"/>
    <w:rsid w:val="009970E0"/>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9970E0"/>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9970E0"/>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9970E0"/>
    <w:rPr>
      <w:rFonts w:asciiTheme="minorHAnsi" w:hAnsiTheme="minorHAnsi"/>
      <w:sz w:val="22"/>
      <w:lang w:val="en-GB" w:eastAsia="en-US"/>
    </w:rPr>
  </w:style>
  <w:style w:type="paragraph" w:styleId="NormalWeb">
    <w:name w:val="Normal (Web)"/>
    <w:basedOn w:val="Normal"/>
    <w:rsid w:val="009970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9970E0"/>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970E0"/>
    <w:rPr>
      <w:rFonts w:ascii="Times New Roman" w:eastAsiaTheme="minorEastAsia" w:hAnsi="Times New Roman"/>
      <w:sz w:val="21"/>
      <w:szCs w:val="21"/>
    </w:rPr>
  </w:style>
  <w:style w:type="character" w:styleId="CommentReference">
    <w:name w:val="annotation reference"/>
    <w:basedOn w:val="DefaultParagraphFont"/>
    <w:semiHidden/>
    <w:unhideWhenUsed/>
    <w:rsid w:val="009970E0"/>
    <w:rPr>
      <w:sz w:val="16"/>
      <w:szCs w:val="16"/>
    </w:rPr>
  </w:style>
  <w:style w:type="paragraph" w:styleId="CommentText">
    <w:name w:val="annotation text"/>
    <w:basedOn w:val="Normal"/>
    <w:link w:val="CommentTextChar"/>
    <w:unhideWhenUsed/>
    <w:rsid w:val="009970E0"/>
    <w:pPr>
      <w:spacing w:before="100"/>
    </w:pPr>
    <w:rPr>
      <w:sz w:val="20"/>
      <w:lang w:val="en-GB"/>
    </w:rPr>
  </w:style>
  <w:style w:type="character" w:customStyle="1" w:styleId="CommentTextChar">
    <w:name w:val="Comment Text Char"/>
    <w:basedOn w:val="DefaultParagraphFont"/>
    <w:link w:val="CommentText"/>
    <w:rsid w:val="009970E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970E0"/>
    <w:rPr>
      <w:b/>
      <w:bCs/>
    </w:rPr>
  </w:style>
  <w:style w:type="character" w:customStyle="1" w:styleId="CommentSubjectChar">
    <w:name w:val="Comment Subject Char"/>
    <w:basedOn w:val="CommentTextChar"/>
    <w:link w:val="CommentSubject"/>
    <w:semiHidden/>
    <w:rsid w:val="009970E0"/>
    <w:rPr>
      <w:rFonts w:asciiTheme="minorHAnsi" w:hAnsiTheme="minorHAnsi"/>
      <w:b/>
      <w:bCs/>
      <w:lang w:val="en-GB" w:eastAsia="en-US"/>
    </w:rPr>
  </w:style>
  <w:style w:type="paragraph" w:styleId="Revision">
    <w:name w:val="Revision"/>
    <w:hidden/>
    <w:uiPriority w:val="99"/>
    <w:semiHidden/>
    <w:rsid w:val="009970E0"/>
    <w:rPr>
      <w:rFonts w:asciiTheme="minorHAnsi" w:hAnsiTheme="minorHAnsi"/>
      <w:sz w:val="24"/>
      <w:lang w:val="en-GB" w:eastAsia="en-US"/>
    </w:rPr>
  </w:style>
  <w:style w:type="table" w:customStyle="1" w:styleId="TableGrid1">
    <w:name w:val="Table Grid1"/>
    <w:basedOn w:val="TableNormal"/>
    <w:next w:val="TableGrid"/>
    <w:rsid w:val="0099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9970E0"/>
    <w:rPr>
      <w:color w:val="2B579A"/>
      <w:shd w:val="clear" w:color="auto" w:fill="E1DFDD"/>
    </w:rPr>
  </w:style>
  <w:style w:type="character" w:customStyle="1" w:styleId="SmartLink1">
    <w:name w:val="SmartLink1"/>
    <w:basedOn w:val="DefaultParagraphFont"/>
    <w:uiPriority w:val="99"/>
    <w:semiHidden/>
    <w:unhideWhenUsed/>
    <w:rsid w:val="009970E0"/>
    <w:rPr>
      <w:color w:val="0000FF"/>
      <w:u w:val="single"/>
      <w:shd w:val="clear" w:color="auto" w:fill="F3F2F1"/>
    </w:rPr>
  </w:style>
  <w:style w:type="character" w:customStyle="1" w:styleId="normaltextrun">
    <w:name w:val="normaltextrun"/>
    <w:basedOn w:val="DefaultParagraphFont"/>
    <w:rsid w:val="009970E0"/>
  </w:style>
  <w:style w:type="character" w:customStyle="1" w:styleId="eop">
    <w:name w:val="eop"/>
    <w:basedOn w:val="DefaultParagraphFont"/>
    <w:rsid w:val="009970E0"/>
  </w:style>
  <w:style w:type="paragraph" w:styleId="NoSpacing">
    <w:name w:val="No Spacing"/>
    <w:link w:val="NoSpacingChar"/>
    <w:uiPriority w:val="1"/>
    <w:qFormat/>
    <w:rsid w:val="009970E0"/>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9970E0"/>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https://www.itu.int/net/ITU-T/ddp/Default.aspx?groupid=T22-SG11" TargetMode="External"/><Relationship Id="rId26" Type="http://schemas.openxmlformats.org/officeDocument/2006/relationships/hyperlink" Target="https://itu.int/en/ITU-T/ewm/Pages/ITU-Internet-Printer-Services.aspx" TargetMode="External"/><Relationship Id="rId39" Type="http://schemas.openxmlformats.org/officeDocument/2006/relationships/footer" Target="footer1.xml"/><Relationship Id="rId21" Type="http://schemas.openxmlformats.org/officeDocument/2006/relationships/image" Target="media/image3.png"/><Relationship Id="rId34" Type="http://schemas.openxmlformats.org/officeDocument/2006/relationships/hyperlink" Target="https://www.itu.int/es/delegates-corner" TargetMode="External"/><Relationship Id="rId42" Type="http://schemas.openxmlformats.org/officeDocument/2006/relationships/hyperlink" Target="https://itu.int/go/tsg11"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net/ITU-T/ddp/"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TIES/" TargetMode="External"/><Relationship Id="rId32" Type="http://schemas.openxmlformats.org/officeDocument/2006/relationships/hyperlink" Target="https://www.itu.int/md/T17-TSB-CIR-0118/es" TargetMode="External"/><Relationship Id="rId37" Type="http://schemas.openxmlformats.org/officeDocument/2006/relationships/header" Target="header1.xml"/><Relationship Id="rId40" Type="http://schemas.openxmlformats.org/officeDocument/2006/relationships/image" Target="media/image4.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net/ITU-T/lists/rgm.aspx?Group=11&amp;Q=-1&amp;From=2022-01-01&amp;To=2024-11-30"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net4/travel/index-es.aspx" TargetMode="External"/><Relationship Id="rId49" Type="http://schemas.openxmlformats.org/officeDocument/2006/relationships/fontTable" Target="fontTable.xml"/><Relationship Id="rId10" Type="http://schemas.openxmlformats.org/officeDocument/2006/relationships/hyperlink" Target="https://itu.int/go/tsg11" TargetMode="External"/><Relationship Id="rId19" Type="http://schemas.openxmlformats.org/officeDocument/2006/relationships/hyperlink" Target="https://extranet.itu.int/meetings/ITU-T/T22-SG11RGM/SitePages/Welcome.aspx" TargetMode="External"/><Relationship Id="rId31" Type="http://schemas.openxmlformats.org/officeDocument/2006/relationships/hyperlink" Target="https://www.itu.int/md/T17-TSB-CIR-0068/es"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itu.int/go/tsg11" TargetMode="External"/><Relationship Id="rId22" Type="http://schemas.openxmlformats.org/officeDocument/2006/relationships/hyperlink" Target="https://www.itu.int/net/ITU-T/ddp/Default.aspx?groupid=T22-SG11" TargetMode="External"/><Relationship Id="rId27" Type="http://schemas.openxmlformats.org/officeDocument/2006/relationships/hyperlink" Target="https://itu.int/en/ITU-T/ewm/Pages/ITU-Internet-Printer-Services.aspx" TargetMode="External"/><Relationship Id="rId30" Type="http://schemas.openxmlformats.org/officeDocument/2006/relationships/hyperlink" Target="mailto:servicedesk@itu.int" TargetMode="External"/><Relationship Id="rId35" Type="http://schemas.openxmlformats.org/officeDocument/2006/relationships/hyperlink" Target="https://www.ge.ch/en/covid-19-travelling-and-entry-switzerland" TargetMode="External"/><Relationship Id="rId43" Type="http://schemas.openxmlformats.org/officeDocument/2006/relationships/header" Target="header3.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es/ITU-T/studygroups/2022-2024/11/Pages/default.aspx" TargetMode="External"/><Relationship Id="rId25" Type="http://schemas.openxmlformats.org/officeDocument/2006/relationships/hyperlink" Target="https://extranet.itu.int/meetings/ITU-T/T22-SG11RGM/SitePages/Welcome.aspx" TargetMode="External"/><Relationship Id="rId33" Type="http://schemas.openxmlformats.org/officeDocument/2006/relationships/hyperlink" Target="mailto:travel@itu.int" TargetMode="External"/><Relationship Id="rId38" Type="http://schemas.openxmlformats.org/officeDocument/2006/relationships/header" Target="header2.xm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image" Target="cid:image001.png@01D572FD.CD2B588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4003-6A9F-4E88-A324-2CC0D4F1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15908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11</cp:revision>
  <cp:lastPrinted>2022-09-12T11:21:00Z</cp:lastPrinted>
  <dcterms:created xsi:type="dcterms:W3CDTF">2022-09-05T08:04:00Z</dcterms:created>
  <dcterms:modified xsi:type="dcterms:W3CDTF">2022-09-12T11:22:00Z</dcterms:modified>
</cp:coreProperties>
</file>